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EE68" w14:textId="77777777" w:rsidR="00D55C8E" w:rsidRDefault="003B66A5">
      <w:pPr>
        <w:pStyle w:val="Body"/>
        <w:spacing w:line="240" w:lineRule="auto"/>
        <w:jc w:val="center"/>
        <w:rPr>
          <w:rFonts w:ascii="Roboto" w:eastAsia="Roboto" w:hAnsi="Roboto" w:cs="Roboto"/>
          <w:sz w:val="24"/>
          <w:szCs w:val="24"/>
        </w:rPr>
      </w:pPr>
      <w:r>
        <w:rPr>
          <w:rFonts w:ascii="Roboto" w:eastAsia="Roboto" w:hAnsi="Roboto" w:cs="Roboto"/>
          <w:b/>
          <w:bCs/>
          <w:noProof/>
          <w:sz w:val="21"/>
          <w:szCs w:val="21"/>
        </w:rPr>
        <w:drawing>
          <wp:inline distT="0" distB="0" distL="0" distR="0" wp14:anchorId="63FC9E6F" wp14:editId="6D56FC76">
            <wp:extent cx="2371725" cy="40957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6"/>
                    <a:stretch>
                      <a:fillRect/>
                    </a:stretch>
                  </pic:blipFill>
                  <pic:spPr>
                    <a:xfrm>
                      <a:off x="0" y="0"/>
                      <a:ext cx="2371725" cy="409575"/>
                    </a:xfrm>
                    <a:prstGeom prst="rect">
                      <a:avLst/>
                    </a:prstGeom>
                    <a:ln w="12700" cap="flat">
                      <a:noFill/>
                      <a:miter lim="400000"/>
                    </a:ln>
                    <a:effectLst/>
                  </pic:spPr>
                </pic:pic>
              </a:graphicData>
            </a:graphic>
          </wp:inline>
        </w:drawing>
      </w:r>
    </w:p>
    <w:p w14:paraId="1DB1E6E5" w14:textId="77777777" w:rsidR="00D55C8E" w:rsidRDefault="00D55C8E">
      <w:pPr>
        <w:pStyle w:val="Body"/>
        <w:spacing w:line="240" w:lineRule="auto"/>
        <w:rPr>
          <w:rFonts w:ascii="Roboto" w:eastAsia="Roboto" w:hAnsi="Roboto" w:cs="Roboto"/>
          <w:sz w:val="24"/>
          <w:szCs w:val="24"/>
        </w:rPr>
      </w:pPr>
    </w:p>
    <w:p w14:paraId="4CF3B43C" w14:textId="2C902932" w:rsidR="00D55C8E" w:rsidRPr="00445475" w:rsidRDefault="00C36818">
      <w:pPr>
        <w:pStyle w:val="Body"/>
        <w:spacing w:line="240" w:lineRule="auto"/>
        <w:jc w:val="center"/>
        <w:rPr>
          <w:rFonts w:ascii="Roboto" w:eastAsia="Roboto" w:hAnsi="Roboto" w:cs="Roboto"/>
          <w:b/>
          <w:bCs/>
          <w:color w:val="474747"/>
          <w:sz w:val="21"/>
          <w:szCs w:val="21"/>
          <w:u w:color="474747"/>
          <w:lang w:val="en-US"/>
        </w:rPr>
      </w:pPr>
      <w:r>
        <w:rPr>
          <w:rFonts w:ascii="Roboto" w:eastAsia="Roboto" w:hAnsi="Roboto" w:cs="Roboto"/>
          <w:b/>
          <w:bCs/>
          <w:color w:val="474747"/>
          <w:sz w:val="21"/>
          <w:szCs w:val="21"/>
          <w:u w:color="474747"/>
          <w:lang w:val="en-US"/>
        </w:rPr>
        <w:t>Game</w:t>
      </w:r>
      <w:r w:rsidR="00AF4412">
        <w:rPr>
          <w:rFonts w:ascii="Roboto" w:eastAsia="Roboto" w:hAnsi="Roboto" w:cs="Roboto"/>
          <w:b/>
          <w:bCs/>
          <w:color w:val="474747"/>
          <w:sz w:val="21"/>
          <w:szCs w:val="21"/>
          <w:u w:color="474747"/>
          <w:lang w:val="en-US"/>
        </w:rPr>
        <w:t>S</w:t>
      </w:r>
      <w:r>
        <w:rPr>
          <w:rFonts w:ascii="Roboto" w:eastAsia="Roboto" w:hAnsi="Roboto" w:cs="Roboto"/>
          <w:b/>
          <w:bCs/>
          <w:color w:val="474747"/>
          <w:sz w:val="21"/>
          <w:szCs w:val="21"/>
          <w:u w:color="474747"/>
          <w:lang w:val="en-US"/>
        </w:rPr>
        <w:t>quare</w:t>
      </w:r>
      <w:r w:rsidR="00951FF2">
        <w:rPr>
          <w:rFonts w:ascii="Roboto" w:eastAsia="Roboto" w:hAnsi="Roboto" w:cs="Roboto"/>
          <w:b/>
          <w:bCs/>
          <w:color w:val="474747"/>
          <w:sz w:val="21"/>
          <w:szCs w:val="21"/>
          <w:u w:color="474747"/>
          <w:lang w:val="en-US"/>
        </w:rPr>
        <w:t xml:space="preserve"> </w:t>
      </w:r>
      <w:r w:rsidR="0071618C">
        <w:rPr>
          <w:rFonts w:ascii="Roboto" w:eastAsia="Roboto" w:hAnsi="Roboto" w:cs="Roboto"/>
          <w:b/>
          <w:bCs/>
          <w:color w:val="474747"/>
          <w:sz w:val="21"/>
          <w:szCs w:val="21"/>
          <w:u w:color="474747"/>
          <w:lang w:val="en-US"/>
        </w:rPr>
        <w:t xml:space="preserve">and Complexity Gaming Expand </w:t>
      </w:r>
      <w:r w:rsidR="00206BE8" w:rsidRPr="00445475">
        <w:rPr>
          <w:rFonts w:ascii="Roboto" w:eastAsia="Roboto" w:hAnsi="Roboto" w:cs="Roboto"/>
          <w:b/>
          <w:bCs/>
          <w:color w:val="474747"/>
          <w:sz w:val="21"/>
          <w:szCs w:val="21"/>
          <w:u w:color="474747"/>
          <w:lang w:val="en-US"/>
        </w:rPr>
        <w:t>Army MWR</w:t>
      </w:r>
      <w:r w:rsidR="0071618C" w:rsidRPr="00445475">
        <w:rPr>
          <w:rFonts w:ascii="Roboto" w:eastAsia="Roboto" w:hAnsi="Roboto" w:cs="Roboto"/>
          <w:b/>
          <w:bCs/>
          <w:color w:val="474747"/>
          <w:sz w:val="21"/>
          <w:szCs w:val="21"/>
          <w:u w:color="474747"/>
          <w:lang w:val="en-US"/>
        </w:rPr>
        <w:t xml:space="preserve"> Partnership </w:t>
      </w:r>
      <w:r w:rsidR="00C40033" w:rsidRPr="00445475">
        <w:rPr>
          <w:rFonts w:ascii="Roboto" w:eastAsia="Roboto" w:hAnsi="Roboto" w:cs="Roboto"/>
          <w:b/>
          <w:bCs/>
          <w:color w:val="474747"/>
          <w:sz w:val="21"/>
          <w:szCs w:val="21"/>
          <w:u w:color="474747"/>
          <w:lang w:val="en-US"/>
        </w:rPr>
        <w:t>w</w:t>
      </w:r>
      <w:r w:rsidR="0071618C" w:rsidRPr="00445475">
        <w:rPr>
          <w:rFonts w:ascii="Roboto" w:eastAsia="Roboto" w:hAnsi="Roboto" w:cs="Roboto"/>
          <w:b/>
          <w:bCs/>
          <w:color w:val="474747"/>
          <w:sz w:val="21"/>
          <w:szCs w:val="21"/>
          <w:u w:color="474747"/>
          <w:lang w:val="en-US"/>
        </w:rPr>
        <w:t>ith Bigger Soldier Showdown Tournament Series</w:t>
      </w:r>
    </w:p>
    <w:p w14:paraId="670FCCAE" w14:textId="77777777" w:rsidR="00951FF2" w:rsidRPr="00445475" w:rsidRDefault="00951FF2">
      <w:pPr>
        <w:pStyle w:val="Body"/>
        <w:spacing w:line="240" w:lineRule="auto"/>
        <w:jc w:val="center"/>
        <w:rPr>
          <w:rFonts w:ascii="Roboto" w:eastAsia="Roboto" w:hAnsi="Roboto" w:cs="Roboto"/>
          <w:i/>
          <w:iCs/>
          <w:color w:val="474747"/>
          <w:sz w:val="20"/>
          <w:szCs w:val="20"/>
          <w:u w:color="474747"/>
        </w:rPr>
      </w:pPr>
    </w:p>
    <w:p w14:paraId="1F80E6CC" w14:textId="751F0D43" w:rsidR="00DF75B8" w:rsidRPr="00445475" w:rsidRDefault="0071618C">
      <w:pPr>
        <w:pStyle w:val="Body"/>
        <w:spacing w:line="240" w:lineRule="auto"/>
        <w:jc w:val="center"/>
        <w:rPr>
          <w:rFonts w:ascii="Roboto" w:eastAsia="Roboto" w:hAnsi="Roboto" w:cs="Roboto"/>
          <w:i/>
          <w:iCs/>
          <w:color w:val="474747"/>
          <w:sz w:val="20"/>
          <w:szCs w:val="20"/>
          <w:u w:color="474747"/>
        </w:rPr>
      </w:pPr>
      <w:r w:rsidRPr="00445475">
        <w:rPr>
          <w:rFonts w:ascii="Roboto" w:eastAsia="Roboto" w:hAnsi="Roboto" w:cs="Roboto"/>
          <w:i/>
          <w:iCs/>
          <w:color w:val="474747"/>
          <w:sz w:val="20"/>
          <w:szCs w:val="20"/>
          <w:u w:color="474747"/>
        </w:rPr>
        <w:t xml:space="preserve">Since 2019, Complexity and </w:t>
      </w:r>
      <w:r w:rsidR="00206BE8" w:rsidRPr="00445475">
        <w:rPr>
          <w:rFonts w:ascii="Roboto" w:eastAsia="Roboto" w:hAnsi="Roboto" w:cs="Roboto"/>
          <w:i/>
          <w:iCs/>
          <w:color w:val="474747"/>
          <w:sz w:val="20"/>
          <w:szCs w:val="20"/>
          <w:u w:color="474747"/>
        </w:rPr>
        <w:t>Army MWR</w:t>
      </w:r>
      <w:r w:rsidRPr="00445475">
        <w:rPr>
          <w:rFonts w:ascii="Roboto" w:eastAsia="Roboto" w:hAnsi="Roboto" w:cs="Roboto"/>
          <w:i/>
          <w:iCs/>
          <w:color w:val="474747"/>
          <w:sz w:val="20"/>
          <w:szCs w:val="20"/>
          <w:u w:color="474747"/>
        </w:rPr>
        <w:t xml:space="preserve"> Have Partnered </w:t>
      </w:r>
      <w:r w:rsidR="00C40033" w:rsidRPr="00445475">
        <w:rPr>
          <w:rFonts w:ascii="Roboto" w:eastAsia="Roboto" w:hAnsi="Roboto" w:cs="Roboto"/>
          <w:i/>
          <w:iCs/>
          <w:color w:val="474747"/>
          <w:sz w:val="20"/>
          <w:szCs w:val="20"/>
          <w:u w:color="474747"/>
        </w:rPr>
        <w:t xml:space="preserve">on the Growing Soldier Showdown Tournament </w:t>
      </w:r>
    </w:p>
    <w:p w14:paraId="3C5641DB" w14:textId="77777777" w:rsidR="00D55C8E" w:rsidRPr="00445475" w:rsidRDefault="00D55C8E">
      <w:pPr>
        <w:pStyle w:val="Body"/>
        <w:spacing w:line="240" w:lineRule="auto"/>
        <w:rPr>
          <w:rFonts w:ascii="Roboto" w:eastAsia="Roboto" w:hAnsi="Roboto" w:cs="Roboto"/>
          <w:sz w:val="24"/>
          <w:szCs w:val="24"/>
        </w:rPr>
      </w:pPr>
    </w:p>
    <w:p w14:paraId="54294327" w14:textId="34B1EDCC" w:rsidR="00D55C8E" w:rsidRDefault="00682DD1">
      <w:pPr>
        <w:pStyle w:val="Body"/>
        <w:shd w:val="clear" w:color="auto" w:fill="FFFFFF"/>
        <w:spacing w:line="240" w:lineRule="auto"/>
        <w:jc w:val="both"/>
        <w:rPr>
          <w:rStyle w:val="None"/>
          <w:rFonts w:ascii="Roboto" w:eastAsia="Roboto" w:hAnsi="Roboto" w:cs="Roboto"/>
          <w:color w:val="474747"/>
          <w:sz w:val="18"/>
          <w:szCs w:val="18"/>
          <w:u w:color="474747"/>
        </w:rPr>
      </w:pPr>
      <w:r>
        <w:rPr>
          <w:rFonts w:ascii="Roboto" w:eastAsia="Roboto" w:hAnsi="Roboto" w:cs="Roboto"/>
          <w:b/>
          <w:bCs/>
          <w:color w:val="474747"/>
          <w:sz w:val="18"/>
          <w:szCs w:val="18"/>
          <w:u w:color="474747"/>
          <w:lang w:val="en-US"/>
        </w:rPr>
        <w:t>May 3</w:t>
      </w:r>
      <w:r w:rsidR="003B66A5" w:rsidRPr="00445475">
        <w:rPr>
          <w:rFonts w:ascii="Roboto" w:eastAsia="Roboto" w:hAnsi="Roboto" w:cs="Roboto"/>
          <w:b/>
          <w:bCs/>
          <w:color w:val="474747"/>
          <w:sz w:val="18"/>
          <w:szCs w:val="18"/>
          <w:u w:color="474747"/>
          <w:lang w:val="en-US"/>
        </w:rPr>
        <w:t xml:space="preserve">, 2022, Toronto, Ontario </w:t>
      </w:r>
      <w:r w:rsidR="003B66A5" w:rsidRPr="00445475">
        <w:rPr>
          <w:rFonts w:ascii="Roboto" w:eastAsia="Roboto" w:hAnsi="Roboto" w:cs="Roboto"/>
          <w:color w:val="474747"/>
          <w:sz w:val="18"/>
          <w:szCs w:val="18"/>
          <w:u w:color="474747"/>
          <w:lang w:val="en-US"/>
        </w:rPr>
        <w:t>–</w:t>
      </w:r>
      <w:r w:rsidR="009C0A78" w:rsidRPr="00445475">
        <w:rPr>
          <w:rFonts w:ascii="Roboto" w:eastAsia="Roboto" w:hAnsi="Roboto" w:cs="Roboto"/>
          <w:color w:val="474747"/>
          <w:sz w:val="18"/>
          <w:szCs w:val="18"/>
          <w:u w:color="474747"/>
          <w:lang w:val="en-US"/>
        </w:rPr>
        <w:t xml:space="preserve"> </w:t>
      </w:r>
      <w:r w:rsidR="003B66A5" w:rsidRPr="00445475">
        <w:rPr>
          <w:rFonts w:ascii="Roboto" w:eastAsia="Roboto" w:hAnsi="Roboto" w:cs="Roboto"/>
          <w:color w:val="474747"/>
          <w:sz w:val="18"/>
          <w:szCs w:val="18"/>
          <w:u w:color="474747"/>
          <w:lang w:val="en-US"/>
        </w:rPr>
        <w:t>GameSquare Esports Inc. (CSE: GSQ; OTCQB: GMSQF; FRA: 29Q1) (“</w:t>
      </w:r>
      <w:r w:rsidR="003B66A5" w:rsidRPr="00445475">
        <w:rPr>
          <w:rFonts w:ascii="Roboto" w:eastAsia="Roboto" w:hAnsi="Roboto" w:cs="Roboto"/>
          <w:b/>
          <w:bCs/>
          <w:color w:val="474747"/>
          <w:sz w:val="18"/>
          <w:szCs w:val="18"/>
          <w:u w:color="474747"/>
          <w:lang w:val="en-US"/>
        </w:rPr>
        <w:t>GameSquare</w:t>
      </w:r>
      <w:r w:rsidR="003B66A5" w:rsidRPr="00445475">
        <w:rPr>
          <w:rFonts w:ascii="Roboto" w:eastAsia="Roboto" w:hAnsi="Roboto" w:cs="Roboto"/>
          <w:color w:val="474747"/>
          <w:sz w:val="18"/>
          <w:szCs w:val="18"/>
          <w:u w:color="474747"/>
          <w:lang w:val="en-US"/>
        </w:rPr>
        <w:t>”, or the “</w:t>
      </w:r>
      <w:r w:rsidR="003B66A5" w:rsidRPr="00445475">
        <w:rPr>
          <w:rFonts w:ascii="Roboto" w:eastAsia="Roboto" w:hAnsi="Roboto" w:cs="Roboto"/>
          <w:b/>
          <w:bCs/>
          <w:color w:val="474747"/>
          <w:sz w:val="18"/>
          <w:szCs w:val="18"/>
          <w:u w:color="474747"/>
          <w:lang w:val="en-US"/>
        </w:rPr>
        <w:t>Company</w:t>
      </w:r>
      <w:r w:rsidR="003B66A5" w:rsidRPr="00445475">
        <w:rPr>
          <w:rFonts w:ascii="Roboto" w:eastAsia="Roboto" w:hAnsi="Roboto" w:cs="Roboto"/>
          <w:color w:val="474747"/>
          <w:sz w:val="18"/>
          <w:szCs w:val="18"/>
          <w:u w:color="474747"/>
          <w:lang w:val="en-US"/>
        </w:rPr>
        <w:t xml:space="preserve">”), </w:t>
      </w:r>
      <w:r w:rsidR="00C40033" w:rsidRPr="00445475">
        <w:rPr>
          <w:rFonts w:ascii="Roboto" w:eastAsia="Roboto" w:hAnsi="Roboto" w:cs="Roboto"/>
          <w:color w:val="474747"/>
          <w:sz w:val="18"/>
          <w:szCs w:val="18"/>
          <w:u w:color="474747"/>
          <w:lang w:val="en-US"/>
        </w:rPr>
        <w:t>and Complexity Gaming (“</w:t>
      </w:r>
      <w:r w:rsidR="00C40033" w:rsidRPr="00445475">
        <w:rPr>
          <w:rFonts w:ascii="Roboto" w:eastAsia="Roboto" w:hAnsi="Roboto" w:cs="Roboto"/>
          <w:b/>
          <w:bCs/>
          <w:color w:val="474747"/>
          <w:sz w:val="18"/>
          <w:szCs w:val="18"/>
          <w:u w:color="474747"/>
          <w:lang w:val="en-US"/>
        </w:rPr>
        <w:t>Complexity</w:t>
      </w:r>
      <w:r w:rsidR="00C40033" w:rsidRPr="00445475">
        <w:rPr>
          <w:rFonts w:ascii="Roboto" w:eastAsia="Roboto" w:hAnsi="Roboto" w:cs="Roboto"/>
          <w:color w:val="474747"/>
          <w:sz w:val="18"/>
          <w:szCs w:val="18"/>
          <w:u w:color="474747"/>
          <w:lang w:val="en-US"/>
        </w:rPr>
        <w:t xml:space="preserve">”) are pleased to announce an extension of the </w:t>
      </w:r>
      <w:r w:rsidR="00202595" w:rsidRPr="00445475">
        <w:rPr>
          <w:rFonts w:ascii="Roboto" w:eastAsia="Roboto" w:hAnsi="Roboto" w:cs="Roboto"/>
          <w:color w:val="474747"/>
          <w:sz w:val="18"/>
          <w:szCs w:val="18"/>
          <w:u w:color="474747"/>
          <w:lang w:val="en-US"/>
        </w:rPr>
        <w:t xml:space="preserve">U.S. </w:t>
      </w:r>
      <w:r w:rsidR="00206BE8" w:rsidRPr="00445475">
        <w:rPr>
          <w:rFonts w:ascii="Roboto" w:eastAsia="Roboto" w:hAnsi="Roboto" w:cs="Roboto"/>
          <w:color w:val="474747"/>
          <w:sz w:val="18"/>
          <w:szCs w:val="18"/>
          <w:u w:color="474747"/>
          <w:lang w:val="en-US"/>
        </w:rPr>
        <w:t>Army</w:t>
      </w:r>
      <w:r w:rsidR="00C40033" w:rsidRPr="00445475">
        <w:rPr>
          <w:rFonts w:ascii="Roboto" w:eastAsia="Roboto" w:hAnsi="Roboto" w:cs="Roboto"/>
          <w:color w:val="474747"/>
          <w:sz w:val="18"/>
          <w:szCs w:val="18"/>
          <w:u w:color="474747"/>
          <w:lang w:val="en-US"/>
        </w:rPr>
        <w:t xml:space="preserve"> Installation Management Command’s Family and Morale, Welfare and Recreation (“</w:t>
      </w:r>
      <w:r w:rsidR="00A651B9" w:rsidRPr="00445475">
        <w:rPr>
          <w:rFonts w:ascii="Roboto" w:eastAsia="Roboto" w:hAnsi="Roboto" w:cs="Roboto"/>
          <w:b/>
          <w:bCs/>
          <w:color w:val="474747"/>
          <w:sz w:val="18"/>
          <w:szCs w:val="18"/>
          <w:u w:color="474747"/>
          <w:lang w:val="en-US"/>
        </w:rPr>
        <w:t xml:space="preserve">Army </w:t>
      </w:r>
      <w:r w:rsidR="00C40033" w:rsidRPr="00445475">
        <w:rPr>
          <w:rFonts w:ascii="Roboto" w:eastAsia="Roboto" w:hAnsi="Roboto" w:cs="Roboto"/>
          <w:b/>
          <w:bCs/>
          <w:color w:val="474747"/>
          <w:sz w:val="18"/>
          <w:szCs w:val="18"/>
          <w:u w:color="474747"/>
          <w:lang w:val="en-US"/>
        </w:rPr>
        <w:t>MWR</w:t>
      </w:r>
      <w:r w:rsidR="00C40033" w:rsidRPr="00445475">
        <w:rPr>
          <w:rFonts w:ascii="Roboto" w:eastAsia="Roboto" w:hAnsi="Roboto" w:cs="Roboto"/>
          <w:color w:val="474747"/>
          <w:sz w:val="18"/>
          <w:szCs w:val="18"/>
          <w:u w:color="474747"/>
          <w:lang w:val="en-US"/>
        </w:rPr>
        <w:t xml:space="preserve">”) to host a series of tournaments designed for </w:t>
      </w:r>
      <w:r w:rsidR="00202595" w:rsidRPr="00445475">
        <w:rPr>
          <w:rFonts w:ascii="Roboto" w:hAnsi="Roboto" w:cs="Arial"/>
          <w:color w:val="1D1C1D"/>
          <w:sz w:val="18"/>
          <w:szCs w:val="18"/>
          <w:shd w:val="clear" w:color="auto" w:fill="F8F8F8"/>
        </w:rPr>
        <w:t>active duty army soldiers, army national guard, army reserve, &amp; active duty military stationed on army joint bases</w:t>
      </w:r>
      <w:r w:rsidR="00C40033" w:rsidRPr="00445475">
        <w:rPr>
          <w:rFonts w:ascii="Roboto" w:eastAsia="Roboto" w:hAnsi="Roboto" w:cs="Roboto"/>
          <w:color w:val="474747"/>
          <w:sz w:val="18"/>
          <w:szCs w:val="18"/>
          <w:u w:color="474747"/>
          <w:lang w:val="en-US"/>
        </w:rPr>
        <w:t xml:space="preserve">. Complexity and the </w:t>
      </w:r>
      <w:r w:rsidR="00206BE8" w:rsidRPr="00445475">
        <w:rPr>
          <w:rFonts w:ascii="Roboto" w:eastAsia="Roboto" w:hAnsi="Roboto" w:cs="Roboto"/>
          <w:color w:val="474747"/>
          <w:sz w:val="18"/>
          <w:szCs w:val="18"/>
          <w:u w:color="474747"/>
          <w:lang w:val="en-US"/>
        </w:rPr>
        <w:t>Army MWR</w:t>
      </w:r>
      <w:r w:rsidR="00C40033" w:rsidRPr="00445475">
        <w:rPr>
          <w:rFonts w:ascii="Roboto" w:eastAsia="Roboto" w:hAnsi="Roboto" w:cs="Roboto"/>
          <w:color w:val="474747"/>
          <w:sz w:val="18"/>
          <w:szCs w:val="18"/>
          <w:u w:color="474747"/>
          <w:lang w:val="en-US"/>
        </w:rPr>
        <w:t xml:space="preserve"> </w:t>
      </w:r>
      <w:r w:rsidR="005A1B3B" w:rsidRPr="00445475">
        <w:rPr>
          <w:rFonts w:ascii="Roboto" w:eastAsia="Roboto" w:hAnsi="Roboto" w:cs="Roboto"/>
          <w:color w:val="474747"/>
          <w:sz w:val="18"/>
          <w:szCs w:val="18"/>
          <w:u w:color="474747"/>
          <w:lang w:val="en-US"/>
        </w:rPr>
        <w:t xml:space="preserve">initiated their partnership in June 2019 and </w:t>
      </w:r>
      <w:r w:rsidR="00C40033" w:rsidRPr="00445475">
        <w:rPr>
          <w:rFonts w:ascii="Roboto" w:eastAsia="Roboto" w:hAnsi="Roboto" w:cs="Roboto"/>
          <w:color w:val="474747"/>
          <w:sz w:val="18"/>
          <w:szCs w:val="18"/>
          <w:u w:color="474747"/>
          <w:lang w:val="en-US"/>
        </w:rPr>
        <w:t xml:space="preserve">have </w:t>
      </w:r>
      <w:r w:rsidR="005A1B3B" w:rsidRPr="00445475">
        <w:rPr>
          <w:rFonts w:ascii="Roboto" w:eastAsia="Roboto" w:hAnsi="Roboto" w:cs="Roboto"/>
          <w:color w:val="474747"/>
          <w:sz w:val="18"/>
          <w:szCs w:val="18"/>
          <w:u w:color="474747"/>
          <w:lang w:val="en-US"/>
        </w:rPr>
        <w:t xml:space="preserve">renewed the </w:t>
      </w:r>
      <w:r w:rsidR="00C40033" w:rsidRPr="00445475">
        <w:rPr>
          <w:rFonts w:ascii="Roboto" w:eastAsia="Roboto" w:hAnsi="Roboto" w:cs="Roboto"/>
          <w:color w:val="474747"/>
          <w:sz w:val="18"/>
          <w:szCs w:val="18"/>
          <w:u w:color="474747"/>
          <w:lang w:val="en-US"/>
        </w:rPr>
        <w:t xml:space="preserve">partnership </w:t>
      </w:r>
      <w:r w:rsidR="005A1B3B" w:rsidRPr="00445475">
        <w:rPr>
          <w:rFonts w:ascii="Roboto" w:eastAsia="Roboto" w:hAnsi="Roboto" w:cs="Roboto"/>
          <w:color w:val="474747"/>
          <w:sz w:val="18"/>
          <w:szCs w:val="18"/>
          <w:u w:color="474747"/>
          <w:lang w:val="en-US"/>
        </w:rPr>
        <w:t xml:space="preserve">annually to deliver longer </w:t>
      </w:r>
      <w:r w:rsidR="00C40033" w:rsidRPr="00445475">
        <w:rPr>
          <w:rFonts w:ascii="Roboto" w:eastAsia="Roboto" w:hAnsi="Roboto" w:cs="Roboto"/>
          <w:color w:val="474747"/>
          <w:sz w:val="18"/>
          <w:szCs w:val="18"/>
          <w:u w:color="474747"/>
          <w:lang w:val="en-US"/>
        </w:rPr>
        <w:t>tournament</w:t>
      </w:r>
      <w:r w:rsidR="005A1B3B" w:rsidRPr="00445475">
        <w:rPr>
          <w:rFonts w:ascii="Roboto" w:eastAsia="Roboto" w:hAnsi="Roboto" w:cs="Roboto"/>
          <w:color w:val="474747"/>
          <w:sz w:val="18"/>
          <w:szCs w:val="18"/>
          <w:u w:color="474747"/>
          <w:lang w:val="en-US"/>
        </w:rPr>
        <w:t xml:space="preserve">s to more active-duty soldiers. The 2022 edition of </w:t>
      </w:r>
      <w:r w:rsidR="0015716A" w:rsidRPr="00445475">
        <w:rPr>
          <w:rFonts w:ascii="Roboto" w:eastAsia="Roboto" w:hAnsi="Roboto" w:cs="Roboto"/>
          <w:color w:val="474747"/>
          <w:sz w:val="18"/>
          <w:szCs w:val="18"/>
          <w:u w:color="474747"/>
          <w:lang w:val="en-US"/>
        </w:rPr>
        <w:t xml:space="preserve">the </w:t>
      </w:r>
      <w:r w:rsidR="0015716A" w:rsidRPr="00445475">
        <w:rPr>
          <w:rFonts w:ascii="Roboto" w:eastAsia="Roboto" w:hAnsi="Roboto" w:cs="Roboto"/>
          <w:i/>
          <w:iCs/>
          <w:color w:val="474747"/>
          <w:sz w:val="18"/>
          <w:szCs w:val="18"/>
          <w:u w:color="474747"/>
          <w:lang w:val="en-US"/>
        </w:rPr>
        <w:t>Soldier Showdown</w:t>
      </w:r>
      <w:r w:rsidR="0015716A" w:rsidRPr="00445475">
        <w:rPr>
          <w:rFonts w:ascii="Roboto" w:eastAsia="Roboto" w:hAnsi="Roboto" w:cs="Roboto"/>
          <w:color w:val="474747"/>
          <w:sz w:val="18"/>
          <w:szCs w:val="18"/>
          <w:u w:color="474747"/>
          <w:lang w:val="en-US"/>
        </w:rPr>
        <w:t xml:space="preserve"> will take place between </w:t>
      </w:r>
      <w:r w:rsidR="00202595" w:rsidRPr="00445475">
        <w:rPr>
          <w:rFonts w:ascii="Roboto" w:hAnsi="Roboto" w:cs="Arial"/>
          <w:color w:val="1D1C1D"/>
          <w:sz w:val="18"/>
          <w:szCs w:val="18"/>
          <w:shd w:val="clear" w:color="auto" w:fill="F8F8F8"/>
        </w:rPr>
        <w:t>May 28, 2022</w:t>
      </w:r>
      <w:r w:rsidR="00617F6A">
        <w:rPr>
          <w:rFonts w:ascii="Roboto" w:hAnsi="Roboto" w:cs="Arial"/>
          <w:color w:val="1D1C1D"/>
          <w:sz w:val="18"/>
          <w:szCs w:val="18"/>
          <w:shd w:val="clear" w:color="auto" w:fill="F8F8F8"/>
        </w:rPr>
        <w:t>,</w:t>
      </w:r>
      <w:r w:rsidR="0015716A" w:rsidRPr="00445475">
        <w:rPr>
          <w:rFonts w:ascii="Roboto" w:eastAsia="Roboto" w:hAnsi="Roboto" w:cs="Roboto"/>
          <w:b/>
          <w:bCs/>
          <w:color w:val="474747"/>
          <w:sz w:val="18"/>
          <w:szCs w:val="18"/>
          <w:u w:color="474747"/>
          <w:lang w:val="en-US"/>
        </w:rPr>
        <w:t xml:space="preserve"> </w:t>
      </w:r>
      <w:r w:rsidR="0015716A" w:rsidRPr="00445475">
        <w:rPr>
          <w:rFonts w:ascii="Roboto" w:eastAsia="Roboto" w:hAnsi="Roboto" w:cs="Roboto"/>
          <w:color w:val="474747"/>
          <w:sz w:val="18"/>
          <w:szCs w:val="18"/>
          <w:u w:color="474747"/>
          <w:lang w:val="en-US"/>
        </w:rPr>
        <w:t>and</w:t>
      </w:r>
      <w:r w:rsidR="0015716A" w:rsidRPr="00445475">
        <w:rPr>
          <w:rFonts w:ascii="Roboto" w:eastAsia="Roboto" w:hAnsi="Roboto" w:cs="Roboto"/>
          <w:b/>
          <w:bCs/>
          <w:color w:val="474747"/>
          <w:sz w:val="18"/>
          <w:szCs w:val="18"/>
          <w:u w:color="474747"/>
          <w:lang w:val="en-US"/>
        </w:rPr>
        <w:t xml:space="preserve"> </w:t>
      </w:r>
      <w:r w:rsidR="00202595" w:rsidRPr="00445475">
        <w:rPr>
          <w:rFonts w:ascii="Roboto" w:hAnsi="Roboto" w:cs="Arial"/>
          <w:color w:val="1D1C1D"/>
          <w:sz w:val="18"/>
          <w:szCs w:val="18"/>
          <w:shd w:val="clear" w:color="auto" w:fill="F8F8F8"/>
        </w:rPr>
        <w:t>Oct 29, 2022</w:t>
      </w:r>
      <w:r w:rsidR="00617F6A">
        <w:rPr>
          <w:rFonts w:ascii="Roboto" w:hAnsi="Roboto" w:cs="Arial"/>
          <w:color w:val="1D1C1D"/>
          <w:sz w:val="18"/>
          <w:szCs w:val="18"/>
          <w:shd w:val="clear" w:color="auto" w:fill="F8F8F8"/>
        </w:rPr>
        <w:t>,</w:t>
      </w:r>
      <w:r w:rsidR="0015716A" w:rsidRPr="00445475">
        <w:rPr>
          <w:rFonts w:ascii="Roboto" w:eastAsia="Roboto" w:hAnsi="Roboto" w:cs="Roboto"/>
          <w:color w:val="474747"/>
          <w:sz w:val="18"/>
          <w:szCs w:val="18"/>
          <w:u w:color="474747"/>
          <w:lang w:val="en-US"/>
        </w:rPr>
        <w:t xml:space="preserve"> and </w:t>
      </w:r>
      <w:r w:rsidR="004F4521" w:rsidRPr="00445475">
        <w:rPr>
          <w:rFonts w:ascii="Roboto" w:eastAsia="Roboto" w:hAnsi="Roboto" w:cs="Roboto"/>
          <w:color w:val="474747"/>
          <w:sz w:val="18"/>
          <w:szCs w:val="18"/>
          <w:u w:color="474747"/>
          <w:lang w:val="en-US"/>
        </w:rPr>
        <w:t xml:space="preserve">participation is expected to increase by more than 50%, year-over-year. </w:t>
      </w:r>
      <w:r w:rsidR="003C361F" w:rsidRPr="00445475">
        <w:rPr>
          <w:rFonts w:ascii="Roboto" w:eastAsia="Roboto" w:hAnsi="Roboto" w:cs="Roboto"/>
          <w:color w:val="474747"/>
          <w:sz w:val="18"/>
          <w:szCs w:val="18"/>
          <w:u w:color="474747"/>
          <w:lang w:val="en-US"/>
        </w:rPr>
        <w:t xml:space="preserve">As highlighted in our recently published </w:t>
      </w:r>
      <w:hyperlink r:id="rId7" w:history="1">
        <w:r w:rsidR="003C361F" w:rsidRPr="00445475">
          <w:rPr>
            <w:rStyle w:val="Hyperlink0"/>
            <w:lang w:val="en-US"/>
          </w:rPr>
          <w:t>Letter to Shareholders</w:t>
        </w:r>
      </w:hyperlink>
      <w:r w:rsidR="003C361F" w:rsidRPr="00445475">
        <w:rPr>
          <w:rStyle w:val="None"/>
          <w:rFonts w:ascii="Roboto" w:eastAsia="Roboto" w:hAnsi="Roboto" w:cs="Roboto"/>
          <w:color w:val="474747"/>
          <w:sz w:val="18"/>
          <w:szCs w:val="18"/>
          <w:u w:color="474747"/>
          <w:lang w:val="en-US"/>
        </w:rPr>
        <w:t xml:space="preserve">, </w:t>
      </w:r>
      <w:r w:rsidR="00702195" w:rsidRPr="00445475">
        <w:rPr>
          <w:rStyle w:val="None"/>
          <w:rFonts w:ascii="Roboto" w:eastAsia="Roboto" w:hAnsi="Roboto" w:cs="Roboto"/>
          <w:color w:val="474747"/>
          <w:sz w:val="18"/>
          <w:szCs w:val="18"/>
          <w:u w:color="474747"/>
          <w:lang w:val="en-US"/>
        </w:rPr>
        <w:t xml:space="preserve">management intends to </w:t>
      </w:r>
      <w:r w:rsidR="00531AA2" w:rsidRPr="00445475">
        <w:rPr>
          <w:rStyle w:val="None"/>
          <w:rFonts w:ascii="Roboto" w:eastAsia="Roboto" w:hAnsi="Roboto" w:cs="Roboto"/>
          <w:color w:val="474747"/>
          <w:sz w:val="18"/>
          <w:szCs w:val="18"/>
          <w:u w:color="474747"/>
          <w:lang w:val="en-US"/>
        </w:rPr>
        <w:t xml:space="preserve">offer customers more choice and to </w:t>
      </w:r>
      <w:r w:rsidR="00702195" w:rsidRPr="00445475">
        <w:rPr>
          <w:rStyle w:val="None"/>
          <w:rFonts w:ascii="Roboto" w:eastAsia="Roboto" w:hAnsi="Roboto" w:cs="Roboto"/>
          <w:color w:val="474747"/>
          <w:sz w:val="18"/>
          <w:szCs w:val="18"/>
          <w:u w:color="474747"/>
          <w:lang w:val="en-US"/>
        </w:rPr>
        <w:t>add sponsors and brands across our group of businesses throughout 2022.</w:t>
      </w:r>
      <w:r w:rsidR="003C361F">
        <w:rPr>
          <w:rStyle w:val="None"/>
          <w:rFonts w:ascii="Roboto" w:eastAsia="Roboto" w:hAnsi="Roboto" w:cs="Roboto"/>
          <w:color w:val="474747"/>
          <w:sz w:val="18"/>
          <w:szCs w:val="18"/>
          <w:u w:color="474747"/>
          <w:lang w:val="en-US"/>
        </w:rPr>
        <w:t xml:space="preserve"> </w:t>
      </w:r>
    </w:p>
    <w:p w14:paraId="4E020BC7" w14:textId="77777777" w:rsidR="00D55C8E" w:rsidRDefault="00D55C8E">
      <w:pPr>
        <w:pStyle w:val="Body"/>
        <w:shd w:val="clear" w:color="auto" w:fill="FFFFFF"/>
        <w:spacing w:line="240" w:lineRule="auto"/>
        <w:jc w:val="both"/>
        <w:rPr>
          <w:rStyle w:val="None"/>
          <w:rFonts w:ascii="Roboto" w:eastAsia="Roboto" w:hAnsi="Roboto" w:cs="Roboto"/>
          <w:sz w:val="24"/>
          <w:szCs w:val="24"/>
        </w:rPr>
      </w:pPr>
    </w:p>
    <w:p w14:paraId="044445A1" w14:textId="118D3D51" w:rsidR="00053B2E" w:rsidRDefault="00AC731C" w:rsidP="00E77DBE">
      <w:pPr>
        <w:pStyle w:val="Body"/>
        <w:shd w:val="clear" w:color="auto" w:fill="FFFFFF"/>
        <w:spacing w:line="240" w:lineRule="auto"/>
        <w:jc w:val="both"/>
        <w:rPr>
          <w:rStyle w:val="None"/>
          <w:rFonts w:ascii="Roboto" w:eastAsia="Roboto" w:hAnsi="Roboto" w:cs="Roboto"/>
          <w:color w:val="474747"/>
          <w:sz w:val="18"/>
          <w:szCs w:val="18"/>
          <w:u w:color="474747"/>
          <w:lang w:val="en-US"/>
        </w:rPr>
      </w:pPr>
      <w:r w:rsidRPr="00AC731C">
        <w:rPr>
          <w:rStyle w:val="None"/>
          <w:rFonts w:ascii="Roboto" w:eastAsia="Roboto" w:hAnsi="Roboto" w:cs="Roboto"/>
          <w:color w:val="474747"/>
          <w:sz w:val="18"/>
          <w:szCs w:val="18"/>
          <w:u w:color="474747"/>
          <w:lang w:val="en-US"/>
        </w:rPr>
        <w:t xml:space="preserve">“Our partnership with the U.S. Army continues to be </w:t>
      </w:r>
      <w:r>
        <w:rPr>
          <w:rStyle w:val="None"/>
          <w:rFonts w:ascii="Roboto" w:eastAsia="Roboto" w:hAnsi="Roboto" w:cs="Roboto"/>
          <w:color w:val="474747"/>
          <w:sz w:val="18"/>
          <w:szCs w:val="18"/>
          <w:u w:color="474747"/>
          <w:lang w:val="en-US"/>
        </w:rPr>
        <w:t xml:space="preserve">incredibly </w:t>
      </w:r>
      <w:r w:rsidRPr="00AC731C">
        <w:rPr>
          <w:rStyle w:val="None"/>
          <w:rFonts w:ascii="Roboto" w:eastAsia="Roboto" w:hAnsi="Roboto" w:cs="Roboto"/>
          <w:color w:val="474747"/>
          <w:sz w:val="18"/>
          <w:szCs w:val="18"/>
          <w:u w:color="474747"/>
          <w:lang w:val="en-US"/>
        </w:rPr>
        <w:t xml:space="preserve">rewarding,” said Justin Kenna, CEO, GameSquare Esports. “This year, we’re doubling down on our 3-year relationship and hosting the most ambitious edition of the </w:t>
      </w:r>
      <w:r w:rsidRPr="00AC731C">
        <w:rPr>
          <w:rStyle w:val="None"/>
          <w:rFonts w:ascii="Roboto" w:eastAsia="Roboto" w:hAnsi="Roboto" w:cs="Roboto"/>
          <w:i/>
          <w:iCs/>
          <w:color w:val="474747"/>
          <w:sz w:val="18"/>
          <w:szCs w:val="18"/>
          <w:u w:color="474747"/>
          <w:lang w:val="en-US"/>
        </w:rPr>
        <w:t>Soldier Showdown</w:t>
      </w:r>
      <w:r w:rsidRPr="00AC731C">
        <w:rPr>
          <w:rStyle w:val="None"/>
          <w:rFonts w:ascii="Roboto" w:eastAsia="Roboto" w:hAnsi="Roboto" w:cs="Roboto"/>
          <w:color w:val="474747"/>
          <w:sz w:val="18"/>
          <w:szCs w:val="18"/>
          <w:u w:color="474747"/>
          <w:lang w:val="en-US"/>
        </w:rPr>
        <w:t xml:space="preserve"> yet to provide our servicemen and women a chance to strengthen their bonds with one another and enjoy friendly competition.”</w:t>
      </w:r>
    </w:p>
    <w:p w14:paraId="322042FB" w14:textId="77777777" w:rsidR="00AC731C" w:rsidRDefault="00AC731C" w:rsidP="00E77DBE">
      <w:pPr>
        <w:pStyle w:val="Body"/>
        <w:shd w:val="clear" w:color="auto" w:fill="FFFFFF"/>
        <w:spacing w:line="240" w:lineRule="auto"/>
        <w:jc w:val="both"/>
        <w:rPr>
          <w:rStyle w:val="None"/>
          <w:rFonts w:ascii="Roboto" w:eastAsia="Roboto" w:hAnsi="Roboto" w:cs="Roboto"/>
          <w:color w:val="474747"/>
          <w:sz w:val="18"/>
          <w:szCs w:val="18"/>
          <w:u w:color="474747"/>
          <w:lang w:val="en-US"/>
        </w:rPr>
      </w:pPr>
    </w:p>
    <w:p w14:paraId="0D2686BA" w14:textId="77777777" w:rsidR="00D55C8E" w:rsidRDefault="003B66A5">
      <w:pPr>
        <w:pStyle w:val="Body"/>
        <w:shd w:val="clear" w:color="auto" w:fill="FFFFFF"/>
        <w:spacing w:line="240" w:lineRule="auto"/>
        <w:jc w:val="both"/>
        <w:rPr>
          <w:rStyle w:val="None"/>
          <w:rFonts w:ascii="Roboto" w:eastAsia="Roboto" w:hAnsi="Roboto" w:cs="Roboto"/>
          <w:sz w:val="24"/>
          <w:szCs w:val="24"/>
        </w:rPr>
      </w:pPr>
      <w:r>
        <w:rPr>
          <w:rStyle w:val="None"/>
          <w:rFonts w:ascii="Roboto" w:eastAsia="Roboto" w:hAnsi="Roboto" w:cs="Roboto"/>
          <w:b/>
          <w:bCs/>
          <w:color w:val="474747"/>
          <w:sz w:val="18"/>
          <w:szCs w:val="18"/>
          <w:u w:color="474747"/>
          <w:lang w:val="en-US"/>
        </w:rPr>
        <w:t>About GameSquare Esports Inc.</w:t>
      </w:r>
    </w:p>
    <w:p w14:paraId="1A0B5535" w14:textId="1CFE8BA3" w:rsidR="00D55C8E" w:rsidRDefault="003B66A5">
      <w:pPr>
        <w:pStyle w:val="Body"/>
        <w:shd w:val="clear" w:color="auto" w:fill="FFFFFF"/>
        <w:spacing w:line="240" w:lineRule="auto"/>
        <w:jc w:val="both"/>
        <w:rPr>
          <w:rStyle w:val="None"/>
          <w:rFonts w:ascii="Roboto" w:eastAsia="Roboto" w:hAnsi="Roboto" w:cs="Roboto"/>
          <w:color w:val="474747"/>
          <w:sz w:val="18"/>
          <w:szCs w:val="18"/>
          <w:u w:color="474747"/>
        </w:rPr>
      </w:pPr>
      <w:r>
        <w:rPr>
          <w:rStyle w:val="None"/>
          <w:rFonts w:ascii="Roboto" w:eastAsia="Roboto" w:hAnsi="Roboto" w:cs="Roboto"/>
          <w:color w:val="474747"/>
          <w:sz w:val="18"/>
          <w:szCs w:val="18"/>
          <w:u w:color="474747"/>
          <w:lang w:val="en-US"/>
        </w:rPr>
        <w:t xml:space="preserve">GameSquare Esports Inc. is an international gaming and esports company headquartered in Toronto, Canada. The Company is seeking to acquire additional assets and entities serving the gaming and esports markets and, more broadly, in sports and entertainment. GameSquare owns a portfolio of companies including Code Red Esports Ltd., an esports talent agency serving the UK, </w:t>
      </w:r>
      <w:r w:rsidR="00CF4F85">
        <w:rPr>
          <w:rStyle w:val="None"/>
          <w:rFonts w:ascii="Roboto" w:eastAsia="Roboto" w:hAnsi="Roboto" w:cs="Roboto"/>
          <w:color w:val="474747"/>
          <w:sz w:val="18"/>
          <w:szCs w:val="18"/>
          <w:u w:color="474747"/>
          <w:lang w:val="en-US"/>
        </w:rPr>
        <w:t>GCN, a digital media company focusing on the gaming and esports audience based in Los Angeles, USA.</w:t>
      </w:r>
      <w:r>
        <w:rPr>
          <w:rStyle w:val="None"/>
          <w:rFonts w:ascii="Roboto" w:eastAsia="Roboto" w:hAnsi="Roboto" w:cs="Roboto"/>
          <w:color w:val="474747"/>
          <w:sz w:val="18"/>
          <w:szCs w:val="18"/>
          <w:u w:color="474747"/>
          <w:lang w:val="en-US"/>
        </w:rPr>
        <w:t>, NextGen Tech, LLC (dba as Complexity Gaming), a leading esports organization operating in the United States, and Swingman LLC (dba Cut+Sew and Zoned), a gaming and lifestyle marketing agency based in Los Angeles, USA.</w:t>
      </w:r>
    </w:p>
    <w:p w14:paraId="3FD083BF" w14:textId="77777777" w:rsidR="00D55C8E" w:rsidRDefault="00D55C8E">
      <w:pPr>
        <w:pStyle w:val="Body"/>
        <w:shd w:val="clear" w:color="auto" w:fill="FFFFFF"/>
        <w:spacing w:line="240" w:lineRule="auto"/>
        <w:jc w:val="both"/>
        <w:rPr>
          <w:rStyle w:val="None"/>
          <w:rFonts w:ascii="Roboto" w:eastAsia="Roboto" w:hAnsi="Roboto" w:cs="Roboto"/>
          <w:sz w:val="24"/>
          <w:szCs w:val="24"/>
        </w:rPr>
      </w:pPr>
    </w:p>
    <w:p w14:paraId="78D727EC" w14:textId="77777777" w:rsidR="00D55C8E" w:rsidRDefault="003B66A5">
      <w:pPr>
        <w:pStyle w:val="Body"/>
        <w:shd w:val="clear" w:color="auto" w:fill="FFFFFF"/>
        <w:spacing w:line="240" w:lineRule="auto"/>
        <w:jc w:val="both"/>
        <w:rPr>
          <w:rStyle w:val="None"/>
          <w:rFonts w:ascii="Roboto" w:eastAsia="Roboto" w:hAnsi="Roboto" w:cs="Roboto"/>
          <w:color w:val="474747"/>
          <w:sz w:val="24"/>
          <w:szCs w:val="24"/>
          <w:u w:color="474747"/>
        </w:rPr>
      </w:pPr>
      <w:r>
        <w:rPr>
          <w:rStyle w:val="None"/>
          <w:rFonts w:ascii="Roboto" w:eastAsia="Roboto" w:hAnsi="Roboto" w:cs="Roboto"/>
          <w:b/>
          <w:bCs/>
          <w:color w:val="474747"/>
          <w:sz w:val="18"/>
          <w:szCs w:val="18"/>
          <w:u w:color="474747"/>
          <w:lang w:val="en-US"/>
        </w:rPr>
        <w:t>Investor Relations</w:t>
      </w:r>
    </w:p>
    <w:p w14:paraId="71237BF9" w14:textId="62DB9EE1" w:rsidR="00D55C8E" w:rsidRDefault="003B66A5">
      <w:pPr>
        <w:pStyle w:val="Body"/>
        <w:shd w:val="clear" w:color="auto" w:fill="FFFFFF"/>
        <w:spacing w:line="240" w:lineRule="auto"/>
        <w:jc w:val="both"/>
        <w:rPr>
          <w:rStyle w:val="None"/>
          <w:rFonts w:ascii="Roboto" w:eastAsia="Roboto" w:hAnsi="Roboto" w:cs="Roboto"/>
          <w:color w:val="474747"/>
          <w:sz w:val="24"/>
          <w:szCs w:val="24"/>
          <w:u w:color="474747"/>
        </w:rPr>
      </w:pPr>
      <w:r>
        <w:rPr>
          <w:rStyle w:val="None"/>
          <w:rFonts w:ascii="Roboto" w:eastAsia="Roboto" w:hAnsi="Roboto" w:cs="Roboto"/>
          <w:color w:val="474747"/>
          <w:sz w:val="18"/>
          <w:szCs w:val="18"/>
          <w:u w:color="474747"/>
          <w:lang w:val="en-US"/>
        </w:rPr>
        <w:t>For further information, please contact, Investor Relations for GameSquare Esports Inc.: </w:t>
      </w:r>
    </w:p>
    <w:p w14:paraId="7957E761" w14:textId="77777777" w:rsidR="00D55C8E" w:rsidRDefault="003B66A5">
      <w:pPr>
        <w:pStyle w:val="Body"/>
        <w:spacing w:line="240" w:lineRule="auto"/>
        <w:rPr>
          <w:rStyle w:val="None"/>
          <w:rFonts w:ascii="Roboto" w:eastAsia="Roboto" w:hAnsi="Roboto" w:cs="Roboto"/>
          <w:color w:val="474747"/>
          <w:sz w:val="24"/>
          <w:szCs w:val="24"/>
          <w:u w:color="474747"/>
        </w:rPr>
      </w:pPr>
      <w:r>
        <w:rPr>
          <w:rStyle w:val="None"/>
          <w:rFonts w:ascii="Roboto" w:eastAsia="Roboto" w:hAnsi="Roboto" w:cs="Roboto"/>
          <w:color w:val="474747"/>
          <w:sz w:val="18"/>
          <w:szCs w:val="18"/>
          <w:u w:color="474747"/>
          <w:lang w:val="en-US"/>
        </w:rPr>
        <w:t>Kevin Wright, President and Chairman</w:t>
      </w:r>
    </w:p>
    <w:p w14:paraId="3C54720B" w14:textId="49AACFD2" w:rsidR="00D55C8E" w:rsidRDefault="003B66A5">
      <w:pPr>
        <w:pStyle w:val="Body"/>
        <w:spacing w:line="240" w:lineRule="auto"/>
        <w:rPr>
          <w:rStyle w:val="None"/>
          <w:rFonts w:ascii="Roboto" w:eastAsia="Roboto" w:hAnsi="Roboto" w:cs="Roboto"/>
          <w:color w:val="474747"/>
          <w:sz w:val="24"/>
          <w:szCs w:val="24"/>
          <w:u w:color="474747"/>
        </w:rPr>
      </w:pPr>
      <w:r>
        <w:rPr>
          <w:rStyle w:val="None"/>
          <w:rFonts w:ascii="Roboto" w:eastAsia="Roboto" w:hAnsi="Roboto" w:cs="Roboto"/>
          <w:color w:val="474747"/>
          <w:sz w:val="18"/>
          <w:szCs w:val="18"/>
          <w:u w:color="474747"/>
          <w:lang w:val="it-IT"/>
        </w:rPr>
        <w:t>Phone: (6</w:t>
      </w:r>
      <w:r w:rsidR="00C25A22">
        <w:rPr>
          <w:rStyle w:val="None"/>
          <w:rFonts w:ascii="Roboto" w:eastAsia="Roboto" w:hAnsi="Roboto" w:cs="Roboto"/>
          <w:color w:val="474747"/>
          <w:sz w:val="18"/>
          <w:szCs w:val="18"/>
          <w:u w:color="474747"/>
          <w:lang w:val="it-IT"/>
        </w:rPr>
        <w:t>47) 459-0423</w:t>
      </w:r>
    </w:p>
    <w:p w14:paraId="48AB2D36" w14:textId="77777777" w:rsidR="00D55C8E" w:rsidRDefault="003B66A5">
      <w:pPr>
        <w:pStyle w:val="Body"/>
        <w:spacing w:line="240" w:lineRule="auto"/>
        <w:rPr>
          <w:rStyle w:val="None"/>
          <w:rFonts w:ascii="Roboto" w:eastAsia="Roboto" w:hAnsi="Roboto" w:cs="Roboto"/>
          <w:sz w:val="24"/>
          <w:szCs w:val="24"/>
        </w:rPr>
      </w:pPr>
      <w:r>
        <w:rPr>
          <w:rStyle w:val="None"/>
          <w:rFonts w:ascii="Roboto" w:eastAsia="Roboto" w:hAnsi="Roboto" w:cs="Roboto"/>
          <w:color w:val="474747"/>
          <w:sz w:val="18"/>
          <w:szCs w:val="18"/>
          <w:u w:color="474747"/>
        </w:rPr>
        <w:t>Email:</w:t>
      </w:r>
      <w:r>
        <w:rPr>
          <w:rStyle w:val="None"/>
          <w:rFonts w:ascii="Roboto" w:eastAsia="Roboto" w:hAnsi="Roboto" w:cs="Roboto"/>
          <w:sz w:val="18"/>
          <w:szCs w:val="18"/>
        </w:rPr>
        <w:t xml:space="preserve"> </w:t>
      </w:r>
      <w:hyperlink r:id="rId8" w:history="1">
        <w:r>
          <w:rPr>
            <w:rStyle w:val="Hyperlink1"/>
            <w:lang w:val="it-IT"/>
          </w:rPr>
          <w:t>IR@gamesquare.com</w:t>
        </w:r>
      </w:hyperlink>
    </w:p>
    <w:p w14:paraId="0CB537FC" w14:textId="77777777" w:rsidR="00D55C8E" w:rsidRDefault="00D55C8E">
      <w:pPr>
        <w:pStyle w:val="Body"/>
        <w:spacing w:line="240" w:lineRule="auto"/>
        <w:rPr>
          <w:rStyle w:val="None"/>
          <w:rFonts w:ascii="Roboto" w:eastAsia="Roboto" w:hAnsi="Roboto" w:cs="Roboto"/>
          <w:sz w:val="18"/>
          <w:szCs w:val="18"/>
        </w:rPr>
      </w:pPr>
    </w:p>
    <w:p w14:paraId="1F31753F" w14:textId="77777777" w:rsidR="00D55C8E" w:rsidRDefault="003B66A5">
      <w:pPr>
        <w:pStyle w:val="Body"/>
        <w:shd w:val="clear" w:color="auto" w:fill="FFFFFF"/>
        <w:spacing w:line="240" w:lineRule="auto"/>
        <w:jc w:val="both"/>
        <w:rPr>
          <w:rStyle w:val="None"/>
          <w:rFonts w:ascii="Roboto" w:eastAsia="Roboto" w:hAnsi="Roboto" w:cs="Roboto"/>
          <w:color w:val="474747"/>
          <w:sz w:val="24"/>
          <w:szCs w:val="24"/>
          <w:u w:color="474747"/>
        </w:rPr>
      </w:pPr>
      <w:r>
        <w:rPr>
          <w:rStyle w:val="None"/>
          <w:rFonts w:ascii="Roboto" w:eastAsia="Roboto" w:hAnsi="Roboto" w:cs="Roboto"/>
          <w:b/>
          <w:bCs/>
          <w:color w:val="474747"/>
          <w:sz w:val="18"/>
          <w:szCs w:val="18"/>
          <w:u w:color="474747"/>
          <w:lang w:val="en-US"/>
        </w:rPr>
        <w:t>Forward-Looking Information</w:t>
      </w:r>
    </w:p>
    <w:p w14:paraId="476BBC4A" w14:textId="7EC1F835" w:rsidR="00D55C8E" w:rsidRDefault="003B66A5">
      <w:pPr>
        <w:pStyle w:val="Body"/>
        <w:shd w:val="clear" w:color="auto" w:fill="FFFFFF"/>
        <w:spacing w:line="240" w:lineRule="auto"/>
        <w:jc w:val="both"/>
        <w:rPr>
          <w:rStyle w:val="None"/>
          <w:rFonts w:ascii="Roboto" w:eastAsia="Roboto" w:hAnsi="Roboto" w:cs="Roboto"/>
          <w:i/>
          <w:iCs/>
          <w:color w:val="474747"/>
          <w:sz w:val="16"/>
          <w:szCs w:val="16"/>
          <w:u w:color="474747"/>
          <w:lang w:val="en-US"/>
        </w:rPr>
      </w:pPr>
      <w:r w:rsidRPr="00445475">
        <w:rPr>
          <w:rStyle w:val="None"/>
          <w:rFonts w:ascii="Roboto" w:eastAsia="Roboto" w:hAnsi="Roboto" w:cs="Roboto"/>
          <w:i/>
          <w:iCs/>
          <w:color w:val="474747"/>
          <w:sz w:val="16"/>
          <w:szCs w:val="16"/>
          <w:u w:color="474747"/>
          <w:lang w:val="en-US"/>
        </w:rPr>
        <w:t>This news release contains "forward-looking information" and "forward-looking statements" (collectively, "</w:t>
      </w:r>
      <w:r w:rsidRPr="00445475">
        <w:rPr>
          <w:rStyle w:val="None"/>
          <w:rFonts w:ascii="Roboto" w:eastAsia="Roboto" w:hAnsi="Roboto" w:cs="Roboto"/>
          <w:b/>
          <w:bCs/>
          <w:i/>
          <w:iCs/>
          <w:color w:val="474747"/>
          <w:sz w:val="16"/>
          <w:szCs w:val="16"/>
          <w:u w:color="474747"/>
          <w:lang w:val="en-US"/>
        </w:rPr>
        <w:t>forward-looking statements</w:t>
      </w:r>
      <w:r w:rsidRPr="00445475">
        <w:rPr>
          <w:rStyle w:val="None"/>
          <w:rFonts w:ascii="Roboto" w:eastAsia="Roboto" w:hAnsi="Roboto" w:cs="Roboto"/>
          <w:i/>
          <w:iCs/>
          <w:color w:val="474747"/>
          <w:sz w:val="16"/>
          <w:szCs w:val="16"/>
          <w:u w:color="474747"/>
          <w:lang w:val="en-US"/>
        </w:rPr>
        <w:t>") within the meaning of the applicable Canadian securities legislation.</w:t>
      </w:r>
      <w:r w:rsidR="00A651B9" w:rsidRPr="00445475">
        <w:rPr>
          <w:rStyle w:val="None"/>
          <w:rFonts w:ascii="Roboto" w:eastAsia="Roboto" w:hAnsi="Roboto" w:cs="Roboto"/>
          <w:i/>
          <w:iCs/>
          <w:color w:val="474747"/>
          <w:sz w:val="16"/>
          <w:szCs w:val="16"/>
          <w:u w:color="474747"/>
          <w:lang w:val="en-US"/>
        </w:rPr>
        <w:t xml:space="preserve"> </w:t>
      </w:r>
      <w:r w:rsidRPr="00445475">
        <w:rPr>
          <w:rStyle w:val="None"/>
          <w:rFonts w:ascii="Roboto" w:eastAsia="Roboto" w:hAnsi="Roboto" w:cs="Roboto"/>
          <w:i/>
          <w:iCs/>
          <w:color w:val="474747"/>
          <w:sz w:val="16"/>
          <w:szCs w:val="16"/>
          <w:u w:color="474747"/>
          <w:lang w:val="en-US"/>
        </w:rPr>
        <w:t xml:space="preserve">All statements, other than statements of historical fact, are forward-looking statements and are based on expectations, estimates and projections as at the date of this news release. Any statement that involves discussions with respect to predictions, expectations, beliefs, plans, projections, objectives, assumptions, future events or performance (often but not always using phrases such as "expects", or "does not expect", "is expected", "anticipates" or "does not anticipate", "plans", "budget", "scheduled", "forecasts", "estimates", "believes" or "intends" or variations of such words and phrases or stating that certain actions, events or results "may" or "could", "would", "might" or "will" be taken to occur or be achieved) are not statements of historical fact and may be forward-looking statements. In this news release, forward-looking statements relate, among other things, to: the Company’s ability to integrate and monetize its core asset portfolio; the business and operations of the Company and its subsidiaries; and the Company’s ability to execute its business plan. These forward-looking statements are provided only to provide information currently available to us and are not intended to serve as and must not be relied on by any investor as, a guarantee, assurance or definitive statement of fact or probability. Forward-looking statements are necessarily based upon a number of estimates and assumptions which include, but are not limited to: the Company being able to grow its business and being able to execute on its business plan, the Company being able to complete and successfully integrate acquisitions, the Company being able to recognize and capitalize on opportunities and the Company continuing to attract qualified personnel to supports its development requirements. These assumptions, while considered reasonable, are subject to known and unknown risks, uncertainties, and other factors which may cause the actual results and future events to differ materially from those expressed or implied by such forward-looking statements. Such factors include, but are not limited to: the Company’s ability to achieve its objectives, the Company successfully executing its growth strategy, the ability of the Company to obtain future financings or complete offerings on acceptable terms, failure to leverage the </w:t>
      </w:r>
      <w:r w:rsidRPr="00445475">
        <w:rPr>
          <w:rStyle w:val="None"/>
          <w:rFonts w:ascii="Roboto" w:eastAsia="Roboto" w:hAnsi="Roboto" w:cs="Roboto"/>
          <w:i/>
          <w:iCs/>
          <w:color w:val="474747"/>
          <w:sz w:val="16"/>
          <w:szCs w:val="16"/>
          <w:u w:color="474747"/>
          <w:lang w:val="en-US"/>
        </w:rPr>
        <w:lastRenderedPageBreak/>
        <w:t>Company’s portfolio across entertainment and media platforms, dependence on the Company’s key personnel and general business, economic, competitive, political and social uncertainties including impact of the COVID-19 pandemic and any variants. These risk factors are not intended to represent a complete list of the factors that could affect the Company which are discussed in the Company’s most recent MD&amp;A. There can be no assurance that forward-looking statements will prove to be accurate, as actual results and future events could differ materially from those anticipated in such statements. Accordingly, readers should not place undue reliance on the forward-looking statements and information contained in this news release. GameSquare assumes no obligation to update the forward-looking statements of beliefs, opinions, projections, or other factors, should they change, except as required by law.</w:t>
      </w:r>
    </w:p>
    <w:p w14:paraId="725BF958" w14:textId="77777777" w:rsidR="00A6510C" w:rsidRPr="00A6510C" w:rsidRDefault="00A6510C">
      <w:pPr>
        <w:pStyle w:val="Body"/>
        <w:shd w:val="clear" w:color="auto" w:fill="FFFFFF"/>
        <w:spacing w:line="240" w:lineRule="auto"/>
        <w:jc w:val="both"/>
        <w:rPr>
          <w:rStyle w:val="None"/>
          <w:rFonts w:ascii="Roboto" w:eastAsia="Roboto" w:hAnsi="Roboto" w:cs="Roboto"/>
          <w:i/>
          <w:iCs/>
          <w:color w:val="474747"/>
          <w:sz w:val="16"/>
          <w:szCs w:val="16"/>
          <w:u w:color="474747"/>
          <w:lang w:val="en-US"/>
        </w:rPr>
      </w:pPr>
    </w:p>
    <w:p w14:paraId="0B234AE3" w14:textId="4BA9AF21" w:rsidR="00D55C8E" w:rsidRDefault="003B66A5">
      <w:pPr>
        <w:pStyle w:val="Body"/>
        <w:spacing w:after="160" w:line="259" w:lineRule="auto"/>
      </w:pPr>
      <w:r w:rsidRPr="00445475">
        <w:rPr>
          <w:rStyle w:val="None"/>
          <w:rFonts w:ascii="Roboto" w:eastAsia="Roboto" w:hAnsi="Roboto" w:cs="Roboto"/>
          <w:i/>
          <w:iCs/>
          <w:color w:val="474747"/>
          <w:sz w:val="16"/>
          <w:szCs w:val="16"/>
          <w:u w:color="474747"/>
          <w:lang w:val="en-US"/>
        </w:rPr>
        <w:t>Neither the Canadian Securities Exchange (“</w:t>
      </w:r>
      <w:r w:rsidRPr="00445475">
        <w:rPr>
          <w:rStyle w:val="None"/>
          <w:rFonts w:ascii="Roboto" w:eastAsia="Roboto" w:hAnsi="Roboto" w:cs="Roboto"/>
          <w:b/>
          <w:bCs/>
          <w:i/>
          <w:iCs/>
          <w:color w:val="474747"/>
          <w:sz w:val="16"/>
          <w:szCs w:val="16"/>
          <w:u w:color="474747"/>
        </w:rPr>
        <w:t>CSE</w:t>
      </w:r>
      <w:r w:rsidRPr="00445475">
        <w:rPr>
          <w:rStyle w:val="None"/>
          <w:rFonts w:ascii="Roboto" w:eastAsia="Roboto" w:hAnsi="Roboto" w:cs="Roboto"/>
          <w:i/>
          <w:iCs/>
          <w:color w:val="474747"/>
          <w:sz w:val="16"/>
          <w:szCs w:val="16"/>
          <w:u w:color="474747"/>
          <w:lang w:val="en-US"/>
        </w:rPr>
        <w:t>”) nor its Market Regulator (as that term is defined in the policies of the CSE) accepts responsibility for the adequacy or accuracy of this release.</w:t>
      </w:r>
      <w:r w:rsidR="00A651B9" w:rsidRPr="00445475">
        <w:rPr>
          <w:rStyle w:val="None"/>
          <w:rFonts w:ascii="Roboto" w:eastAsia="Roboto" w:hAnsi="Roboto" w:cs="Roboto"/>
          <w:i/>
          <w:iCs/>
          <w:color w:val="474747"/>
          <w:sz w:val="16"/>
          <w:szCs w:val="16"/>
          <w:u w:color="474747"/>
          <w:lang w:val="en-US"/>
        </w:rPr>
        <w:t xml:space="preserve"> </w:t>
      </w:r>
      <w:r w:rsidR="00A651B9" w:rsidRPr="00445475">
        <w:rPr>
          <w:rFonts w:ascii="Roboto" w:hAnsi="Roboto" w:cs="Arial"/>
          <w:i/>
          <w:iCs/>
          <w:color w:val="222222"/>
          <w:sz w:val="16"/>
          <w:szCs w:val="16"/>
          <w:shd w:val="clear" w:color="auto" w:fill="FFFFFF"/>
        </w:rPr>
        <w:t>No U.S. Federal Endorsement Implied.</w:t>
      </w:r>
    </w:p>
    <w:sectPr w:rsidR="00D55C8E">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75EB8" w14:textId="77777777" w:rsidR="007D6808" w:rsidRDefault="007D6808">
      <w:r>
        <w:separator/>
      </w:r>
    </w:p>
  </w:endnote>
  <w:endnote w:type="continuationSeparator" w:id="0">
    <w:p w14:paraId="0FBC28CB" w14:textId="77777777" w:rsidR="007D6808" w:rsidRDefault="007D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0C42" w14:textId="77777777" w:rsidR="00D55C8E" w:rsidRDefault="00D55C8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60E6E" w14:textId="77777777" w:rsidR="007D6808" w:rsidRDefault="007D6808">
      <w:r>
        <w:separator/>
      </w:r>
    </w:p>
  </w:footnote>
  <w:footnote w:type="continuationSeparator" w:id="0">
    <w:p w14:paraId="4F67FD52" w14:textId="77777777" w:rsidR="007D6808" w:rsidRDefault="007D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BAFA" w14:textId="77777777" w:rsidR="00D55C8E" w:rsidRDefault="00D55C8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55C8E"/>
    <w:rsid w:val="000306E3"/>
    <w:rsid w:val="000349FD"/>
    <w:rsid w:val="00053B2E"/>
    <w:rsid w:val="000B2364"/>
    <w:rsid w:val="000D13F5"/>
    <w:rsid w:val="0015716A"/>
    <w:rsid w:val="00185DCB"/>
    <w:rsid w:val="00202595"/>
    <w:rsid w:val="00206BE8"/>
    <w:rsid w:val="00207079"/>
    <w:rsid w:val="00244059"/>
    <w:rsid w:val="00246AE0"/>
    <w:rsid w:val="0027108F"/>
    <w:rsid w:val="002734CB"/>
    <w:rsid w:val="002825D6"/>
    <w:rsid w:val="00292166"/>
    <w:rsid w:val="00292894"/>
    <w:rsid w:val="002A1796"/>
    <w:rsid w:val="00342BC7"/>
    <w:rsid w:val="00377CF7"/>
    <w:rsid w:val="003B66A5"/>
    <w:rsid w:val="003C361F"/>
    <w:rsid w:val="003F39A1"/>
    <w:rsid w:val="004214B7"/>
    <w:rsid w:val="00445475"/>
    <w:rsid w:val="00453C9A"/>
    <w:rsid w:val="004B76BB"/>
    <w:rsid w:val="004F4521"/>
    <w:rsid w:val="00502866"/>
    <w:rsid w:val="00515920"/>
    <w:rsid w:val="00531AA2"/>
    <w:rsid w:val="005A1B3B"/>
    <w:rsid w:val="005A2086"/>
    <w:rsid w:val="00617F6A"/>
    <w:rsid w:val="006211E7"/>
    <w:rsid w:val="006222E5"/>
    <w:rsid w:val="00682DD1"/>
    <w:rsid w:val="006F27C4"/>
    <w:rsid w:val="00702195"/>
    <w:rsid w:val="007068B2"/>
    <w:rsid w:val="0071618C"/>
    <w:rsid w:val="007175FD"/>
    <w:rsid w:val="007D6808"/>
    <w:rsid w:val="007E423D"/>
    <w:rsid w:val="008B034B"/>
    <w:rsid w:val="008B5F80"/>
    <w:rsid w:val="008D75A8"/>
    <w:rsid w:val="00951FF2"/>
    <w:rsid w:val="00967931"/>
    <w:rsid w:val="00990155"/>
    <w:rsid w:val="009A57FB"/>
    <w:rsid w:val="009C0A78"/>
    <w:rsid w:val="009F7467"/>
    <w:rsid w:val="00A062B1"/>
    <w:rsid w:val="00A10D63"/>
    <w:rsid w:val="00A40A0F"/>
    <w:rsid w:val="00A43BE8"/>
    <w:rsid w:val="00A6510C"/>
    <w:rsid w:val="00A651B9"/>
    <w:rsid w:val="00A94E23"/>
    <w:rsid w:val="00AA7386"/>
    <w:rsid w:val="00AC731C"/>
    <w:rsid w:val="00AD6B12"/>
    <w:rsid w:val="00AF4412"/>
    <w:rsid w:val="00B0238E"/>
    <w:rsid w:val="00B16666"/>
    <w:rsid w:val="00B228D2"/>
    <w:rsid w:val="00B56A63"/>
    <w:rsid w:val="00B66499"/>
    <w:rsid w:val="00B92FC5"/>
    <w:rsid w:val="00BF5295"/>
    <w:rsid w:val="00C247E0"/>
    <w:rsid w:val="00C25A22"/>
    <w:rsid w:val="00C3493E"/>
    <w:rsid w:val="00C36818"/>
    <w:rsid w:val="00C40033"/>
    <w:rsid w:val="00C553E6"/>
    <w:rsid w:val="00C827C7"/>
    <w:rsid w:val="00C9577E"/>
    <w:rsid w:val="00CB7738"/>
    <w:rsid w:val="00CF4F85"/>
    <w:rsid w:val="00D04974"/>
    <w:rsid w:val="00D47938"/>
    <w:rsid w:val="00D47B38"/>
    <w:rsid w:val="00D55C8E"/>
    <w:rsid w:val="00D606E2"/>
    <w:rsid w:val="00D9609A"/>
    <w:rsid w:val="00DE365E"/>
    <w:rsid w:val="00DF75B8"/>
    <w:rsid w:val="00E75ED0"/>
    <w:rsid w:val="00E77DBE"/>
    <w:rsid w:val="00EA7C9B"/>
    <w:rsid w:val="00F65622"/>
    <w:rsid w:val="00F85116"/>
    <w:rsid w:val="00F95A86"/>
    <w:rsid w:val="00FC011C"/>
    <w:rsid w:val="00FE730B"/>
    <w:rsid w:val="00FF1D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3F02"/>
  <w15:docId w15:val="{4AEB4B76-7DB9-46BB-8C2F-505A8917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line="276" w:lineRule="auto"/>
    </w:pPr>
    <w:rPr>
      <w:rFonts w:ascii="Arial" w:hAnsi="Arial" w:cs="Arial Unicode MS"/>
      <w:color w:val="000000"/>
      <w:sz w:val="22"/>
      <w:szCs w:val="22"/>
      <w:u w:color="000000"/>
    </w:rPr>
  </w:style>
  <w:style w:type="character" w:customStyle="1" w:styleId="None">
    <w:name w:val="None"/>
  </w:style>
  <w:style w:type="character" w:customStyle="1" w:styleId="Hyperlink0">
    <w:name w:val="Hyperlink.0"/>
    <w:basedOn w:val="None"/>
    <w:rPr>
      <w:rFonts w:ascii="Roboto" w:eastAsia="Roboto" w:hAnsi="Roboto" w:cs="Roboto"/>
      <w:i/>
      <w:iCs/>
      <w:outline w:val="0"/>
      <w:color w:val="0563C1"/>
      <w:sz w:val="18"/>
      <w:szCs w:val="18"/>
      <w:u w:val="single" w:color="0563C1"/>
    </w:rPr>
  </w:style>
  <w:style w:type="character" w:customStyle="1" w:styleId="Hyperlink1">
    <w:name w:val="Hyperlink.1"/>
    <w:basedOn w:val="None"/>
    <w:rPr>
      <w:rFonts w:ascii="Roboto" w:eastAsia="Roboto" w:hAnsi="Roboto" w:cs="Roboto"/>
      <w:outline w:val="0"/>
      <w:color w:val="0563C1"/>
      <w:sz w:val="18"/>
      <w:szCs w:val="18"/>
      <w:u w:val="single" w:color="0563C1"/>
    </w:rPr>
  </w:style>
  <w:style w:type="character" w:styleId="UnresolvedMention">
    <w:name w:val="Unresolved Mention"/>
    <w:basedOn w:val="DefaultParagraphFont"/>
    <w:uiPriority w:val="99"/>
    <w:semiHidden/>
    <w:unhideWhenUsed/>
    <w:rsid w:val="003C3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R@gamesquare.com" TargetMode="External"/><Relationship Id="rId3" Type="http://schemas.openxmlformats.org/officeDocument/2006/relationships/webSettings" Target="webSettings.xml"/><Relationship Id="rId7" Type="http://schemas.openxmlformats.org/officeDocument/2006/relationships/hyperlink" Target="https://s28.q4cdn.com/842060271/files/doc_downloads/2022/Gamesquare-Shareholder-Letter-(FINAL).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Wright</dc:creator>
  <cp:keywords/>
  <dc:description/>
  <cp:lastModifiedBy>Kevin Wright</cp:lastModifiedBy>
  <cp:revision>5</cp:revision>
  <dcterms:created xsi:type="dcterms:W3CDTF">2022-05-02T20:48:00Z</dcterms:created>
  <dcterms:modified xsi:type="dcterms:W3CDTF">2022-05-02T21:38:00Z</dcterms:modified>
</cp:coreProperties>
</file>