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7D80B" w14:textId="795AE50D" w:rsidR="004E1FAF" w:rsidRDefault="00D2209C" w:rsidP="00370BEE">
      <w:pPr>
        <w:widowControl w:val="0"/>
        <w:spacing w:after="0" w:line="240" w:lineRule="auto"/>
        <w:ind w:left="-90" w:right="-90"/>
        <w:jc w:val="center"/>
        <w:rPr>
          <w:rFonts w:ascii="Arial" w:hAnsi="Arial" w:cs="Arial"/>
          <w:b/>
          <w:sz w:val="20"/>
          <w:szCs w:val="20"/>
        </w:rPr>
      </w:pPr>
      <w:r w:rsidRPr="00F9174B">
        <w:rPr>
          <w:rFonts w:ascii="Arial" w:hAnsi="Arial" w:cs="Arial"/>
          <w:b/>
          <w:sz w:val="20"/>
          <w:szCs w:val="20"/>
        </w:rPr>
        <w:t>TOUCHSTONE ANNOUNCES FIRST</w:t>
      </w:r>
      <w:r>
        <w:rPr>
          <w:rFonts w:ascii="Arial" w:hAnsi="Arial" w:cs="Arial"/>
          <w:b/>
          <w:sz w:val="20"/>
          <w:szCs w:val="20"/>
        </w:rPr>
        <w:t xml:space="preserve"> QUARTER</w:t>
      </w:r>
      <w:r w:rsidR="00FB7F7E">
        <w:rPr>
          <w:rFonts w:ascii="Arial" w:hAnsi="Arial" w:cs="Arial"/>
          <w:b/>
          <w:sz w:val="20"/>
          <w:szCs w:val="20"/>
        </w:rPr>
        <w:t xml:space="preserve"> 2022 FINANCIAL AND OPERATI</w:t>
      </w:r>
      <w:r w:rsidR="00DE1541">
        <w:rPr>
          <w:rFonts w:ascii="Arial" w:hAnsi="Arial" w:cs="Arial"/>
          <w:b/>
          <w:sz w:val="20"/>
          <w:szCs w:val="20"/>
        </w:rPr>
        <w:t>NG</w:t>
      </w:r>
      <w:r w:rsidR="001768C7">
        <w:rPr>
          <w:rFonts w:ascii="Arial" w:hAnsi="Arial" w:cs="Arial"/>
          <w:b/>
          <w:sz w:val="20"/>
          <w:szCs w:val="20"/>
        </w:rPr>
        <w:t xml:space="preserve"> </w:t>
      </w:r>
      <w:r w:rsidR="00E50B3E" w:rsidRPr="00880FB1">
        <w:rPr>
          <w:rFonts w:ascii="Arial" w:hAnsi="Arial" w:cs="Arial"/>
          <w:b/>
          <w:sz w:val="20"/>
          <w:szCs w:val="20"/>
        </w:rPr>
        <w:t>RESULTS</w:t>
      </w:r>
    </w:p>
    <w:p w14:paraId="0267E7A8" w14:textId="77777777" w:rsidR="004E1FAF" w:rsidRPr="009978B3" w:rsidRDefault="004E1FAF" w:rsidP="00370BEE">
      <w:pPr>
        <w:widowControl w:val="0"/>
        <w:spacing w:after="0" w:line="240" w:lineRule="auto"/>
        <w:rPr>
          <w:rFonts w:ascii="Arial" w:hAnsi="Arial" w:cs="Arial"/>
          <w:b/>
          <w:sz w:val="20"/>
          <w:szCs w:val="20"/>
        </w:rPr>
      </w:pPr>
    </w:p>
    <w:p w14:paraId="331BD4BC" w14:textId="6122E921" w:rsidR="0034314F" w:rsidRDefault="00015125" w:rsidP="00370BEE">
      <w:pPr>
        <w:pStyle w:val="Default"/>
        <w:widowControl w:val="0"/>
        <w:jc w:val="both"/>
        <w:rPr>
          <w:rFonts w:ascii="Arial" w:eastAsia="Calibri" w:hAnsi="Arial" w:cs="Arial"/>
          <w:sz w:val="20"/>
          <w:szCs w:val="20"/>
          <w:lang w:val="en-CA"/>
        </w:rPr>
      </w:pPr>
      <w:r w:rsidRPr="00DE3935">
        <w:rPr>
          <w:rFonts w:ascii="Arial" w:eastAsia="Calibri" w:hAnsi="Arial" w:cs="Arial"/>
          <w:sz w:val="20"/>
          <w:szCs w:val="20"/>
          <w:lang w:val="en-CA"/>
        </w:rPr>
        <w:t>C</w:t>
      </w:r>
      <w:r w:rsidR="00367271">
        <w:rPr>
          <w:rFonts w:ascii="Arial" w:eastAsia="Calibri" w:hAnsi="Arial" w:cs="Arial"/>
          <w:sz w:val="20"/>
          <w:szCs w:val="20"/>
          <w:lang w:val="en-CA"/>
        </w:rPr>
        <w:t>ALGARY</w:t>
      </w:r>
      <w:r w:rsidRPr="00DE3935">
        <w:rPr>
          <w:rFonts w:ascii="Arial" w:eastAsia="Calibri" w:hAnsi="Arial" w:cs="Arial"/>
          <w:sz w:val="20"/>
          <w:szCs w:val="20"/>
          <w:lang w:val="en-CA"/>
        </w:rPr>
        <w:t>, A</w:t>
      </w:r>
      <w:r w:rsidR="00367271">
        <w:rPr>
          <w:rFonts w:ascii="Arial" w:eastAsia="Calibri" w:hAnsi="Arial" w:cs="Arial"/>
          <w:sz w:val="20"/>
          <w:szCs w:val="20"/>
          <w:lang w:val="en-CA"/>
        </w:rPr>
        <w:t xml:space="preserve">LBERTA </w:t>
      </w:r>
      <w:r w:rsidR="00FF0F50">
        <w:rPr>
          <w:rFonts w:ascii="Arial" w:eastAsia="Calibri" w:hAnsi="Arial" w:cs="Arial"/>
          <w:sz w:val="20"/>
          <w:szCs w:val="20"/>
          <w:lang w:val="en-CA"/>
        </w:rPr>
        <w:t>(</w:t>
      </w:r>
      <w:r w:rsidR="006B4C75">
        <w:rPr>
          <w:rFonts w:ascii="Arial" w:eastAsia="Calibri" w:hAnsi="Arial" w:cs="Arial"/>
          <w:sz w:val="20"/>
          <w:szCs w:val="20"/>
          <w:lang w:val="en-CA"/>
        </w:rPr>
        <w:t>Ma</w:t>
      </w:r>
      <w:r w:rsidR="00D2209C">
        <w:rPr>
          <w:rFonts w:ascii="Arial" w:eastAsia="Calibri" w:hAnsi="Arial" w:cs="Arial"/>
          <w:sz w:val="20"/>
          <w:szCs w:val="20"/>
          <w:lang w:val="en-CA"/>
        </w:rPr>
        <w:t>y</w:t>
      </w:r>
      <w:r w:rsidR="00047CD3">
        <w:rPr>
          <w:rFonts w:ascii="Arial" w:eastAsia="Calibri" w:hAnsi="Arial" w:cs="Arial"/>
          <w:sz w:val="20"/>
          <w:szCs w:val="20"/>
          <w:lang w:val="en-CA"/>
        </w:rPr>
        <w:t xml:space="preserve"> </w:t>
      </w:r>
      <w:r w:rsidR="00D2209C">
        <w:rPr>
          <w:rFonts w:ascii="Arial" w:eastAsia="Calibri" w:hAnsi="Arial" w:cs="Arial"/>
          <w:sz w:val="20"/>
          <w:szCs w:val="20"/>
          <w:lang w:val="en-CA"/>
        </w:rPr>
        <w:t>12</w:t>
      </w:r>
      <w:r w:rsidRPr="00786D2C">
        <w:rPr>
          <w:rFonts w:ascii="Arial" w:eastAsia="Calibri" w:hAnsi="Arial" w:cs="Arial"/>
          <w:sz w:val="20"/>
          <w:szCs w:val="20"/>
          <w:lang w:val="en-CA"/>
        </w:rPr>
        <w:t>, 20</w:t>
      </w:r>
      <w:r w:rsidR="004A1861">
        <w:rPr>
          <w:rFonts w:ascii="Arial" w:eastAsia="Calibri" w:hAnsi="Arial" w:cs="Arial"/>
          <w:sz w:val="20"/>
          <w:szCs w:val="20"/>
          <w:lang w:val="en-CA"/>
        </w:rPr>
        <w:t>2</w:t>
      </w:r>
      <w:r w:rsidR="006B4C75">
        <w:rPr>
          <w:rFonts w:ascii="Arial" w:eastAsia="Calibri" w:hAnsi="Arial" w:cs="Arial"/>
          <w:sz w:val="20"/>
          <w:szCs w:val="20"/>
          <w:lang w:val="en-CA"/>
        </w:rPr>
        <w:t>2</w:t>
      </w:r>
      <w:r w:rsidR="00367271">
        <w:rPr>
          <w:rFonts w:ascii="Arial" w:eastAsia="Calibri" w:hAnsi="Arial" w:cs="Arial"/>
          <w:sz w:val="20"/>
          <w:szCs w:val="20"/>
          <w:lang w:val="en-CA"/>
        </w:rPr>
        <w:t>)</w:t>
      </w:r>
      <w:r w:rsidRPr="00786D2C">
        <w:rPr>
          <w:rFonts w:ascii="Arial" w:eastAsia="Calibri" w:hAnsi="Arial" w:cs="Arial"/>
          <w:sz w:val="20"/>
          <w:szCs w:val="20"/>
          <w:lang w:val="en-CA"/>
        </w:rPr>
        <w:t xml:space="preserve"> </w:t>
      </w:r>
      <w:r w:rsidR="00367271">
        <w:rPr>
          <w:rFonts w:ascii="Arial" w:eastAsia="Calibri" w:hAnsi="Arial" w:cs="Arial"/>
          <w:sz w:val="20"/>
          <w:szCs w:val="20"/>
          <w:lang w:val="en-CA"/>
        </w:rPr>
        <w:t>-</w:t>
      </w:r>
      <w:r w:rsidRPr="00786D2C">
        <w:rPr>
          <w:rFonts w:ascii="Arial" w:eastAsia="Calibri" w:hAnsi="Arial" w:cs="Arial"/>
          <w:sz w:val="20"/>
          <w:szCs w:val="20"/>
          <w:lang w:val="en-CA"/>
        </w:rPr>
        <w:t xml:space="preserve"> Touchstone</w:t>
      </w:r>
      <w:r w:rsidRPr="002B2A56">
        <w:rPr>
          <w:rFonts w:ascii="Arial" w:eastAsia="Calibri" w:hAnsi="Arial" w:cs="Arial"/>
          <w:sz w:val="20"/>
          <w:szCs w:val="20"/>
          <w:lang w:val="en-CA"/>
        </w:rPr>
        <w:t xml:space="preserve"> Exploration Inc. (</w:t>
      </w:r>
      <w:r w:rsidR="00F242C1">
        <w:rPr>
          <w:rFonts w:ascii="Arial" w:hAnsi="Arial" w:cs="Arial"/>
          <w:bCs/>
          <w:iCs/>
          <w:sz w:val="20"/>
          <w:szCs w:val="20"/>
        </w:rPr>
        <w:t>"</w:t>
      </w:r>
      <w:r w:rsidRPr="002B2A56">
        <w:rPr>
          <w:rFonts w:ascii="Arial" w:eastAsia="Calibri" w:hAnsi="Arial" w:cs="Arial"/>
          <w:sz w:val="20"/>
          <w:szCs w:val="20"/>
          <w:lang w:val="en-CA"/>
        </w:rPr>
        <w:t>Touc</w:t>
      </w:r>
      <w:r w:rsidR="004C5DF7">
        <w:rPr>
          <w:rFonts w:ascii="Arial" w:eastAsia="Calibri" w:hAnsi="Arial" w:cs="Arial"/>
          <w:sz w:val="20"/>
          <w:szCs w:val="20"/>
          <w:lang w:val="en-CA"/>
        </w:rPr>
        <w:t>hstone</w:t>
      </w:r>
      <w:r w:rsidR="00F242C1">
        <w:rPr>
          <w:rFonts w:ascii="Arial" w:hAnsi="Arial" w:cs="Arial"/>
          <w:bCs/>
          <w:iCs/>
          <w:sz w:val="20"/>
          <w:szCs w:val="20"/>
        </w:rPr>
        <w:t>"</w:t>
      </w:r>
      <w:r w:rsidR="00AF09D9">
        <w:rPr>
          <w:rFonts w:ascii="Arial" w:hAnsi="Arial" w:cs="Arial"/>
          <w:bCs/>
          <w:iCs/>
          <w:sz w:val="20"/>
          <w:szCs w:val="20"/>
        </w:rPr>
        <w:t>, "we", "our", "us"</w:t>
      </w:r>
      <w:r w:rsidR="004C5DF7">
        <w:rPr>
          <w:rFonts w:ascii="Arial" w:eastAsia="Calibri" w:hAnsi="Arial" w:cs="Arial"/>
          <w:sz w:val="20"/>
          <w:szCs w:val="20"/>
          <w:lang w:val="en-CA"/>
        </w:rPr>
        <w:t xml:space="preserve"> or the </w:t>
      </w:r>
      <w:r w:rsidR="00F242C1">
        <w:rPr>
          <w:rFonts w:ascii="Arial" w:hAnsi="Arial" w:cs="Arial"/>
          <w:bCs/>
          <w:iCs/>
          <w:sz w:val="20"/>
          <w:szCs w:val="20"/>
        </w:rPr>
        <w:t>"</w:t>
      </w:r>
      <w:r w:rsidR="004C5DF7">
        <w:rPr>
          <w:rFonts w:ascii="Arial" w:eastAsia="Calibri" w:hAnsi="Arial" w:cs="Arial"/>
          <w:sz w:val="20"/>
          <w:szCs w:val="20"/>
          <w:lang w:val="en-CA"/>
        </w:rPr>
        <w:t>Company</w:t>
      </w:r>
      <w:r w:rsidR="00F242C1">
        <w:rPr>
          <w:rFonts w:ascii="Arial" w:hAnsi="Arial" w:cs="Arial"/>
          <w:bCs/>
          <w:iCs/>
          <w:sz w:val="20"/>
          <w:szCs w:val="20"/>
        </w:rPr>
        <w:t>"</w:t>
      </w:r>
      <w:r w:rsidR="004C5DF7">
        <w:rPr>
          <w:rFonts w:ascii="Arial" w:eastAsia="Calibri" w:hAnsi="Arial" w:cs="Arial"/>
          <w:sz w:val="20"/>
          <w:szCs w:val="20"/>
          <w:lang w:val="en-CA"/>
        </w:rPr>
        <w:t>) (TSX</w:t>
      </w:r>
      <w:r w:rsidR="00AF09D9">
        <w:rPr>
          <w:rFonts w:ascii="Arial" w:eastAsia="Calibri" w:hAnsi="Arial" w:cs="Arial"/>
          <w:sz w:val="20"/>
          <w:szCs w:val="20"/>
          <w:lang w:val="en-CA"/>
        </w:rPr>
        <w:t>,</w:t>
      </w:r>
      <w:r w:rsidR="004C5DF7">
        <w:rPr>
          <w:rFonts w:ascii="Arial" w:eastAsia="Calibri" w:hAnsi="Arial" w:cs="Arial"/>
          <w:sz w:val="20"/>
          <w:szCs w:val="20"/>
          <w:lang w:val="en-CA"/>
        </w:rPr>
        <w:t xml:space="preserve"> LSE:</w:t>
      </w:r>
      <w:r w:rsidR="00562D88">
        <w:rPr>
          <w:rFonts w:ascii="Arial" w:eastAsia="Calibri" w:hAnsi="Arial" w:cs="Arial"/>
          <w:sz w:val="20"/>
          <w:szCs w:val="20"/>
          <w:lang w:val="en-CA"/>
        </w:rPr>
        <w:t xml:space="preserve"> </w:t>
      </w:r>
      <w:r w:rsidRPr="002B2A56">
        <w:rPr>
          <w:rFonts w:ascii="Arial" w:eastAsia="Calibri" w:hAnsi="Arial" w:cs="Arial"/>
          <w:sz w:val="20"/>
          <w:szCs w:val="20"/>
          <w:lang w:val="en-CA"/>
        </w:rPr>
        <w:t>TXP)</w:t>
      </w:r>
      <w:r>
        <w:rPr>
          <w:rFonts w:ascii="Arial" w:eastAsia="Calibri" w:hAnsi="Arial" w:cs="Arial"/>
          <w:sz w:val="20"/>
          <w:szCs w:val="20"/>
          <w:lang w:val="en-CA"/>
        </w:rPr>
        <w:t xml:space="preserve"> </w:t>
      </w:r>
      <w:r w:rsidR="0034314F">
        <w:rPr>
          <w:rFonts w:ascii="Arial" w:hAnsi="Arial" w:cs="Arial"/>
          <w:sz w:val="20"/>
          <w:szCs w:val="20"/>
        </w:rPr>
        <w:t>reports its operating and financial results for the three months</w:t>
      </w:r>
      <w:r w:rsidR="008D1280">
        <w:rPr>
          <w:rFonts w:ascii="Arial" w:hAnsi="Arial" w:cs="Arial"/>
          <w:sz w:val="20"/>
          <w:szCs w:val="20"/>
        </w:rPr>
        <w:t xml:space="preserve"> </w:t>
      </w:r>
      <w:r w:rsidR="0034314F">
        <w:rPr>
          <w:rFonts w:ascii="Arial" w:hAnsi="Arial" w:cs="Arial"/>
          <w:sz w:val="20"/>
          <w:szCs w:val="20"/>
        </w:rPr>
        <w:t xml:space="preserve">ended </w:t>
      </w:r>
      <w:r w:rsidR="00D2209C">
        <w:rPr>
          <w:rFonts w:ascii="Arial" w:hAnsi="Arial" w:cs="Arial"/>
          <w:sz w:val="20"/>
          <w:szCs w:val="20"/>
        </w:rPr>
        <w:t>March</w:t>
      </w:r>
      <w:r w:rsidR="0034314F">
        <w:rPr>
          <w:rFonts w:ascii="Arial" w:hAnsi="Arial" w:cs="Arial"/>
          <w:sz w:val="20"/>
          <w:szCs w:val="20"/>
        </w:rPr>
        <w:t xml:space="preserve"> 3</w:t>
      </w:r>
      <w:r w:rsidR="008D1280">
        <w:rPr>
          <w:rFonts w:ascii="Arial" w:hAnsi="Arial" w:cs="Arial"/>
          <w:sz w:val="20"/>
          <w:szCs w:val="20"/>
        </w:rPr>
        <w:t>1</w:t>
      </w:r>
      <w:r w:rsidR="0034314F">
        <w:rPr>
          <w:rFonts w:ascii="Arial" w:hAnsi="Arial" w:cs="Arial"/>
          <w:sz w:val="20"/>
          <w:szCs w:val="20"/>
        </w:rPr>
        <w:t>, 202</w:t>
      </w:r>
      <w:r w:rsidR="00D2209C">
        <w:rPr>
          <w:rFonts w:ascii="Arial" w:hAnsi="Arial" w:cs="Arial"/>
          <w:sz w:val="20"/>
          <w:szCs w:val="20"/>
        </w:rPr>
        <w:t>2</w:t>
      </w:r>
      <w:r w:rsidR="0034314F">
        <w:rPr>
          <w:rFonts w:ascii="Arial" w:hAnsi="Arial" w:cs="Arial"/>
          <w:sz w:val="20"/>
          <w:szCs w:val="20"/>
        </w:rPr>
        <w:t xml:space="preserve">. Selected information is outlined below and should be read in conjunction with </w:t>
      </w:r>
      <w:r w:rsidR="008D1280">
        <w:rPr>
          <w:rFonts w:ascii="Arial" w:hAnsi="Arial" w:cs="Arial"/>
          <w:sz w:val="20"/>
          <w:szCs w:val="20"/>
        </w:rPr>
        <w:t>our</w:t>
      </w:r>
      <w:r w:rsidR="0034314F">
        <w:rPr>
          <w:rFonts w:ascii="Arial" w:hAnsi="Arial" w:cs="Arial"/>
          <w:sz w:val="20"/>
          <w:szCs w:val="20"/>
        </w:rPr>
        <w:t xml:space="preserve"> </w:t>
      </w:r>
      <w:r w:rsidR="00D2209C">
        <w:rPr>
          <w:rFonts w:ascii="Arial" w:hAnsi="Arial" w:cs="Arial"/>
          <w:sz w:val="20"/>
          <w:szCs w:val="20"/>
        </w:rPr>
        <w:t xml:space="preserve">March </w:t>
      </w:r>
      <w:r w:rsidR="0034314F">
        <w:rPr>
          <w:rFonts w:ascii="Arial" w:hAnsi="Arial" w:cs="Arial"/>
          <w:sz w:val="20"/>
          <w:szCs w:val="20"/>
        </w:rPr>
        <w:t>3</w:t>
      </w:r>
      <w:r w:rsidR="008D1280">
        <w:rPr>
          <w:rFonts w:ascii="Arial" w:hAnsi="Arial" w:cs="Arial"/>
          <w:sz w:val="20"/>
          <w:szCs w:val="20"/>
        </w:rPr>
        <w:t>1</w:t>
      </w:r>
      <w:r w:rsidR="0034314F">
        <w:rPr>
          <w:rFonts w:ascii="Arial" w:hAnsi="Arial" w:cs="Arial"/>
          <w:sz w:val="20"/>
          <w:szCs w:val="20"/>
        </w:rPr>
        <w:t>, 202</w:t>
      </w:r>
      <w:r w:rsidR="00D2209C">
        <w:rPr>
          <w:rFonts w:ascii="Arial" w:hAnsi="Arial" w:cs="Arial"/>
          <w:sz w:val="20"/>
          <w:szCs w:val="20"/>
        </w:rPr>
        <w:t>2</w:t>
      </w:r>
      <w:r w:rsidR="0034314F">
        <w:rPr>
          <w:rFonts w:ascii="Arial" w:hAnsi="Arial" w:cs="Arial"/>
          <w:sz w:val="20"/>
          <w:szCs w:val="20"/>
        </w:rPr>
        <w:t xml:space="preserve"> </w:t>
      </w:r>
      <w:r w:rsidR="00D2209C">
        <w:rPr>
          <w:rFonts w:ascii="Arial" w:hAnsi="Arial" w:cs="Arial"/>
          <w:sz w:val="20"/>
          <w:szCs w:val="20"/>
        </w:rPr>
        <w:t xml:space="preserve">unaudited interim condensed </w:t>
      </w:r>
      <w:r w:rsidR="0034314F">
        <w:rPr>
          <w:rFonts w:ascii="Arial" w:hAnsi="Arial" w:cs="Arial"/>
          <w:sz w:val="20"/>
          <w:szCs w:val="20"/>
        </w:rPr>
        <w:t>consolidated financial statements</w:t>
      </w:r>
      <w:r w:rsidR="00D2209C">
        <w:rPr>
          <w:rFonts w:ascii="Arial" w:hAnsi="Arial" w:cs="Arial"/>
          <w:sz w:val="20"/>
          <w:szCs w:val="20"/>
        </w:rPr>
        <w:t xml:space="preserve"> and</w:t>
      </w:r>
      <w:r w:rsidR="0034314F">
        <w:rPr>
          <w:rFonts w:ascii="Arial" w:hAnsi="Arial" w:cs="Arial"/>
          <w:sz w:val="20"/>
          <w:szCs w:val="20"/>
        </w:rPr>
        <w:t xml:space="preserve"> related Management's discussion and analysis, </w:t>
      </w:r>
      <w:r w:rsidR="00D2209C">
        <w:rPr>
          <w:rFonts w:ascii="Arial" w:hAnsi="Arial" w:cs="Arial"/>
          <w:sz w:val="20"/>
          <w:szCs w:val="20"/>
        </w:rPr>
        <w:t>both</w:t>
      </w:r>
      <w:r w:rsidR="008D1280">
        <w:rPr>
          <w:rFonts w:ascii="Arial" w:hAnsi="Arial" w:cs="Arial"/>
          <w:sz w:val="20"/>
          <w:szCs w:val="20"/>
        </w:rPr>
        <w:t xml:space="preserve"> of which</w:t>
      </w:r>
      <w:r w:rsidR="0034314F">
        <w:rPr>
          <w:rFonts w:ascii="Arial" w:hAnsi="Arial" w:cs="Arial"/>
          <w:sz w:val="20"/>
          <w:szCs w:val="20"/>
        </w:rPr>
        <w:t xml:space="preserve"> will be available under </w:t>
      </w:r>
      <w:r w:rsidR="008D1280">
        <w:rPr>
          <w:rFonts w:ascii="Arial" w:hAnsi="Arial" w:cs="Arial"/>
          <w:sz w:val="20"/>
          <w:szCs w:val="20"/>
        </w:rPr>
        <w:t>our</w:t>
      </w:r>
      <w:r w:rsidR="0034314F" w:rsidRPr="00B216CB">
        <w:rPr>
          <w:rFonts w:ascii="Arial" w:hAnsi="Arial" w:cs="Arial"/>
          <w:sz w:val="20"/>
          <w:szCs w:val="20"/>
        </w:rPr>
        <w:t xml:space="preserve"> profile on SEDAR (</w:t>
      </w:r>
      <w:hyperlink r:id="rId8" w:history="1">
        <w:r w:rsidR="00F40F3D" w:rsidRPr="00F40F3D">
          <w:rPr>
            <w:rStyle w:val="Hyperlink"/>
            <w:rFonts w:ascii="Arial" w:hAnsi="Arial" w:cs="Arial"/>
            <w:color w:val="auto"/>
            <w:sz w:val="20"/>
            <w:szCs w:val="20"/>
          </w:rPr>
          <w:t>www.sedar.com</w:t>
        </w:r>
      </w:hyperlink>
      <w:r w:rsidR="0034314F" w:rsidRPr="00B216CB">
        <w:rPr>
          <w:rFonts w:ascii="Arial" w:hAnsi="Arial" w:cs="Arial"/>
          <w:sz w:val="20"/>
          <w:szCs w:val="20"/>
        </w:rPr>
        <w:t xml:space="preserve">) and </w:t>
      </w:r>
      <w:r w:rsidR="008D1280">
        <w:rPr>
          <w:rFonts w:ascii="Arial" w:hAnsi="Arial" w:cs="Arial"/>
          <w:sz w:val="20"/>
          <w:szCs w:val="20"/>
        </w:rPr>
        <w:t>on our</w:t>
      </w:r>
      <w:r w:rsidR="0034314F" w:rsidRPr="00B216CB">
        <w:rPr>
          <w:rFonts w:ascii="Arial" w:hAnsi="Arial" w:cs="Arial"/>
          <w:sz w:val="20"/>
          <w:szCs w:val="20"/>
        </w:rPr>
        <w:t xml:space="preserve"> website (</w:t>
      </w:r>
      <w:hyperlink r:id="rId9" w:history="1">
        <w:r w:rsidR="00F40F3D" w:rsidRPr="00F40F3D">
          <w:rPr>
            <w:rStyle w:val="Hyperlink"/>
            <w:rFonts w:ascii="Arial" w:hAnsi="Arial" w:cs="Arial"/>
            <w:color w:val="auto"/>
            <w:sz w:val="20"/>
            <w:szCs w:val="20"/>
          </w:rPr>
          <w:t>www.touchstoneexploration.com</w:t>
        </w:r>
      </w:hyperlink>
      <w:r w:rsidR="0034314F" w:rsidRPr="00B216CB">
        <w:rPr>
          <w:rFonts w:ascii="Arial" w:hAnsi="Arial" w:cs="Arial"/>
          <w:sz w:val="20"/>
          <w:szCs w:val="20"/>
        </w:rPr>
        <w:t xml:space="preserve">). Unless </w:t>
      </w:r>
      <w:r w:rsidR="0034314F" w:rsidRPr="00196EE6">
        <w:rPr>
          <w:rFonts w:ascii="Arial" w:hAnsi="Arial" w:cs="Arial"/>
          <w:sz w:val="20"/>
          <w:szCs w:val="20"/>
        </w:rPr>
        <w:t xml:space="preserve">otherwise stated, all financial amounts </w:t>
      </w:r>
      <w:r w:rsidR="0034314F" w:rsidRPr="00196EE6">
        <w:rPr>
          <w:rFonts w:ascii="Arial" w:eastAsia="Calibri" w:hAnsi="Arial" w:cs="Arial"/>
          <w:sz w:val="20"/>
          <w:szCs w:val="20"/>
          <w:lang w:val="en-CA"/>
        </w:rPr>
        <w:t xml:space="preserve">herein are </w:t>
      </w:r>
      <w:r w:rsidR="008D1280">
        <w:rPr>
          <w:rFonts w:ascii="Arial" w:eastAsia="Calibri" w:hAnsi="Arial" w:cs="Arial"/>
          <w:sz w:val="20"/>
          <w:szCs w:val="20"/>
          <w:lang w:val="en-CA"/>
        </w:rPr>
        <w:t>rounded to thousands of</w:t>
      </w:r>
      <w:r w:rsidR="0034314F" w:rsidRPr="00196EE6">
        <w:rPr>
          <w:rFonts w:ascii="Arial" w:eastAsia="Calibri" w:hAnsi="Arial" w:cs="Arial"/>
          <w:sz w:val="20"/>
          <w:szCs w:val="20"/>
          <w:lang w:val="en-CA"/>
        </w:rPr>
        <w:t xml:space="preserve"> </w:t>
      </w:r>
      <w:r w:rsidR="0034314F" w:rsidRPr="00196EE6">
        <w:rPr>
          <w:rFonts w:ascii="Arial" w:hAnsi="Arial" w:cs="Arial"/>
          <w:bCs/>
          <w:iCs/>
          <w:sz w:val="20"/>
          <w:szCs w:val="20"/>
        </w:rPr>
        <w:t>United States dollars</w:t>
      </w:r>
      <w:r w:rsidR="0034314F" w:rsidRPr="00196EE6">
        <w:rPr>
          <w:rFonts w:ascii="Arial" w:eastAsia="Calibri" w:hAnsi="Arial" w:cs="Arial"/>
          <w:sz w:val="20"/>
          <w:szCs w:val="20"/>
          <w:lang w:val="en-CA"/>
        </w:rPr>
        <w:t>.</w:t>
      </w:r>
    </w:p>
    <w:p w14:paraId="03F3AE46" w14:textId="2B7C2BD3" w:rsidR="0087785F" w:rsidRPr="008D1280" w:rsidRDefault="0087785F" w:rsidP="00370BEE">
      <w:pPr>
        <w:pStyle w:val="Default"/>
        <w:widowControl w:val="0"/>
        <w:jc w:val="both"/>
        <w:rPr>
          <w:rFonts w:ascii="Arial" w:eastAsia="Calibri" w:hAnsi="Arial" w:cs="Arial"/>
          <w:iCs/>
          <w:sz w:val="20"/>
          <w:szCs w:val="20"/>
          <w:lang w:val="en-CA"/>
        </w:rPr>
      </w:pPr>
    </w:p>
    <w:p w14:paraId="78236A89" w14:textId="461B9070" w:rsidR="008D1280" w:rsidRPr="008D1280" w:rsidRDefault="008D1280" w:rsidP="00370BEE">
      <w:pPr>
        <w:pStyle w:val="NormalWeb"/>
        <w:widowControl w:val="0"/>
        <w:spacing w:before="0" w:beforeAutospacing="0" w:after="0" w:afterAutospacing="0"/>
        <w:jc w:val="both"/>
        <w:rPr>
          <w:rFonts w:ascii="Arial" w:hAnsi="Arial" w:cs="Arial"/>
          <w:b/>
          <w:iCs/>
          <w:sz w:val="20"/>
          <w:szCs w:val="20"/>
        </w:rPr>
      </w:pPr>
      <w:r w:rsidRPr="008D1280">
        <w:rPr>
          <w:rFonts w:ascii="Arial" w:hAnsi="Arial" w:cs="Arial"/>
          <w:b/>
          <w:iCs/>
          <w:sz w:val="20"/>
          <w:szCs w:val="20"/>
        </w:rPr>
        <w:t>F</w:t>
      </w:r>
      <w:r w:rsidR="00D2209C">
        <w:rPr>
          <w:rFonts w:ascii="Arial" w:hAnsi="Arial" w:cs="Arial"/>
          <w:b/>
          <w:iCs/>
          <w:sz w:val="20"/>
          <w:szCs w:val="20"/>
        </w:rPr>
        <w:t>irst</w:t>
      </w:r>
      <w:r w:rsidRPr="008D1280">
        <w:rPr>
          <w:rFonts w:ascii="Arial" w:hAnsi="Arial" w:cs="Arial"/>
          <w:b/>
          <w:iCs/>
          <w:sz w:val="20"/>
          <w:szCs w:val="20"/>
        </w:rPr>
        <w:t xml:space="preserve"> Quarter 202</w:t>
      </w:r>
      <w:r w:rsidR="00D2209C">
        <w:rPr>
          <w:rFonts w:ascii="Arial" w:hAnsi="Arial" w:cs="Arial"/>
          <w:b/>
          <w:iCs/>
          <w:sz w:val="20"/>
          <w:szCs w:val="20"/>
        </w:rPr>
        <w:t>2</w:t>
      </w:r>
      <w:r w:rsidRPr="008D1280">
        <w:rPr>
          <w:rFonts w:ascii="Arial" w:hAnsi="Arial" w:cs="Arial"/>
          <w:b/>
          <w:iCs/>
          <w:sz w:val="20"/>
          <w:szCs w:val="20"/>
        </w:rPr>
        <w:t xml:space="preserve"> </w:t>
      </w:r>
      <w:r w:rsidR="00A34337">
        <w:rPr>
          <w:rFonts w:ascii="Arial" w:hAnsi="Arial" w:cs="Arial"/>
          <w:b/>
          <w:iCs/>
          <w:sz w:val="20"/>
          <w:szCs w:val="20"/>
        </w:rPr>
        <w:t>Financial</w:t>
      </w:r>
      <w:r w:rsidR="00FB7F7E">
        <w:rPr>
          <w:rFonts w:ascii="Arial" w:hAnsi="Arial" w:cs="Arial"/>
          <w:b/>
          <w:iCs/>
          <w:sz w:val="20"/>
          <w:szCs w:val="20"/>
        </w:rPr>
        <w:t xml:space="preserve"> and Operational</w:t>
      </w:r>
      <w:r w:rsidR="00A34337">
        <w:rPr>
          <w:rFonts w:ascii="Arial" w:hAnsi="Arial" w:cs="Arial"/>
          <w:b/>
          <w:iCs/>
          <w:sz w:val="20"/>
          <w:szCs w:val="20"/>
        </w:rPr>
        <w:t xml:space="preserve"> </w:t>
      </w:r>
      <w:r w:rsidRPr="008D1280">
        <w:rPr>
          <w:rFonts w:ascii="Arial" w:hAnsi="Arial" w:cs="Arial"/>
          <w:b/>
          <w:iCs/>
          <w:sz w:val="20"/>
          <w:szCs w:val="20"/>
        </w:rPr>
        <w:t>Highlights</w:t>
      </w:r>
    </w:p>
    <w:p w14:paraId="1602768B" w14:textId="6E206B5D" w:rsidR="001004FC" w:rsidRPr="0090061A" w:rsidRDefault="001004FC" w:rsidP="00370BEE">
      <w:pPr>
        <w:pStyle w:val="NormalWeb"/>
        <w:widowControl w:val="0"/>
        <w:numPr>
          <w:ilvl w:val="0"/>
          <w:numId w:val="3"/>
        </w:numPr>
        <w:spacing w:before="200" w:beforeAutospacing="0" w:after="120" w:afterAutospacing="0"/>
        <w:jc w:val="both"/>
        <w:rPr>
          <w:rFonts w:ascii="Arial" w:hAnsi="Arial" w:cs="Arial"/>
          <w:sz w:val="20"/>
          <w:szCs w:val="20"/>
        </w:rPr>
      </w:pPr>
      <w:r w:rsidRPr="0090061A">
        <w:rPr>
          <w:rFonts w:ascii="Arial" w:hAnsi="Arial" w:cs="Arial"/>
          <w:sz w:val="20"/>
          <w:szCs w:val="20"/>
        </w:rPr>
        <w:t xml:space="preserve">Achieved quarterly average production volumes of 1,396 </w:t>
      </w:r>
      <w:r w:rsidR="00606603">
        <w:rPr>
          <w:rFonts w:ascii="Arial" w:hAnsi="Arial" w:cs="Arial"/>
          <w:sz w:val="20"/>
          <w:szCs w:val="20"/>
        </w:rPr>
        <w:t>barrels per day ("</w:t>
      </w:r>
      <w:r w:rsidRPr="0090061A">
        <w:rPr>
          <w:rFonts w:ascii="Arial" w:hAnsi="Arial" w:cs="Arial"/>
          <w:sz w:val="20"/>
          <w:szCs w:val="20"/>
        </w:rPr>
        <w:t>bbls/d</w:t>
      </w:r>
      <w:r w:rsidR="00606603">
        <w:rPr>
          <w:rFonts w:ascii="Arial" w:hAnsi="Arial" w:cs="Arial"/>
          <w:sz w:val="20"/>
          <w:szCs w:val="20"/>
        </w:rPr>
        <w:t>")</w:t>
      </w:r>
      <w:r w:rsidRPr="0090061A">
        <w:rPr>
          <w:rFonts w:ascii="Arial" w:hAnsi="Arial" w:cs="Arial"/>
          <w:bCs/>
          <w:iCs/>
          <w:sz w:val="20"/>
          <w:szCs w:val="20"/>
        </w:rPr>
        <w:t>, representing a</w:t>
      </w:r>
      <w:r w:rsidRPr="0090061A">
        <w:rPr>
          <w:rFonts w:ascii="Arial" w:hAnsi="Arial" w:cs="Arial"/>
          <w:sz w:val="20"/>
          <w:szCs w:val="20"/>
        </w:rPr>
        <w:t xml:space="preserve"> 4 percent increase relative to the preceding quarter and an 8 percent increase from the 1,</w:t>
      </w:r>
      <w:r>
        <w:rPr>
          <w:rFonts w:ascii="Arial" w:hAnsi="Arial" w:cs="Arial"/>
          <w:sz w:val="20"/>
          <w:szCs w:val="20"/>
        </w:rPr>
        <w:t>297</w:t>
      </w:r>
      <w:r w:rsidRPr="0090061A">
        <w:rPr>
          <w:rFonts w:ascii="Arial" w:hAnsi="Arial" w:cs="Arial"/>
          <w:sz w:val="20"/>
          <w:szCs w:val="20"/>
        </w:rPr>
        <w:t xml:space="preserve"> bbls/d produced in the first quarter of 2021.</w:t>
      </w:r>
    </w:p>
    <w:p w14:paraId="778A6E49" w14:textId="77777777" w:rsidR="001004FC" w:rsidRPr="0090061A" w:rsidRDefault="001004FC" w:rsidP="00370BEE">
      <w:pPr>
        <w:pStyle w:val="NormalWeb"/>
        <w:widowControl w:val="0"/>
        <w:numPr>
          <w:ilvl w:val="0"/>
          <w:numId w:val="3"/>
        </w:numPr>
        <w:spacing w:before="120" w:beforeAutospacing="0" w:after="120" w:afterAutospacing="0"/>
        <w:jc w:val="both"/>
        <w:rPr>
          <w:rFonts w:ascii="Arial" w:hAnsi="Arial" w:cs="Arial"/>
          <w:sz w:val="20"/>
          <w:szCs w:val="20"/>
        </w:rPr>
      </w:pPr>
      <w:r w:rsidRPr="0090061A">
        <w:rPr>
          <w:rFonts w:ascii="Arial" w:hAnsi="Arial" w:cs="Arial"/>
          <w:sz w:val="20"/>
          <w:szCs w:val="20"/>
        </w:rPr>
        <w:t>Realized petroleum sales of $10,496,000 from an average crude oil price of $83.55 per barrel compared to petroleum sales of $8,212,000 from average realized pricing of $66.81 per barrel in the fourth quarter of 2021.</w:t>
      </w:r>
    </w:p>
    <w:p w14:paraId="14B5E4C7" w14:textId="77777777" w:rsidR="001004FC" w:rsidRPr="0090061A" w:rsidRDefault="001004FC" w:rsidP="00370BEE">
      <w:pPr>
        <w:pStyle w:val="NormalWeb"/>
        <w:widowControl w:val="0"/>
        <w:numPr>
          <w:ilvl w:val="0"/>
          <w:numId w:val="3"/>
        </w:numPr>
        <w:spacing w:before="120" w:beforeAutospacing="0" w:after="120" w:afterAutospacing="0"/>
        <w:jc w:val="both"/>
        <w:rPr>
          <w:rFonts w:ascii="Arial" w:hAnsi="Arial" w:cs="Arial"/>
          <w:sz w:val="20"/>
          <w:szCs w:val="20"/>
        </w:rPr>
      </w:pPr>
      <w:r w:rsidRPr="0090061A">
        <w:rPr>
          <w:rFonts w:ascii="Arial" w:hAnsi="Arial" w:cs="Arial"/>
          <w:sz w:val="20"/>
          <w:szCs w:val="20"/>
        </w:rPr>
        <w:t>Generated an operating netback of $37.83 per barrel, a 26 percent increase from the fourth quarter of 2021 and a 72 percent increase from the $21.98 per barrel reported in the first quarter of 2021.</w:t>
      </w:r>
    </w:p>
    <w:p w14:paraId="21165C52" w14:textId="77777777" w:rsidR="001004FC" w:rsidRPr="005E0A15" w:rsidRDefault="001004FC" w:rsidP="00370BEE">
      <w:pPr>
        <w:pStyle w:val="NormalWeb"/>
        <w:widowControl w:val="0"/>
        <w:numPr>
          <w:ilvl w:val="0"/>
          <w:numId w:val="3"/>
        </w:numPr>
        <w:spacing w:before="120" w:beforeAutospacing="0" w:after="120" w:afterAutospacing="0"/>
        <w:jc w:val="both"/>
        <w:rPr>
          <w:rFonts w:ascii="Arial" w:hAnsi="Arial" w:cs="Arial"/>
          <w:sz w:val="20"/>
          <w:szCs w:val="20"/>
        </w:rPr>
      </w:pPr>
      <w:r w:rsidRPr="0090061A">
        <w:rPr>
          <w:rFonts w:ascii="Arial" w:hAnsi="Arial" w:cs="Arial"/>
          <w:sz w:val="20"/>
          <w:szCs w:val="20"/>
        </w:rPr>
        <w:t xml:space="preserve">Our funds flow from operations improved to $1,426,000 in the quarter compared to $1,291,000 </w:t>
      </w:r>
      <w:r w:rsidRPr="005E0A15">
        <w:rPr>
          <w:rFonts w:ascii="Arial" w:hAnsi="Arial" w:cs="Arial"/>
          <w:sz w:val="20"/>
          <w:szCs w:val="20"/>
        </w:rPr>
        <w:t>recognized in the fourth quarter of 2021 and $538,000 reported in the first quarter of 2021.</w:t>
      </w:r>
    </w:p>
    <w:p w14:paraId="71E067D7" w14:textId="77777777" w:rsidR="001004FC" w:rsidRPr="00783040" w:rsidRDefault="001004FC" w:rsidP="00370BEE">
      <w:pPr>
        <w:pStyle w:val="NormalWeb"/>
        <w:widowControl w:val="0"/>
        <w:numPr>
          <w:ilvl w:val="0"/>
          <w:numId w:val="3"/>
        </w:numPr>
        <w:spacing w:before="120" w:beforeAutospacing="0" w:after="120" w:afterAutospacing="0"/>
        <w:jc w:val="both"/>
        <w:rPr>
          <w:rFonts w:ascii="Arial" w:hAnsi="Arial" w:cs="Arial"/>
          <w:sz w:val="20"/>
          <w:szCs w:val="20"/>
        </w:rPr>
      </w:pPr>
      <w:r w:rsidRPr="005E0A15">
        <w:rPr>
          <w:rFonts w:ascii="Arial" w:hAnsi="Arial" w:cs="Arial"/>
          <w:sz w:val="20"/>
          <w:szCs w:val="20"/>
        </w:rPr>
        <w:t>Recognized a net loss of $236,000 and comprehensive income of $164,000, compared to a net loss of $460,000 and comprehensive loss of $415,000 reported in the same period of 2021.</w:t>
      </w:r>
    </w:p>
    <w:p w14:paraId="48FC89D5" w14:textId="77777777" w:rsidR="001004FC" w:rsidRPr="00783040" w:rsidRDefault="001004FC" w:rsidP="00370BEE">
      <w:pPr>
        <w:pStyle w:val="NormalWeb"/>
        <w:widowControl w:val="0"/>
        <w:numPr>
          <w:ilvl w:val="0"/>
          <w:numId w:val="3"/>
        </w:numPr>
        <w:spacing w:before="120" w:beforeAutospacing="0" w:after="120" w:afterAutospacing="0"/>
        <w:jc w:val="both"/>
        <w:rPr>
          <w:rFonts w:ascii="Arial" w:hAnsi="Arial" w:cs="Arial"/>
          <w:sz w:val="20"/>
          <w:szCs w:val="20"/>
        </w:rPr>
      </w:pPr>
      <w:r w:rsidRPr="00783040">
        <w:rPr>
          <w:rFonts w:ascii="Arial" w:hAnsi="Arial" w:cs="Arial"/>
          <w:sz w:val="20"/>
          <w:szCs w:val="20"/>
        </w:rPr>
        <w:t>Capital investments of $2,554,000 focused on continuing production testing operations on the Royston-1 well</w:t>
      </w:r>
      <w:r>
        <w:rPr>
          <w:rFonts w:ascii="Arial" w:hAnsi="Arial" w:cs="Arial"/>
          <w:sz w:val="20"/>
          <w:szCs w:val="20"/>
        </w:rPr>
        <w:t>, expenditures related to the</w:t>
      </w:r>
      <w:r w:rsidRPr="00783040">
        <w:rPr>
          <w:rFonts w:ascii="Arial" w:hAnsi="Arial" w:cs="Arial"/>
          <w:sz w:val="20"/>
          <w:szCs w:val="20"/>
        </w:rPr>
        <w:t xml:space="preserve"> Coho-1 facility and pipeline</w:t>
      </w:r>
      <w:r>
        <w:rPr>
          <w:rFonts w:ascii="Arial" w:hAnsi="Arial" w:cs="Arial"/>
          <w:sz w:val="20"/>
          <w:szCs w:val="20"/>
        </w:rPr>
        <w:t xml:space="preserve"> and lease preparation costs for two Coora development well locations</w:t>
      </w:r>
      <w:r w:rsidRPr="00783040">
        <w:rPr>
          <w:rFonts w:ascii="Arial" w:hAnsi="Arial" w:cs="Arial"/>
          <w:sz w:val="20"/>
          <w:szCs w:val="20"/>
        </w:rPr>
        <w:t xml:space="preserve">. </w:t>
      </w:r>
    </w:p>
    <w:p w14:paraId="1B408B6B" w14:textId="07889FBC" w:rsidR="001004FC" w:rsidRPr="00370BEE" w:rsidRDefault="001004FC" w:rsidP="00370BEE">
      <w:pPr>
        <w:pStyle w:val="NormalWeb"/>
        <w:widowControl w:val="0"/>
        <w:numPr>
          <w:ilvl w:val="0"/>
          <w:numId w:val="3"/>
        </w:numPr>
        <w:spacing w:before="120" w:beforeAutospacing="0" w:after="120" w:afterAutospacing="0"/>
        <w:jc w:val="both"/>
        <w:rPr>
          <w:rFonts w:ascii="Arial" w:hAnsi="Arial" w:cs="Arial"/>
          <w:sz w:val="20"/>
          <w:szCs w:val="20"/>
        </w:rPr>
      </w:pPr>
      <w:r w:rsidRPr="00C52011">
        <w:rPr>
          <w:rFonts w:ascii="Arial" w:hAnsi="Arial" w:cs="Arial"/>
          <w:sz w:val="20"/>
          <w:szCs w:val="20"/>
        </w:rPr>
        <w:t xml:space="preserve">Exited the quarter with cash of $10,148,000, </w:t>
      </w:r>
      <w:r w:rsidR="00714B86">
        <w:rPr>
          <w:rFonts w:ascii="Arial" w:hAnsi="Arial" w:cs="Arial"/>
          <w:sz w:val="20"/>
          <w:szCs w:val="20"/>
        </w:rPr>
        <w:t xml:space="preserve">a </w:t>
      </w:r>
      <w:r w:rsidRPr="00C52011">
        <w:rPr>
          <w:rFonts w:ascii="Arial" w:hAnsi="Arial" w:cs="Arial"/>
          <w:sz w:val="20"/>
          <w:szCs w:val="20"/>
        </w:rPr>
        <w:t xml:space="preserve">working capital surplus of $4,259,000 and </w:t>
      </w:r>
      <w:r w:rsidRPr="00370BEE">
        <w:rPr>
          <w:rFonts w:ascii="Arial" w:hAnsi="Arial" w:cs="Arial"/>
          <w:sz w:val="20"/>
          <w:szCs w:val="20"/>
        </w:rPr>
        <w:t>$30,000,000 drawn on our term credit facility, resulting in a net debt position of $21,241,000.</w:t>
      </w:r>
    </w:p>
    <w:p w14:paraId="1F64AC71" w14:textId="536F528B" w:rsidR="003B1C85" w:rsidRPr="00370BEE" w:rsidRDefault="00370BEE" w:rsidP="00370BEE">
      <w:pPr>
        <w:pStyle w:val="NormalWeb"/>
        <w:widowControl w:val="0"/>
        <w:numPr>
          <w:ilvl w:val="0"/>
          <w:numId w:val="3"/>
        </w:numPr>
        <w:spacing w:before="120" w:beforeAutospacing="0" w:after="200" w:afterAutospacing="0"/>
        <w:jc w:val="both"/>
        <w:rPr>
          <w:rFonts w:ascii="Arial" w:hAnsi="Arial" w:cs="Arial"/>
          <w:sz w:val="20"/>
          <w:szCs w:val="20"/>
        </w:rPr>
      </w:pPr>
      <w:r w:rsidRPr="00370BEE">
        <w:rPr>
          <w:rFonts w:ascii="Arial" w:hAnsi="Arial" w:cs="Arial"/>
          <w:sz w:val="20"/>
          <w:szCs w:val="20"/>
        </w:rPr>
        <w:t>In March 2022, our field development plan for the Cascadura area was approved, which extends the exploration and production period for the defined 2,378-acre area through October 31, 2039</w:t>
      </w:r>
      <w:r>
        <w:rPr>
          <w:rFonts w:ascii="Arial" w:hAnsi="Arial" w:cs="Arial"/>
          <w:sz w:val="20"/>
          <w:szCs w:val="20"/>
        </w:rPr>
        <w:t>.</w:t>
      </w:r>
    </w:p>
    <w:p w14:paraId="4931DD8E" w14:textId="369733BB" w:rsidR="008D1280" w:rsidRPr="008D1280" w:rsidRDefault="001004FC" w:rsidP="00370BEE">
      <w:pPr>
        <w:pStyle w:val="NormalWeb"/>
        <w:widowControl w:val="0"/>
        <w:spacing w:before="0" w:beforeAutospacing="0" w:after="0" w:afterAutospacing="0"/>
        <w:jc w:val="both"/>
        <w:rPr>
          <w:rFonts w:ascii="Arial" w:hAnsi="Arial" w:cs="Arial"/>
          <w:b/>
          <w:iCs/>
          <w:sz w:val="20"/>
          <w:szCs w:val="20"/>
        </w:rPr>
      </w:pPr>
      <w:r w:rsidRPr="00F9174B">
        <w:rPr>
          <w:rFonts w:ascii="Arial" w:hAnsi="Arial" w:cs="Arial"/>
          <w:b/>
          <w:iCs/>
          <w:sz w:val="20"/>
          <w:szCs w:val="20"/>
        </w:rPr>
        <w:t>Recent</w:t>
      </w:r>
      <w:r w:rsidR="00C62F26" w:rsidRPr="00F9174B">
        <w:rPr>
          <w:rFonts w:ascii="Arial" w:hAnsi="Arial" w:cs="Arial"/>
          <w:b/>
          <w:iCs/>
          <w:sz w:val="20"/>
          <w:szCs w:val="20"/>
        </w:rPr>
        <w:t xml:space="preserve"> </w:t>
      </w:r>
      <w:r w:rsidR="008D1280" w:rsidRPr="00F9174B">
        <w:rPr>
          <w:rFonts w:ascii="Arial" w:hAnsi="Arial" w:cs="Arial"/>
          <w:b/>
          <w:iCs/>
          <w:sz w:val="20"/>
          <w:szCs w:val="20"/>
        </w:rPr>
        <w:t>H</w:t>
      </w:r>
      <w:r w:rsidR="008D1280" w:rsidRPr="008D1280">
        <w:rPr>
          <w:rFonts w:ascii="Arial" w:hAnsi="Arial" w:cs="Arial"/>
          <w:b/>
          <w:iCs/>
          <w:sz w:val="20"/>
          <w:szCs w:val="20"/>
        </w:rPr>
        <w:t>ighlights</w:t>
      </w:r>
    </w:p>
    <w:p w14:paraId="4EBD6E76" w14:textId="66F87BB7" w:rsidR="001004FC" w:rsidRPr="00783040" w:rsidRDefault="001004FC" w:rsidP="00370BEE">
      <w:pPr>
        <w:pStyle w:val="NormalWeb"/>
        <w:widowControl w:val="0"/>
        <w:numPr>
          <w:ilvl w:val="0"/>
          <w:numId w:val="3"/>
        </w:numPr>
        <w:spacing w:before="200" w:beforeAutospacing="0" w:after="120" w:afterAutospacing="0"/>
        <w:jc w:val="both"/>
        <w:rPr>
          <w:rFonts w:ascii="Arial" w:hAnsi="Arial" w:cs="Arial"/>
          <w:sz w:val="20"/>
          <w:szCs w:val="20"/>
        </w:rPr>
      </w:pPr>
      <w:r w:rsidRPr="00783040">
        <w:rPr>
          <w:rFonts w:ascii="Arial" w:hAnsi="Arial" w:cs="Arial"/>
          <w:sz w:val="20"/>
          <w:szCs w:val="20"/>
        </w:rPr>
        <w:t xml:space="preserve">Daily crude oil sales averaged </w:t>
      </w:r>
      <w:r w:rsidR="00714B86">
        <w:rPr>
          <w:rFonts w:ascii="Arial" w:hAnsi="Arial" w:cs="Arial"/>
          <w:sz w:val="20"/>
          <w:szCs w:val="20"/>
        </w:rPr>
        <w:t>1,532</w:t>
      </w:r>
      <w:r w:rsidRPr="00783040">
        <w:rPr>
          <w:rFonts w:ascii="Arial" w:hAnsi="Arial" w:cs="Arial"/>
          <w:sz w:val="20"/>
          <w:szCs w:val="20"/>
        </w:rPr>
        <w:t xml:space="preserve"> bbls/d in April 2022 with a realized price of </w:t>
      </w:r>
      <w:r w:rsidRPr="0017389C">
        <w:rPr>
          <w:rFonts w:ascii="Arial" w:hAnsi="Arial" w:cs="Arial"/>
          <w:sz w:val="20"/>
          <w:szCs w:val="20"/>
        </w:rPr>
        <w:t>$</w:t>
      </w:r>
      <w:r w:rsidR="0017389C" w:rsidRPr="0017389C">
        <w:rPr>
          <w:rFonts w:ascii="Arial" w:hAnsi="Arial" w:cs="Arial"/>
          <w:sz w:val="20"/>
          <w:szCs w:val="20"/>
        </w:rPr>
        <w:t>91</w:t>
      </w:r>
      <w:r w:rsidRPr="0017389C">
        <w:rPr>
          <w:rFonts w:ascii="Arial" w:hAnsi="Arial" w:cs="Arial"/>
          <w:sz w:val="20"/>
          <w:szCs w:val="20"/>
        </w:rPr>
        <w:t>.</w:t>
      </w:r>
      <w:r w:rsidR="0017389C" w:rsidRPr="0017389C">
        <w:rPr>
          <w:rFonts w:ascii="Arial" w:hAnsi="Arial" w:cs="Arial"/>
          <w:sz w:val="20"/>
          <w:szCs w:val="20"/>
        </w:rPr>
        <w:t>79</w:t>
      </w:r>
      <w:r w:rsidRPr="00783040">
        <w:rPr>
          <w:rFonts w:ascii="Arial" w:hAnsi="Arial" w:cs="Arial"/>
          <w:sz w:val="20"/>
          <w:szCs w:val="20"/>
        </w:rPr>
        <w:t xml:space="preserve"> per barrel.</w:t>
      </w:r>
    </w:p>
    <w:p w14:paraId="61176CA7" w14:textId="4155C166" w:rsidR="004F1223" w:rsidRPr="00994350" w:rsidRDefault="004F1223" w:rsidP="00370BEE">
      <w:pPr>
        <w:pStyle w:val="NormalWeb"/>
        <w:widowControl w:val="0"/>
        <w:numPr>
          <w:ilvl w:val="0"/>
          <w:numId w:val="3"/>
        </w:numPr>
        <w:spacing w:before="120" w:beforeAutospacing="0" w:after="120" w:afterAutospacing="0"/>
        <w:jc w:val="both"/>
        <w:rPr>
          <w:rFonts w:ascii="Arial" w:hAnsi="Arial" w:cs="Arial"/>
          <w:sz w:val="20"/>
          <w:szCs w:val="20"/>
        </w:rPr>
      </w:pPr>
      <w:r w:rsidRPr="001C1048">
        <w:rPr>
          <w:rFonts w:ascii="Arial" w:hAnsi="Arial" w:cs="Arial"/>
          <w:sz w:val="20"/>
          <w:szCs w:val="20"/>
        </w:rPr>
        <w:t xml:space="preserve">Coho pipeline </w:t>
      </w:r>
      <w:r w:rsidR="00016DBF">
        <w:rPr>
          <w:rFonts w:ascii="Arial" w:hAnsi="Arial" w:cs="Arial"/>
          <w:sz w:val="20"/>
          <w:szCs w:val="20"/>
        </w:rPr>
        <w:t xml:space="preserve">has been </w:t>
      </w:r>
      <w:r w:rsidRPr="001C1048">
        <w:rPr>
          <w:rFonts w:ascii="Arial" w:hAnsi="Arial" w:cs="Arial"/>
          <w:sz w:val="20"/>
          <w:szCs w:val="20"/>
        </w:rPr>
        <w:t>welded, with trenching</w:t>
      </w:r>
      <w:r w:rsidR="00C55883" w:rsidRPr="001C1048">
        <w:rPr>
          <w:rFonts w:ascii="Arial" w:hAnsi="Arial" w:cs="Arial"/>
          <w:sz w:val="20"/>
          <w:szCs w:val="20"/>
        </w:rPr>
        <w:t xml:space="preserve"> operations progressing</w:t>
      </w:r>
      <w:r w:rsidR="0080775E" w:rsidRPr="001C1048">
        <w:rPr>
          <w:rFonts w:ascii="Arial" w:hAnsi="Arial" w:cs="Arial"/>
          <w:sz w:val="20"/>
          <w:szCs w:val="20"/>
        </w:rPr>
        <w:t xml:space="preserve"> </w:t>
      </w:r>
      <w:r w:rsidR="0080775E" w:rsidRPr="00994350">
        <w:rPr>
          <w:rFonts w:ascii="Arial" w:hAnsi="Arial" w:cs="Arial"/>
          <w:sz w:val="20"/>
          <w:szCs w:val="20"/>
        </w:rPr>
        <w:t xml:space="preserve">toward anticipated initial production </w:t>
      </w:r>
      <w:r w:rsidR="003B1C85" w:rsidRPr="00994350">
        <w:rPr>
          <w:rFonts w:ascii="Arial" w:hAnsi="Arial" w:cs="Arial"/>
          <w:sz w:val="20"/>
          <w:szCs w:val="20"/>
        </w:rPr>
        <w:t>with</w:t>
      </w:r>
      <w:r w:rsidR="001C1048" w:rsidRPr="00994350">
        <w:rPr>
          <w:rFonts w:ascii="Arial" w:hAnsi="Arial" w:cs="Arial"/>
          <w:sz w:val="20"/>
          <w:szCs w:val="20"/>
        </w:rPr>
        <w:t>in</w:t>
      </w:r>
      <w:r w:rsidR="003B1C85" w:rsidRPr="00994350">
        <w:rPr>
          <w:rFonts w:ascii="Arial" w:hAnsi="Arial" w:cs="Arial"/>
          <w:sz w:val="20"/>
          <w:szCs w:val="20"/>
        </w:rPr>
        <w:t xml:space="preserve"> </w:t>
      </w:r>
      <w:r w:rsidR="00BB43A9" w:rsidRPr="00994350">
        <w:rPr>
          <w:rFonts w:ascii="Arial" w:hAnsi="Arial" w:cs="Arial"/>
          <w:sz w:val="20"/>
          <w:szCs w:val="20"/>
        </w:rPr>
        <w:t>four</w:t>
      </w:r>
      <w:r w:rsidR="003B1C85" w:rsidRPr="00994350">
        <w:rPr>
          <w:rFonts w:ascii="Arial" w:hAnsi="Arial" w:cs="Arial"/>
          <w:sz w:val="20"/>
          <w:szCs w:val="20"/>
        </w:rPr>
        <w:t xml:space="preserve"> to </w:t>
      </w:r>
      <w:r w:rsidR="00BB43A9" w:rsidRPr="00994350">
        <w:rPr>
          <w:rFonts w:ascii="Arial" w:hAnsi="Arial" w:cs="Arial"/>
          <w:sz w:val="20"/>
          <w:szCs w:val="20"/>
        </w:rPr>
        <w:t>six</w:t>
      </w:r>
      <w:r w:rsidR="003B1C85" w:rsidRPr="00994350">
        <w:rPr>
          <w:rFonts w:ascii="Arial" w:hAnsi="Arial" w:cs="Arial"/>
          <w:sz w:val="20"/>
          <w:szCs w:val="20"/>
        </w:rPr>
        <w:t xml:space="preserve"> weeks</w:t>
      </w:r>
      <w:r w:rsidRPr="00994350">
        <w:rPr>
          <w:rFonts w:ascii="Arial" w:hAnsi="Arial" w:cs="Arial"/>
          <w:sz w:val="20"/>
          <w:szCs w:val="20"/>
        </w:rPr>
        <w:t>.</w:t>
      </w:r>
    </w:p>
    <w:p w14:paraId="3CC5AAC7" w14:textId="30677B8D" w:rsidR="00E66724" w:rsidRPr="00994350" w:rsidRDefault="00E66724" w:rsidP="00370BEE">
      <w:pPr>
        <w:pStyle w:val="NormalWeb"/>
        <w:widowControl w:val="0"/>
        <w:numPr>
          <w:ilvl w:val="0"/>
          <w:numId w:val="3"/>
        </w:numPr>
        <w:spacing w:before="120" w:beforeAutospacing="0" w:after="120" w:afterAutospacing="0"/>
        <w:jc w:val="both"/>
        <w:rPr>
          <w:rFonts w:ascii="Arial" w:hAnsi="Arial" w:cs="Arial"/>
          <w:sz w:val="20"/>
          <w:szCs w:val="20"/>
        </w:rPr>
      </w:pPr>
      <w:r w:rsidRPr="00994350">
        <w:rPr>
          <w:rFonts w:ascii="Arial" w:hAnsi="Arial" w:cs="Arial"/>
          <w:sz w:val="20"/>
          <w:szCs w:val="20"/>
        </w:rPr>
        <w:t>The National Gas Company of Trinidad and Tobago ("NGC") has agreed to purchase the Coho pipeline upon completion and commissioning.</w:t>
      </w:r>
    </w:p>
    <w:p w14:paraId="13E6F0C1" w14:textId="52264D14" w:rsidR="00E66724" w:rsidRPr="00994350" w:rsidRDefault="00AD48C8" w:rsidP="00370BEE">
      <w:pPr>
        <w:pStyle w:val="NormalWeb"/>
        <w:widowControl w:val="0"/>
        <w:numPr>
          <w:ilvl w:val="0"/>
          <w:numId w:val="3"/>
        </w:numPr>
        <w:spacing w:before="120" w:beforeAutospacing="0" w:after="120" w:afterAutospacing="0"/>
        <w:jc w:val="both"/>
        <w:rPr>
          <w:rFonts w:ascii="Arial" w:hAnsi="Arial" w:cs="Arial"/>
          <w:sz w:val="20"/>
          <w:szCs w:val="20"/>
        </w:rPr>
      </w:pPr>
      <w:r w:rsidRPr="00994350">
        <w:rPr>
          <w:rFonts w:ascii="Arial" w:hAnsi="Arial" w:cs="Arial"/>
          <w:sz w:val="20"/>
          <w:szCs w:val="20"/>
        </w:rPr>
        <w:t>Received a</w:t>
      </w:r>
      <w:r w:rsidR="005F288D" w:rsidRPr="00994350">
        <w:rPr>
          <w:rFonts w:ascii="Arial" w:hAnsi="Arial" w:cs="Arial"/>
          <w:sz w:val="20"/>
          <w:szCs w:val="20"/>
        </w:rPr>
        <w:t xml:space="preserve"> </w:t>
      </w:r>
      <w:r w:rsidRPr="00994350">
        <w:rPr>
          <w:rFonts w:ascii="Arial" w:hAnsi="Arial" w:cs="Arial"/>
          <w:sz w:val="20"/>
          <w:szCs w:val="20"/>
        </w:rPr>
        <w:t>review and assessment</w:t>
      </w:r>
      <w:r w:rsidR="00E66724" w:rsidRPr="00994350">
        <w:rPr>
          <w:rFonts w:ascii="Arial" w:hAnsi="Arial" w:cs="Arial"/>
          <w:sz w:val="20"/>
          <w:szCs w:val="20"/>
        </w:rPr>
        <w:t xml:space="preserve"> report</w:t>
      </w:r>
      <w:r w:rsidRPr="00994350">
        <w:rPr>
          <w:rFonts w:ascii="Arial" w:hAnsi="Arial" w:cs="Arial"/>
          <w:sz w:val="20"/>
          <w:szCs w:val="20"/>
        </w:rPr>
        <w:t xml:space="preserve"> </w:t>
      </w:r>
      <w:r w:rsidR="008A69A9" w:rsidRPr="00994350">
        <w:rPr>
          <w:rFonts w:ascii="Arial" w:hAnsi="Arial" w:cs="Arial"/>
          <w:sz w:val="20"/>
          <w:szCs w:val="20"/>
        </w:rPr>
        <w:t>in response to</w:t>
      </w:r>
      <w:r w:rsidRPr="00994350">
        <w:rPr>
          <w:rFonts w:ascii="Arial" w:hAnsi="Arial" w:cs="Arial"/>
          <w:sz w:val="20"/>
          <w:szCs w:val="20"/>
        </w:rPr>
        <w:t xml:space="preserve"> our Cascadura</w:t>
      </w:r>
      <w:r w:rsidR="005F288D" w:rsidRPr="00994350">
        <w:rPr>
          <w:rFonts w:ascii="Arial" w:hAnsi="Arial" w:cs="Arial"/>
          <w:sz w:val="20"/>
          <w:szCs w:val="20"/>
        </w:rPr>
        <w:t xml:space="preserve"> area</w:t>
      </w:r>
      <w:r w:rsidRPr="00994350">
        <w:rPr>
          <w:rFonts w:ascii="Arial" w:hAnsi="Arial" w:cs="Arial"/>
          <w:sz w:val="20"/>
          <w:szCs w:val="20"/>
        </w:rPr>
        <w:t xml:space="preserve"> </w:t>
      </w:r>
      <w:r w:rsidR="00466616" w:rsidRPr="00994350">
        <w:rPr>
          <w:rFonts w:ascii="Arial" w:hAnsi="Arial" w:cs="Arial"/>
          <w:sz w:val="20"/>
          <w:szCs w:val="20"/>
        </w:rPr>
        <w:t>Environmental Impact Assessment ("EIA")</w:t>
      </w:r>
      <w:r w:rsidR="005F288D" w:rsidRPr="00994350">
        <w:rPr>
          <w:rFonts w:ascii="Arial" w:hAnsi="Arial" w:cs="Arial"/>
          <w:sz w:val="20"/>
          <w:szCs w:val="20"/>
        </w:rPr>
        <w:t xml:space="preserve"> application</w:t>
      </w:r>
      <w:r w:rsidR="00831B0D" w:rsidRPr="00994350">
        <w:rPr>
          <w:rFonts w:ascii="Arial" w:hAnsi="Arial" w:cs="Arial"/>
          <w:sz w:val="20"/>
          <w:szCs w:val="20"/>
        </w:rPr>
        <w:t xml:space="preserve"> </w:t>
      </w:r>
      <w:r w:rsidR="00AD6EFC" w:rsidRPr="00994350">
        <w:rPr>
          <w:rFonts w:ascii="Arial" w:hAnsi="Arial" w:cs="Arial"/>
          <w:sz w:val="20"/>
          <w:szCs w:val="20"/>
        </w:rPr>
        <w:t>with</w:t>
      </w:r>
      <w:r w:rsidR="00714B86" w:rsidRPr="00994350">
        <w:rPr>
          <w:rFonts w:ascii="Arial" w:hAnsi="Arial" w:cs="Arial"/>
          <w:sz w:val="20"/>
          <w:szCs w:val="20"/>
        </w:rPr>
        <w:t xml:space="preserve"> </w:t>
      </w:r>
      <w:r w:rsidR="00831B0D" w:rsidRPr="00994350">
        <w:rPr>
          <w:rFonts w:ascii="Arial" w:hAnsi="Arial" w:cs="Arial"/>
          <w:sz w:val="20"/>
          <w:szCs w:val="20"/>
        </w:rPr>
        <w:t>n</w:t>
      </w:r>
      <w:r w:rsidR="00714B86" w:rsidRPr="00994350">
        <w:rPr>
          <w:rFonts w:ascii="Arial" w:hAnsi="Arial" w:cs="Arial"/>
          <w:sz w:val="20"/>
          <w:szCs w:val="20"/>
        </w:rPr>
        <w:t>o material deficiencies raised</w:t>
      </w:r>
      <w:r w:rsidRPr="00994350">
        <w:rPr>
          <w:rFonts w:ascii="Arial" w:hAnsi="Arial" w:cs="Arial"/>
          <w:sz w:val="20"/>
          <w:szCs w:val="20"/>
        </w:rPr>
        <w:t>.</w:t>
      </w:r>
    </w:p>
    <w:p w14:paraId="6A528E43" w14:textId="155A861C" w:rsidR="00AD48C8" w:rsidRPr="00994350" w:rsidRDefault="00E66724" w:rsidP="00370BEE">
      <w:pPr>
        <w:pStyle w:val="NormalWeb"/>
        <w:widowControl w:val="0"/>
        <w:numPr>
          <w:ilvl w:val="0"/>
          <w:numId w:val="3"/>
        </w:numPr>
        <w:spacing w:before="120" w:beforeAutospacing="0" w:after="200" w:afterAutospacing="0"/>
        <w:jc w:val="both"/>
        <w:rPr>
          <w:rFonts w:ascii="Arial" w:hAnsi="Arial" w:cs="Arial"/>
          <w:sz w:val="20"/>
          <w:szCs w:val="20"/>
        </w:rPr>
      </w:pPr>
      <w:r w:rsidRPr="00994350">
        <w:rPr>
          <w:rFonts w:ascii="Arial" w:hAnsi="Arial" w:cs="Arial"/>
          <w:sz w:val="20"/>
          <w:szCs w:val="20"/>
        </w:rPr>
        <w:t>NGC has received regulatory approval</w:t>
      </w:r>
      <w:r w:rsidR="0043478C" w:rsidRPr="00994350">
        <w:rPr>
          <w:rFonts w:ascii="Arial" w:hAnsi="Arial" w:cs="Arial"/>
          <w:sz w:val="20"/>
          <w:szCs w:val="20"/>
        </w:rPr>
        <w:t xml:space="preserve"> to construct </w:t>
      </w:r>
      <w:r w:rsidR="00FB2440" w:rsidRPr="00994350">
        <w:rPr>
          <w:rFonts w:ascii="Arial" w:hAnsi="Arial" w:cs="Arial"/>
          <w:sz w:val="20"/>
          <w:szCs w:val="20"/>
        </w:rPr>
        <w:t>a</w:t>
      </w:r>
      <w:r w:rsidR="0043478C" w:rsidRPr="00994350">
        <w:rPr>
          <w:rFonts w:ascii="Arial" w:hAnsi="Arial" w:cs="Arial"/>
          <w:sz w:val="20"/>
          <w:szCs w:val="20"/>
        </w:rPr>
        <w:t xml:space="preserve"> 20-inch </w:t>
      </w:r>
      <w:r w:rsidR="00AD6EFC" w:rsidRPr="00994350">
        <w:rPr>
          <w:rFonts w:ascii="Arial" w:hAnsi="Arial" w:cs="Arial"/>
          <w:sz w:val="20"/>
          <w:szCs w:val="20"/>
        </w:rPr>
        <w:t xml:space="preserve">natural gas </w:t>
      </w:r>
      <w:r w:rsidR="0043478C" w:rsidRPr="00994350">
        <w:rPr>
          <w:rFonts w:ascii="Arial" w:hAnsi="Arial" w:cs="Arial"/>
          <w:sz w:val="20"/>
          <w:szCs w:val="20"/>
        </w:rPr>
        <w:t xml:space="preserve">pipeline </w:t>
      </w:r>
      <w:r w:rsidR="00831B0D" w:rsidRPr="00994350">
        <w:rPr>
          <w:rFonts w:ascii="Arial" w:hAnsi="Arial" w:cs="Arial"/>
          <w:sz w:val="20"/>
          <w:szCs w:val="20"/>
        </w:rPr>
        <w:t xml:space="preserve">from </w:t>
      </w:r>
      <w:r w:rsidR="00994350" w:rsidRPr="00994350">
        <w:rPr>
          <w:rFonts w:ascii="Arial" w:hAnsi="Arial" w:cs="Arial"/>
          <w:sz w:val="20"/>
          <w:szCs w:val="20"/>
        </w:rPr>
        <w:t xml:space="preserve">our Cascadura surface facility to </w:t>
      </w:r>
      <w:r w:rsidR="00831B0D" w:rsidRPr="00994350">
        <w:rPr>
          <w:rFonts w:ascii="Arial" w:hAnsi="Arial" w:cs="Arial"/>
          <w:sz w:val="20"/>
          <w:szCs w:val="20"/>
        </w:rPr>
        <w:t>the</w:t>
      </w:r>
      <w:r w:rsidR="00FB2440" w:rsidRPr="00994350">
        <w:rPr>
          <w:rFonts w:ascii="Arial" w:hAnsi="Arial" w:cs="Arial"/>
          <w:sz w:val="20"/>
          <w:szCs w:val="20"/>
        </w:rPr>
        <w:t>ir</w:t>
      </w:r>
      <w:r w:rsidR="00994350" w:rsidRPr="00994350">
        <w:rPr>
          <w:rFonts w:ascii="Arial" w:hAnsi="Arial" w:cs="Arial"/>
          <w:sz w:val="20"/>
          <w:szCs w:val="20"/>
        </w:rPr>
        <w:t xml:space="preserve"> onshore transmission pipeline network</w:t>
      </w:r>
      <w:r w:rsidR="0043478C" w:rsidRPr="00994350">
        <w:rPr>
          <w:rFonts w:ascii="Arial" w:hAnsi="Arial" w:cs="Arial"/>
          <w:sz w:val="20"/>
          <w:szCs w:val="20"/>
        </w:rPr>
        <w:t>.</w:t>
      </w:r>
      <w:r w:rsidR="00AD48C8" w:rsidRPr="00994350">
        <w:rPr>
          <w:rFonts w:ascii="Arial" w:hAnsi="Arial" w:cs="Arial"/>
          <w:sz w:val="20"/>
          <w:szCs w:val="20"/>
        </w:rPr>
        <w:t xml:space="preserve"> </w:t>
      </w:r>
    </w:p>
    <w:p w14:paraId="40C508C8" w14:textId="77777777" w:rsidR="008D1280" w:rsidRPr="008D1280" w:rsidRDefault="008D1280" w:rsidP="008D1280">
      <w:pPr>
        <w:spacing w:after="0" w:line="240" w:lineRule="auto"/>
        <w:jc w:val="both"/>
        <w:rPr>
          <w:rFonts w:ascii="Arial" w:eastAsia="Times New Roman" w:hAnsi="Arial" w:cs="Arial"/>
          <w:b/>
          <w:bCs/>
          <w:sz w:val="20"/>
          <w:szCs w:val="20"/>
        </w:rPr>
      </w:pPr>
      <w:r w:rsidRPr="008D1280">
        <w:rPr>
          <w:rFonts w:ascii="Arial" w:eastAsia="Times New Roman" w:hAnsi="Arial" w:cs="Arial"/>
          <w:b/>
          <w:bCs/>
          <w:sz w:val="20"/>
          <w:szCs w:val="20"/>
        </w:rPr>
        <w:t xml:space="preserve">Paul Baay, </w:t>
      </w:r>
      <w:proofErr w:type="gramStart"/>
      <w:r w:rsidRPr="008D1280">
        <w:rPr>
          <w:rFonts w:ascii="Arial" w:eastAsia="Times New Roman" w:hAnsi="Arial" w:cs="Arial"/>
          <w:b/>
          <w:bCs/>
          <w:sz w:val="20"/>
          <w:szCs w:val="20"/>
        </w:rPr>
        <w:t>President</w:t>
      </w:r>
      <w:proofErr w:type="gramEnd"/>
      <w:r w:rsidRPr="008D1280">
        <w:rPr>
          <w:rFonts w:ascii="Arial" w:eastAsia="Times New Roman" w:hAnsi="Arial" w:cs="Arial"/>
          <w:b/>
          <w:bCs/>
          <w:sz w:val="20"/>
          <w:szCs w:val="20"/>
        </w:rPr>
        <w:t xml:space="preserve"> and Chief Executive Officer, commented:</w:t>
      </w:r>
    </w:p>
    <w:p w14:paraId="5DFE7AAC" w14:textId="06B4FBEB" w:rsidR="00AC6C93" w:rsidRDefault="00AC6C93" w:rsidP="008D1280">
      <w:pPr>
        <w:widowControl w:val="0"/>
        <w:spacing w:after="0" w:line="240" w:lineRule="auto"/>
        <w:jc w:val="both"/>
        <w:rPr>
          <w:rFonts w:ascii="Arial" w:hAnsi="Arial" w:cs="Arial"/>
          <w:sz w:val="20"/>
          <w:szCs w:val="20"/>
        </w:rPr>
      </w:pPr>
    </w:p>
    <w:p w14:paraId="7A484892" w14:textId="7E82342D" w:rsidR="00760DC9" w:rsidRDefault="00AC6C93" w:rsidP="00760DC9">
      <w:pPr>
        <w:widowControl w:val="0"/>
        <w:spacing w:after="0" w:line="240" w:lineRule="auto"/>
        <w:jc w:val="both"/>
        <w:rPr>
          <w:rFonts w:ascii="Arial" w:hAnsi="Arial" w:cs="Arial"/>
          <w:i/>
          <w:iCs/>
          <w:sz w:val="20"/>
          <w:szCs w:val="20"/>
        </w:rPr>
      </w:pPr>
      <w:bookmarkStart w:id="0" w:name="_Hlk98517464"/>
      <w:r w:rsidRPr="00AC6C93">
        <w:rPr>
          <w:rFonts w:ascii="Arial" w:hAnsi="Arial" w:cs="Arial"/>
          <w:sz w:val="20"/>
          <w:szCs w:val="20"/>
        </w:rPr>
        <w:t>"</w:t>
      </w:r>
      <w:r w:rsidR="00760DC9" w:rsidRPr="00A34337">
        <w:rPr>
          <w:rFonts w:ascii="Arial" w:hAnsi="Arial" w:cs="Arial"/>
          <w:i/>
          <w:iCs/>
          <w:sz w:val="20"/>
          <w:szCs w:val="20"/>
        </w:rPr>
        <w:t>Our first quarter results reflect</w:t>
      </w:r>
      <w:r w:rsidR="002A6EC4">
        <w:rPr>
          <w:rFonts w:ascii="Arial" w:hAnsi="Arial" w:cs="Arial"/>
          <w:i/>
          <w:iCs/>
          <w:sz w:val="20"/>
          <w:szCs w:val="20"/>
        </w:rPr>
        <w:t>ed</w:t>
      </w:r>
      <w:r w:rsidR="00760DC9" w:rsidRPr="00A34337">
        <w:rPr>
          <w:rFonts w:ascii="Arial" w:hAnsi="Arial" w:cs="Arial"/>
          <w:i/>
          <w:iCs/>
          <w:sz w:val="20"/>
          <w:szCs w:val="20"/>
        </w:rPr>
        <w:t xml:space="preserve"> a combination of increased commodity pricing and higher production volumes from our legacy crude oil properties. Our near-term </w:t>
      </w:r>
      <w:r w:rsidR="00760DC9" w:rsidRPr="00A34337">
        <w:rPr>
          <w:rFonts w:ascii="Arial" w:hAnsi="Arial" w:cs="Arial"/>
          <w:bCs/>
          <w:i/>
          <w:iCs/>
          <w:sz w:val="20"/>
          <w:szCs w:val="20"/>
        </w:rPr>
        <w:t xml:space="preserve">priority is to bring our </w:t>
      </w:r>
      <w:r w:rsidR="00760DC9" w:rsidRPr="00A34337">
        <w:rPr>
          <w:rFonts w:ascii="Arial" w:hAnsi="Arial" w:cs="Arial"/>
          <w:i/>
          <w:iCs/>
          <w:sz w:val="20"/>
          <w:szCs w:val="20"/>
        </w:rPr>
        <w:t xml:space="preserve">Coho and Cascadura </w:t>
      </w:r>
      <w:r w:rsidR="00760DC9" w:rsidRPr="00A34337">
        <w:rPr>
          <w:rFonts w:ascii="Arial" w:hAnsi="Arial" w:cs="Arial"/>
          <w:i/>
          <w:iCs/>
          <w:sz w:val="20"/>
          <w:szCs w:val="20"/>
        </w:rPr>
        <w:lastRenderedPageBreak/>
        <w:t xml:space="preserve">exploration discoveries onto production, with a focus on converting our extensive Trinidad reserve base to </w:t>
      </w:r>
      <w:r w:rsidR="00481860">
        <w:rPr>
          <w:rFonts w:ascii="Arial" w:hAnsi="Arial" w:cs="Arial"/>
          <w:i/>
          <w:iCs/>
          <w:sz w:val="20"/>
          <w:szCs w:val="20"/>
        </w:rPr>
        <w:t xml:space="preserve">sustainable long-term </w:t>
      </w:r>
      <w:r w:rsidR="00760DC9" w:rsidRPr="00A34337">
        <w:rPr>
          <w:rFonts w:ascii="Arial" w:hAnsi="Arial" w:cs="Arial"/>
          <w:i/>
          <w:iCs/>
          <w:sz w:val="20"/>
          <w:szCs w:val="20"/>
        </w:rPr>
        <w:t>cash flows</w:t>
      </w:r>
      <w:r w:rsidR="004F1223" w:rsidRPr="00A34337">
        <w:rPr>
          <w:rFonts w:ascii="Arial" w:hAnsi="Arial" w:cs="Arial"/>
          <w:i/>
          <w:iCs/>
          <w:sz w:val="20"/>
          <w:szCs w:val="20"/>
        </w:rPr>
        <w:t xml:space="preserve"> </w:t>
      </w:r>
      <w:r w:rsidR="00BB6C41">
        <w:rPr>
          <w:rFonts w:ascii="Arial" w:hAnsi="Arial" w:cs="Arial"/>
          <w:i/>
          <w:iCs/>
          <w:sz w:val="20"/>
          <w:szCs w:val="20"/>
        </w:rPr>
        <w:t xml:space="preserve">to </w:t>
      </w:r>
      <w:r w:rsidR="00F9174B">
        <w:rPr>
          <w:rFonts w:ascii="Arial" w:hAnsi="Arial" w:cs="Arial"/>
          <w:i/>
          <w:iCs/>
          <w:sz w:val="20"/>
          <w:szCs w:val="20"/>
        </w:rPr>
        <w:t>fund</w:t>
      </w:r>
      <w:r w:rsidR="00BB6C41">
        <w:rPr>
          <w:rFonts w:ascii="Arial" w:hAnsi="Arial" w:cs="Arial"/>
          <w:i/>
          <w:iCs/>
          <w:sz w:val="20"/>
          <w:szCs w:val="20"/>
        </w:rPr>
        <w:t xml:space="preserve"> our portfolio</w:t>
      </w:r>
      <w:r w:rsidR="004F1223" w:rsidRPr="00A34337">
        <w:rPr>
          <w:rFonts w:ascii="Arial" w:hAnsi="Arial" w:cs="Arial"/>
          <w:i/>
          <w:iCs/>
          <w:sz w:val="20"/>
          <w:szCs w:val="20"/>
        </w:rPr>
        <w:t xml:space="preserve"> </w:t>
      </w:r>
      <w:r w:rsidR="00BB6C41">
        <w:rPr>
          <w:rFonts w:ascii="Arial" w:hAnsi="Arial" w:cs="Arial"/>
          <w:i/>
          <w:iCs/>
          <w:sz w:val="20"/>
          <w:szCs w:val="20"/>
        </w:rPr>
        <w:t xml:space="preserve">of </w:t>
      </w:r>
      <w:r w:rsidR="004F1223" w:rsidRPr="00A34337">
        <w:rPr>
          <w:rFonts w:ascii="Arial" w:hAnsi="Arial" w:cs="Arial"/>
          <w:i/>
          <w:iCs/>
          <w:sz w:val="20"/>
          <w:szCs w:val="20"/>
        </w:rPr>
        <w:t>future development and exploration opportunities.</w:t>
      </w:r>
      <w:r w:rsidR="00466616">
        <w:rPr>
          <w:rFonts w:ascii="Arial" w:hAnsi="Arial" w:cs="Arial"/>
          <w:i/>
          <w:iCs/>
          <w:sz w:val="20"/>
          <w:szCs w:val="20"/>
        </w:rPr>
        <w:t xml:space="preserve"> </w:t>
      </w:r>
      <w:r w:rsidR="00AD48C8">
        <w:rPr>
          <w:rFonts w:ascii="Arial" w:hAnsi="Arial" w:cs="Arial"/>
          <w:i/>
          <w:iCs/>
          <w:sz w:val="20"/>
          <w:szCs w:val="20"/>
        </w:rPr>
        <w:t xml:space="preserve">We are forecasting first gas from Coho imminently, which will represent </w:t>
      </w:r>
      <w:r w:rsidR="005F288D">
        <w:rPr>
          <w:rFonts w:ascii="Arial" w:hAnsi="Arial" w:cs="Arial"/>
          <w:i/>
          <w:iCs/>
          <w:sz w:val="20"/>
          <w:szCs w:val="20"/>
        </w:rPr>
        <w:t>the</w:t>
      </w:r>
      <w:r w:rsidR="00AD48C8">
        <w:rPr>
          <w:rFonts w:ascii="Arial" w:hAnsi="Arial" w:cs="Arial"/>
          <w:i/>
          <w:iCs/>
          <w:sz w:val="20"/>
          <w:szCs w:val="20"/>
        </w:rPr>
        <w:t xml:space="preserve"> </w:t>
      </w:r>
      <w:r w:rsidR="005F288D">
        <w:rPr>
          <w:rFonts w:ascii="Arial" w:hAnsi="Arial" w:cs="Arial"/>
          <w:i/>
          <w:iCs/>
          <w:sz w:val="20"/>
          <w:szCs w:val="20"/>
        </w:rPr>
        <w:t>initial</w:t>
      </w:r>
      <w:r w:rsidR="00AD48C8">
        <w:rPr>
          <w:rFonts w:ascii="Arial" w:hAnsi="Arial" w:cs="Arial"/>
          <w:i/>
          <w:iCs/>
          <w:sz w:val="20"/>
          <w:szCs w:val="20"/>
        </w:rPr>
        <w:t xml:space="preserve"> step change in our production profile. With the approv</w:t>
      </w:r>
      <w:r w:rsidR="001222B0">
        <w:rPr>
          <w:rFonts w:ascii="Arial" w:hAnsi="Arial" w:cs="Arial"/>
          <w:i/>
          <w:iCs/>
          <w:sz w:val="20"/>
          <w:szCs w:val="20"/>
        </w:rPr>
        <w:t>al of</w:t>
      </w:r>
      <w:r w:rsidR="00AD48C8">
        <w:rPr>
          <w:rFonts w:ascii="Arial" w:hAnsi="Arial" w:cs="Arial"/>
          <w:i/>
          <w:iCs/>
          <w:sz w:val="20"/>
          <w:szCs w:val="20"/>
        </w:rPr>
        <w:t xml:space="preserve"> our Cascadura field development plan and our </w:t>
      </w:r>
      <w:r w:rsidR="001222B0">
        <w:rPr>
          <w:rFonts w:ascii="Arial" w:hAnsi="Arial" w:cs="Arial"/>
          <w:i/>
          <w:iCs/>
          <w:sz w:val="20"/>
          <w:szCs w:val="20"/>
        </w:rPr>
        <w:t>E</w:t>
      </w:r>
      <w:r w:rsidR="00BB6C41">
        <w:rPr>
          <w:rFonts w:ascii="Arial" w:hAnsi="Arial" w:cs="Arial"/>
          <w:i/>
          <w:iCs/>
          <w:sz w:val="20"/>
          <w:szCs w:val="20"/>
        </w:rPr>
        <w:t>IA</w:t>
      </w:r>
      <w:r w:rsidR="001222B0">
        <w:rPr>
          <w:rFonts w:ascii="Arial" w:hAnsi="Arial" w:cs="Arial"/>
          <w:i/>
          <w:iCs/>
          <w:sz w:val="20"/>
          <w:szCs w:val="20"/>
        </w:rPr>
        <w:t xml:space="preserve"> in the final stages of documentation and clarification, we are </w:t>
      </w:r>
      <w:r w:rsidR="00BB6C41">
        <w:rPr>
          <w:rFonts w:ascii="Arial" w:hAnsi="Arial" w:cs="Arial"/>
          <w:i/>
          <w:iCs/>
          <w:sz w:val="20"/>
          <w:szCs w:val="20"/>
        </w:rPr>
        <w:t xml:space="preserve">making progress toward bringing our </w:t>
      </w:r>
      <w:r w:rsidR="001222B0">
        <w:rPr>
          <w:rFonts w:ascii="Arial" w:hAnsi="Arial" w:cs="Arial"/>
          <w:i/>
          <w:iCs/>
          <w:sz w:val="20"/>
          <w:szCs w:val="20"/>
        </w:rPr>
        <w:t>Cascadura</w:t>
      </w:r>
      <w:r w:rsidR="00BB6C41">
        <w:rPr>
          <w:rFonts w:ascii="Arial" w:hAnsi="Arial" w:cs="Arial"/>
          <w:i/>
          <w:iCs/>
          <w:sz w:val="20"/>
          <w:szCs w:val="20"/>
        </w:rPr>
        <w:t xml:space="preserve"> discovery onto</w:t>
      </w:r>
      <w:r w:rsidR="001222B0">
        <w:rPr>
          <w:rFonts w:ascii="Arial" w:hAnsi="Arial" w:cs="Arial"/>
          <w:i/>
          <w:iCs/>
          <w:sz w:val="20"/>
          <w:szCs w:val="20"/>
        </w:rPr>
        <w:t xml:space="preserve"> production. </w:t>
      </w:r>
      <w:r w:rsidR="004F1223" w:rsidRPr="00A34337">
        <w:rPr>
          <w:rFonts w:ascii="Arial" w:hAnsi="Arial" w:cs="Arial"/>
          <w:i/>
          <w:iCs/>
          <w:sz w:val="20"/>
          <w:szCs w:val="20"/>
        </w:rPr>
        <w:t>We thank our shareholders for their continued support and look forward to</w:t>
      </w:r>
      <w:r w:rsidR="00BB6C41">
        <w:rPr>
          <w:rFonts w:ascii="Arial" w:hAnsi="Arial" w:cs="Arial"/>
          <w:i/>
          <w:iCs/>
          <w:sz w:val="20"/>
          <w:szCs w:val="20"/>
        </w:rPr>
        <w:t xml:space="preserve"> providing</w:t>
      </w:r>
      <w:r w:rsidR="004F1223" w:rsidRPr="00A34337">
        <w:rPr>
          <w:rFonts w:ascii="Arial" w:hAnsi="Arial" w:cs="Arial"/>
          <w:i/>
          <w:iCs/>
          <w:sz w:val="20"/>
          <w:szCs w:val="20"/>
        </w:rPr>
        <w:t xml:space="preserve"> fu</w:t>
      </w:r>
      <w:r w:rsidR="00BB6C41">
        <w:rPr>
          <w:rFonts w:ascii="Arial" w:hAnsi="Arial" w:cs="Arial"/>
          <w:i/>
          <w:iCs/>
          <w:sz w:val="20"/>
          <w:szCs w:val="20"/>
        </w:rPr>
        <w:t xml:space="preserve">rther </w:t>
      </w:r>
      <w:r w:rsidR="004F1223" w:rsidRPr="00A34337">
        <w:rPr>
          <w:rFonts w:ascii="Arial" w:hAnsi="Arial" w:cs="Arial"/>
          <w:i/>
          <w:iCs/>
          <w:sz w:val="20"/>
          <w:szCs w:val="20"/>
        </w:rPr>
        <w:t xml:space="preserve">updates as we proceed </w:t>
      </w:r>
      <w:r w:rsidR="00BB6C41">
        <w:rPr>
          <w:rFonts w:ascii="Arial" w:hAnsi="Arial" w:cs="Arial"/>
          <w:i/>
          <w:iCs/>
          <w:sz w:val="20"/>
          <w:szCs w:val="20"/>
        </w:rPr>
        <w:t>to execute</w:t>
      </w:r>
      <w:r w:rsidR="004F1223" w:rsidRPr="00A34337">
        <w:rPr>
          <w:rFonts w:ascii="Arial" w:hAnsi="Arial" w:cs="Arial"/>
          <w:i/>
          <w:iCs/>
          <w:sz w:val="20"/>
          <w:szCs w:val="20"/>
        </w:rPr>
        <w:t xml:space="preserve"> our 2022 strategy."</w:t>
      </w:r>
    </w:p>
    <w:p w14:paraId="316DFD43" w14:textId="77777777" w:rsidR="0043478C" w:rsidRPr="0043478C" w:rsidRDefault="0043478C" w:rsidP="00760DC9">
      <w:pPr>
        <w:widowControl w:val="0"/>
        <w:spacing w:after="0" w:line="240" w:lineRule="auto"/>
        <w:jc w:val="both"/>
        <w:rPr>
          <w:rFonts w:ascii="Arial" w:hAnsi="Arial" w:cs="Arial"/>
          <w:sz w:val="20"/>
          <w:szCs w:val="20"/>
        </w:rPr>
      </w:pPr>
    </w:p>
    <w:bookmarkEnd w:id="0"/>
    <w:p w14:paraId="0129DA4B" w14:textId="11E7331B" w:rsidR="00F64C22" w:rsidRDefault="00A34337" w:rsidP="004633FA">
      <w:pPr>
        <w:keepNext/>
        <w:spacing w:after="0" w:line="240" w:lineRule="auto"/>
        <w:rPr>
          <w:rFonts w:ascii="Arial" w:hAnsi="Arial" w:cs="Arial"/>
          <w:b/>
          <w:bCs/>
          <w:sz w:val="20"/>
          <w:szCs w:val="20"/>
        </w:rPr>
      </w:pPr>
      <w:r>
        <w:rPr>
          <w:rFonts w:ascii="Arial" w:hAnsi="Arial" w:cs="Arial"/>
          <w:b/>
          <w:bCs/>
          <w:sz w:val="20"/>
          <w:szCs w:val="20"/>
        </w:rPr>
        <w:t xml:space="preserve">First Quarter 2022 </w:t>
      </w:r>
      <w:r w:rsidR="00F64C22">
        <w:rPr>
          <w:rFonts w:ascii="Arial" w:hAnsi="Arial" w:cs="Arial"/>
          <w:b/>
          <w:bCs/>
          <w:sz w:val="20"/>
          <w:szCs w:val="20"/>
        </w:rPr>
        <w:t>Financial and Operating Results Summary</w:t>
      </w:r>
    </w:p>
    <w:p w14:paraId="14BEC8CE" w14:textId="60793B1C" w:rsidR="00C31155" w:rsidRDefault="00C31155" w:rsidP="004633FA">
      <w:pPr>
        <w:keepNext/>
        <w:spacing w:after="0" w:line="240" w:lineRule="auto"/>
        <w:jc w:val="both"/>
        <w:rPr>
          <w:rFonts w:ascii="Arial" w:eastAsia="Times New Roman" w:hAnsi="Arial" w:cs="Arial"/>
          <w:bCs/>
          <w:iCs/>
          <w:sz w:val="20"/>
          <w:szCs w:val="20"/>
        </w:rPr>
      </w:pPr>
    </w:p>
    <w:tbl>
      <w:tblPr>
        <w:tblW w:w="9360" w:type="dxa"/>
        <w:tblLayout w:type="fixed"/>
        <w:tblLook w:val="0000" w:firstRow="0" w:lastRow="0" w:firstColumn="0" w:lastColumn="0" w:noHBand="0" w:noVBand="0"/>
      </w:tblPr>
      <w:tblGrid>
        <w:gridCol w:w="5504"/>
        <w:gridCol w:w="1497"/>
        <w:gridCol w:w="1497"/>
        <w:gridCol w:w="862"/>
      </w:tblGrid>
      <w:tr w:rsidR="001004FC" w:rsidRPr="001004FC" w14:paraId="4940A7DB" w14:textId="77777777" w:rsidTr="0098366A">
        <w:trPr>
          <w:cantSplit/>
          <w:tblHeader/>
        </w:trPr>
        <w:tc>
          <w:tcPr>
            <w:tcW w:w="5504" w:type="dxa"/>
            <w:vMerge w:val="restart"/>
            <w:tcBorders>
              <w:top w:val="single" w:sz="4" w:space="0" w:color="auto"/>
            </w:tcBorders>
            <w:shd w:val="clear" w:color="auto" w:fill="auto"/>
            <w:vAlign w:val="bottom"/>
          </w:tcPr>
          <w:p w14:paraId="38AEC3F8" w14:textId="77777777" w:rsidR="001004FC" w:rsidRPr="001004FC" w:rsidRDefault="001004FC" w:rsidP="004633FA">
            <w:pPr>
              <w:keepNext/>
              <w:tabs>
                <w:tab w:val="left" w:pos="0"/>
                <w:tab w:val="decimal" w:pos="1166"/>
              </w:tabs>
              <w:spacing w:after="0" w:line="240" w:lineRule="auto"/>
              <w:jc w:val="right"/>
              <w:rPr>
                <w:rFonts w:ascii="Arial" w:eastAsia="Times New Roman" w:hAnsi="Arial" w:cs="Arial"/>
                <w:b/>
                <w:bCs/>
                <w:sz w:val="18"/>
                <w:szCs w:val="18"/>
                <w:lang w:val="en-GB"/>
              </w:rPr>
            </w:pPr>
          </w:p>
        </w:tc>
        <w:tc>
          <w:tcPr>
            <w:tcW w:w="2994" w:type="dxa"/>
            <w:gridSpan w:val="2"/>
            <w:tcBorders>
              <w:top w:val="single" w:sz="4" w:space="0" w:color="auto"/>
            </w:tcBorders>
            <w:vAlign w:val="bottom"/>
          </w:tcPr>
          <w:p w14:paraId="23A0DAB6" w14:textId="77777777" w:rsidR="001004FC" w:rsidRPr="001004FC" w:rsidRDefault="001004FC" w:rsidP="004633FA">
            <w:pPr>
              <w:keepNext/>
              <w:tabs>
                <w:tab w:val="decimal" w:pos="1166"/>
                <w:tab w:val="left" w:pos="2483"/>
              </w:tabs>
              <w:spacing w:after="0" w:line="240" w:lineRule="auto"/>
              <w:ind w:left="-103"/>
              <w:jc w:val="right"/>
              <w:rPr>
                <w:rFonts w:ascii="Arial" w:eastAsia="Times New Roman" w:hAnsi="Arial" w:cs="Arial"/>
                <w:b/>
                <w:sz w:val="18"/>
                <w:szCs w:val="18"/>
                <w:lang w:val="en-GB"/>
              </w:rPr>
            </w:pPr>
            <w:r w:rsidRPr="001004FC">
              <w:rPr>
                <w:rFonts w:ascii="Arial" w:eastAsia="Times New Roman" w:hAnsi="Arial" w:cs="Arial"/>
                <w:b/>
                <w:sz w:val="18"/>
                <w:szCs w:val="18"/>
                <w:lang w:val="en-GB"/>
              </w:rPr>
              <w:t>Three months ended March 31,</w:t>
            </w:r>
          </w:p>
        </w:tc>
        <w:tc>
          <w:tcPr>
            <w:tcW w:w="862" w:type="dxa"/>
            <w:vMerge w:val="restart"/>
            <w:tcBorders>
              <w:top w:val="single" w:sz="4" w:space="0" w:color="auto"/>
            </w:tcBorders>
            <w:vAlign w:val="center"/>
          </w:tcPr>
          <w:p w14:paraId="6CF334E2" w14:textId="77777777" w:rsidR="001004FC" w:rsidRPr="001004FC" w:rsidRDefault="001004FC" w:rsidP="004633FA">
            <w:pPr>
              <w:keepNext/>
              <w:tabs>
                <w:tab w:val="left" w:pos="0"/>
                <w:tab w:val="decimal" w:pos="1166"/>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6"/>
                <w:szCs w:val="16"/>
                <w:lang w:val="en-GB"/>
              </w:rPr>
              <w:t xml:space="preserve">% </w:t>
            </w:r>
            <w:proofErr w:type="gramStart"/>
            <w:r w:rsidRPr="001004FC">
              <w:rPr>
                <w:rFonts w:ascii="Arial" w:eastAsia="Times New Roman" w:hAnsi="Arial" w:cs="Arial"/>
                <w:sz w:val="16"/>
                <w:szCs w:val="16"/>
                <w:lang w:val="en-GB"/>
              </w:rPr>
              <w:t>change</w:t>
            </w:r>
            <w:proofErr w:type="gramEnd"/>
          </w:p>
        </w:tc>
      </w:tr>
      <w:tr w:rsidR="001004FC" w:rsidRPr="001004FC" w14:paraId="54448BFB" w14:textId="77777777" w:rsidTr="0098366A">
        <w:trPr>
          <w:cantSplit/>
          <w:tblHeader/>
        </w:trPr>
        <w:tc>
          <w:tcPr>
            <w:tcW w:w="5504" w:type="dxa"/>
            <w:vMerge/>
            <w:tcBorders>
              <w:bottom w:val="single" w:sz="4" w:space="0" w:color="auto"/>
            </w:tcBorders>
            <w:shd w:val="clear" w:color="auto" w:fill="auto"/>
            <w:vAlign w:val="bottom"/>
          </w:tcPr>
          <w:p w14:paraId="507449CF" w14:textId="77777777" w:rsidR="001004FC" w:rsidRPr="001004FC" w:rsidRDefault="001004FC" w:rsidP="004633FA">
            <w:pPr>
              <w:keepNext/>
              <w:tabs>
                <w:tab w:val="left" w:pos="0"/>
                <w:tab w:val="decimal" w:pos="1166"/>
              </w:tabs>
              <w:spacing w:after="0" w:line="240" w:lineRule="auto"/>
              <w:jc w:val="right"/>
              <w:rPr>
                <w:rFonts w:ascii="Arial" w:eastAsia="Times New Roman" w:hAnsi="Arial" w:cs="Arial"/>
                <w:b/>
                <w:sz w:val="18"/>
                <w:szCs w:val="18"/>
                <w:lang w:val="en-GB"/>
              </w:rPr>
            </w:pPr>
          </w:p>
        </w:tc>
        <w:tc>
          <w:tcPr>
            <w:tcW w:w="1497" w:type="dxa"/>
            <w:tcBorders>
              <w:bottom w:val="single" w:sz="4" w:space="0" w:color="auto"/>
            </w:tcBorders>
            <w:shd w:val="solid" w:color="D9D9D9" w:fill="auto"/>
            <w:vAlign w:val="bottom"/>
          </w:tcPr>
          <w:p w14:paraId="18406E75" w14:textId="77777777" w:rsidR="001004FC" w:rsidRPr="001004FC" w:rsidRDefault="001004FC" w:rsidP="004633FA">
            <w:pPr>
              <w:keepNext/>
              <w:tabs>
                <w:tab w:val="left" w:pos="0"/>
                <w:tab w:val="decimal" w:pos="1166"/>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2022</w:t>
            </w:r>
          </w:p>
        </w:tc>
        <w:tc>
          <w:tcPr>
            <w:tcW w:w="1497" w:type="dxa"/>
            <w:tcBorders>
              <w:bottom w:val="single" w:sz="4" w:space="0" w:color="auto"/>
            </w:tcBorders>
            <w:shd w:val="clear" w:color="auto" w:fill="auto"/>
            <w:vAlign w:val="bottom"/>
          </w:tcPr>
          <w:p w14:paraId="7ADA3353" w14:textId="77777777" w:rsidR="001004FC" w:rsidRPr="001004FC" w:rsidRDefault="001004FC" w:rsidP="004633FA">
            <w:pPr>
              <w:keepNext/>
              <w:tabs>
                <w:tab w:val="left" w:pos="0"/>
                <w:tab w:val="decimal" w:pos="1166"/>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2021</w:t>
            </w:r>
          </w:p>
        </w:tc>
        <w:tc>
          <w:tcPr>
            <w:tcW w:w="862" w:type="dxa"/>
            <w:vMerge/>
            <w:tcBorders>
              <w:bottom w:val="single" w:sz="4" w:space="0" w:color="auto"/>
            </w:tcBorders>
          </w:tcPr>
          <w:p w14:paraId="1FEFF988" w14:textId="77777777" w:rsidR="001004FC" w:rsidRPr="001004FC" w:rsidRDefault="001004FC" w:rsidP="004633FA">
            <w:pPr>
              <w:keepNext/>
              <w:tabs>
                <w:tab w:val="left" w:pos="0"/>
                <w:tab w:val="decimal" w:pos="1166"/>
              </w:tabs>
              <w:spacing w:after="0" w:line="240" w:lineRule="auto"/>
              <w:jc w:val="right"/>
              <w:rPr>
                <w:rFonts w:ascii="Arial" w:eastAsia="Times New Roman" w:hAnsi="Arial" w:cs="Arial"/>
                <w:sz w:val="18"/>
                <w:szCs w:val="18"/>
                <w:lang w:val="en-GB"/>
              </w:rPr>
            </w:pPr>
          </w:p>
        </w:tc>
      </w:tr>
      <w:tr w:rsidR="001004FC" w:rsidRPr="001004FC" w14:paraId="3ADCE49D" w14:textId="77777777" w:rsidTr="0098366A">
        <w:trPr>
          <w:cantSplit/>
          <w:trHeight w:hRule="exact" w:val="115"/>
          <w:tblHeader/>
        </w:trPr>
        <w:tc>
          <w:tcPr>
            <w:tcW w:w="5504" w:type="dxa"/>
            <w:tcBorders>
              <w:top w:val="single" w:sz="4" w:space="0" w:color="auto"/>
            </w:tcBorders>
            <w:shd w:val="clear" w:color="auto" w:fill="auto"/>
          </w:tcPr>
          <w:p w14:paraId="64BAF126"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highlight w:val="yellow"/>
                <w:lang w:val="en-GB"/>
              </w:rPr>
            </w:pPr>
          </w:p>
        </w:tc>
        <w:tc>
          <w:tcPr>
            <w:tcW w:w="1497" w:type="dxa"/>
            <w:tcBorders>
              <w:top w:val="single" w:sz="4" w:space="0" w:color="auto"/>
            </w:tcBorders>
            <w:shd w:val="solid" w:color="D9D9D9" w:fill="auto"/>
          </w:tcPr>
          <w:p w14:paraId="72C23E41"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highlight w:val="yellow"/>
                <w:lang w:val="en-GB"/>
              </w:rPr>
            </w:pPr>
          </w:p>
        </w:tc>
        <w:tc>
          <w:tcPr>
            <w:tcW w:w="1497" w:type="dxa"/>
            <w:tcBorders>
              <w:top w:val="single" w:sz="4" w:space="0" w:color="auto"/>
            </w:tcBorders>
            <w:shd w:val="clear" w:color="auto" w:fill="auto"/>
          </w:tcPr>
          <w:p w14:paraId="20DB42B2"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highlight w:val="yellow"/>
                <w:lang w:val="en-GB"/>
              </w:rPr>
            </w:pPr>
          </w:p>
        </w:tc>
        <w:tc>
          <w:tcPr>
            <w:tcW w:w="862" w:type="dxa"/>
            <w:tcBorders>
              <w:top w:val="single" w:sz="4" w:space="0" w:color="auto"/>
            </w:tcBorders>
          </w:tcPr>
          <w:p w14:paraId="169A5C8A"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316F1AB4" w14:textId="77777777" w:rsidTr="0098366A">
        <w:trPr>
          <w:cantSplit/>
        </w:trPr>
        <w:tc>
          <w:tcPr>
            <w:tcW w:w="5504" w:type="dxa"/>
            <w:shd w:val="clear" w:color="auto" w:fill="auto"/>
          </w:tcPr>
          <w:p w14:paraId="473B23A4"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r w:rsidRPr="001004FC">
              <w:rPr>
                <w:rFonts w:ascii="Arial" w:eastAsia="Times New Roman" w:hAnsi="Arial" w:cs="Arial"/>
                <w:b/>
                <w:sz w:val="18"/>
                <w:szCs w:val="18"/>
                <w:lang w:val="en-GB"/>
              </w:rPr>
              <w:t>Operational</w:t>
            </w:r>
          </w:p>
        </w:tc>
        <w:tc>
          <w:tcPr>
            <w:tcW w:w="1497" w:type="dxa"/>
            <w:shd w:val="solid" w:color="D9D9D9" w:fill="auto"/>
          </w:tcPr>
          <w:p w14:paraId="42D324CB"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highlight w:val="yellow"/>
                <w:lang w:val="en-GB"/>
              </w:rPr>
            </w:pPr>
          </w:p>
        </w:tc>
        <w:tc>
          <w:tcPr>
            <w:tcW w:w="1497" w:type="dxa"/>
            <w:shd w:val="clear" w:color="auto" w:fill="auto"/>
          </w:tcPr>
          <w:p w14:paraId="39374DE6"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highlight w:val="yellow"/>
                <w:lang w:val="en-GB"/>
              </w:rPr>
            </w:pPr>
          </w:p>
        </w:tc>
        <w:tc>
          <w:tcPr>
            <w:tcW w:w="862" w:type="dxa"/>
          </w:tcPr>
          <w:p w14:paraId="19B43557"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339270B5" w14:textId="77777777" w:rsidTr="0098366A">
        <w:trPr>
          <w:cantSplit/>
          <w:trHeight w:hRule="exact" w:val="115"/>
        </w:trPr>
        <w:tc>
          <w:tcPr>
            <w:tcW w:w="5504" w:type="dxa"/>
            <w:shd w:val="clear" w:color="auto" w:fill="auto"/>
          </w:tcPr>
          <w:p w14:paraId="0E604BE7"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p>
        </w:tc>
        <w:tc>
          <w:tcPr>
            <w:tcW w:w="1497" w:type="dxa"/>
            <w:shd w:val="solid" w:color="D9D9D9" w:fill="auto"/>
          </w:tcPr>
          <w:p w14:paraId="1F4C8E99"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shd w:val="clear" w:color="auto" w:fill="auto"/>
          </w:tcPr>
          <w:p w14:paraId="57074777" w14:textId="77777777" w:rsidR="001004FC" w:rsidRPr="001004FC" w:rsidRDefault="001004FC" w:rsidP="004633FA">
            <w:pPr>
              <w:keepNext/>
              <w:tabs>
                <w:tab w:val="decimal" w:pos="957"/>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862" w:type="dxa"/>
          </w:tcPr>
          <w:p w14:paraId="4D4D8FCC"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5C6E40CB" w14:textId="77777777" w:rsidTr="0098366A">
        <w:trPr>
          <w:cantSplit/>
        </w:trPr>
        <w:tc>
          <w:tcPr>
            <w:tcW w:w="5504" w:type="dxa"/>
            <w:shd w:val="clear" w:color="auto" w:fill="auto"/>
          </w:tcPr>
          <w:p w14:paraId="13FAA34D"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Average daily crude oil production</w:t>
            </w:r>
            <w:r w:rsidRPr="001004FC">
              <w:rPr>
                <w:rFonts w:ascii="Arial" w:eastAsia="Times New Roman" w:hAnsi="Arial" w:cs="Arial"/>
                <w:sz w:val="18"/>
                <w:szCs w:val="18"/>
                <w:vertAlign w:val="superscript"/>
                <w:lang w:val="en-GB"/>
              </w:rPr>
              <w:t>(1)</w:t>
            </w:r>
            <w:r w:rsidRPr="001004FC">
              <w:rPr>
                <w:rFonts w:ascii="Arial" w:eastAsia="Times New Roman" w:hAnsi="Arial" w:cs="Arial"/>
                <w:sz w:val="18"/>
                <w:szCs w:val="18"/>
                <w:lang w:val="en-GB"/>
              </w:rPr>
              <w:t xml:space="preserve"> </w:t>
            </w:r>
            <w:r w:rsidRPr="001004FC">
              <w:rPr>
                <w:rFonts w:ascii="Arial" w:eastAsia="Times New Roman" w:hAnsi="Arial" w:cs="Arial"/>
                <w:i/>
                <w:sz w:val="16"/>
                <w:szCs w:val="16"/>
                <w:lang w:val="en-GB"/>
              </w:rPr>
              <w:t>(bbls/d)</w:t>
            </w:r>
          </w:p>
        </w:tc>
        <w:tc>
          <w:tcPr>
            <w:tcW w:w="1497" w:type="dxa"/>
            <w:shd w:val="solid" w:color="D9D9D9" w:fill="auto"/>
            <w:vAlign w:val="center"/>
          </w:tcPr>
          <w:p w14:paraId="115788C2"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1,396</w:t>
            </w:r>
          </w:p>
        </w:tc>
        <w:tc>
          <w:tcPr>
            <w:tcW w:w="1497" w:type="dxa"/>
            <w:shd w:val="clear" w:color="auto" w:fill="auto"/>
            <w:vAlign w:val="center"/>
          </w:tcPr>
          <w:p w14:paraId="66262E66"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1,297</w:t>
            </w:r>
          </w:p>
        </w:tc>
        <w:tc>
          <w:tcPr>
            <w:tcW w:w="862" w:type="dxa"/>
            <w:vAlign w:val="center"/>
          </w:tcPr>
          <w:p w14:paraId="61CEFA89"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8</w:t>
            </w:r>
          </w:p>
        </w:tc>
      </w:tr>
      <w:tr w:rsidR="001004FC" w:rsidRPr="001004FC" w14:paraId="539E4BF6" w14:textId="77777777" w:rsidTr="0098366A">
        <w:trPr>
          <w:cantSplit/>
          <w:trHeight w:hRule="exact" w:val="115"/>
        </w:trPr>
        <w:tc>
          <w:tcPr>
            <w:tcW w:w="5504" w:type="dxa"/>
            <w:shd w:val="clear" w:color="auto" w:fill="auto"/>
          </w:tcPr>
          <w:p w14:paraId="0CB8A296"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p>
        </w:tc>
        <w:tc>
          <w:tcPr>
            <w:tcW w:w="1497" w:type="dxa"/>
            <w:shd w:val="solid" w:color="D9D9D9" w:fill="auto"/>
            <w:vAlign w:val="center"/>
          </w:tcPr>
          <w:p w14:paraId="22420B1E"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5AB14155"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p>
        </w:tc>
        <w:tc>
          <w:tcPr>
            <w:tcW w:w="862" w:type="dxa"/>
            <w:vAlign w:val="center"/>
          </w:tcPr>
          <w:p w14:paraId="5D244600"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7CC0BAE6" w14:textId="77777777" w:rsidTr="0098366A">
        <w:trPr>
          <w:cantSplit/>
        </w:trPr>
        <w:tc>
          <w:tcPr>
            <w:tcW w:w="5504" w:type="dxa"/>
            <w:shd w:val="clear" w:color="auto" w:fill="auto"/>
          </w:tcPr>
          <w:p w14:paraId="7AD4EDA9" w14:textId="2B699C29" w:rsidR="001004FC" w:rsidRPr="001004FC" w:rsidRDefault="004633FA" w:rsidP="004633FA">
            <w:pPr>
              <w:keepNext/>
              <w:tabs>
                <w:tab w:val="left" w:pos="0"/>
                <w:tab w:val="decimal" w:pos="925"/>
                <w:tab w:val="decimal" w:pos="957"/>
              </w:tabs>
              <w:spacing w:after="0" w:line="240" w:lineRule="auto"/>
              <w:rPr>
                <w:rFonts w:ascii="Arial" w:eastAsia="Times New Roman" w:hAnsi="Arial" w:cs="Arial"/>
                <w:b/>
                <w:sz w:val="18"/>
                <w:szCs w:val="18"/>
                <w:lang w:val="en-GB"/>
              </w:rPr>
            </w:pPr>
            <w:r>
              <w:rPr>
                <w:rFonts w:ascii="Arial" w:eastAsia="Times New Roman" w:hAnsi="Arial" w:cs="Arial"/>
                <w:sz w:val="18"/>
                <w:szCs w:val="18"/>
                <w:lang w:val="en-GB"/>
              </w:rPr>
              <w:t xml:space="preserve">Dated </w:t>
            </w:r>
            <w:r w:rsidR="001004FC" w:rsidRPr="001004FC">
              <w:rPr>
                <w:rFonts w:ascii="Arial" w:eastAsia="Times New Roman" w:hAnsi="Arial" w:cs="Arial"/>
                <w:sz w:val="18"/>
                <w:szCs w:val="18"/>
                <w:lang w:val="en-GB"/>
              </w:rPr>
              <w:t>Brent benchmark price</w:t>
            </w:r>
            <w:r w:rsidR="001004FC" w:rsidRPr="001004FC">
              <w:rPr>
                <w:rFonts w:ascii="Arial" w:eastAsia="Times New Roman" w:hAnsi="Arial" w:cs="Arial"/>
                <w:sz w:val="18"/>
                <w:szCs w:val="18"/>
                <w:vertAlign w:val="superscript"/>
                <w:lang w:val="en-GB"/>
              </w:rPr>
              <w:t xml:space="preserve"> </w:t>
            </w:r>
            <w:r w:rsidR="001004FC" w:rsidRPr="001004FC">
              <w:rPr>
                <w:rFonts w:ascii="Arial" w:eastAsia="Times New Roman" w:hAnsi="Arial" w:cs="Arial"/>
                <w:i/>
                <w:sz w:val="16"/>
                <w:szCs w:val="16"/>
                <w:lang w:val="en-GB"/>
              </w:rPr>
              <w:t>($/</w:t>
            </w:r>
            <w:r w:rsidR="00606603">
              <w:rPr>
                <w:rFonts w:ascii="Arial" w:eastAsia="Times New Roman" w:hAnsi="Arial" w:cs="Arial"/>
                <w:i/>
                <w:sz w:val="16"/>
                <w:szCs w:val="16"/>
                <w:lang w:val="en-GB"/>
              </w:rPr>
              <w:t>b</w:t>
            </w:r>
            <w:r>
              <w:rPr>
                <w:rFonts w:ascii="Arial" w:eastAsia="Times New Roman" w:hAnsi="Arial" w:cs="Arial"/>
                <w:i/>
                <w:sz w:val="16"/>
                <w:szCs w:val="16"/>
                <w:lang w:val="en-GB"/>
              </w:rPr>
              <w:t>bl</w:t>
            </w:r>
            <w:r w:rsidR="001004FC" w:rsidRPr="001004FC">
              <w:rPr>
                <w:rFonts w:ascii="Arial" w:eastAsia="Times New Roman" w:hAnsi="Arial" w:cs="Arial"/>
                <w:i/>
                <w:sz w:val="16"/>
                <w:szCs w:val="16"/>
                <w:lang w:val="en-GB"/>
              </w:rPr>
              <w:t>)</w:t>
            </w:r>
          </w:p>
        </w:tc>
        <w:tc>
          <w:tcPr>
            <w:tcW w:w="1497" w:type="dxa"/>
            <w:shd w:val="solid" w:color="D9D9D9" w:fill="auto"/>
            <w:vAlign w:val="center"/>
          </w:tcPr>
          <w:p w14:paraId="55AE6FAB"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100.87</w:t>
            </w:r>
          </w:p>
        </w:tc>
        <w:tc>
          <w:tcPr>
            <w:tcW w:w="1497" w:type="dxa"/>
            <w:shd w:val="clear" w:color="auto" w:fill="auto"/>
            <w:vAlign w:val="center"/>
          </w:tcPr>
          <w:p w14:paraId="1FFED5F4"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61.04</w:t>
            </w:r>
          </w:p>
        </w:tc>
        <w:tc>
          <w:tcPr>
            <w:tcW w:w="862" w:type="dxa"/>
            <w:vAlign w:val="center"/>
          </w:tcPr>
          <w:p w14:paraId="0E62BB86"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65</w:t>
            </w:r>
          </w:p>
        </w:tc>
      </w:tr>
      <w:tr w:rsidR="001004FC" w:rsidRPr="001004FC" w14:paraId="2B6FF65C" w14:textId="77777777" w:rsidTr="0098366A">
        <w:trPr>
          <w:cantSplit/>
          <w:trHeight w:hRule="exact" w:val="115"/>
        </w:trPr>
        <w:tc>
          <w:tcPr>
            <w:tcW w:w="5504" w:type="dxa"/>
            <w:shd w:val="clear" w:color="auto" w:fill="auto"/>
          </w:tcPr>
          <w:p w14:paraId="08CF04BE"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highlight w:val="yellow"/>
                <w:lang w:val="en-GB"/>
              </w:rPr>
            </w:pPr>
          </w:p>
        </w:tc>
        <w:tc>
          <w:tcPr>
            <w:tcW w:w="1497" w:type="dxa"/>
            <w:shd w:val="solid" w:color="D9D9D9" w:fill="auto"/>
            <w:vAlign w:val="center"/>
          </w:tcPr>
          <w:p w14:paraId="08F591D1"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4FE7B985"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Cs/>
                <w:sz w:val="18"/>
                <w:szCs w:val="18"/>
                <w:lang w:val="en-GB"/>
              </w:rPr>
            </w:pPr>
          </w:p>
        </w:tc>
        <w:tc>
          <w:tcPr>
            <w:tcW w:w="862" w:type="dxa"/>
            <w:vAlign w:val="center"/>
          </w:tcPr>
          <w:p w14:paraId="07C4FECF"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770A00A8" w14:textId="77777777" w:rsidTr="0098366A">
        <w:trPr>
          <w:cantSplit/>
        </w:trPr>
        <w:tc>
          <w:tcPr>
            <w:tcW w:w="5504" w:type="dxa"/>
            <w:shd w:val="clear" w:color="auto" w:fill="auto"/>
          </w:tcPr>
          <w:p w14:paraId="014AF2E1" w14:textId="1FF3811E"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highlight w:val="yellow"/>
                <w:lang w:val="en-GB"/>
              </w:rPr>
            </w:pPr>
            <w:r w:rsidRPr="001004FC">
              <w:rPr>
                <w:rFonts w:ascii="Arial" w:eastAsia="Times New Roman" w:hAnsi="Arial" w:cs="Arial"/>
                <w:sz w:val="18"/>
                <w:szCs w:val="18"/>
                <w:lang w:val="en-GB"/>
              </w:rPr>
              <w:t>Operating netback</w:t>
            </w:r>
            <w:r w:rsidRPr="001004FC">
              <w:rPr>
                <w:rFonts w:ascii="Arial" w:eastAsia="Times New Roman" w:hAnsi="Arial" w:cs="Arial"/>
                <w:sz w:val="18"/>
                <w:szCs w:val="18"/>
                <w:vertAlign w:val="superscript"/>
                <w:lang w:val="en-GB"/>
              </w:rPr>
              <w:t xml:space="preserve"> </w:t>
            </w:r>
            <w:r w:rsidRPr="001004FC">
              <w:rPr>
                <w:rFonts w:ascii="Arial" w:eastAsia="Times New Roman" w:hAnsi="Arial" w:cs="Arial"/>
                <w:i/>
                <w:sz w:val="16"/>
                <w:szCs w:val="16"/>
                <w:lang w:val="en-GB"/>
              </w:rPr>
              <w:t>($/</w:t>
            </w:r>
            <w:r w:rsidR="00606603">
              <w:rPr>
                <w:rFonts w:ascii="Arial" w:eastAsia="Times New Roman" w:hAnsi="Arial" w:cs="Arial"/>
                <w:i/>
                <w:sz w:val="16"/>
                <w:szCs w:val="16"/>
                <w:lang w:val="en-GB"/>
              </w:rPr>
              <w:t>b</w:t>
            </w:r>
            <w:r w:rsidR="004633FA">
              <w:rPr>
                <w:rFonts w:ascii="Arial" w:eastAsia="Times New Roman" w:hAnsi="Arial" w:cs="Arial"/>
                <w:i/>
                <w:sz w:val="16"/>
                <w:szCs w:val="16"/>
                <w:lang w:val="en-GB"/>
              </w:rPr>
              <w:t>bl</w:t>
            </w:r>
            <w:r w:rsidRPr="001004FC">
              <w:rPr>
                <w:rFonts w:ascii="Arial" w:eastAsia="Times New Roman" w:hAnsi="Arial" w:cs="Arial"/>
                <w:i/>
                <w:sz w:val="16"/>
                <w:szCs w:val="16"/>
                <w:lang w:val="en-GB"/>
              </w:rPr>
              <w:t>)</w:t>
            </w:r>
          </w:p>
        </w:tc>
        <w:tc>
          <w:tcPr>
            <w:tcW w:w="1497" w:type="dxa"/>
            <w:shd w:val="solid" w:color="D9D9D9" w:fill="auto"/>
            <w:vAlign w:val="center"/>
          </w:tcPr>
          <w:p w14:paraId="335451D8"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44D49679"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Cs/>
                <w:sz w:val="18"/>
                <w:szCs w:val="18"/>
                <w:lang w:val="en-GB"/>
              </w:rPr>
            </w:pPr>
          </w:p>
        </w:tc>
        <w:tc>
          <w:tcPr>
            <w:tcW w:w="862" w:type="dxa"/>
            <w:vAlign w:val="center"/>
          </w:tcPr>
          <w:p w14:paraId="2A9D7E7B"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0ACFC593" w14:textId="77777777" w:rsidTr="0098366A">
        <w:trPr>
          <w:cantSplit/>
        </w:trPr>
        <w:tc>
          <w:tcPr>
            <w:tcW w:w="5504" w:type="dxa"/>
            <w:shd w:val="clear" w:color="auto" w:fill="auto"/>
          </w:tcPr>
          <w:p w14:paraId="55C83447" w14:textId="77777777" w:rsidR="001004FC" w:rsidRPr="001004FC" w:rsidRDefault="001004FC" w:rsidP="004633FA">
            <w:pPr>
              <w:keepNext/>
              <w:tabs>
                <w:tab w:val="left" w:pos="162"/>
                <w:tab w:val="decimal" w:pos="1166"/>
                <w:tab w:val="left" w:pos="7459"/>
                <w:tab w:val="decimal" w:pos="8467"/>
                <w:tab w:val="left" w:pos="8726"/>
                <w:tab w:val="decimal" w:pos="9734"/>
              </w:tabs>
              <w:spacing w:after="0" w:line="240" w:lineRule="auto"/>
              <w:ind w:right="4" w:firstLine="76"/>
              <w:rPr>
                <w:rFonts w:ascii="Arial" w:eastAsia="Times New Roman" w:hAnsi="Arial" w:cs="Arial"/>
                <w:bCs/>
                <w:sz w:val="18"/>
                <w:szCs w:val="18"/>
                <w:lang w:val="en-GB"/>
              </w:rPr>
            </w:pPr>
            <w:r w:rsidRPr="001004FC">
              <w:rPr>
                <w:rFonts w:ascii="Arial" w:eastAsia="Times New Roman" w:hAnsi="Arial" w:cs="Arial"/>
                <w:bCs/>
                <w:sz w:val="18"/>
                <w:szCs w:val="18"/>
                <w:lang w:val="en-GB"/>
              </w:rPr>
              <w:t>Realized sales price</w:t>
            </w:r>
            <w:r w:rsidRPr="001004FC">
              <w:rPr>
                <w:rFonts w:ascii="Arial" w:eastAsia="Times New Roman" w:hAnsi="Arial" w:cs="Arial"/>
                <w:sz w:val="18"/>
                <w:szCs w:val="18"/>
                <w:vertAlign w:val="superscript"/>
                <w:lang w:val="en-GB"/>
              </w:rPr>
              <w:t>(2)</w:t>
            </w:r>
          </w:p>
        </w:tc>
        <w:tc>
          <w:tcPr>
            <w:tcW w:w="1497" w:type="dxa"/>
            <w:shd w:val="solid" w:color="D9D9D9" w:fill="auto"/>
            <w:vAlign w:val="center"/>
          </w:tcPr>
          <w:p w14:paraId="7C8A5C62"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83.55</w:t>
            </w:r>
          </w:p>
        </w:tc>
        <w:tc>
          <w:tcPr>
            <w:tcW w:w="1497" w:type="dxa"/>
            <w:shd w:val="clear" w:color="auto" w:fill="auto"/>
            <w:vAlign w:val="center"/>
          </w:tcPr>
          <w:p w14:paraId="63071E93"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52.43</w:t>
            </w:r>
          </w:p>
        </w:tc>
        <w:tc>
          <w:tcPr>
            <w:tcW w:w="862" w:type="dxa"/>
            <w:vAlign w:val="center"/>
          </w:tcPr>
          <w:p w14:paraId="232CDABA"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59</w:t>
            </w:r>
          </w:p>
        </w:tc>
      </w:tr>
      <w:tr w:rsidR="001004FC" w:rsidRPr="001004FC" w14:paraId="6960E567" w14:textId="77777777" w:rsidTr="0098366A">
        <w:trPr>
          <w:cantSplit/>
        </w:trPr>
        <w:tc>
          <w:tcPr>
            <w:tcW w:w="5504" w:type="dxa"/>
            <w:shd w:val="clear" w:color="auto" w:fill="auto"/>
          </w:tcPr>
          <w:p w14:paraId="5FDB4E20" w14:textId="77777777" w:rsidR="001004FC" w:rsidRPr="001004FC" w:rsidRDefault="001004FC" w:rsidP="004633FA">
            <w:pPr>
              <w:keepNext/>
              <w:tabs>
                <w:tab w:val="left" w:pos="162"/>
                <w:tab w:val="decimal" w:pos="1166"/>
                <w:tab w:val="left" w:pos="7459"/>
                <w:tab w:val="decimal" w:pos="8467"/>
                <w:tab w:val="left" w:pos="8726"/>
                <w:tab w:val="decimal" w:pos="9734"/>
              </w:tabs>
              <w:spacing w:after="0" w:line="240" w:lineRule="auto"/>
              <w:ind w:right="4" w:firstLine="76"/>
              <w:rPr>
                <w:rFonts w:ascii="Arial" w:eastAsia="Times New Roman" w:hAnsi="Arial" w:cs="Arial"/>
                <w:bCs/>
                <w:sz w:val="18"/>
                <w:szCs w:val="18"/>
                <w:lang w:val="en-GB"/>
              </w:rPr>
            </w:pPr>
            <w:r w:rsidRPr="001004FC">
              <w:rPr>
                <w:rFonts w:ascii="Arial" w:eastAsia="Times New Roman" w:hAnsi="Arial" w:cs="Arial"/>
                <w:bCs/>
                <w:sz w:val="18"/>
                <w:szCs w:val="18"/>
                <w:lang w:val="en-GB"/>
              </w:rPr>
              <w:t>Royalties</w:t>
            </w:r>
            <w:r w:rsidRPr="001004FC">
              <w:rPr>
                <w:rFonts w:ascii="Arial" w:eastAsia="Times New Roman" w:hAnsi="Arial" w:cs="Arial"/>
                <w:sz w:val="18"/>
                <w:szCs w:val="18"/>
                <w:vertAlign w:val="superscript"/>
                <w:lang w:val="en-GB"/>
              </w:rPr>
              <w:t>(2)</w:t>
            </w:r>
          </w:p>
        </w:tc>
        <w:tc>
          <w:tcPr>
            <w:tcW w:w="1497" w:type="dxa"/>
            <w:shd w:val="solid" w:color="D9D9D9" w:fill="auto"/>
            <w:vAlign w:val="center"/>
          </w:tcPr>
          <w:p w14:paraId="7B510487"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(28.55)</w:t>
            </w:r>
          </w:p>
        </w:tc>
        <w:tc>
          <w:tcPr>
            <w:tcW w:w="1497" w:type="dxa"/>
            <w:shd w:val="clear" w:color="auto" w:fill="auto"/>
            <w:vAlign w:val="center"/>
          </w:tcPr>
          <w:p w14:paraId="6E27A640"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(15.79)</w:t>
            </w:r>
          </w:p>
        </w:tc>
        <w:tc>
          <w:tcPr>
            <w:tcW w:w="862" w:type="dxa"/>
            <w:vAlign w:val="center"/>
          </w:tcPr>
          <w:p w14:paraId="0221E528"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81</w:t>
            </w:r>
          </w:p>
        </w:tc>
      </w:tr>
      <w:tr w:rsidR="001004FC" w:rsidRPr="001004FC" w14:paraId="616C211C" w14:textId="77777777" w:rsidTr="0098366A">
        <w:trPr>
          <w:cantSplit/>
        </w:trPr>
        <w:tc>
          <w:tcPr>
            <w:tcW w:w="5504" w:type="dxa"/>
            <w:tcBorders>
              <w:bottom w:val="single" w:sz="4" w:space="0" w:color="auto"/>
            </w:tcBorders>
            <w:shd w:val="clear" w:color="auto" w:fill="auto"/>
          </w:tcPr>
          <w:p w14:paraId="454D9143" w14:textId="77777777" w:rsidR="001004FC" w:rsidRPr="001004FC" w:rsidRDefault="001004FC" w:rsidP="004633FA">
            <w:pPr>
              <w:keepNext/>
              <w:tabs>
                <w:tab w:val="left" w:pos="162"/>
                <w:tab w:val="decimal" w:pos="1166"/>
                <w:tab w:val="left" w:pos="7459"/>
                <w:tab w:val="decimal" w:pos="8467"/>
                <w:tab w:val="left" w:pos="8726"/>
                <w:tab w:val="decimal" w:pos="9734"/>
              </w:tabs>
              <w:spacing w:after="0" w:line="240" w:lineRule="auto"/>
              <w:ind w:right="4" w:firstLine="76"/>
              <w:rPr>
                <w:rFonts w:ascii="Arial" w:eastAsia="Times New Roman" w:hAnsi="Arial" w:cs="Arial"/>
                <w:b/>
                <w:sz w:val="18"/>
                <w:szCs w:val="18"/>
                <w:lang w:val="en-GB"/>
              </w:rPr>
            </w:pPr>
            <w:r w:rsidRPr="001004FC">
              <w:rPr>
                <w:rFonts w:ascii="Arial" w:eastAsia="Times New Roman" w:hAnsi="Arial" w:cs="Arial"/>
                <w:sz w:val="18"/>
                <w:szCs w:val="18"/>
                <w:lang w:val="en-GB"/>
              </w:rPr>
              <w:t>Operating expenses</w:t>
            </w:r>
            <w:r w:rsidRPr="001004FC">
              <w:rPr>
                <w:rFonts w:ascii="Arial" w:eastAsia="Times New Roman" w:hAnsi="Arial" w:cs="Arial"/>
                <w:sz w:val="18"/>
                <w:szCs w:val="18"/>
                <w:vertAlign w:val="superscript"/>
                <w:lang w:val="en-GB"/>
              </w:rPr>
              <w:t>(2)</w:t>
            </w:r>
          </w:p>
        </w:tc>
        <w:tc>
          <w:tcPr>
            <w:tcW w:w="1497" w:type="dxa"/>
            <w:tcBorders>
              <w:bottom w:val="single" w:sz="4" w:space="0" w:color="auto"/>
            </w:tcBorders>
            <w:shd w:val="solid" w:color="D9D9D9" w:fill="auto"/>
            <w:vAlign w:val="center"/>
          </w:tcPr>
          <w:p w14:paraId="4BCA96F3"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(17.17)</w:t>
            </w:r>
          </w:p>
        </w:tc>
        <w:tc>
          <w:tcPr>
            <w:tcW w:w="1497" w:type="dxa"/>
            <w:tcBorders>
              <w:bottom w:val="single" w:sz="4" w:space="0" w:color="auto"/>
            </w:tcBorders>
            <w:shd w:val="clear" w:color="auto" w:fill="auto"/>
            <w:vAlign w:val="center"/>
          </w:tcPr>
          <w:p w14:paraId="360DB96D"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(14.66)</w:t>
            </w:r>
          </w:p>
        </w:tc>
        <w:tc>
          <w:tcPr>
            <w:tcW w:w="862" w:type="dxa"/>
            <w:tcBorders>
              <w:bottom w:val="single" w:sz="4" w:space="0" w:color="auto"/>
            </w:tcBorders>
            <w:vAlign w:val="center"/>
          </w:tcPr>
          <w:p w14:paraId="478F5992"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17</w:t>
            </w:r>
          </w:p>
        </w:tc>
      </w:tr>
      <w:tr w:rsidR="001004FC" w:rsidRPr="001004FC" w14:paraId="61E3C087" w14:textId="77777777" w:rsidTr="0098366A">
        <w:trPr>
          <w:cantSplit/>
        </w:trPr>
        <w:tc>
          <w:tcPr>
            <w:tcW w:w="5504" w:type="dxa"/>
            <w:tcBorders>
              <w:top w:val="single" w:sz="4" w:space="0" w:color="auto"/>
              <w:bottom w:val="single" w:sz="4" w:space="0" w:color="auto"/>
            </w:tcBorders>
            <w:shd w:val="clear" w:color="auto" w:fill="auto"/>
          </w:tcPr>
          <w:p w14:paraId="0C3F1EAB"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Cs/>
                <w:sz w:val="18"/>
                <w:szCs w:val="18"/>
                <w:lang w:val="en-GB"/>
              </w:rPr>
            </w:pPr>
            <w:r w:rsidRPr="001004FC">
              <w:rPr>
                <w:rFonts w:ascii="Arial" w:eastAsia="Times New Roman" w:hAnsi="Arial" w:cs="Arial"/>
                <w:bCs/>
                <w:sz w:val="18"/>
                <w:szCs w:val="18"/>
                <w:lang w:val="en-GB"/>
              </w:rPr>
              <w:t>Operating netback</w:t>
            </w:r>
            <w:r w:rsidRPr="001004FC">
              <w:rPr>
                <w:rFonts w:ascii="Arial" w:eastAsia="Times New Roman" w:hAnsi="Arial" w:cs="Arial"/>
                <w:sz w:val="18"/>
                <w:szCs w:val="18"/>
                <w:vertAlign w:val="superscript"/>
                <w:lang w:val="en-GB"/>
              </w:rPr>
              <w:t>(2)</w:t>
            </w:r>
          </w:p>
        </w:tc>
        <w:tc>
          <w:tcPr>
            <w:tcW w:w="1497" w:type="dxa"/>
            <w:tcBorders>
              <w:top w:val="single" w:sz="4" w:space="0" w:color="auto"/>
              <w:bottom w:val="single" w:sz="4" w:space="0" w:color="auto"/>
            </w:tcBorders>
            <w:shd w:val="solid" w:color="D9D9D9" w:fill="auto"/>
            <w:vAlign w:val="center"/>
          </w:tcPr>
          <w:p w14:paraId="6C884462"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37.83</w:t>
            </w:r>
          </w:p>
        </w:tc>
        <w:tc>
          <w:tcPr>
            <w:tcW w:w="1497" w:type="dxa"/>
            <w:tcBorders>
              <w:top w:val="single" w:sz="4" w:space="0" w:color="auto"/>
              <w:bottom w:val="single" w:sz="4" w:space="0" w:color="auto"/>
            </w:tcBorders>
            <w:shd w:val="clear" w:color="auto" w:fill="auto"/>
            <w:vAlign w:val="center"/>
          </w:tcPr>
          <w:p w14:paraId="42B461A2"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21.98</w:t>
            </w:r>
          </w:p>
        </w:tc>
        <w:tc>
          <w:tcPr>
            <w:tcW w:w="862" w:type="dxa"/>
            <w:tcBorders>
              <w:top w:val="single" w:sz="4" w:space="0" w:color="auto"/>
              <w:bottom w:val="single" w:sz="4" w:space="0" w:color="auto"/>
            </w:tcBorders>
            <w:vAlign w:val="center"/>
          </w:tcPr>
          <w:p w14:paraId="1D124B69"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72</w:t>
            </w:r>
          </w:p>
        </w:tc>
      </w:tr>
      <w:tr w:rsidR="001004FC" w:rsidRPr="001004FC" w14:paraId="57EBD8D8" w14:textId="77777777" w:rsidTr="0098366A">
        <w:trPr>
          <w:cantSplit/>
          <w:trHeight w:hRule="exact" w:val="115"/>
        </w:trPr>
        <w:tc>
          <w:tcPr>
            <w:tcW w:w="5504" w:type="dxa"/>
            <w:tcBorders>
              <w:top w:val="single" w:sz="4" w:space="0" w:color="auto"/>
            </w:tcBorders>
            <w:shd w:val="clear" w:color="auto" w:fill="auto"/>
          </w:tcPr>
          <w:p w14:paraId="795DDC86"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highlight w:val="yellow"/>
                <w:lang w:val="en-GB"/>
              </w:rPr>
            </w:pPr>
          </w:p>
        </w:tc>
        <w:tc>
          <w:tcPr>
            <w:tcW w:w="1497" w:type="dxa"/>
            <w:tcBorders>
              <w:top w:val="single" w:sz="4" w:space="0" w:color="auto"/>
            </w:tcBorders>
            <w:shd w:val="solid" w:color="D9D9D9" w:fill="auto"/>
            <w:vAlign w:val="center"/>
          </w:tcPr>
          <w:p w14:paraId="20E1E696"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p>
        </w:tc>
        <w:tc>
          <w:tcPr>
            <w:tcW w:w="1497" w:type="dxa"/>
            <w:tcBorders>
              <w:top w:val="single" w:sz="4" w:space="0" w:color="auto"/>
            </w:tcBorders>
            <w:shd w:val="clear" w:color="auto" w:fill="auto"/>
            <w:vAlign w:val="center"/>
          </w:tcPr>
          <w:p w14:paraId="1557BD2B" w14:textId="77777777" w:rsidR="001004FC" w:rsidRPr="001004FC" w:rsidRDefault="001004FC" w:rsidP="004633FA">
            <w:pPr>
              <w:keepNext/>
              <w:tabs>
                <w:tab w:val="decimal" w:pos="946"/>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tcBorders>
              <w:top w:val="single" w:sz="4" w:space="0" w:color="auto"/>
            </w:tcBorders>
            <w:vAlign w:val="center"/>
          </w:tcPr>
          <w:p w14:paraId="6200E8B2"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1224AF44" w14:textId="77777777" w:rsidTr="0098366A">
        <w:trPr>
          <w:cantSplit/>
          <w:trHeight w:val="115"/>
        </w:trPr>
        <w:tc>
          <w:tcPr>
            <w:tcW w:w="5504" w:type="dxa"/>
            <w:shd w:val="clear" w:color="auto" w:fill="auto"/>
          </w:tcPr>
          <w:p w14:paraId="0DEAAAB1"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highlight w:val="yellow"/>
                <w:lang w:val="en-GB"/>
              </w:rPr>
            </w:pPr>
            <w:r w:rsidRPr="001004FC">
              <w:rPr>
                <w:rFonts w:ascii="Arial" w:eastAsia="Times New Roman" w:hAnsi="Arial" w:cs="Arial"/>
                <w:b/>
                <w:sz w:val="18"/>
                <w:szCs w:val="18"/>
                <w:lang w:val="en-GB"/>
              </w:rPr>
              <w:t xml:space="preserve">Financial </w:t>
            </w:r>
            <w:r w:rsidRPr="001004FC">
              <w:rPr>
                <w:rFonts w:ascii="Arial" w:eastAsia="Times New Roman" w:hAnsi="Arial" w:cs="Arial"/>
                <w:i/>
                <w:sz w:val="16"/>
                <w:szCs w:val="16"/>
                <w:lang w:val="en-GB"/>
              </w:rPr>
              <w:t>($000's except per share amounts)</w:t>
            </w:r>
          </w:p>
        </w:tc>
        <w:tc>
          <w:tcPr>
            <w:tcW w:w="1497" w:type="dxa"/>
            <w:shd w:val="solid" w:color="D9D9D9" w:fill="auto"/>
            <w:vAlign w:val="center"/>
          </w:tcPr>
          <w:p w14:paraId="7EA30211" w14:textId="77777777" w:rsidR="001004FC" w:rsidRPr="001004FC" w:rsidRDefault="001004FC" w:rsidP="004633FA">
            <w:pPr>
              <w:keepNext/>
              <w:tabs>
                <w:tab w:val="left" w:pos="0"/>
                <w:tab w:val="decimal" w:pos="925"/>
                <w:tab w:val="decimal" w:pos="957"/>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4E93481A" w14:textId="77777777" w:rsidR="001004FC" w:rsidRPr="001004FC" w:rsidRDefault="001004FC" w:rsidP="004633FA">
            <w:pPr>
              <w:keepNext/>
              <w:tabs>
                <w:tab w:val="decimal" w:pos="946"/>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vAlign w:val="center"/>
          </w:tcPr>
          <w:p w14:paraId="0341E617"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21531A28" w14:textId="77777777" w:rsidTr="0098366A">
        <w:trPr>
          <w:cantSplit/>
          <w:trHeight w:hRule="exact" w:val="115"/>
        </w:trPr>
        <w:tc>
          <w:tcPr>
            <w:tcW w:w="5504" w:type="dxa"/>
            <w:shd w:val="clear" w:color="auto" w:fill="auto"/>
          </w:tcPr>
          <w:p w14:paraId="24646BF2" w14:textId="77777777" w:rsidR="001004FC" w:rsidRPr="001004FC" w:rsidRDefault="001004FC" w:rsidP="004633FA">
            <w:pPr>
              <w:keepNext/>
              <w:tabs>
                <w:tab w:val="decimal" w:pos="957"/>
                <w:tab w:val="left" w:pos="7459"/>
                <w:tab w:val="decimal" w:pos="8467"/>
                <w:tab w:val="left" w:pos="8726"/>
                <w:tab w:val="decimal" w:pos="9734"/>
              </w:tabs>
              <w:spacing w:after="0" w:line="240" w:lineRule="auto"/>
              <w:rPr>
                <w:rFonts w:ascii="Arial" w:eastAsia="Times New Roman" w:hAnsi="Arial" w:cs="Arial"/>
                <w:b/>
                <w:sz w:val="18"/>
                <w:szCs w:val="18"/>
                <w:highlight w:val="yellow"/>
                <w:lang w:val="en-GB"/>
              </w:rPr>
            </w:pPr>
          </w:p>
        </w:tc>
        <w:tc>
          <w:tcPr>
            <w:tcW w:w="1497" w:type="dxa"/>
            <w:shd w:val="solid" w:color="D9D9D9" w:fill="auto"/>
            <w:vAlign w:val="center"/>
          </w:tcPr>
          <w:p w14:paraId="3B8DDBC9" w14:textId="77777777" w:rsidR="001004FC" w:rsidRPr="001004FC" w:rsidRDefault="001004FC" w:rsidP="004633FA">
            <w:pPr>
              <w:keepNext/>
              <w:tabs>
                <w:tab w:val="decimal" w:pos="958"/>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4C3582B0" w14:textId="77777777" w:rsidR="001004FC" w:rsidRPr="001004FC" w:rsidRDefault="001004FC" w:rsidP="004633FA">
            <w:pPr>
              <w:keepNext/>
              <w:tabs>
                <w:tab w:val="decimal" w:pos="946"/>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vAlign w:val="center"/>
          </w:tcPr>
          <w:p w14:paraId="3BE37D85"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0E079AC3" w14:textId="77777777" w:rsidTr="0098366A">
        <w:trPr>
          <w:cantSplit/>
          <w:trHeight w:val="98"/>
        </w:trPr>
        <w:tc>
          <w:tcPr>
            <w:tcW w:w="5504" w:type="dxa"/>
            <w:shd w:val="clear" w:color="auto" w:fill="auto"/>
          </w:tcPr>
          <w:p w14:paraId="0C1F24E9"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Petroleum sales</w:t>
            </w:r>
          </w:p>
        </w:tc>
        <w:tc>
          <w:tcPr>
            <w:tcW w:w="1497" w:type="dxa"/>
            <w:shd w:val="solid" w:color="D9D9D9" w:fill="auto"/>
            <w:vAlign w:val="center"/>
          </w:tcPr>
          <w:p w14:paraId="21D7B0D9"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10,496</w:t>
            </w:r>
          </w:p>
        </w:tc>
        <w:tc>
          <w:tcPr>
            <w:tcW w:w="1497" w:type="dxa"/>
            <w:shd w:val="clear" w:color="auto" w:fill="auto"/>
            <w:vAlign w:val="center"/>
          </w:tcPr>
          <w:p w14:paraId="6AA84321"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6,120</w:t>
            </w:r>
          </w:p>
        </w:tc>
        <w:tc>
          <w:tcPr>
            <w:tcW w:w="862" w:type="dxa"/>
            <w:vAlign w:val="center"/>
          </w:tcPr>
          <w:p w14:paraId="54244212"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72</w:t>
            </w:r>
          </w:p>
        </w:tc>
      </w:tr>
      <w:tr w:rsidR="001004FC" w:rsidRPr="001004FC" w14:paraId="4497AF5B" w14:textId="77777777" w:rsidTr="0098366A">
        <w:trPr>
          <w:cantSplit/>
          <w:trHeight w:hRule="exact" w:val="115"/>
        </w:trPr>
        <w:tc>
          <w:tcPr>
            <w:tcW w:w="5504" w:type="dxa"/>
            <w:shd w:val="clear" w:color="auto" w:fill="auto"/>
          </w:tcPr>
          <w:p w14:paraId="54C8E5BC"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p>
        </w:tc>
        <w:tc>
          <w:tcPr>
            <w:tcW w:w="1497" w:type="dxa"/>
            <w:shd w:val="solid" w:color="D9D9D9" w:fill="auto"/>
            <w:vAlign w:val="center"/>
          </w:tcPr>
          <w:p w14:paraId="3A222E4C"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4C56DAA6"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vAlign w:val="center"/>
          </w:tcPr>
          <w:p w14:paraId="3B0EDF42"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096E0D72" w14:textId="77777777" w:rsidTr="0098366A">
        <w:trPr>
          <w:cantSplit/>
          <w:trHeight w:val="115"/>
        </w:trPr>
        <w:tc>
          <w:tcPr>
            <w:tcW w:w="5504" w:type="dxa"/>
            <w:shd w:val="clear" w:color="auto" w:fill="auto"/>
          </w:tcPr>
          <w:p w14:paraId="0A2F21BC"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Cash from (used in) operating activities</w:t>
            </w:r>
          </w:p>
        </w:tc>
        <w:tc>
          <w:tcPr>
            <w:tcW w:w="1497" w:type="dxa"/>
            <w:shd w:val="solid" w:color="D9D9D9" w:fill="auto"/>
            <w:vAlign w:val="center"/>
          </w:tcPr>
          <w:p w14:paraId="4D2DDD72"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333</w:t>
            </w:r>
          </w:p>
        </w:tc>
        <w:tc>
          <w:tcPr>
            <w:tcW w:w="1497" w:type="dxa"/>
            <w:shd w:val="clear" w:color="auto" w:fill="auto"/>
            <w:vAlign w:val="center"/>
          </w:tcPr>
          <w:p w14:paraId="7395486F"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(1,234)</w:t>
            </w:r>
          </w:p>
        </w:tc>
        <w:tc>
          <w:tcPr>
            <w:tcW w:w="862" w:type="dxa"/>
            <w:vAlign w:val="center"/>
          </w:tcPr>
          <w:p w14:paraId="4108CB5A"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n/a</w:t>
            </w:r>
          </w:p>
        </w:tc>
      </w:tr>
      <w:tr w:rsidR="001004FC" w:rsidRPr="001004FC" w14:paraId="511046F1" w14:textId="77777777" w:rsidTr="0098366A">
        <w:trPr>
          <w:cantSplit/>
          <w:trHeight w:hRule="exact" w:val="115"/>
        </w:trPr>
        <w:tc>
          <w:tcPr>
            <w:tcW w:w="5504" w:type="dxa"/>
            <w:shd w:val="clear" w:color="auto" w:fill="auto"/>
          </w:tcPr>
          <w:p w14:paraId="5E068868"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p>
        </w:tc>
        <w:tc>
          <w:tcPr>
            <w:tcW w:w="1497" w:type="dxa"/>
            <w:shd w:val="solid" w:color="D9D9D9" w:fill="auto"/>
            <w:vAlign w:val="center"/>
          </w:tcPr>
          <w:p w14:paraId="3BABEE40"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4DDFD960"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vAlign w:val="center"/>
          </w:tcPr>
          <w:p w14:paraId="1FA326B2"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67E99E5D" w14:textId="77777777" w:rsidTr="0098366A">
        <w:trPr>
          <w:cantSplit/>
          <w:trHeight w:val="98"/>
        </w:trPr>
        <w:tc>
          <w:tcPr>
            <w:tcW w:w="5504" w:type="dxa"/>
            <w:shd w:val="clear" w:color="auto" w:fill="auto"/>
          </w:tcPr>
          <w:p w14:paraId="787E61F1"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Funds flow from operations</w:t>
            </w:r>
          </w:p>
        </w:tc>
        <w:tc>
          <w:tcPr>
            <w:tcW w:w="1497" w:type="dxa"/>
            <w:shd w:val="solid" w:color="D9D9D9" w:fill="auto"/>
            <w:vAlign w:val="center"/>
          </w:tcPr>
          <w:p w14:paraId="238044F3"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1,426</w:t>
            </w:r>
          </w:p>
        </w:tc>
        <w:tc>
          <w:tcPr>
            <w:tcW w:w="1497" w:type="dxa"/>
            <w:shd w:val="clear" w:color="auto" w:fill="auto"/>
            <w:vAlign w:val="center"/>
          </w:tcPr>
          <w:p w14:paraId="0AE1F56C"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538</w:t>
            </w:r>
          </w:p>
        </w:tc>
        <w:tc>
          <w:tcPr>
            <w:tcW w:w="862" w:type="dxa"/>
            <w:vAlign w:val="center"/>
          </w:tcPr>
          <w:p w14:paraId="1990ED3B" w14:textId="0FE3A9DE"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1</w:t>
            </w:r>
            <w:r w:rsidR="00714B86">
              <w:rPr>
                <w:rFonts w:ascii="Arial" w:eastAsia="Times New Roman" w:hAnsi="Arial" w:cs="Arial"/>
                <w:sz w:val="18"/>
                <w:szCs w:val="18"/>
                <w:lang w:val="en-GB"/>
              </w:rPr>
              <w:t>65</w:t>
            </w:r>
          </w:p>
        </w:tc>
      </w:tr>
      <w:tr w:rsidR="001004FC" w:rsidRPr="001004FC" w14:paraId="48D678B6" w14:textId="77777777" w:rsidTr="0098366A">
        <w:trPr>
          <w:cantSplit/>
          <w:trHeight w:val="98"/>
        </w:trPr>
        <w:tc>
          <w:tcPr>
            <w:tcW w:w="5504" w:type="dxa"/>
            <w:shd w:val="clear" w:color="auto" w:fill="auto"/>
          </w:tcPr>
          <w:p w14:paraId="086D3CE4" w14:textId="77777777" w:rsidR="001004FC" w:rsidRPr="001004FC" w:rsidRDefault="001004FC" w:rsidP="004633FA">
            <w:pPr>
              <w:keepNext/>
              <w:tabs>
                <w:tab w:val="left" w:pos="162"/>
                <w:tab w:val="decimal" w:pos="1166"/>
                <w:tab w:val="left" w:pos="7459"/>
                <w:tab w:val="decimal" w:pos="8467"/>
                <w:tab w:val="left" w:pos="8726"/>
                <w:tab w:val="decimal" w:pos="9734"/>
              </w:tabs>
              <w:spacing w:after="0" w:line="240" w:lineRule="auto"/>
              <w:ind w:right="4" w:firstLine="76"/>
              <w:rPr>
                <w:rFonts w:ascii="Arial" w:eastAsia="Times New Roman" w:hAnsi="Arial" w:cs="Arial"/>
                <w:b/>
                <w:sz w:val="18"/>
                <w:szCs w:val="18"/>
                <w:lang w:val="en-GB"/>
              </w:rPr>
            </w:pPr>
            <w:r w:rsidRPr="001004FC">
              <w:rPr>
                <w:rFonts w:ascii="Arial" w:eastAsia="Times New Roman" w:hAnsi="Arial" w:cs="Arial"/>
                <w:sz w:val="18"/>
                <w:szCs w:val="18"/>
                <w:lang w:val="en-GB"/>
              </w:rPr>
              <w:t>Per share – basic and diluted</w:t>
            </w:r>
            <w:r w:rsidRPr="001004FC">
              <w:rPr>
                <w:rFonts w:ascii="Arial" w:eastAsia="Times New Roman" w:hAnsi="Arial" w:cs="Arial"/>
                <w:sz w:val="18"/>
                <w:szCs w:val="18"/>
                <w:vertAlign w:val="superscript"/>
                <w:lang w:val="en-GB"/>
              </w:rPr>
              <w:t>(2)</w:t>
            </w:r>
          </w:p>
        </w:tc>
        <w:tc>
          <w:tcPr>
            <w:tcW w:w="1497" w:type="dxa"/>
            <w:shd w:val="solid" w:color="D9D9D9" w:fill="auto"/>
            <w:vAlign w:val="center"/>
          </w:tcPr>
          <w:p w14:paraId="61C5A7E8"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0.01</w:t>
            </w:r>
          </w:p>
        </w:tc>
        <w:tc>
          <w:tcPr>
            <w:tcW w:w="1497" w:type="dxa"/>
            <w:shd w:val="clear" w:color="auto" w:fill="auto"/>
            <w:vAlign w:val="center"/>
          </w:tcPr>
          <w:p w14:paraId="76C74825"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0.00</w:t>
            </w:r>
          </w:p>
        </w:tc>
        <w:tc>
          <w:tcPr>
            <w:tcW w:w="862" w:type="dxa"/>
            <w:vAlign w:val="center"/>
          </w:tcPr>
          <w:p w14:paraId="56279D9D"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n/a</w:t>
            </w:r>
          </w:p>
        </w:tc>
      </w:tr>
      <w:tr w:rsidR="001004FC" w:rsidRPr="001004FC" w14:paraId="16F9F899" w14:textId="77777777" w:rsidTr="0098366A">
        <w:trPr>
          <w:cantSplit/>
          <w:trHeight w:hRule="exact" w:val="115"/>
        </w:trPr>
        <w:tc>
          <w:tcPr>
            <w:tcW w:w="5504" w:type="dxa"/>
            <w:shd w:val="clear" w:color="auto" w:fill="auto"/>
          </w:tcPr>
          <w:p w14:paraId="66E1AE70"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p>
        </w:tc>
        <w:tc>
          <w:tcPr>
            <w:tcW w:w="1497" w:type="dxa"/>
            <w:shd w:val="solid" w:color="D9D9D9" w:fill="auto"/>
            <w:vAlign w:val="center"/>
          </w:tcPr>
          <w:p w14:paraId="7AEDF419"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15BA5520"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vAlign w:val="center"/>
          </w:tcPr>
          <w:p w14:paraId="286071C9"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07F4AF64" w14:textId="77777777" w:rsidTr="0098366A">
        <w:trPr>
          <w:cantSplit/>
          <w:trHeight w:val="98"/>
        </w:trPr>
        <w:tc>
          <w:tcPr>
            <w:tcW w:w="5504" w:type="dxa"/>
            <w:shd w:val="clear" w:color="auto" w:fill="auto"/>
          </w:tcPr>
          <w:p w14:paraId="0EC2D17D"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Net loss</w:t>
            </w:r>
          </w:p>
        </w:tc>
        <w:tc>
          <w:tcPr>
            <w:tcW w:w="1497" w:type="dxa"/>
            <w:shd w:val="solid" w:color="D9D9D9" w:fill="auto"/>
            <w:vAlign w:val="center"/>
          </w:tcPr>
          <w:p w14:paraId="62EB5BF6"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(236)</w:t>
            </w:r>
          </w:p>
        </w:tc>
        <w:tc>
          <w:tcPr>
            <w:tcW w:w="1497" w:type="dxa"/>
            <w:shd w:val="clear" w:color="auto" w:fill="auto"/>
            <w:vAlign w:val="center"/>
          </w:tcPr>
          <w:p w14:paraId="7A33C501"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(460)</w:t>
            </w:r>
          </w:p>
        </w:tc>
        <w:tc>
          <w:tcPr>
            <w:tcW w:w="862" w:type="dxa"/>
            <w:vAlign w:val="center"/>
          </w:tcPr>
          <w:p w14:paraId="2F19B2FF"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(49)</w:t>
            </w:r>
          </w:p>
        </w:tc>
      </w:tr>
      <w:tr w:rsidR="001004FC" w:rsidRPr="001004FC" w14:paraId="51AB81CC" w14:textId="77777777" w:rsidTr="0098366A">
        <w:trPr>
          <w:cantSplit/>
          <w:trHeight w:val="98"/>
        </w:trPr>
        <w:tc>
          <w:tcPr>
            <w:tcW w:w="5504" w:type="dxa"/>
            <w:shd w:val="clear" w:color="auto" w:fill="auto"/>
          </w:tcPr>
          <w:p w14:paraId="50F93F22" w14:textId="77777777" w:rsidR="001004FC" w:rsidRPr="001004FC" w:rsidRDefault="001004FC" w:rsidP="004633FA">
            <w:pPr>
              <w:keepNext/>
              <w:tabs>
                <w:tab w:val="left" w:pos="162"/>
                <w:tab w:val="decimal" w:pos="1166"/>
                <w:tab w:val="left" w:pos="7459"/>
                <w:tab w:val="decimal" w:pos="8467"/>
                <w:tab w:val="left" w:pos="8726"/>
                <w:tab w:val="decimal" w:pos="9734"/>
              </w:tabs>
              <w:spacing w:after="0" w:line="240" w:lineRule="auto"/>
              <w:ind w:right="4" w:firstLine="76"/>
              <w:rPr>
                <w:rFonts w:ascii="Arial" w:eastAsia="Times New Roman" w:hAnsi="Arial" w:cs="Arial"/>
                <w:sz w:val="18"/>
                <w:szCs w:val="18"/>
                <w:lang w:val="en-GB"/>
              </w:rPr>
            </w:pPr>
            <w:r w:rsidRPr="001004FC">
              <w:rPr>
                <w:rFonts w:ascii="Arial" w:eastAsia="Times New Roman" w:hAnsi="Arial" w:cs="Arial"/>
                <w:sz w:val="18"/>
                <w:szCs w:val="18"/>
                <w:lang w:val="en-GB"/>
              </w:rPr>
              <w:t>Per share – basic and diluted</w:t>
            </w:r>
          </w:p>
        </w:tc>
        <w:tc>
          <w:tcPr>
            <w:tcW w:w="1497" w:type="dxa"/>
            <w:shd w:val="solid" w:color="D9D9D9" w:fill="auto"/>
            <w:vAlign w:val="center"/>
          </w:tcPr>
          <w:p w14:paraId="04F7D0D9"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(0.00)</w:t>
            </w:r>
          </w:p>
        </w:tc>
        <w:tc>
          <w:tcPr>
            <w:tcW w:w="1497" w:type="dxa"/>
            <w:shd w:val="clear" w:color="auto" w:fill="auto"/>
            <w:vAlign w:val="center"/>
          </w:tcPr>
          <w:p w14:paraId="3213D1FA"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(0.00)</w:t>
            </w:r>
          </w:p>
        </w:tc>
        <w:tc>
          <w:tcPr>
            <w:tcW w:w="862" w:type="dxa"/>
            <w:vAlign w:val="center"/>
          </w:tcPr>
          <w:p w14:paraId="3D6B1FB0"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w:t>
            </w:r>
          </w:p>
        </w:tc>
      </w:tr>
      <w:tr w:rsidR="001004FC" w:rsidRPr="001004FC" w14:paraId="31C6201E" w14:textId="77777777" w:rsidTr="0098366A">
        <w:trPr>
          <w:cantSplit/>
          <w:trHeight w:hRule="exact" w:val="115"/>
        </w:trPr>
        <w:tc>
          <w:tcPr>
            <w:tcW w:w="5504" w:type="dxa"/>
            <w:shd w:val="clear" w:color="auto" w:fill="auto"/>
          </w:tcPr>
          <w:p w14:paraId="3B9F474D"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p>
        </w:tc>
        <w:tc>
          <w:tcPr>
            <w:tcW w:w="1497" w:type="dxa"/>
            <w:shd w:val="solid" w:color="D9D9D9" w:fill="auto"/>
            <w:vAlign w:val="center"/>
          </w:tcPr>
          <w:p w14:paraId="687F26CB"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shd w:val="clear" w:color="auto" w:fill="auto"/>
            <w:vAlign w:val="center"/>
          </w:tcPr>
          <w:p w14:paraId="71002112"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vAlign w:val="center"/>
          </w:tcPr>
          <w:p w14:paraId="2D019BE3"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4DCF2EAE" w14:textId="77777777" w:rsidTr="0098366A">
        <w:trPr>
          <w:cantSplit/>
          <w:trHeight w:val="98"/>
        </w:trPr>
        <w:tc>
          <w:tcPr>
            <w:tcW w:w="5504" w:type="dxa"/>
            <w:shd w:val="clear" w:color="auto" w:fill="auto"/>
          </w:tcPr>
          <w:p w14:paraId="18CAF1C6"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Exploration capital expenditures</w:t>
            </w:r>
          </w:p>
        </w:tc>
        <w:tc>
          <w:tcPr>
            <w:tcW w:w="1497" w:type="dxa"/>
            <w:shd w:val="solid" w:color="D9D9D9" w:fill="auto"/>
            <w:vAlign w:val="center"/>
          </w:tcPr>
          <w:p w14:paraId="3CA9E85C"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1,874</w:t>
            </w:r>
          </w:p>
        </w:tc>
        <w:tc>
          <w:tcPr>
            <w:tcW w:w="1497" w:type="dxa"/>
            <w:shd w:val="clear" w:color="auto" w:fill="auto"/>
            <w:vAlign w:val="center"/>
          </w:tcPr>
          <w:p w14:paraId="5D43EA6F"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2,954</w:t>
            </w:r>
          </w:p>
        </w:tc>
        <w:tc>
          <w:tcPr>
            <w:tcW w:w="862" w:type="dxa"/>
            <w:vAlign w:val="center"/>
          </w:tcPr>
          <w:p w14:paraId="11859C70"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(37)</w:t>
            </w:r>
          </w:p>
        </w:tc>
      </w:tr>
      <w:tr w:rsidR="001004FC" w:rsidRPr="001004FC" w14:paraId="18EFB8C0" w14:textId="77777777" w:rsidTr="0098366A">
        <w:trPr>
          <w:cantSplit/>
          <w:trHeight w:val="98"/>
        </w:trPr>
        <w:tc>
          <w:tcPr>
            <w:tcW w:w="5504" w:type="dxa"/>
            <w:tcBorders>
              <w:bottom w:val="single" w:sz="4" w:space="0" w:color="auto"/>
            </w:tcBorders>
            <w:shd w:val="clear" w:color="auto" w:fill="auto"/>
          </w:tcPr>
          <w:p w14:paraId="203EB9AE"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Development capital expenditures</w:t>
            </w:r>
          </w:p>
        </w:tc>
        <w:tc>
          <w:tcPr>
            <w:tcW w:w="1497" w:type="dxa"/>
            <w:tcBorders>
              <w:bottom w:val="single" w:sz="4" w:space="0" w:color="auto"/>
            </w:tcBorders>
            <w:shd w:val="solid" w:color="D9D9D9" w:fill="auto"/>
            <w:vAlign w:val="center"/>
          </w:tcPr>
          <w:p w14:paraId="21661457"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680</w:t>
            </w:r>
          </w:p>
        </w:tc>
        <w:tc>
          <w:tcPr>
            <w:tcW w:w="1497" w:type="dxa"/>
            <w:tcBorders>
              <w:bottom w:val="single" w:sz="4" w:space="0" w:color="auto"/>
            </w:tcBorders>
            <w:shd w:val="clear" w:color="auto" w:fill="auto"/>
            <w:vAlign w:val="center"/>
          </w:tcPr>
          <w:p w14:paraId="6427160F"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127</w:t>
            </w:r>
          </w:p>
        </w:tc>
        <w:tc>
          <w:tcPr>
            <w:tcW w:w="862" w:type="dxa"/>
            <w:tcBorders>
              <w:bottom w:val="single" w:sz="4" w:space="0" w:color="auto"/>
            </w:tcBorders>
            <w:vAlign w:val="center"/>
          </w:tcPr>
          <w:p w14:paraId="4A863017" w14:textId="50B6589B" w:rsidR="001004FC" w:rsidRPr="001004FC" w:rsidRDefault="00714B86"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Pr>
                <w:rFonts w:ascii="Arial" w:eastAsia="Times New Roman" w:hAnsi="Arial" w:cs="Arial"/>
                <w:sz w:val="18"/>
                <w:szCs w:val="18"/>
                <w:lang w:val="en-GB"/>
              </w:rPr>
              <w:t>435</w:t>
            </w:r>
          </w:p>
        </w:tc>
      </w:tr>
      <w:tr w:rsidR="001004FC" w:rsidRPr="001004FC" w14:paraId="1B23A16B" w14:textId="77777777" w:rsidTr="0098366A">
        <w:trPr>
          <w:cantSplit/>
          <w:trHeight w:val="98"/>
        </w:trPr>
        <w:tc>
          <w:tcPr>
            <w:tcW w:w="5504" w:type="dxa"/>
            <w:tcBorders>
              <w:top w:val="single" w:sz="4" w:space="0" w:color="auto"/>
              <w:bottom w:val="single" w:sz="4" w:space="0" w:color="auto"/>
            </w:tcBorders>
            <w:shd w:val="clear" w:color="auto" w:fill="auto"/>
          </w:tcPr>
          <w:p w14:paraId="3F8F61C9" w14:textId="77777777" w:rsidR="001004FC" w:rsidRPr="001004FC" w:rsidRDefault="001004FC" w:rsidP="004633FA">
            <w:pPr>
              <w:keepNext/>
              <w:tabs>
                <w:tab w:val="left" w:pos="0"/>
                <w:tab w:val="decimal" w:pos="925"/>
                <w:tab w:val="decimal" w:pos="957"/>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Capital expenditures</w:t>
            </w:r>
          </w:p>
        </w:tc>
        <w:tc>
          <w:tcPr>
            <w:tcW w:w="1497" w:type="dxa"/>
            <w:tcBorders>
              <w:top w:val="single" w:sz="4" w:space="0" w:color="auto"/>
              <w:bottom w:val="single" w:sz="4" w:space="0" w:color="auto"/>
            </w:tcBorders>
            <w:shd w:val="solid" w:color="D9D9D9" w:fill="auto"/>
            <w:vAlign w:val="center"/>
          </w:tcPr>
          <w:p w14:paraId="7AA73328"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2,554</w:t>
            </w:r>
          </w:p>
        </w:tc>
        <w:tc>
          <w:tcPr>
            <w:tcW w:w="1497" w:type="dxa"/>
            <w:tcBorders>
              <w:top w:val="single" w:sz="4" w:space="0" w:color="auto"/>
              <w:bottom w:val="single" w:sz="4" w:space="0" w:color="auto"/>
            </w:tcBorders>
            <w:shd w:val="clear" w:color="auto" w:fill="auto"/>
            <w:vAlign w:val="center"/>
          </w:tcPr>
          <w:p w14:paraId="7B628F3F"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3,081</w:t>
            </w:r>
          </w:p>
        </w:tc>
        <w:tc>
          <w:tcPr>
            <w:tcW w:w="862" w:type="dxa"/>
            <w:tcBorders>
              <w:top w:val="single" w:sz="4" w:space="0" w:color="auto"/>
              <w:bottom w:val="single" w:sz="4" w:space="0" w:color="auto"/>
            </w:tcBorders>
            <w:vAlign w:val="center"/>
          </w:tcPr>
          <w:p w14:paraId="0F1E5EB3"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(17)</w:t>
            </w:r>
          </w:p>
        </w:tc>
      </w:tr>
      <w:tr w:rsidR="001004FC" w:rsidRPr="001004FC" w14:paraId="55A0B647" w14:textId="77777777" w:rsidTr="0098366A">
        <w:trPr>
          <w:cantSplit/>
          <w:trHeight w:hRule="exact" w:val="115"/>
        </w:trPr>
        <w:tc>
          <w:tcPr>
            <w:tcW w:w="5504" w:type="dxa"/>
            <w:tcBorders>
              <w:top w:val="single" w:sz="4" w:space="0" w:color="auto"/>
            </w:tcBorders>
            <w:shd w:val="clear" w:color="auto" w:fill="auto"/>
          </w:tcPr>
          <w:p w14:paraId="40F435AD"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tcBorders>
              <w:top w:val="single" w:sz="4" w:space="0" w:color="auto"/>
            </w:tcBorders>
            <w:shd w:val="solid" w:color="D9D9D9" w:fill="auto"/>
            <w:vAlign w:val="center"/>
          </w:tcPr>
          <w:p w14:paraId="73BC0357"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p>
        </w:tc>
        <w:tc>
          <w:tcPr>
            <w:tcW w:w="1497" w:type="dxa"/>
            <w:tcBorders>
              <w:top w:val="single" w:sz="4" w:space="0" w:color="auto"/>
            </w:tcBorders>
            <w:shd w:val="clear" w:color="auto" w:fill="auto"/>
            <w:vAlign w:val="center"/>
          </w:tcPr>
          <w:p w14:paraId="0ED9041D"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p>
        </w:tc>
        <w:tc>
          <w:tcPr>
            <w:tcW w:w="862" w:type="dxa"/>
            <w:tcBorders>
              <w:top w:val="single" w:sz="4" w:space="0" w:color="auto"/>
            </w:tcBorders>
            <w:vAlign w:val="center"/>
          </w:tcPr>
          <w:p w14:paraId="367F8867"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r>
      <w:tr w:rsidR="001004FC" w:rsidRPr="001004FC" w14:paraId="54EC09D6" w14:textId="77777777" w:rsidTr="0098366A">
        <w:trPr>
          <w:cantSplit/>
          <w:trHeight w:val="98"/>
        </w:trPr>
        <w:tc>
          <w:tcPr>
            <w:tcW w:w="5504" w:type="dxa"/>
            <w:shd w:val="clear" w:color="auto" w:fill="auto"/>
          </w:tcPr>
          <w:p w14:paraId="117D99FD"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Working capital surplus</w:t>
            </w:r>
            <w:r w:rsidRPr="001004FC">
              <w:rPr>
                <w:rFonts w:ascii="Arial" w:eastAsia="Times New Roman" w:hAnsi="Arial" w:cs="Arial"/>
                <w:sz w:val="18"/>
                <w:szCs w:val="18"/>
                <w:vertAlign w:val="superscript"/>
                <w:lang w:val="en-GB"/>
              </w:rPr>
              <w:t>(2)</w:t>
            </w:r>
          </w:p>
        </w:tc>
        <w:tc>
          <w:tcPr>
            <w:tcW w:w="1497" w:type="dxa"/>
            <w:shd w:val="solid" w:color="D9D9D9" w:fill="auto"/>
            <w:vAlign w:val="center"/>
          </w:tcPr>
          <w:p w14:paraId="1A892A5F"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(4,259)</w:t>
            </w:r>
          </w:p>
        </w:tc>
        <w:tc>
          <w:tcPr>
            <w:tcW w:w="1497" w:type="dxa"/>
            <w:shd w:val="clear" w:color="auto" w:fill="auto"/>
            <w:vAlign w:val="center"/>
          </w:tcPr>
          <w:p w14:paraId="1B2B3F7A"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(10,552)</w:t>
            </w:r>
          </w:p>
        </w:tc>
        <w:tc>
          <w:tcPr>
            <w:tcW w:w="862" w:type="dxa"/>
            <w:vAlign w:val="center"/>
          </w:tcPr>
          <w:p w14:paraId="652EF14D"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(60)</w:t>
            </w:r>
          </w:p>
        </w:tc>
      </w:tr>
      <w:tr w:rsidR="001004FC" w:rsidRPr="001004FC" w14:paraId="21B45A36" w14:textId="77777777" w:rsidTr="0098366A">
        <w:trPr>
          <w:cantSplit/>
          <w:trHeight w:val="98"/>
        </w:trPr>
        <w:tc>
          <w:tcPr>
            <w:tcW w:w="5504" w:type="dxa"/>
            <w:shd w:val="clear" w:color="auto" w:fill="auto"/>
          </w:tcPr>
          <w:p w14:paraId="7E424209"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Principal long-term balance of term loan</w:t>
            </w:r>
          </w:p>
        </w:tc>
        <w:tc>
          <w:tcPr>
            <w:tcW w:w="1497" w:type="dxa"/>
            <w:shd w:val="solid" w:color="D9D9D9" w:fill="auto"/>
            <w:vAlign w:val="center"/>
          </w:tcPr>
          <w:p w14:paraId="4EEC57AB"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25,500</w:t>
            </w:r>
          </w:p>
        </w:tc>
        <w:tc>
          <w:tcPr>
            <w:tcW w:w="1497" w:type="dxa"/>
            <w:shd w:val="clear" w:color="auto" w:fill="auto"/>
            <w:vAlign w:val="center"/>
          </w:tcPr>
          <w:p w14:paraId="5BEC1376"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7,500</w:t>
            </w:r>
          </w:p>
        </w:tc>
        <w:tc>
          <w:tcPr>
            <w:tcW w:w="862" w:type="dxa"/>
            <w:vAlign w:val="center"/>
          </w:tcPr>
          <w:p w14:paraId="0AB375A1" w14:textId="3C97C7F3" w:rsidR="001004FC" w:rsidRPr="001004FC" w:rsidRDefault="00714B86"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Pr>
                <w:rFonts w:ascii="Arial" w:eastAsia="Times New Roman" w:hAnsi="Arial" w:cs="Arial"/>
                <w:sz w:val="18"/>
                <w:szCs w:val="18"/>
                <w:lang w:val="en-GB"/>
              </w:rPr>
              <w:t>240</w:t>
            </w:r>
          </w:p>
        </w:tc>
      </w:tr>
      <w:tr w:rsidR="001004FC" w:rsidRPr="001004FC" w14:paraId="428C4D20" w14:textId="77777777" w:rsidTr="0098366A">
        <w:trPr>
          <w:cantSplit/>
          <w:trHeight w:val="98"/>
        </w:trPr>
        <w:tc>
          <w:tcPr>
            <w:tcW w:w="5504" w:type="dxa"/>
            <w:tcBorders>
              <w:top w:val="single" w:sz="4" w:space="0" w:color="auto"/>
              <w:bottom w:val="single" w:sz="4" w:space="0" w:color="auto"/>
            </w:tcBorders>
            <w:shd w:val="clear" w:color="auto" w:fill="auto"/>
          </w:tcPr>
          <w:p w14:paraId="1EF5905A" w14:textId="77777777" w:rsidR="001004FC" w:rsidRPr="001004FC" w:rsidRDefault="001004FC" w:rsidP="004633FA">
            <w:pPr>
              <w:keepNext/>
              <w:tabs>
                <w:tab w:val="decimal" w:pos="925"/>
                <w:tab w:val="left" w:pos="7459"/>
                <w:tab w:val="decimal" w:pos="8467"/>
                <w:tab w:val="left" w:pos="8726"/>
                <w:tab w:val="decimal" w:pos="9734"/>
              </w:tabs>
              <w:spacing w:after="0" w:line="240" w:lineRule="auto"/>
              <w:rPr>
                <w:rFonts w:ascii="Arial" w:eastAsia="Times New Roman" w:hAnsi="Arial" w:cs="Arial"/>
                <w:b/>
                <w:sz w:val="18"/>
                <w:szCs w:val="18"/>
                <w:lang w:val="en-GB"/>
              </w:rPr>
            </w:pPr>
            <w:r w:rsidRPr="001004FC">
              <w:rPr>
                <w:rFonts w:ascii="Arial" w:eastAsia="Times New Roman" w:hAnsi="Arial" w:cs="Arial"/>
                <w:sz w:val="18"/>
                <w:szCs w:val="18"/>
                <w:lang w:val="en-GB"/>
              </w:rPr>
              <w:t>Net debt (surplus)</w:t>
            </w:r>
            <w:r w:rsidRPr="001004FC">
              <w:rPr>
                <w:rFonts w:ascii="Arial" w:eastAsia="Times New Roman" w:hAnsi="Arial" w:cs="Arial"/>
                <w:sz w:val="18"/>
                <w:szCs w:val="18"/>
                <w:vertAlign w:val="superscript"/>
                <w:lang w:val="en-GB"/>
              </w:rPr>
              <w:t xml:space="preserve">(2) </w:t>
            </w:r>
            <w:r w:rsidRPr="001004FC">
              <w:rPr>
                <w:rFonts w:ascii="Arial" w:eastAsia="Times New Roman" w:hAnsi="Arial" w:cs="Arial"/>
                <w:sz w:val="18"/>
                <w:szCs w:val="18"/>
                <w:lang w:val="en-GB"/>
              </w:rPr>
              <w:t>– end of period</w:t>
            </w:r>
          </w:p>
        </w:tc>
        <w:tc>
          <w:tcPr>
            <w:tcW w:w="1497" w:type="dxa"/>
            <w:tcBorders>
              <w:top w:val="single" w:sz="4" w:space="0" w:color="auto"/>
              <w:bottom w:val="single" w:sz="4" w:space="0" w:color="auto"/>
            </w:tcBorders>
            <w:shd w:val="solid" w:color="D9D9D9" w:fill="auto"/>
            <w:vAlign w:val="center"/>
          </w:tcPr>
          <w:p w14:paraId="4DAF9227"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
                <w:sz w:val="18"/>
                <w:szCs w:val="18"/>
                <w:lang w:val="en-GB"/>
              </w:rPr>
            </w:pPr>
            <w:r w:rsidRPr="001004FC">
              <w:rPr>
                <w:rFonts w:ascii="Arial" w:eastAsia="Times New Roman" w:hAnsi="Arial" w:cs="Arial"/>
                <w:b/>
                <w:sz w:val="18"/>
                <w:szCs w:val="18"/>
                <w:lang w:val="en-GB"/>
              </w:rPr>
              <w:t>21,241</w:t>
            </w:r>
          </w:p>
        </w:tc>
        <w:tc>
          <w:tcPr>
            <w:tcW w:w="1497" w:type="dxa"/>
            <w:tcBorders>
              <w:top w:val="single" w:sz="4" w:space="0" w:color="auto"/>
              <w:bottom w:val="single" w:sz="4" w:space="0" w:color="auto"/>
            </w:tcBorders>
            <w:shd w:val="clear" w:color="auto" w:fill="auto"/>
            <w:vAlign w:val="center"/>
          </w:tcPr>
          <w:p w14:paraId="6386CA9E"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(3,052)</w:t>
            </w:r>
          </w:p>
        </w:tc>
        <w:tc>
          <w:tcPr>
            <w:tcW w:w="862" w:type="dxa"/>
            <w:tcBorders>
              <w:top w:val="single" w:sz="4" w:space="0" w:color="auto"/>
              <w:bottom w:val="single" w:sz="4" w:space="0" w:color="auto"/>
            </w:tcBorders>
            <w:vAlign w:val="center"/>
          </w:tcPr>
          <w:p w14:paraId="4517F12E" w14:textId="77777777" w:rsidR="001004FC" w:rsidRPr="001004FC" w:rsidRDefault="001004FC" w:rsidP="004633FA">
            <w:pPr>
              <w:keepNext/>
              <w:tabs>
                <w:tab w:val="decimal" w:pos="603"/>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r w:rsidRPr="001004FC">
              <w:rPr>
                <w:rFonts w:ascii="Arial" w:eastAsia="Times New Roman" w:hAnsi="Arial" w:cs="Arial"/>
                <w:sz w:val="18"/>
                <w:szCs w:val="18"/>
                <w:lang w:val="en-GB"/>
              </w:rPr>
              <w:t>n/a</w:t>
            </w:r>
          </w:p>
        </w:tc>
      </w:tr>
      <w:tr w:rsidR="001004FC" w:rsidRPr="001004FC" w14:paraId="17F2EF94" w14:textId="77777777" w:rsidTr="0098366A">
        <w:trPr>
          <w:cantSplit/>
          <w:trHeight w:hRule="exact" w:val="115"/>
        </w:trPr>
        <w:tc>
          <w:tcPr>
            <w:tcW w:w="5504" w:type="dxa"/>
            <w:tcBorders>
              <w:top w:val="single" w:sz="4" w:space="0" w:color="auto"/>
            </w:tcBorders>
            <w:shd w:val="clear" w:color="auto" w:fill="auto"/>
          </w:tcPr>
          <w:p w14:paraId="1B778F2E" w14:textId="77777777" w:rsidR="001004FC" w:rsidRPr="001004FC" w:rsidRDefault="001004FC" w:rsidP="004633FA">
            <w:pPr>
              <w:keepNext/>
              <w:tabs>
                <w:tab w:val="left" w:pos="0"/>
                <w:tab w:val="decimal" w:pos="925"/>
                <w:tab w:val="decimal" w:pos="970"/>
              </w:tabs>
              <w:spacing w:after="0" w:line="240" w:lineRule="auto"/>
              <w:ind w:right="-20"/>
              <w:jc w:val="right"/>
              <w:rPr>
                <w:rFonts w:ascii="Arial" w:eastAsia="Times New Roman" w:hAnsi="Arial" w:cs="Arial"/>
                <w:b/>
                <w:sz w:val="18"/>
                <w:szCs w:val="18"/>
                <w:highlight w:val="yellow"/>
                <w:lang w:val="en-GB"/>
              </w:rPr>
            </w:pPr>
          </w:p>
        </w:tc>
        <w:tc>
          <w:tcPr>
            <w:tcW w:w="1497" w:type="dxa"/>
            <w:tcBorders>
              <w:top w:val="single" w:sz="4" w:space="0" w:color="auto"/>
            </w:tcBorders>
            <w:shd w:val="solid" w:color="D9D9D9" w:fill="auto"/>
            <w:vAlign w:val="center"/>
          </w:tcPr>
          <w:p w14:paraId="54BCA749" w14:textId="77777777" w:rsidR="001004FC" w:rsidRPr="001004FC" w:rsidRDefault="001004FC" w:rsidP="004633FA">
            <w:pPr>
              <w:keepNext/>
              <w:tabs>
                <w:tab w:val="left" w:pos="0"/>
                <w:tab w:val="decimal" w:pos="925"/>
                <w:tab w:val="decimal" w:pos="972"/>
              </w:tabs>
              <w:spacing w:after="0" w:line="240" w:lineRule="auto"/>
              <w:ind w:right="-20"/>
              <w:jc w:val="right"/>
              <w:rPr>
                <w:rFonts w:ascii="Arial" w:eastAsia="Times New Roman" w:hAnsi="Arial" w:cs="Arial"/>
                <w:b/>
                <w:sz w:val="18"/>
                <w:szCs w:val="18"/>
                <w:lang w:val="en-GB"/>
              </w:rPr>
            </w:pPr>
          </w:p>
        </w:tc>
        <w:tc>
          <w:tcPr>
            <w:tcW w:w="1497" w:type="dxa"/>
            <w:tcBorders>
              <w:top w:val="single" w:sz="4" w:space="0" w:color="auto"/>
            </w:tcBorders>
            <w:shd w:val="clear" w:color="auto" w:fill="auto"/>
            <w:vAlign w:val="center"/>
          </w:tcPr>
          <w:p w14:paraId="646A719C"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p>
        </w:tc>
        <w:tc>
          <w:tcPr>
            <w:tcW w:w="862" w:type="dxa"/>
            <w:tcBorders>
              <w:top w:val="single" w:sz="4" w:space="0" w:color="auto"/>
            </w:tcBorders>
            <w:vAlign w:val="center"/>
          </w:tcPr>
          <w:p w14:paraId="6295628F"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31D36BE0" w14:textId="77777777" w:rsidTr="0098366A">
        <w:trPr>
          <w:cantSplit/>
          <w:trHeight w:val="115"/>
        </w:trPr>
        <w:tc>
          <w:tcPr>
            <w:tcW w:w="5504" w:type="dxa"/>
            <w:shd w:val="clear" w:color="auto" w:fill="auto"/>
          </w:tcPr>
          <w:p w14:paraId="5DDDBC42" w14:textId="77777777" w:rsidR="001004FC" w:rsidRPr="001004FC" w:rsidRDefault="001004FC" w:rsidP="004633FA">
            <w:pPr>
              <w:keepNext/>
              <w:tabs>
                <w:tab w:val="left" w:pos="0"/>
                <w:tab w:val="decimal" w:pos="925"/>
                <w:tab w:val="decimal" w:pos="970"/>
              </w:tabs>
              <w:spacing w:after="0" w:line="240" w:lineRule="auto"/>
              <w:ind w:right="-20"/>
              <w:rPr>
                <w:rFonts w:ascii="Arial" w:eastAsia="Times New Roman" w:hAnsi="Arial" w:cs="Arial"/>
                <w:b/>
                <w:sz w:val="18"/>
                <w:szCs w:val="18"/>
                <w:highlight w:val="yellow"/>
                <w:lang w:val="en-GB"/>
              </w:rPr>
            </w:pPr>
            <w:r w:rsidRPr="001004FC">
              <w:rPr>
                <w:rFonts w:ascii="Arial" w:eastAsia="Times New Roman" w:hAnsi="Arial" w:cs="Arial"/>
                <w:b/>
                <w:sz w:val="18"/>
                <w:szCs w:val="18"/>
                <w:lang w:val="en-GB"/>
              </w:rPr>
              <w:t xml:space="preserve">Share Information </w:t>
            </w:r>
            <w:r w:rsidRPr="001004FC">
              <w:rPr>
                <w:rFonts w:ascii="Arial" w:eastAsia="Times New Roman" w:hAnsi="Arial" w:cs="Arial"/>
                <w:bCs/>
                <w:i/>
                <w:sz w:val="16"/>
                <w:szCs w:val="16"/>
                <w:lang w:val="en-GB"/>
              </w:rPr>
              <w:t>(000's)</w:t>
            </w:r>
          </w:p>
        </w:tc>
        <w:tc>
          <w:tcPr>
            <w:tcW w:w="1497" w:type="dxa"/>
            <w:shd w:val="solid" w:color="D9D9D9" w:fill="auto"/>
            <w:vAlign w:val="center"/>
          </w:tcPr>
          <w:p w14:paraId="1E8C125C" w14:textId="77777777" w:rsidR="001004FC" w:rsidRPr="001004FC" w:rsidRDefault="001004FC" w:rsidP="004633FA">
            <w:pPr>
              <w:keepNext/>
              <w:tabs>
                <w:tab w:val="left" w:pos="0"/>
                <w:tab w:val="decimal" w:pos="925"/>
                <w:tab w:val="decimal" w:pos="972"/>
              </w:tabs>
              <w:spacing w:after="0" w:line="240" w:lineRule="auto"/>
              <w:ind w:right="-20"/>
              <w:jc w:val="right"/>
              <w:rPr>
                <w:rFonts w:ascii="Arial" w:eastAsia="Times New Roman" w:hAnsi="Arial" w:cs="Arial"/>
                <w:b/>
                <w:sz w:val="18"/>
                <w:szCs w:val="18"/>
                <w:lang w:val="en-GB"/>
              </w:rPr>
            </w:pPr>
          </w:p>
        </w:tc>
        <w:tc>
          <w:tcPr>
            <w:tcW w:w="1497" w:type="dxa"/>
            <w:shd w:val="clear" w:color="auto" w:fill="auto"/>
            <w:vAlign w:val="center"/>
          </w:tcPr>
          <w:p w14:paraId="7EA919DA" w14:textId="77777777" w:rsidR="001004FC" w:rsidRPr="001004FC" w:rsidRDefault="001004FC" w:rsidP="004633FA">
            <w:pPr>
              <w:keepNext/>
              <w:tabs>
                <w:tab w:val="left" w:pos="0"/>
                <w:tab w:val="decimal" w:pos="946"/>
              </w:tabs>
              <w:spacing w:after="0" w:line="240" w:lineRule="auto"/>
              <w:jc w:val="right"/>
              <w:rPr>
                <w:rFonts w:ascii="Arial" w:eastAsia="Times New Roman" w:hAnsi="Arial" w:cs="Arial"/>
                <w:bCs/>
                <w:sz w:val="18"/>
                <w:szCs w:val="18"/>
                <w:lang w:val="en-GB"/>
              </w:rPr>
            </w:pPr>
          </w:p>
        </w:tc>
        <w:tc>
          <w:tcPr>
            <w:tcW w:w="862" w:type="dxa"/>
            <w:vAlign w:val="center"/>
          </w:tcPr>
          <w:p w14:paraId="3851B682" w14:textId="77777777" w:rsidR="001004FC" w:rsidRPr="001004FC" w:rsidRDefault="001004FC"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D701C5" w:rsidRPr="001004FC" w14:paraId="6AA4C8F7" w14:textId="77777777" w:rsidTr="00D701C5">
        <w:trPr>
          <w:cantSplit/>
          <w:trHeight w:hRule="exact" w:val="115"/>
        </w:trPr>
        <w:tc>
          <w:tcPr>
            <w:tcW w:w="5504" w:type="dxa"/>
            <w:shd w:val="clear" w:color="auto" w:fill="auto"/>
          </w:tcPr>
          <w:p w14:paraId="481DCF08" w14:textId="77777777" w:rsidR="00D701C5" w:rsidRPr="001004FC" w:rsidRDefault="00D701C5" w:rsidP="004633FA">
            <w:pPr>
              <w:keepNext/>
              <w:tabs>
                <w:tab w:val="left" w:pos="0"/>
                <w:tab w:val="decimal" w:pos="925"/>
                <w:tab w:val="decimal" w:pos="970"/>
              </w:tabs>
              <w:spacing w:after="0" w:line="240" w:lineRule="auto"/>
              <w:ind w:right="-20"/>
              <w:rPr>
                <w:rFonts w:ascii="Arial" w:eastAsia="Times New Roman" w:hAnsi="Arial" w:cs="Arial"/>
                <w:b/>
                <w:sz w:val="18"/>
                <w:szCs w:val="18"/>
                <w:lang w:val="en-GB"/>
              </w:rPr>
            </w:pPr>
          </w:p>
        </w:tc>
        <w:tc>
          <w:tcPr>
            <w:tcW w:w="1497" w:type="dxa"/>
            <w:shd w:val="solid" w:color="D9D9D9" w:fill="auto"/>
            <w:vAlign w:val="center"/>
          </w:tcPr>
          <w:p w14:paraId="3A9C3076" w14:textId="77777777" w:rsidR="00D701C5" w:rsidRPr="001004FC" w:rsidRDefault="00D701C5" w:rsidP="004633FA">
            <w:pPr>
              <w:keepNext/>
              <w:tabs>
                <w:tab w:val="left" w:pos="0"/>
                <w:tab w:val="decimal" w:pos="925"/>
                <w:tab w:val="decimal" w:pos="972"/>
              </w:tabs>
              <w:spacing w:after="0" w:line="240" w:lineRule="auto"/>
              <w:ind w:right="-20"/>
              <w:jc w:val="right"/>
              <w:rPr>
                <w:rFonts w:ascii="Arial" w:eastAsia="Times New Roman" w:hAnsi="Arial" w:cs="Arial"/>
                <w:b/>
                <w:sz w:val="18"/>
                <w:szCs w:val="18"/>
                <w:lang w:val="en-GB"/>
              </w:rPr>
            </w:pPr>
          </w:p>
        </w:tc>
        <w:tc>
          <w:tcPr>
            <w:tcW w:w="1497" w:type="dxa"/>
            <w:shd w:val="clear" w:color="auto" w:fill="auto"/>
            <w:vAlign w:val="center"/>
          </w:tcPr>
          <w:p w14:paraId="14FBEE72" w14:textId="77777777" w:rsidR="00D701C5" w:rsidRPr="001004FC" w:rsidRDefault="00D701C5" w:rsidP="004633FA">
            <w:pPr>
              <w:keepNext/>
              <w:tabs>
                <w:tab w:val="left" w:pos="0"/>
                <w:tab w:val="decimal" w:pos="946"/>
              </w:tabs>
              <w:spacing w:after="0" w:line="240" w:lineRule="auto"/>
              <w:jc w:val="right"/>
              <w:rPr>
                <w:rFonts w:ascii="Arial" w:eastAsia="Times New Roman" w:hAnsi="Arial" w:cs="Arial"/>
                <w:bCs/>
                <w:sz w:val="18"/>
                <w:szCs w:val="18"/>
                <w:lang w:val="en-GB"/>
              </w:rPr>
            </w:pPr>
          </w:p>
        </w:tc>
        <w:tc>
          <w:tcPr>
            <w:tcW w:w="862" w:type="dxa"/>
            <w:vAlign w:val="center"/>
          </w:tcPr>
          <w:p w14:paraId="1FF73B25" w14:textId="77777777" w:rsidR="00D701C5" w:rsidRPr="001004FC" w:rsidRDefault="00D701C5" w:rsidP="004633FA">
            <w:pPr>
              <w:keepNext/>
              <w:tabs>
                <w:tab w:val="left" w:pos="0"/>
                <w:tab w:val="decimal" w:pos="603"/>
              </w:tabs>
              <w:spacing w:after="0" w:line="240" w:lineRule="auto"/>
              <w:jc w:val="right"/>
              <w:rPr>
                <w:rFonts w:ascii="Arial" w:eastAsia="Times New Roman" w:hAnsi="Arial" w:cs="Arial"/>
                <w:sz w:val="18"/>
                <w:szCs w:val="18"/>
                <w:lang w:val="en-GB"/>
              </w:rPr>
            </w:pPr>
          </w:p>
        </w:tc>
      </w:tr>
      <w:tr w:rsidR="001004FC" w:rsidRPr="001004FC" w14:paraId="4BDFB784" w14:textId="77777777" w:rsidTr="0098366A">
        <w:trPr>
          <w:cantSplit/>
          <w:trHeight w:val="98"/>
        </w:trPr>
        <w:tc>
          <w:tcPr>
            <w:tcW w:w="5504" w:type="dxa"/>
            <w:shd w:val="clear" w:color="auto" w:fill="auto"/>
          </w:tcPr>
          <w:p w14:paraId="03040615" w14:textId="465B643D" w:rsidR="001004FC" w:rsidRPr="001004FC" w:rsidRDefault="00D701C5" w:rsidP="004633FA">
            <w:pPr>
              <w:keepNext/>
              <w:tabs>
                <w:tab w:val="left" w:pos="162"/>
                <w:tab w:val="decimal" w:pos="1166"/>
                <w:tab w:val="left" w:pos="7459"/>
                <w:tab w:val="decimal" w:pos="8467"/>
                <w:tab w:val="left" w:pos="8726"/>
                <w:tab w:val="decimal" w:pos="9734"/>
              </w:tabs>
              <w:spacing w:after="0" w:line="240" w:lineRule="auto"/>
              <w:ind w:right="4"/>
              <w:rPr>
                <w:rFonts w:ascii="Arial" w:eastAsia="Times New Roman" w:hAnsi="Arial" w:cs="Arial"/>
                <w:b/>
                <w:sz w:val="18"/>
                <w:szCs w:val="18"/>
                <w:lang w:val="en-GB"/>
              </w:rPr>
            </w:pPr>
            <w:r w:rsidRPr="001004FC">
              <w:rPr>
                <w:rFonts w:ascii="Arial" w:eastAsia="Times New Roman" w:hAnsi="Arial" w:cs="Arial"/>
                <w:sz w:val="18"/>
                <w:szCs w:val="18"/>
                <w:lang w:val="en-GB"/>
              </w:rPr>
              <w:t>Weighted average shares outstanding –</w:t>
            </w:r>
            <w:r>
              <w:rPr>
                <w:rFonts w:ascii="Arial" w:eastAsia="Times New Roman" w:hAnsi="Arial" w:cs="Arial"/>
                <w:sz w:val="18"/>
                <w:szCs w:val="18"/>
                <w:lang w:val="en-GB"/>
              </w:rPr>
              <w:t xml:space="preserve"> b</w:t>
            </w:r>
            <w:r w:rsidR="001004FC" w:rsidRPr="001004FC">
              <w:rPr>
                <w:rFonts w:ascii="Arial" w:eastAsia="Times New Roman" w:hAnsi="Arial" w:cs="Arial"/>
                <w:sz w:val="18"/>
                <w:szCs w:val="18"/>
                <w:lang w:val="en-GB"/>
              </w:rPr>
              <w:t>asic and diluted</w:t>
            </w:r>
          </w:p>
        </w:tc>
        <w:tc>
          <w:tcPr>
            <w:tcW w:w="1497" w:type="dxa"/>
            <w:shd w:val="solid" w:color="D9D9D9" w:fill="auto"/>
            <w:vAlign w:val="center"/>
          </w:tcPr>
          <w:p w14:paraId="4C6A042F" w14:textId="77777777" w:rsidR="001004FC" w:rsidRPr="001004FC" w:rsidRDefault="001004FC" w:rsidP="004633FA">
            <w:pPr>
              <w:keepNext/>
              <w:tabs>
                <w:tab w:val="left" w:pos="0"/>
                <w:tab w:val="decimal" w:pos="925"/>
                <w:tab w:val="decimal" w:pos="972"/>
              </w:tabs>
              <w:spacing w:after="0" w:line="240" w:lineRule="auto"/>
              <w:ind w:right="-20"/>
              <w:jc w:val="right"/>
              <w:rPr>
                <w:rFonts w:ascii="Arial" w:eastAsia="Times New Roman" w:hAnsi="Arial" w:cs="Arial"/>
                <w:b/>
                <w:sz w:val="18"/>
                <w:szCs w:val="18"/>
                <w:lang w:val="en-GB"/>
              </w:rPr>
            </w:pPr>
            <w:r w:rsidRPr="001004FC">
              <w:rPr>
                <w:rFonts w:ascii="Arial" w:eastAsia="Times New Roman" w:hAnsi="Arial" w:cs="Arial"/>
                <w:b/>
                <w:sz w:val="18"/>
                <w:szCs w:val="18"/>
                <w:lang w:val="en-GB"/>
              </w:rPr>
              <w:t>210,823</w:t>
            </w:r>
          </w:p>
        </w:tc>
        <w:tc>
          <w:tcPr>
            <w:tcW w:w="1497" w:type="dxa"/>
            <w:shd w:val="clear" w:color="auto" w:fill="auto"/>
            <w:vAlign w:val="center"/>
          </w:tcPr>
          <w:p w14:paraId="1A2F4D87" w14:textId="77777777" w:rsidR="001004FC" w:rsidRPr="001004FC" w:rsidRDefault="001004FC" w:rsidP="004633FA">
            <w:pPr>
              <w:keepNext/>
              <w:tabs>
                <w:tab w:val="left" w:pos="0"/>
                <w:tab w:val="decimal" w:pos="946"/>
              </w:tabs>
              <w:spacing w:after="0" w:line="240" w:lineRule="auto"/>
              <w:ind w:right="-20"/>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209,400</w:t>
            </w:r>
          </w:p>
        </w:tc>
        <w:tc>
          <w:tcPr>
            <w:tcW w:w="862" w:type="dxa"/>
            <w:vAlign w:val="center"/>
          </w:tcPr>
          <w:p w14:paraId="23BE0558" w14:textId="77777777" w:rsidR="001004FC" w:rsidRPr="001004FC" w:rsidRDefault="001004FC" w:rsidP="004633FA">
            <w:pPr>
              <w:keepNext/>
              <w:tabs>
                <w:tab w:val="left" w:pos="0"/>
                <w:tab w:val="decimal" w:pos="620"/>
              </w:tabs>
              <w:spacing w:after="0" w:line="240" w:lineRule="auto"/>
              <w:ind w:right="-20"/>
              <w:jc w:val="right"/>
              <w:rPr>
                <w:rFonts w:ascii="Arial" w:eastAsia="Times New Roman" w:hAnsi="Arial" w:cs="Arial"/>
                <w:sz w:val="18"/>
                <w:szCs w:val="18"/>
                <w:lang w:val="en-GB"/>
              </w:rPr>
            </w:pPr>
            <w:r w:rsidRPr="001004FC">
              <w:rPr>
                <w:rFonts w:ascii="Arial" w:eastAsia="Times New Roman" w:hAnsi="Arial" w:cs="Arial"/>
                <w:sz w:val="18"/>
                <w:szCs w:val="18"/>
                <w:lang w:val="en-GB"/>
              </w:rPr>
              <w:t>1</w:t>
            </w:r>
          </w:p>
        </w:tc>
      </w:tr>
      <w:tr w:rsidR="001004FC" w:rsidRPr="001004FC" w14:paraId="13D671B6" w14:textId="77777777" w:rsidTr="0098366A">
        <w:trPr>
          <w:cantSplit/>
          <w:trHeight w:val="98"/>
        </w:trPr>
        <w:tc>
          <w:tcPr>
            <w:tcW w:w="5504" w:type="dxa"/>
            <w:shd w:val="clear" w:color="auto" w:fill="auto"/>
          </w:tcPr>
          <w:p w14:paraId="609025C8" w14:textId="77777777" w:rsidR="001004FC" w:rsidRPr="001004FC" w:rsidRDefault="001004FC" w:rsidP="004633FA">
            <w:pPr>
              <w:keepNext/>
              <w:tabs>
                <w:tab w:val="left" w:pos="162"/>
                <w:tab w:val="decimal" w:pos="1166"/>
                <w:tab w:val="left" w:pos="7459"/>
                <w:tab w:val="decimal" w:pos="8467"/>
                <w:tab w:val="left" w:pos="8726"/>
                <w:tab w:val="decimal" w:pos="9734"/>
              </w:tabs>
              <w:spacing w:after="0" w:line="240" w:lineRule="auto"/>
              <w:ind w:right="4"/>
              <w:rPr>
                <w:rFonts w:ascii="Arial" w:eastAsia="Times New Roman" w:hAnsi="Arial" w:cs="Arial"/>
                <w:sz w:val="18"/>
                <w:szCs w:val="18"/>
                <w:lang w:val="en-GB"/>
              </w:rPr>
            </w:pPr>
            <w:r w:rsidRPr="001004FC">
              <w:rPr>
                <w:rFonts w:ascii="Arial" w:eastAsia="Times New Roman" w:hAnsi="Arial" w:cs="Arial"/>
                <w:sz w:val="18"/>
                <w:szCs w:val="18"/>
                <w:lang w:val="en-GB"/>
              </w:rPr>
              <w:t>Outstanding shares – end of period</w:t>
            </w:r>
          </w:p>
        </w:tc>
        <w:tc>
          <w:tcPr>
            <w:tcW w:w="1497" w:type="dxa"/>
            <w:shd w:val="solid" w:color="D9D9D9" w:fill="auto"/>
            <w:vAlign w:val="center"/>
          </w:tcPr>
          <w:p w14:paraId="150659E7" w14:textId="77777777" w:rsidR="001004FC" w:rsidRPr="001004FC" w:rsidRDefault="001004FC" w:rsidP="004633FA">
            <w:pPr>
              <w:keepNext/>
              <w:tabs>
                <w:tab w:val="left" w:pos="0"/>
                <w:tab w:val="decimal" w:pos="925"/>
                <w:tab w:val="decimal" w:pos="972"/>
              </w:tabs>
              <w:spacing w:after="0" w:line="240" w:lineRule="auto"/>
              <w:ind w:right="-20"/>
              <w:jc w:val="right"/>
              <w:rPr>
                <w:rFonts w:ascii="Arial" w:eastAsia="Times New Roman" w:hAnsi="Arial" w:cs="Arial"/>
                <w:b/>
                <w:sz w:val="18"/>
                <w:szCs w:val="18"/>
                <w:lang w:val="en-GB"/>
              </w:rPr>
            </w:pPr>
            <w:r w:rsidRPr="001004FC">
              <w:rPr>
                <w:rFonts w:ascii="Arial" w:eastAsia="Times New Roman" w:hAnsi="Arial" w:cs="Arial"/>
                <w:b/>
                <w:sz w:val="18"/>
                <w:szCs w:val="18"/>
                <w:lang w:val="en-GB"/>
              </w:rPr>
              <w:t>211,164</w:t>
            </w:r>
          </w:p>
        </w:tc>
        <w:tc>
          <w:tcPr>
            <w:tcW w:w="1497" w:type="dxa"/>
            <w:shd w:val="clear" w:color="auto" w:fill="auto"/>
            <w:vAlign w:val="center"/>
          </w:tcPr>
          <w:p w14:paraId="2FB3AA24" w14:textId="77777777" w:rsidR="001004FC" w:rsidRPr="001004FC" w:rsidRDefault="001004FC" w:rsidP="004633FA">
            <w:pPr>
              <w:keepNext/>
              <w:tabs>
                <w:tab w:val="left" w:pos="0"/>
                <w:tab w:val="decimal" w:pos="946"/>
              </w:tabs>
              <w:spacing w:after="0" w:line="240" w:lineRule="auto"/>
              <w:ind w:right="-20"/>
              <w:jc w:val="right"/>
              <w:rPr>
                <w:rFonts w:ascii="Arial" w:eastAsia="Times New Roman" w:hAnsi="Arial" w:cs="Arial"/>
                <w:bCs/>
                <w:sz w:val="18"/>
                <w:szCs w:val="18"/>
                <w:lang w:val="en-GB"/>
              </w:rPr>
            </w:pPr>
            <w:r w:rsidRPr="001004FC">
              <w:rPr>
                <w:rFonts w:ascii="Arial" w:eastAsia="Times New Roman" w:hAnsi="Arial" w:cs="Arial"/>
                <w:bCs/>
                <w:sz w:val="18"/>
                <w:szCs w:val="18"/>
                <w:lang w:val="en-GB"/>
              </w:rPr>
              <w:t>209,400</w:t>
            </w:r>
          </w:p>
        </w:tc>
        <w:tc>
          <w:tcPr>
            <w:tcW w:w="862" w:type="dxa"/>
            <w:vAlign w:val="center"/>
          </w:tcPr>
          <w:p w14:paraId="1A92FBE6" w14:textId="77777777" w:rsidR="001004FC" w:rsidRPr="001004FC" w:rsidRDefault="001004FC" w:rsidP="004633FA">
            <w:pPr>
              <w:keepNext/>
              <w:tabs>
                <w:tab w:val="left" w:pos="0"/>
                <w:tab w:val="decimal" w:pos="620"/>
              </w:tabs>
              <w:spacing w:after="0" w:line="240" w:lineRule="auto"/>
              <w:ind w:right="-20"/>
              <w:jc w:val="right"/>
              <w:rPr>
                <w:rFonts w:ascii="Arial" w:eastAsia="Times New Roman" w:hAnsi="Arial" w:cs="Arial"/>
                <w:sz w:val="18"/>
                <w:szCs w:val="18"/>
                <w:lang w:val="en-GB"/>
              </w:rPr>
            </w:pPr>
            <w:r w:rsidRPr="001004FC">
              <w:rPr>
                <w:rFonts w:ascii="Arial" w:eastAsia="Times New Roman" w:hAnsi="Arial" w:cs="Arial"/>
                <w:sz w:val="18"/>
                <w:szCs w:val="18"/>
                <w:lang w:val="en-GB"/>
              </w:rPr>
              <w:t>1</w:t>
            </w:r>
          </w:p>
        </w:tc>
      </w:tr>
      <w:tr w:rsidR="001004FC" w:rsidRPr="001004FC" w14:paraId="3C95C4D9" w14:textId="77777777" w:rsidTr="0098366A">
        <w:trPr>
          <w:cantSplit/>
          <w:trHeight w:hRule="exact" w:val="115"/>
        </w:trPr>
        <w:tc>
          <w:tcPr>
            <w:tcW w:w="5504" w:type="dxa"/>
            <w:tcBorders>
              <w:bottom w:val="single" w:sz="4" w:space="0" w:color="auto"/>
            </w:tcBorders>
            <w:shd w:val="clear" w:color="auto" w:fill="auto"/>
          </w:tcPr>
          <w:p w14:paraId="24D50DB7"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c>
          <w:tcPr>
            <w:tcW w:w="1497" w:type="dxa"/>
            <w:tcBorders>
              <w:bottom w:val="single" w:sz="4" w:space="0" w:color="auto"/>
            </w:tcBorders>
            <w:shd w:val="solid" w:color="D9D9D9" w:fill="auto"/>
          </w:tcPr>
          <w:p w14:paraId="1C7BDA9B"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c>
          <w:tcPr>
            <w:tcW w:w="1497" w:type="dxa"/>
            <w:tcBorders>
              <w:bottom w:val="single" w:sz="4" w:space="0" w:color="auto"/>
            </w:tcBorders>
            <w:shd w:val="clear" w:color="auto" w:fill="auto"/>
          </w:tcPr>
          <w:p w14:paraId="567E3DD4" w14:textId="77777777" w:rsidR="001004FC" w:rsidRPr="001004FC" w:rsidRDefault="001004FC" w:rsidP="004633FA">
            <w:pPr>
              <w:keepNext/>
              <w:tabs>
                <w:tab w:val="decimal" w:pos="925"/>
                <w:tab w:val="left" w:pos="7459"/>
                <w:tab w:val="decimal" w:pos="8467"/>
                <w:tab w:val="left" w:pos="8726"/>
                <w:tab w:val="decimal" w:pos="9734"/>
              </w:tabs>
              <w:spacing w:after="0" w:line="240" w:lineRule="auto"/>
              <w:jc w:val="right"/>
              <w:rPr>
                <w:rFonts w:ascii="Arial" w:eastAsia="Times New Roman" w:hAnsi="Arial" w:cs="Arial"/>
                <w:sz w:val="18"/>
                <w:szCs w:val="18"/>
                <w:lang w:val="en-GB"/>
              </w:rPr>
            </w:pPr>
          </w:p>
        </w:tc>
        <w:tc>
          <w:tcPr>
            <w:tcW w:w="862" w:type="dxa"/>
            <w:tcBorders>
              <w:bottom w:val="single" w:sz="4" w:space="0" w:color="auto"/>
            </w:tcBorders>
            <w:vAlign w:val="center"/>
          </w:tcPr>
          <w:p w14:paraId="4416DFD5" w14:textId="77777777" w:rsidR="001004FC" w:rsidRPr="001004FC" w:rsidRDefault="001004FC" w:rsidP="004633FA">
            <w:pPr>
              <w:keepNext/>
              <w:tabs>
                <w:tab w:val="left" w:pos="0"/>
                <w:tab w:val="decimal" w:pos="603"/>
                <w:tab w:val="decimal" w:pos="925"/>
              </w:tabs>
              <w:spacing w:after="0" w:line="240" w:lineRule="auto"/>
              <w:jc w:val="right"/>
              <w:rPr>
                <w:rFonts w:ascii="Arial" w:eastAsia="Times New Roman" w:hAnsi="Arial" w:cs="Arial"/>
                <w:sz w:val="18"/>
                <w:szCs w:val="18"/>
                <w:lang w:val="en-GB"/>
              </w:rPr>
            </w:pPr>
          </w:p>
        </w:tc>
      </w:tr>
    </w:tbl>
    <w:p w14:paraId="52EFE95B" w14:textId="77777777" w:rsidR="00AC6C93" w:rsidRDefault="00AC6C93" w:rsidP="004633FA">
      <w:pPr>
        <w:pStyle w:val="BodyText"/>
        <w:keepNext/>
        <w:ind w:firstLine="90"/>
        <w:rPr>
          <w:sz w:val="16"/>
          <w:szCs w:val="16"/>
        </w:rPr>
      </w:pPr>
    </w:p>
    <w:p w14:paraId="05E20B6D" w14:textId="49BF8220" w:rsidR="00AC6C93" w:rsidRPr="00D76D54" w:rsidRDefault="00AC6C93" w:rsidP="004633FA">
      <w:pPr>
        <w:pStyle w:val="BodyText"/>
        <w:keepNext/>
        <w:ind w:firstLine="90"/>
        <w:rPr>
          <w:sz w:val="16"/>
          <w:szCs w:val="16"/>
        </w:rPr>
      </w:pPr>
      <w:r w:rsidRPr="00D76D54">
        <w:rPr>
          <w:sz w:val="16"/>
          <w:szCs w:val="16"/>
        </w:rPr>
        <w:t>Notes:</w:t>
      </w:r>
    </w:p>
    <w:p w14:paraId="4BDCF557" w14:textId="3AD0E58F" w:rsidR="00AC6C93" w:rsidRPr="00D76D54" w:rsidRDefault="00AC6C93" w:rsidP="004633FA">
      <w:pPr>
        <w:pStyle w:val="BodyText"/>
        <w:keepNext/>
        <w:numPr>
          <w:ilvl w:val="0"/>
          <w:numId w:val="33"/>
        </w:numPr>
        <w:rPr>
          <w:sz w:val="16"/>
          <w:szCs w:val="16"/>
        </w:rPr>
      </w:pPr>
      <w:r>
        <w:rPr>
          <w:sz w:val="16"/>
          <w:szCs w:val="16"/>
        </w:rPr>
        <w:t xml:space="preserve">References to crude oil in the above table and elsewhere in this </w:t>
      </w:r>
      <w:r w:rsidR="00F9174B">
        <w:rPr>
          <w:sz w:val="16"/>
          <w:szCs w:val="16"/>
        </w:rPr>
        <w:t xml:space="preserve">news release </w:t>
      </w:r>
      <w:r w:rsidRPr="00D76D54">
        <w:rPr>
          <w:sz w:val="16"/>
          <w:szCs w:val="16"/>
        </w:rPr>
        <w:t xml:space="preserve">is a mix of light and medium crude oil and heavy crude oil for which there is not a precise breakdown since </w:t>
      </w:r>
      <w:r>
        <w:rPr>
          <w:sz w:val="16"/>
          <w:szCs w:val="16"/>
        </w:rPr>
        <w:t>our</w:t>
      </w:r>
      <w:r w:rsidRPr="00D76D54">
        <w:rPr>
          <w:sz w:val="16"/>
          <w:szCs w:val="16"/>
        </w:rPr>
        <w:t xml:space="preserve"> oil sales volumes typically represent blends of more than one type of crude oil.</w:t>
      </w:r>
    </w:p>
    <w:p w14:paraId="76BCF2E7" w14:textId="77777777" w:rsidR="00AC6C93" w:rsidRPr="00D76D54" w:rsidRDefault="00AC6C93" w:rsidP="004633FA">
      <w:pPr>
        <w:pStyle w:val="BodyText"/>
        <w:keepNext/>
        <w:numPr>
          <w:ilvl w:val="0"/>
          <w:numId w:val="33"/>
        </w:numPr>
        <w:rPr>
          <w:sz w:val="16"/>
          <w:szCs w:val="16"/>
          <w:vertAlign w:val="superscript"/>
        </w:rPr>
      </w:pPr>
      <w:r w:rsidRPr="00D76D54">
        <w:rPr>
          <w:sz w:val="16"/>
          <w:szCs w:val="16"/>
        </w:rPr>
        <w:t>Non-GAAP financial measure</w:t>
      </w:r>
      <w:r>
        <w:rPr>
          <w:sz w:val="16"/>
          <w:szCs w:val="16"/>
        </w:rPr>
        <w:t xml:space="preserve">. </w:t>
      </w:r>
      <w:r w:rsidRPr="00D76D54">
        <w:rPr>
          <w:sz w:val="16"/>
          <w:szCs w:val="16"/>
        </w:rPr>
        <w:t xml:space="preserve">See </w:t>
      </w:r>
      <w:r w:rsidRPr="00D76D54">
        <w:rPr>
          <w:bCs/>
          <w:iCs/>
          <w:sz w:val="16"/>
          <w:szCs w:val="16"/>
        </w:rPr>
        <w:t>"</w:t>
      </w:r>
      <w:r w:rsidRPr="001E10A1">
        <w:rPr>
          <w:bCs/>
          <w:i/>
          <w:sz w:val="16"/>
          <w:szCs w:val="16"/>
        </w:rPr>
        <w:t xml:space="preserve">Advisories: </w:t>
      </w:r>
      <w:r w:rsidRPr="00D76D54">
        <w:rPr>
          <w:i/>
          <w:sz w:val="16"/>
          <w:szCs w:val="16"/>
        </w:rPr>
        <w:t xml:space="preserve">Non-GAAP </w:t>
      </w:r>
      <w:r>
        <w:rPr>
          <w:i/>
          <w:sz w:val="16"/>
          <w:szCs w:val="16"/>
        </w:rPr>
        <w:t xml:space="preserve">Financial </w:t>
      </w:r>
      <w:r w:rsidRPr="00D76D54">
        <w:rPr>
          <w:i/>
          <w:sz w:val="16"/>
          <w:szCs w:val="16"/>
        </w:rPr>
        <w:t>Measures</w:t>
      </w:r>
      <w:r w:rsidRPr="00D76D54">
        <w:rPr>
          <w:bCs/>
          <w:iCs/>
          <w:sz w:val="16"/>
          <w:szCs w:val="16"/>
        </w:rPr>
        <w:t>"</w:t>
      </w:r>
      <w:r w:rsidRPr="00D76D54">
        <w:rPr>
          <w:i/>
          <w:sz w:val="16"/>
          <w:szCs w:val="16"/>
        </w:rPr>
        <w:t xml:space="preserve"> </w:t>
      </w:r>
      <w:r w:rsidRPr="00D76D54">
        <w:rPr>
          <w:sz w:val="16"/>
          <w:szCs w:val="16"/>
        </w:rPr>
        <w:t>for further information.</w:t>
      </w:r>
    </w:p>
    <w:p w14:paraId="081E7735" w14:textId="54CA93BA" w:rsidR="00AC6C93" w:rsidRDefault="00AC6C93" w:rsidP="001004FC">
      <w:pPr>
        <w:pStyle w:val="BodyText"/>
        <w:widowControl w:val="0"/>
        <w:rPr>
          <w:sz w:val="20"/>
          <w:szCs w:val="20"/>
        </w:rPr>
      </w:pPr>
    </w:p>
    <w:p w14:paraId="3B567CBF" w14:textId="77777777" w:rsidR="00FB7F7E" w:rsidRPr="00564259" w:rsidRDefault="00FB7F7E" w:rsidP="00FB7F7E">
      <w:pPr>
        <w:pStyle w:val="BodyText"/>
        <w:widowControl w:val="0"/>
        <w:rPr>
          <w:b/>
          <w:bCs/>
          <w:sz w:val="20"/>
          <w:szCs w:val="20"/>
        </w:rPr>
      </w:pPr>
      <w:r w:rsidRPr="00564259">
        <w:rPr>
          <w:b/>
          <w:bCs/>
          <w:sz w:val="20"/>
          <w:szCs w:val="20"/>
        </w:rPr>
        <w:t>Operational Update</w:t>
      </w:r>
    </w:p>
    <w:p w14:paraId="7FFC9110" w14:textId="77777777" w:rsidR="00FB7F7E" w:rsidRDefault="00FB7F7E" w:rsidP="00FB7F7E">
      <w:pPr>
        <w:pStyle w:val="BodyText"/>
        <w:widowControl w:val="0"/>
        <w:rPr>
          <w:sz w:val="20"/>
          <w:szCs w:val="20"/>
        </w:rPr>
      </w:pPr>
    </w:p>
    <w:p w14:paraId="1755FF50" w14:textId="77777777" w:rsidR="00FB7F7E" w:rsidRPr="00606603" w:rsidRDefault="00FB7F7E" w:rsidP="00FB7F7E">
      <w:pPr>
        <w:pStyle w:val="BodyText"/>
        <w:widowControl w:val="0"/>
        <w:rPr>
          <w:b/>
          <w:bCs/>
          <w:i/>
          <w:iCs/>
          <w:sz w:val="20"/>
          <w:szCs w:val="20"/>
        </w:rPr>
      </w:pPr>
      <w:r w:rsidRPr="00606603">
        <w:rPr>
          <w:b/>
          <w:bCs/>
          <w:i/>
          <w:iCs/>
          <w:sz w:val="20"/>
          <w:szCs w:val="20"/>
        </w:rPr>
        <w:t>Coho</w:t>
      </w:r>
    </w:p>
    <w:p w14:paraId="59305423" w14:textId="77777777" w:rsidR="00FB7F7E" w:rsidRDefault="00FB7F7E" w:rsidP="00FB7F7E">
      <w:pPr>
        <w:pStyle w:val="BodyText"/>
        <w:widowControl w:val="0"/>
        <w:rPr>
          <w:sz w:val="20"/>
          <w:szCs w:val="20"/>
        </w:rPr>
      </w:pPr>
    </w:p>
    <w:p w14:paraId="2E18A5C5" w14:textId="74728D64" w:rsidR="00FB7F7E" w:rsidRPr="00D61F6E" w:rsidRDefault="00FB7F7E" w:rsidP="00FB7F7E">
      <w:pPr>
        <w:widowControl w:val="0"/>
        <w:spacing w:after="0" w:line="240" w:lineRule="auto"/>
        <w:jc w:val="both"/>
        <w:rPr>
          <w:rFonts w:ascii="Arial" w:hAnsi="Arial" w:cs="Arial"/>
          <w:sz w:val="20"/>
          <w:szCs w:val="20"/>
        </w:rPr>
      </w:pPr>
      <w:r>
        <w:rPr>
          <w:rFonts w:ascii="Arial" w:hAnsi="Arial" w:cs="Arial"/>
          <w:sz w:val="20"/>
          <w:szCs w:val="20"/>
        </w:rPr>
        <w:t xml:space="preserve">Our pipeline and facilities project at Coho is </w:t>
      </w:r>
      <w:r w:rsidR="004C1F20">
        <w:rPr>
          <w:rFonts w:ascii="Arial" w:hAnsi="Arial" w:cs="Arial"/>
          <w:sz w:val="20"/>
          <w:szCs w:val="20"/>
        </w:rPr>
        <w:t xml:space="preserve">progressing, and the pipeline has been </w:t>
      </w:r>
      <w:r w:rsidR="00716712">
        <w:rPr>
          <w:rFonts w:ascii="Arial" w:hAnsi="Arial" w:cs="Arial"/>
          <w:sz w:val="20"/>
          <w:szCs w:val="20"/>
        </w:rPr>
        <w:t>strung</w:t>
      </w:r>
      <w:r w:rsidR="00AD6EFC">
        <w:rPr>
          <w:rFonts w:ascii="Arial" w:hAnsi="Arial" w:cs="Arial"/>
          <w:sz w:val="20"/>
          <w:szCs w:val="20"/>
        </w:rPr>
        <w:t xml:space="preserve"> </w:t>
      </w:r>
      <w:r w:rsidR="004C1F20">
        <w:rPr>
          <w:rFonts w:ascii="Arial" w:hAnsi="Arial" w:cs="Arial"/>
          <w:sz w:val="20"/>
          <w:szCs w:val="20"/>
        </w:rPr>
        <w:t>out and welded along the right-</w:t>
      </w:r>
      <w:r w:rsidR="00716712">
        <w:rPr>
          <w:rFonts w:ascii="Arial" w:hAnsi="Arial" w:cs="Arial"/>
          <w:sz w:val="20"/>
          <w:szCs w:val="20"/>
        </w:rPr>
        <w:t>o</w:t>
      </w:r>
      <w:r w:rsidR="004C1F20">
        <w:rPr>
          <w:rFonts w:ascii="Arial" w:hAnsi="Arial" w:cs="Arial"/>
          <w:sz w:val="20"/>
          <w:szCs w:val="20"/>
        </w:rPr>
        <w:t>f-way</w:t>
      </w:r>
      <w:r w:rsidR="00716712">
        <w:rPr>
          <w:rFonts w:ascii="Arial" w:hAnsi="Arial" w:cs="Arial"/>
          <w:sz w:val="20"/>
          <w:szCs w:val="20"/>
        </w:rPr>
        <w:t xml:space="preserve">. Trenching has commenced, and </w:t>
      </w:r>
      <w:r w:rsidR="00716712" w:rsidRPr="00C61C42">
        <w:rPr>
          <w:rFonts w:ascii="Arial" w:hAnsi="Arial" w:cs="Arial"/>
          <w:sz w:val="20"/>
          <w:szCs w:val="20"/>
        </w:rPr>
        <w:t xml:space="preserve">approximately </w:t>
      </w:r>
      <w:r w:rsidR="0043478C" w:rsidRPr="00C61C42">
        <w:rPr>
          <w:rFonts w:ascii="Arial" w:hAnsi="Arial" w:cs="Arial"/>
          <w:sz w:val="20"/>
          <w:szCs w:val="20"/>
        </w:rPr>
        <w:t>4,000</w:t>
      </w:r>
      <w:r w:rsidR="00716712" w:rsidRPr="00C61C42">
        <w:rPr>
          <w:rFonts w:ascii="Arial" w:hAnsi="Arial" w:cs="Arial"/>
          <w:sz w:val="20"/>
          <w:szCs w:val="20"/>
        </w:rPr>
        <w:t xml:space="preserve"> </w:t>
      </w:r>
      <w:r w:rsidR="00466616" w:rsidRPr="00C61C42">
        <w:rPr>
          <w:rFonts w:ascii="Arial" w:hAnsi="Arial" w:cs="Arial"/>
          <w:sz w:val="20"/>
          <w:szCs w:val="20"/>
        </w:rPr>
        <w:t>feet</w:t>
      </w:r>
      <w:r w:rsidR="00716712">
        <w:rPr>
          <w:rFonts w:ascii="Arial" w:hAnsi="Arial" w:cs="Arial"/>
          <w:sz w:val="20"/>
          <w:szCs w:val="20"/>
        </w:rPr>
        <w:t xml:space="preserve"> has been buried to date. </w:t>
      </w:r>
    </w:p>
    <w:p w14:paraId="029C555B" w14:textId="77777777" w:rsidR="00FB7F7E" w:rsidRDefault="00FB7F7E" w:rsidP="00FB7F7E">
      <w:pPr>
        <w:pStyle w:val="BodyText"/>
        <w:widowControl w:val="0"/>
        <w:rPr>
          <w:sz w:val="20"/>
          <w:szCs w:val="20"/>
        </w:rPr>
      </w:pPr>
    </w:p>
    <w:p w14:paraId="42832EEB" w14:textId="77777777" w:rsidR="00FB7F7E" w:rsidRPr="00606603" w:rsidRDefault="00FB7F7E" w:rsidP="00FB2440">
      <w:pPr>
        <w:keepNext/>
        <w:spacing w:after="0" w:line="240" w:lineRule="auto"/>
        <w:rPr>
          <w:rFonts w:ascii="Arial" w:eastAsia="Times New Roman" w:hAnsi="Arial" w:cs="Arial"/>
          <w:b/>
          <w:bCs/>
          <w:i/>
          <w:iCs/>
          <w:sz w:val="20"/>
          <w:szCs w:val="20"/>
        </w:rPr>
      </w:pPr>
      <w:r w:rsidRPr="00606603">
        <w:rPr>
          <w:rFonts w:ascii="Arial" w:eastAsia="Times New Roman" w:hAnsi="Arial" w:cs="Arial"/>
          <w:b/>
          <w:bCs/>
          <w:i/>
          <w:iCs/>
          <w:sz w:val="20"/>
          <w:szCs w:val="20"/>
        </w:rPr>
        <w:lastRenderedPageBreak/>
        <w:t>Cascadura</w:t>
      </w:r>
    </w:p>
    <w:p w14:paraId="3DABC351" w14:textId="77777777" w:rsidR="00FB7F7E" w:rsidRDefault="00FB7F7E" w:rsidP="00FB2440">
      <w:pPr>
        <w:keepNext/>
        <w:spacing w:after="0" w:line="240" w:lineRule="auto"/>
        <w:jc w:val="both"/>
        <w:rPr>
          <w:rFonts w:ascii="Arial" w:eastAsia="Times New Roman" w:hAnsi="Arial" w:cs="Arial"/>
          <w:sz w:val="20"/>
          <w:szCs w:val="20"/>
        </w:rPr>
      </w:pPr>
    </w:p>
    <w:p w14:paraId="0170D205" w14:textId="77777777" w:rsidR="00FB7F7E" w:rsidRPr="00564259" w:rsidRDefault="00FB7F7E" w:rsidP="00FB2440">
      <w:pPr>
        <w:keepNext/>
        <w:spacing w:after="0" w:line="240" w:lineRule="auto"/>
        <w:jc w:val="both"/>
        <w:rPr>
          <w:rFonts w:ascii="Arial" w:eastAsia="Times New Roman" w:hAnsi="Arial" w:cs="Arial"/>
          <w:sz w:val="20"/>
          <w:szCs w:val="20"/>
          <w:lang w:val="en-CA" w:eastAsia="en-CA"/>
        </w:rPr>
      </w:pPr>
      <w:r w:rsidRPr="00564259">
        <w:rPr>
          <w:rFonts w:ascii="Arial" w:eastAsia="Times New Roman" w:hAnsi="Arial" w:cs="Arial"/>
          <w:sz w:val="20"/>
          <w:szCs w:val="20"/>
        </w:rPr>
        <w:t xml:space="preserve">In March 2022, the </w:t>
      </w:r>
      <w:r>
        <w:rPr>
          <w:rFonts w:ascii="Arial" w:eastAsia="Times New Roman" w:hAnsi="Arial" w:cs="Arial"/>
          <w:sz w:val="20"/>
          <w:szCs w:val="20"/>
        </w:rPr>
        <w:t xml:space="preserve">Trinidad and Tobago Ministry of Energy and Energy Industries </w:t>
      </w:r>
      <w:r w:rsidRPr="00564259">
        <w:rPr>
          <w:rFonts w:ascii="Arial" w:eastAsia="Times New Roman" w:hAnsi="Arial" w:cs="Arial"/>
          <w:sz w:val="20"/>
          <w:szCs w:val="20"/>
        </w:rPr>
        <w:t>approved our field development plan for the Cascadura area, which extends the exploration and production period for the defined 2,378-acre area through October 31, 2039.</w:t>
      </w:r>
    </w:p>
    <w:p w14:paraId="6035CA41" w14:textId="77777777" w:rsidR="00FB7F7E" w:rsidRPr="00564259" w:rsidRDefault="00FB7F7E" w:rsidP="00FB7F7E">
      <w:pPr>
        <w:widowControl w:val="0"/>
        <w:spacing w:after="0" w:line="240" w:lineRule="auto"/>
        <w:rPr>
          <w:rFonts w:ascii="Arial" w:eastAsia="Times New Roman" w:hAnsi="Arial" w:cs="Arial"/>
          <w:sz w:val="20"/>
          <w:szCs w:val="20"/>
        </w:rPr>
      </w:pPr>
    </w:p>
    <w:p w14:paraId="0A9D018D" w14:textId="058D4B06" w:rsidR="00FB7F7E" w:rsidRPr="00564259" w:rsidRDefault="004C1F20" w:rsidP="00FB7F7E">
      <w:pPr>
        <w:widowControl w:val="0"/>
        <w:spacing w:after="0" w:line="240" w:lineRule="auto"/>
        <w:jc w:val="both"/>
        <w:rPr>
          <w:rFonts w:ascii="Arial" w:eastAsia="Times New Roman" w:hAnsi="Arial" w:cs="Arial"/>
          <w:bCs/>
          <w:sz w:val="20"/>
          <w:szCs w:val="20"/>
        </w:rPr>
      </w:pPr>
      <w:r w:rsidRPr="00FB2440">
        <w:rPr>
          <w:rFonts w:ascii="Arial" w:eastAsia="Times New Roman" w:hAnsi="Arial" w:cs="Arial"/>
          <w:bCs/>
          <w:sz w:val="20"/>
          <w:szCs w:val="20"/>
        </w:rPr>
        <w:t xml:space="preserve">We are progressing with </w:t>
      </w:r>
      <w:r w:rsidR="00FB7F7E" w:rsidRPr="00FB2440">
        <w:rPr>
          <w:rFonts w:ascii="Arial" w:eastAsia="Times New Roman" w:hAnsi="Arial" w:cs="Arial"/>
          <w:bCs/>
          <w:sz w:val="20"/>
          <w:szCs w:val="20"/>
        </w:rPr>
        <w:t>facilities procurement and construction of the Cascadura natural gas facility and liquids pipeline</w:t>
      </w:r>
      <w:r w:rsidRPr="00FB2440">
        <w:rPr>
          <w:rFonts w:ascii="Arial" w:eastAsia="Times New Roman" w:hAnsi="Arial" w:cs="Arial"/>
          <w:bCs/>
          <w:sz w:val="20"/>
          <w:szCs w:val="20"/>
        </w:rPr>
        <w:t>. We received a</w:t>
      </w:r>
      <w:r w:rsidR="005F288D" w:rsidRPr="00FB2440">
        <w:rPr>
          <w:rFonts w:ascii="Arial" w:eastAsia="Times New Roman" w:hAnsi="Arial" w:cs="Arial"/>
          <w:bCs/>
          <w:sz w:val="20"/>
          <w:szCs w:val="20"/>
        </w:rPr>
        <w:t xml:space="preserve"> </w:t>
      </w:r>
      <w:r w:rsidR="00466616" w:rsidRPr="00FB2440">
        <w:rPr>
          <w:rFonts w:ascii="Arial" w:eastAsia="Times New Roman" w:hAnsi="Arial" w:cs="Arial"/>
          <w:bCs/>
          <w:sz w:val="20"/>
          <w:szCs w:val="20"/>
        </w:rPr>
        <w:t>review</w:t>
      </w:r>
      <w:r w:rsidR="00706086" w:rsidRPr="00FB2440">
        <w:rPr>
          <w:rFonts w:ascii="Arial" w:eastAsia="Times New Roman" w:hAnsi="Arial" w:cs="Arial"/>
          <w:bCs/>
          <w:sz w:val="20"/>
          <w:szCs w:val="20"/>
        </w:rPr>
        <w:t xml:space="preserve"> and</w:t>
      </w:r>
      <w:r w:rsidR="00466616" w:rsidRPr="00FB2440">
        <w:rPr>
          <w:rFonts w:ascii="Arial" w:eastAsia="Times New Roman" w:hAnsi="Arial" w:cs="Arial"/>
          <w:bCs/>
          <w:sz w:val="20"/>
          <w:szCs w:val="20"/>
        </w:rPr>
        <w:t xml:space="preserve"> </w:t>
      </w:r>
      <w:r w:rsidR="00706086" w:rsidRPr="00FB2440">
        <w:rPr>
          <w:rFonts w:ascii="Arial" w:eastAsia="Times New Roman" w:hAnsi="Arial" w:cs="Arial"/>
          <w:bCs/>
          <w:sz w:val="20"/>
          <w:szCs w:val="20"/>
        </w:rPr>
        <w:t>assessment</w:t>
      </w:r>
      <w:r w:rsidR="0043478C" w:rsidRPr="00FB2440">
        <w:rPr>
          <w:rFonts w:ascii="Arial" w:eastAsia="Times New Roman" w:hAnsi="Arial" w:cs="Arial"/>
          <w:bCs/>
          <w:sz w:val="20"/>
          <w:szCs w:val="20"/>
        </w:rPr>
        <w:t xml:space="preserve"> report in response to </w:t>
      </w:r>
      <w:r w:rsidR="00706086" w:rsidRPr="00FB2440">
        <w:rPr>
          <w:rFonts w:ascii="Arial" w:eastAsia="Times New Roman" w:hAnsi="Arial" w:cs="Arial"/>
          <w:bCs/>
          <w:sz w:val="20"/>
          <w:szCs w:val="20"/>
        </w:rPr>
        <w:t>our</w:t>
      </w:r>
      <w:r w:rsidR="00873C71" w:rsidRPr="00FB2440">
        <w:rPr>
          <w:rFonts w:ascii="Arial" w:eastAsia="Times New Roman" w:hAnsi="Arial" w:cs="Arial"/>
          <w:bCs/>
          <w:sz w:val="20"/>
          <w:szCs w:val="20"/>
        </w:rPr>
        <w:t xml:space="preserve"> Cascadura</w:t>
      </w:r>
      <w:r w:rsidR="00FB7F7E" w:rsidRPr="00FB2440">
        <w:rPr>
          <w:rFonts w:ascii="Arial" w:eastAsia="Times New Roman" w:hAnsi="Arial" w:cs="Arial"/>
          <w:bCs/>
          <w:sz w:val="20"/>
          <w:szCs w:val="20"/>
        </w:rPr>
        <w:t xml:space="preserve"> </w:t>
      </w:r>
      <w:r w:rsidR="00466616" w:rsidRPr="00FB2440">
        <w:rPr>
          <w:rFonts w:ascii="Arial" w:eastAsia="Times New Roman" w:hAnsi="Arial" w:cs="Arial"/>
          <w:bCs/>
          <w:sz w:val="20"/>
          <w:szCs w:val="20"/>
        </w:rPr>
        <w:t>area EIA from the Trinidad and Tobago Environmental Management Authority</w:t>
      </w:r>
      <w:r w:rsidR="00FB7F7E" w:rsidRPr="00FB2440">
        <w:rPr>
          <w:rFonts w:ascii="Arial" w:eastAsia="Times New Roman" w:hAnsi="Arial" w:cs="Arial"/>
          <w:bCs/>
          <w:sz w:val="20"/>
          <w:szCs w:val="20"/>
        </w:rPr>
        <w:t xml:space="preserve"> on</w:t>
      </w:r>
      <w:r w:rsidR="00716712" w:rsidRPr="00FB2440">
        <w:rPr>
          <w:rFonts w:ascii="Arial" w:eastAsia="Times New Roman" w:hAnsi="Arial" w:cs="Arial"/>
          <w:bCs/>
          <w:sz w:val="20"/>
          <w:szCs w:val="20"/>
        </w:rPr>
        <w:t xml:space="preserve"> May 5, 2022. We </w:t>
      </w:r>
      <w:r w:rsidR="00FB2440">
        <w:rPr>
          <w:rFonts w:ascii="Arial" w:eastAsia="Times New Roman" w:hAnsi="Arial" w:cs="Arial"/>
          <w:bCs/>
          <w:sz w:val="20"/>
          <w:szCs w:val="20"/>
        </w:rPr>
        <w:t>anticipate</w:t>
      </w:r>
      <w:r w:rsidR="00FB2440" w:rsidRPr="00FB2440">
        <w:rPr>
          <w:rFonts w:ascii="Arial" w:eastAsia="Times New Roman" w:hAnsi="Arial" w:cs="Arial"/>
          <w:bCs/>
          <w:sz w:val="20"/>
          <w:szCs w:val="20"/>
        </w:rPr>
        <w:t xml:space="preserve"> </w:t>
      </w:r>
      <w:r w:rsidR="00B071B2" w:rsidRPr="00FB2440">
        <w:rPr>
          <w:rFonts w:ascii="Arial" w:eastAsia="Times New Roman" w:hAnsi="Arial" w:cs="Arial"/>
          <w:bCs/>
          <w:sz w:val="20"/>
          <w:szCs w:val="20"/>
        </w:rPr>
        <w:t>submitting the additional information request</w:t>
      </w:r>
      <w:r w:rsidR="00C61C42" w:rsidRPr="00FB2440">
        <w:rPr>
          <w:rFonts w:ascii="Arial" w:eastAsia="Times New Roman" w:hAnsi="Arial" w:cs="Arial"/>
          <w:bCs/>
          <w:sz w:val="20"/>
          <w:szCs w:val="20"/>
        </w:rPr>
        <w:t xml:space="preserve"> </w:t>
      </w:r>
      <w:r w:rsidR="00FB2440" w:rsidRPr="00FB2440">
        <w:rPr>
          <w:rFonts w:ascii="Arial" w:eastAsia="Times New Roman" w:hAnsi="Arial" w:cs="Arial"/>
          <w:bCs/>
          <w:sz w:val="20"/>
          <w:szCs w:val="20"/>
        </w:rPr>
        <w:t>on</w:t>
      </w:r>
      <w:r w:rsidR="00C61C42" w:rsidRPr="00FB2440">
        <w:rPr>
          <w:rFonts w:ascii="Arial" w:eastAsia="Times New Roman" w:hAnsi="Arial" w:cs="Arial"/>
          <w:bCs/>
          <w:sz w:val="20"/>
          <w:szCs w:val="20"/>
        </w:rPr>
        <w:t xml:space="preserve"> May 13</w:t>
      </w:r>
      <w:r w:rsidR="00831B0D" w:rsidRPr="00FB2440">
        <w:rPr>
          <w:rFonts w:ascii="Arial" w:eastAsia="Times New Roman" w:hAnsi="Arial" w:cs="Arial"/>
          <w:bCs/>
          <w:sz w:val="20"/>
          <w:szCs w:val="20"/>
        </w:rPr>
        <w:t>, 2022</w:t>
      </w:r>
      <w:r w:rsidR="00B071B2" w:rsidRPr="00FB2440">
        <w:rPr>
          <w:rFonts w:ascii="Arial" w:eastAsia="Times New Roman" w:hAnsi="Arial" w:cs="Arial"/>
          <w:bCs/>
          <w:sz w:val="20"/>
          <w:szCs w:val="20"/>
        </w:rPr>
        <w:t>.</w:t>
      </w:r>
      <w:r w:rsidR="00716712" w:rsidRPr="00FB2440">
        <w:rPr>
          <w:rFonts w:ascii="Arial" w:eastAsia="Times New Roman" w:hAnsi="Arial" w:cs="Arial"/>
          <w:bCs/>
          <w:sz w:val="20"/>
          <w:szCs w:val="20"/>
        </w:rPr>
        <w:t xml:space="preserve"> </w:t>
      </w:r>
      <w:r w:rsidR="00FB7F7E" w:rsidRPr="00FB2440">
        <w:rPr>
          <w:rFonts w:ascii="Arial" w:eastAsia="Times New Roman" w:hAnsi="Arial" w:cs="Arial"/>
          <w:bCs/>
          <w:sz w:val="20"/>
          <w:szCs w:val="20"/>
        </w:rPr>
        <w:t xml:space="preserve">Upon </w:t>
      </w:r>
      <w:r w:rsidR="00C61C42" w:rsidRPr="00FB2440">
        <w:rPr>
          <w:rFonts w:ascii="Arial" w:eastAsia="Times New Roman" w:hAnsi="Arial" w:cs="Arial"/>
          <w:bCs/>
          <w:sz w:val="20"/>
          <w:szCs w:val="20"/>
        </w:rPr>
        <w:t xml:space="preserve">final </w:t>
      </w:r>
      <w:r w:rsidR="00FB7F7E" w:rsidRPr="00FB2440">
        <w:rPr>
          <w:rFonts w:ascii="Arial" w:eastAsia="Times New Roman" w:hAnsi="Arial" w:cs="Arial"/>
          <w:bCs/>
          <w:sz w:val="20"/>
          <w:szCs w:val="20"/>
        </w:rPr>
        <w:t>approval</w:t>
      </w:r>
      <w:r w:rsidR="00466616" w:rsidRPr="00FB2440">
        <w:rPr>
          <w:rFonts w:ascii="Arial" w:eastAsia="Times New Roman" w:hAnsi="Arial" w:cs="Arial"/>
          <w:bCs/>
          <w:sz w:val="20"/>
          <w:szCs w:val="20"/>
        </w:rPr>
        <w:t xml:space="preserve"> of the EIA</w:t>
      </w:r>
      <w:r w:rsidR="00FB7F7E" w:rsidRPr="00FB2440">
        <w:rPr>
          <w:rFonts w:ascii="Arial" w:eastAsia="Times New Roman" w:hAnsi="Arial" w:cs="Arial"/>
          <w:bCs/>
          <w:sz w:val="20"/>
          <w:szCs w:val="20"/>
        </w:rPr>
        <w:t>, we expect to immediately proceed with construction of the surface facility, access roads and future development drilling locations.</w:t>
      </w:r>
      <w:r w:rsidR="00FB7F7E" w:rsidRPr="00564259">
        <w:rPr>
          <w:rFonts w:ascii="Arial" w:eastAsia="Times New Roman" w:hAnsi="Arial" w:cs="Arial"/>
          <w:bCs/>
          <w:sz w:val="20"/>
          <w:szCs w:val="20"/>
        </w:rPr>
        <w:t xml:space="preserve"> </w:t>
      </w:r>
    </w:p>
    <w:p w14:paraId="4451264F" w14:textId="77777777" w:rsidR="00FB7F7E" w:rsidRPr="00564259" w:rsidRDefault="00FB7F7E" w:rsidP="00FB7F7E">
      <w:pPr>
        <w:widowControl w:val="0"/>
        <w:spacing w:after="0" w:line="240" w:lineRule="auto"/>
        <w:jc w:val="both"/>
        <w:rPr>
          <w:rFonts w:ascii="Arial" w:eastAsia="Times New Roman" w:hAnsi="Arial" w:cs="Arial"/>
          <w:sz w:val="20"/>
          <w:szCs w:val="20"/>
        </w:rPr>
      </w:pPr>
    </w:p>
    <w:p w14:paraId="7837855B" w14:textId="77777777" w:rsidR="00FB7F7E" w:rsidRPr="00564259" w:rsidRDefault="00FB7F7E" w:rsidP="00FB7F7E">
      <w:pPr>
        <w:keepNext/>
        <w:spacing w:after="0" w:line="240" w:lineRule="auto"/>
        <w:jc w:val="both"/>
        <w:rPr>
          <w:rFonts w:ascii="Arial" w:eastAsia="Times New Roman" w:hAnsi="Arial" w:cs="Arial"/>
          <w:b/>
          <w:bCs/>
          <w:i/>
          <w:iCs/>
          <w:sz w:val="20"/>
          <w:szCs w:val="20"/>
          <w:lang w:eastAsia="en-CA"/>
        </w:rPr>
      </w:pPr>
      <w:r w:rsidRPr="00564259">
        <w:rPr>
          <w:rFonts w:ascii="Arial" w:eastAsia="Times New Roman" w:hAnsi="Arial" w:cs="Arial"/>
          <w:b/>
          <w:bCs/>
          <w:i/>
          <w:iCs/>
          <w:sz w:val="20"/>
          <w:szCs w:val="20"/>
          <w:lang w:eastAsia="en-CA"/>
        </w:rPr>
        <w:t>Royston</w:t>
      </w:r>
    </w:p>
    <w:p w14:paraId="24A3ACF9" w14:textId="77777777" w:rsidR="009D42B1" w:rsidRDefault="009D42B1" w:rsidP="00FB7F7E">
      <w:pPr>
        <w:widowControl w:val="0"/>
        <w:spacing w:after="0" w:line="240" w:lineRule="auto"/>
        <w:jc w:val="both"/>
        <w:rPr>
          <w:rFonts w:ascii="Arial" w:eastAsia="Calibri" w:hAnsi="Arial" w:cs="Arial"/>
          <w:color w:val="000000"/>
          <w:sz w:val="20"/>
          <w:szCs w:val="24"/>
        </w:rPr>
      </w:pPr>
    </w:p>
    <w:p w14:paraId="693F1BD4" w14:textId="78348478" w:rsidR="00FB7F7E" w:rsidRPr="00564259" w:rsidRDefault="009D42B1" w:rsidP="00FB7F7E">
      <w:pPr>
        <w:widowControl w:val="0"/>
        <w:spacing w:after="0" w:line="240" w:lineRule="auto"/>
        <w:jc w:val="both"/>
        <w:rPr>
          <w:rFonts w:ascii="Arial" w:eastAsia="Times New Roman" w:hAnsi="Arial" w:cs="Arial"/>
          <w:bCs/>
          <w:sz w:val="20"/>
          <w:szCs w:val="20"/>
        </w:rPr>
      </w:pPr>
      <w:bookmarkStart w:id="1" w:name="_Hlk103171179"/>
      <w:r w:rsidRPr="00564259">
        <w:rPr>
          <w:rFonts w:ascii="Arial" w:eastAsia="Times New Roman" w:hAnsi="Arial" w:cs="Arial"/>
          <w:bCs/>
          <w:sz w:val="20"/>
          <w:szCs w:val="20"/>
        </w:rPr>
        <w:t xml:space="preserve">We </w:t>
      </w:r>
      <w:r>
        <w:rPr>
          <w:rFonts w:ascii="Arial" w:eastAsia="Times New Roman" w:hAnsi="Arial" w:cs="Arial"/>
          <w:bCs/>
          <w:sz w:val="20"/>
          <w:szCs w:val="20"/>
        </w:rPr>
        <w:t xml:space="preserve">are concluding the extended production test of </w:t>
      </w:r>
      <w:r w:rsidR="008A69A9">
        <w:rPr>
          <w:rFonts w:ascii="Arial" w:eastAsia="Times New Roman" w:hAnsi="Arial" w:cs="Arial"/>
          <w:bCs/>
          <w:sz w:val="20"/>
          <w:szCs w:val="20"/>
        </w:rPr>
        <w:t>our</w:t>
      </w:r>
      <w:r>
        <w:rPr>
          <w:rFonts w:ascii="Arial" w:eastAsia="Times New Roman" w:hAnsi="Arial" w:cs="Arial"/>
          <w:bCs/>
          <w:sz w:val="20"/>
          <w:szCs w:val="20"/>
        </w:rPr>
        <w:t xml:space="preserve"> Royston-1 exploration well, with the well shut-in for a pressure build-up</w:t>
      </w:r>
      <w:bookmarkEnd w:id="1"/>
      <w:r>
        <w:rPr>
          <w:rFonts w:ascii="Arial" w:eastAsia="Times New Roman" w:hAnsi="Arial" w:cs="Arial"/>
          <w:bCs/>
          <w:sz w:val="20"/>
          <w:szCs w:val="20"/>
        </w:rPr>
        <w:t xml:space="preserve">. </w:t>
      </w:r>
      <w:r w:rsidR="00FB7F7E" w:rsidRPr="00564259">
        <w:rPr>
          <w:rFonts w:ascii="Arial" w:eastAsia="Times New Roman" w:hAnsi="Arial" w:cs="Arial"/>
          <w:bCs/>
          <w:sz w:val="20"/>
          <w:szCs w:val="20"/>
        </w:rPr>
        <w:t xml:space="preserve">Our </w:t>
      </w:r>
      <w:r w:rsidR="00714B86">
        <w:rPr>
          <w:rFonts w:ascii="Arial" w:eastAsia="Times New Roman" w:hAnsi="Arial" w:cs="Arial"/>
          <w:bCs/>
          <w:sz w:val="20"/>
          <w:szCs w:val="20"/>
        </w:rPr>
        <w:t>proposed future</w:t>
      </w:r>
      <w:r w:rsidR="00FB7F7E" w:rsidRPr="00564259">
        <w:rPr>
          <w:rFonts w:ascii="Arial" w:eastAsia="Times New Roman" w:hAnsi="Arial" w:cs="Arial"/>
          <w:bCs/>
          <w:sz w:val="20"/>
          <w:szCs w:val="20"/>
        </w:rPr>
        <w:t xml:space="preserve"> Royston-1 drilling operations include re-entering the existing wellbore to abandon the lowest section of the well and sidetrack the well to evaluate the intermediate sheet and potentially the subthrust sheets in the Herrera Formation.</w:t>
      </w:r>
    </w:p>
    <w:p w14:paraId="0AC17948" w14:textId="77777777" w:rsidR="00FB7F7E" w:rsidRDefault="00FB7F7E" w:rsidP="001004FC">
      <w:pPr>
        <w:pStyle w:val="BodyText"/>
        <w:widowControl w:val="0"/>
        <w:rPr>
          <w:sz w:val="20"/>
          <w:szCs w:val="20"/>
        </w:rPr>
      </w:pPr>
    </w:p>
    <w:p w14:paraId="4E0A30C0" w14:textId="77777777" w:rsidR="004F1223" w:rsidRPr="00A135A9" w:rsidRDefault="004F1223" w:rsidP="00564259">
      <w:pPr>
        <w:widowControl w:val="0"/>
        <w:spacing w:after="0" w:line="240" w:lineRule="auto"/>
        <w:jc w:val="both"/>
        <w:rPr>
          <w:rFonts w:ascii="Arial" w:eastAsia="Times New Roman" w:hAnsi="Arial" w:cs="Arial"/>
          <w:b/>
          <w:sz w:val="20"/>
          <w:szCs w:val="20"/>
        </w:rPr>
      </w:pPr>
      <w:r w:rsidRPr="00A135A9">
        <w:rPr>
          <w:rFonts w:ascii="Arial" w:eastAsia="Times New Roman" w:hAnsi="Arial" w:cs="Arial"/>
          <w:b/>
          <w:sz w:val="20"/>
          <w:szCs w:val="20"/>
        </w:rPr>
        <w:t>Annual Meeting</w:t>
      </w:r>
      <w:r>
        <w:rPr>
          <w:rFonts w:ascii="Arial" w:eastAsia="Times New Roman" w:hAnsi="Arial" w:cs="Arial"/>
          <w:b/>
          <w:sz w:val="20"/>
          <w:szCs w:val="20"/>
        </w:rPr>
        <w:t xml:space="preserve"> of Shareholders</w:t>
      </w:r>
    </w:p>
    <w:p w14:paraId="77FD23F7" w14:textId="77777777" w:rsidR="004F1223" w:rsidRPr="00185593" w:rsidRDefault="004F1223" w:rsidP="00564259">
      <w:pPr>
        <w:widowControl w:val="0"/>
        <w:spacing w:after="0" w:line="240" w:lineRule="auto"/>
        <w:jc w:val="both"/>
        <w:rPr>
          <w:rFonts w:ascii="Arial" w:eastAsia="Times New Roman" w:hAnsi="Arial" w:cs="Arial"/>
          <w:sz w:val="20"/>
          <w:szCs w:val="20"/>
        </w:rPr>
      </w:pPr>
    </w:p>
    <w:p w14:paraId="4559C25A" w14:textId="62131D91" w:rsidR="004F1223" w:rsidRPr="00185593" w:rsidRDefault="004F1223" w:rsidP="00564259">
      <w:pPr>
        <w:widowControl w:val="0"/>
        <w:spacing w:after="0" w:line="240" w:lineRule="auto"/>
        <w:jc w:val="both"/>
        <w:rPr>
          <w:rFonts w:ascii="Arial" w:eastAsia="Times New Roman" w:hAnsi="Arial" w:cs="Arial"/>
          <w:sz w:val="20"/>
          <w:szCs w:val="20"/>
        </w:rPr>
      </w:pPr>
      <w:r w:rsidRPr="00185593">
        <w:rPr>
          <w:rFonts w:ascii="Arial" w:eastAsia="Times New Roman" w:hAnsi="Arial" w:cs="Arial"/>
          <w:sz w:val="20"/>
          <w:szCs w:val="20"/>
        </w:rPr>
        <w:t xml:space="preserve">We will be holding our </w:t>
      </w:r>
      <w:r>
        <w:rPr>
          <w:rFonts w:ascii="Arial" w:eastAsia="Times New Roman" w:hAnsi="Arial" w:cs="Arial"/>
          <w:sz w:val="20"/>
          <w:szCs w:val="20"/>
        </w:rPr>
        <w:t>2022 A</w:t>
      </w:r>
      <w:r w:rsidRPr="00185593">
        <w:rPr>
          <w:rFonts w:ascii="Arial" w:eastAsia="Times New Roman" w:hAnsi="Arial" w:cs="Arial"/>
          <w:sz w:val="20"/>
          <w:szCs w:val="20"/>
        </w:rPr>
        <w:t xml:space="preserve">nnual </w:t>
      </w:r>
      <w:r>
        <w:rPr>
          <w:rFonts w:ascii="Arial" w:eastAsia="Times New Roman" w:hAnsi="Arial" w:cs="Arial"/>
          <w:sz w:val="20"/>
          <w:szCs w:val="20"/>
        </w:rPr>
        <w:t>M</w:t>
      </w:r>
      <w:r w:rsidRPr="00185593">
        <w:rPr>
          <w:rFonts w:ascii="Arial" w:eastAsia="Times New Roman" w:hAnsi="Arial" w:cs="Arial"/>
          <w:sz w:val="20"/>
          <w:szCs w:val="20"/>
        </w:rPr>
        <w:t xml:space="preserve">eeting of </w:t>
      </w:r>
      <w:r>
        <w:rPr>
          <w:rFonts w:ascii="Arial" w:eastAsia="Times New Roman" w:hAnsi="Arial" w:cs="Arial"/>
          <w:sz w:val="20"/>
          <w:szCs w:val="20"/>
        </w:rPr>
        <w:t>S</w:t>
      </w:r>
      <w:r w:rsidRPr="00185593">
        <w:rPr>
          <w:rFonts w:ascii="Arial" w:eastAsia="Times New Roman" w:hAnsi="Arial" w:cs="Arial"/>
          <w:sz w:val="20"/>
          <w:szCs w:val="20"/>
        </w:rPr>
        <w:t xml:space="preserve">hareholders </w:t>
      </w:r>
      <w:r>
        <w:rPr>
          <w:rFonts w:ascii="Arial" w:eastAsia="Times New Roman" w:hAnsi="Arial" w:cs="Arial"/>
          <w:sz w:val="20"/>
          <w:szCs w:val="20"/>
        </w:rPr>
        <w:t>(the "Meeting")</w:t>
      </w:r>
      <w:r w:rsidRPr="00F638CE">
        <w:rPr>
          <w:rFonts w:ascii="Arial" w:eastAsia="Times New Roman" w:hAnsi="Arial" w:cs="Arial"/>
          <w:sz w:val="20"/>
          <w:szCs w:val="20"/>
        </w:rPr>
        <w:t xml:space="preserve"> </w:t>
      </w:r>
      <w:r w:rsidRPr="00185593">
        <w:rPr>
          <w:rFonts w:ascii="Arial" w:eastAsia="Times New Roman" w:hAnsi="Arial" w:cs="Arial"/>
          <w:sz w:val="20"/>
          <w:szCs w:val="20"/>
        </w:rPr>
        <w:t xml:space="preserve">on </w:t>
      </w:r>
      <w:r>
        <w:rPr>
          <w:rFonts w:ascii="Arial" w:eastAsia="Times New Roman" w:hAnsi="Arial" w:cs="Arial"/>
          <w:sz w:val="20"/>
          <w:szCs w:val="20"/>
        </w:rPr>
        <w:t>Thurs</w:t>
      </w:r>
      <w:r w:rsidRPr="00185593">
        <w:rPr>
          <w:rFonts w:ascii="Arial" w:eastAsia="Times New Roman" w:hAnsi="Arial" w:cs="Arial"/>
          <w:sz w:val="20"/>
          <w:szCs w:val="20"/>
        </w:rPr>
        <w:t xml:space="preserve">day, June </w:t>
      </w:r>
      <w:r>
        <w:rPr>
          <w:rFonts w:ascii="Arial" w:eastAsia="Times New Roman" w:hAnsi="Arial" w:cs="Arial"/>
          <w:sz w:val="20"/>
          <w:szCs w:val="20"/>
        </w:rPr>
        <w:t>9</w:t>
      </w:r>
      <w:r w:rsidRPr="00185593">
        <w:rPr>
          <w:rFonts w:ascii="Arial" w:eastAsia="Times New Roman" w:hAnsi="Arial" w:cs="Arial"/>
          <w:sz w:val="20"/>
          <w:szCs w:val="20"/>
        </w:rPr>
        <w:t>, 202</w:t>
      </w:r>
      <w:r>
        <w:rPr>
          <w:rFonts w:ascii="Arial" w:eastAsia="Times New Roman" w:hAnsi="Arial" w:cs="Arial"/>
          <w:sz w:val="20"/>
          <w:szCs w:val="20"/>
        </w:rPr>
        <w:t>2</w:t>
      </w:r>
      <w:r w:rsidRPr="00185593">
        <w:rPr>
          <w:rFonts w:ascii="Arial" w:eastAsia="Times New Roman" w:hAnsi="Arial" w:cs="Arial"/>
          <w:sz w:val="20"/>
          <w:szCs w:val="20"/>
        </w:rPr>
        <w:t xml:space="preserve"> at 10:00 a.m. (Mountain time). </w:t>
      </w:r>
      <w:r w:rsidR="006B4E33" w:rsidRPr="006B4E33">
        <w:rPr>
          <w:rFonts w:ascii="Arial" w:eastAsia="Times New Roman" w:hAnsi="Arial" w:cs="Arial"/>
          <w:sz w:val="20"/>
          <w:szCs w:val="20"/>
        </w:rPr>
        <w:t xml:space="preserve">To continue to mitigate risks to the health and safety of our communities, shareholders, </w:t>
      </w:r>
      <w:proofErr w:type="gramStart"/>
      <w:r w:rsidR="006B4E33" w:rsidRPr="006B4E33">
        <w:rPr>
          <w:rFonts w:ascii="Arial" w:eastAsia="Times New Roman" w:hAnsi="Arial" w:cs="Arial"/>
          <w:sz w:val="20"/>
          <w:szCs w:val="20"/>
        </w:rPr>
        <w:t>employees</w:t>
      </w:r>
      <w:proofErr w:type="gramEnd"/>
      <w:r w:rsidR="006B4E33" w:rsidRPr="006B4E33">
        <w:rPr>
          <w:rFonts w:ascii="Arial" w:eastAsia="Times New Roman" w:hAnsi="Arial" w:cs="Arial"/>
          <w:sz w:val="20"/>
          <w:szCs w:val="20"/>
        </w:rPr>
        <w:t xml:space="preserve"> and other stakeholders amid ongoing concerns regarding the coronavirus pandemic, we are holding a virtual-only Meeting which will be conducted via live audio webcast</w:t>
      </w:r>
      <w:r w:rsidR="006B4E33">
        <w:rPr>
          <w:rFonts w:ascii="Arial" w:eastAsia="Times New Roman" w:hAnsi="Arial" w:cs="Arial"/>
          <w:sz w:val="20"/>
          <w:szCs w:val="20"/>
        </w:rPr>
        <w:t xml:space="preserve">. </w:t>
      </w:r>
      <w:r w:rsidRPr="00B36372">
        <w:rPr>
          <w:rFonts w:ascii="Arial" w:eastAsia="Times New Roman" w:hAnsi="Arial" w:cs="Arial"/>
          <w:sz w:val="20"/>
          <w:szCs w:val="20"/>
          <w:lang w:eastAsia="en-CA"/>
        </w:rPr>
        <w:t>Every shareholder and duly appointed proxyholder, regardless of geographic location and ownership, will have an equal opportunity to participate in the Meeting online and vote on the matters to be considered at the Meeting. You cannot attend the Meeting in person.</w:t>
      </w:r>
      <w:r>
        <w:rPr>
          <w:rFonts w:ascii="Arial" w:eastAsia="Times New Roman" w:hAnsi="Arial" w:cs="Arial"/>
          <w:sz w:val="20"/>
          <w:szCs w:val="20"/>
        </w:rPr>
        <w:t xml:space="preserve"> </w:t>
      </w:r>
      <w:r w:rsidRPr="00185593">
        <w:rPr>
          <w:rFonts w:ascii="Arial" w:eastAsia="Times New Roman" w:hAnsi="Arial" w:cs="Arial"/>
          <w:sz w:val="20"/>
          <w:szCs w:val="20"/>
        </w:rPr>
        <w:t xml:space="preserve">Details on how to attend the </w:t>
      </w:r>
      <w:r>
        <w:rPr>
          <w:rFonts w:ascii="Arial" w:eastAsia="Times New Roman" w:hAnsi="Arial" w:cs="Arial"/>
          <w:sz w:val="20"/>
          <w:szCs w:val="20"/>
        </w:rPr>
        <w:t>virtual-only M</w:t>
      </w:r>
      <w:r w:rsidRPr="00185593">
        <w:rPr>
          <w:rFonts w:ascii="Arial" w:eastAsia="Times New Roman" w:hAnsi="Arial" w:cs="Arial"/>
          <w:sz w:val="20"/>
          <w:szCs w:val="20"/>
        </w:rPr>
        <w:t xml:space="preserve">eeting are as follows: </w:t>
      </w:r>
    </w:p>
    <w:p w14:paraId="1F81C7D8" w14:textId="052A156B" w:rsidR="004F1223" w:rsidRPr="00185593" w:rsidRDefault="004F1223" w:rsidP="004F1223">
      <w:pPr>
        <w:numPr>
          <w:ilvl w:val="0"/>
          <w:numId w:val="32"/>
        </w:numPr>
        <w:spacing w:before="200" w:after="120" w:line="240" w:lineRule="auto"/>
        <w:ind w:hanging="360"/>
        <w:jc w:val="both"/>
        <w:rPr>
          <w:rFonts w:ascii="Arial" w:eastAsia="Calibri" w:hAnsi="Arial" w:cs="Arial"/>
          <w:sz w:val="20"/>
          <w:szCs w:val="20"/>
          <w:lang w:val="en-CA"/>
        </w:rPr>
      </w:pPr>
      <w:r w:rsidRPr="006B4E33">
        <w:rPr>
          <w:rFonts w:ascii="Arial" w:hAnsi="Arial" w:cs="Arial"/>
          <w:sz w:val="20"/>
          <w:szCs w:val="20"/>
        </w:rPr>
        <w:t>Go to</w:t>
      </w:r>
      <w:r w:rsidR="006B4E33" w:rsidRPr="006B4E33">
        <w:rPr>
          <w:rFonts w:ascii="Arial" w:hAnsi="Arial" w:cs="Arial"/>
          <w:sz w:val="20"/>
          <w:szCs w:val="20"/>
        </w:rPr>
        <w:t xml:space="preserve"> </w:t>
      </w:r>
      <w:hyperlink r:id="rId10" w:history="1">
        <w:r w:rsidR="006B4E33" w:rsidRPr="006B4E33">
          <w:rPr>
            <w:rFonts w:ascii="Arial" w:eastAsia="Calibri" w:hAnsi="Arial" w:cs="Arial"/>
            <w:sz w:val="20"/>
            <w:szCs w:val="20"/>
            <w:u w:val="single"/>
            <w:lang w:val="en-CA"/>
          </w:rPr>
          <w:t>https://web.lumiagm.com/249639854</w:t>
        </w:r>
      </w:hyperlink>
      <w:r w:rsidRPr="006B4E33">
        <w:rPr>
          <w:rFonts w:ascii="Arial" w:eastAsia="Calibri" w:hAnsi="Arial" w:cs="Arial"/>
          <w:sz w:val="20"/>
          <w:szCs w:val="20"/>
          <w:lang w:val="en-CA"/>
        </w:rPr>
        <w:t xml:space="preserve"> in </w:t>
      </w:r>
      <w:r w:rsidRPr="00185593">
        <w:rPr>
          <w:rFonts w:ascii="Arial" w:eastAsia="Calibri" w:hAnsi="Arial" w:cs="Arial"/>
          <w:sz w:val="20"/>
          <w:szCs w:val="20"/>
          <w:lang w:val="en-CA"/>
        </w:rPr>
        <w:t>your web browser.</w:t>
      </w:r>
    </w:p>
    <w:p w14:paraId="50DC7871" w14:textId="1CA61248" w:rsidR="004F1223" w:rsidRPr="00B82E3F" w:rsidRDefault="004F1223" w:rsidP="004F1223">
      <w:pPr>
        <w:numPr>
          <w:ilvl w:val="0"/>
          <w:numId w:val="32"/>
        </w:numPr>
        <w:spacing w:before="120" w:after="120" w:line="240" w:lineRule="auto"/>
        <w:ind w:left="714" w:hanging="357"/>
        <w:jc w:val="both"/>
        <w:rPr>
          <w:rFonts w:ascii="Arial" w:hAnsi="Arial" w:cs="Arial"/>
          <w:sz w:val="20"/>
          <w:szCs w:val="20"/>
        </w:rPr>
      </w:pPr>
      <w:r w:rsidRPr="00B82E3F">
        <w:rPr>
          <w:rFonts w:ascii="Arial" w:hAnsi="Arial" w:cs="Arial"/>
          <w:sz w:val="20"/>
          <w:szCs w:val="20"/>
        </w:rPr>
        <w:t xml:space="preserve">If you have voting rights, select "Login" and enter your username and the password </w:t>
      </w:r>
      <w:r w:rsidRPr="00144B2A">
        <w:rPr>
          <w:rFonts w:ascii="Arial" w:hAnsi="Arial" w:cs="Arial"/>
          <w:sz w:val="20"/>
          <w:szCs w:val="20"/>
        </w:rPr>
        <w:t>"touchstone202</w:t>
      </w:r>
      <w:r w:rsidR="006B4E33">
        <w:rPr>
          <w:rFonts w:ascii="Arial" w:hAnsi="Arial" w:cs="Arial"/>
          <w:sz w:val="20"/>
          <w:szCs w:val="20"/>
        </w:rPr>
        <w:t>2</w:t>
      </w:r>
      <w:r w:rsidRPr="00144B2A">
        <w:rPr>
          <w:rFonts w:ascii="Arial" w:hAnsi="Arial" w:cs="Arial"/>
          <w:sz w:val="20"/>
          <w:szCs w:val="20"/>
        </w:rPr>
        <w:t xml:space="preserve">" </w:t>
      </w:r>
      <w:r w:rsidRPr="00B82E3F">
        <w:rPr>
          <w:rFonts w:ascii="Arial" w:hAnsi="Arial" w:cs="Arial"/>
          <w:sz w:val="20"/>
          <w:szCs w:val="20"/>
        </w:rPr>
        <w:t>(case sensitive).</w:t>
      </w:r>
    </w:p>
    <w:p w14:paraId="35057220" w14:textId="77777777" w:rsidR="004F1223" w:rsidRPr="00B82E3F" w:rsidRDefault="004F1223" w:rsidP="004F1223">
      <w:pPr>
        <w:numPr>
          <w:ilvl w:val="0"/>
          <w:numId w:val="32"/>
        </w:numPr>
        <w:spacing w:before="120" w:after="200" w:line="240" w:lineRule="auto"/>
        <w:ind w:hanging="360"/>
        <w:jc w:val="both"/>
        <w:rPr>
          <w:rFonts w:ascii="Arial" w:hAnsi="Arial" w:cs="Arial"/>
          <w:b/>
          <w:bCs/>
          <w:sz w:val="20"/>
          <w:szCs w:val="20"/>
        </w:rPr>
      </w:pPr>
      <w:r w:rsidRPr="00B82E3F">
        <w:rPr>
          <w:rFonts w:ascii="Arial" w:hAnsi="Arial" w:cs="Arial"/>
          <w:sz w:val="20"/>
          <w:szCs w:val="20"/>
        </w:rPr>
        <w:t>If you do not have voting rights, select "Guest</w:t>
      </w:r>
      <w:proofErr w:type="gramStart"/>
      <w:r w:rsidRPr="00B82E3F">
        <w:rPr>
          <w:rFonts w:ascii="Arial" w:hAnsi="Arial" w:cs="Arial"/>
          <w:sz w:val="20"/>
          <w:szCs w:val="20"/>
        </w:rPr>
        <w:t>"</w:t>
      </w:r>
      <w:proofErr w:type="gramEnd"/>
      <w:r w:rsidRPr="00B82E3F">
        <w:rPr>
          <w:rFonts w:ascii="Arial" w:hAnsi="Arial" w:cs="Arial"/>
          <w:sz w:val="20"/>
          <w:szCs w:val="20"/>
        </w:rPr>
        <w:t xml:space="preserve"> and complete the online form. </w:t>
      </w:r>
    </w:p>
    <w:p w14:paraId="2CF7FEC2" w14:textId="26722484" w:rsidR="004F1223" w:rsidRPr="00254D50" w:rsidRDefault="004F1223" w:rsidP="006B4E33">
      <w:pPr>
        <w:pStyle w:val="NRL1Bullet"/>
        <w:numPr>
          <w:ilvl w:val="0"/>
          <w:numId w:val="0"/>
        </w:numPr>
        <w:spacing w:after="0"/>
      </w:pPr>
      <w:r w:rsidRPr="00185593">
        <w:rPr>
          <w:rFonts w:eastAsia="Times New Roman" w:cs="Arial"/>
        </w:rPr>
        <w:t xml:space="preserve">Further details on how to attend the </w:t>
      </w:r>
      <w:r>
        <w:rPr>
          <w:rFonts w:eastAsia="Times New Roman" w:cs="Arial"/>
        </w:rPr>
        <w:t>M</w:t>
      </w:r>
      <w:r w:rsidRPr="00185593">
        <w:rPr>
          <w:rFonts w:eastAsia="Times New Roman" w:cs="Arial"/>
        </w:rPr>
        <w:t xml:space="preserve">eeting are included on our website. The meeting materials, including our Notice of </w:t>
      </w:r>
      <w:r>
        <w:rPr>
          <w:rFonts w:eastAsia="Times New Roman" w:cs="Arial"/>
        </w:rPr>
        <w:t>202</w:t>
      </w:r>
      <w:r w:rsidR="006B4E33">
        <w:rPr>
          <w:rFonts w:eastAsia="Times New Roman" w:cs="Arial"/>
        </w:rPr>
        <w:t>2</w:t>
      </w:r>
      <w:r>
        <w:rPr>
          <w:rFonts w:eastAsia="Times New Roman" w:cs="Arial"/>
        </w:rPr>
        <w:t xml:space="preserve"> Annual </w:t>
      </w:r>
      <w:r w:rsidRPr="006B4E33">
        <w:rPr>
          <w:rFonts w:eastAsia="Times New Roman" w:cs="Arial"/>
        </w:rPr>
        <w:t>Meeting of Shareholders and Management Information Circular dated April 29, 202</w:t>
      </w:r>
      <w:r w:rsidR="006B4E33" w:rsidRPr="006B4E33">
        <w:rPr>
          <w:rFonts w:eastAsia="Times New Roman" w:cs="Arial"/>
        </w:rPr>
        <w:t>2</w:t>
      </w:r>
      <w:r w:rsidRPr="006B4E33">
        <w:rPr>
          <w:rFonts w:eastAsia="Times New Roman" w:cs="Arial"/>
        </w:rPr>
        <w:t>, are available on our website</w:t>
      </w:r>
      <w:r w:rsidR="006B4E33" w:rsidRPr="006B4E33">
        <w:rPr>
          <w:rFonts w:eastAsia="Times New Roman" w:cs="Arial"/>
        </w:rPr>
        <w:t xml:space="preserve"> (</w:t>
      </w:r>
      <w:hyperlink r:id="rId11" w:history="1">
        <w:r w:rsidR="006B4E33" w:rsidRPr="006B4E33">
          <w:rPr>
            <w:u w:val="single"/>
          </w:rPr>
          <w:t>www.touchstoneexploration.com/investors/shareholder-meetings</w:t>
        </w:r>
      </w:hyperlink>
      <w:r w:rsidRPr="006B4E33">
        <w:t xml:space="preserve">) </w:t>
      </w:r>
      <w:r w:rsidRPr="006B4E33">
        <w:rPr>
          <w:rFonts w:cs="Arial"/>
        </w:rPr>
        <w:t>and</w:t>
      </w:r>
      <w:r w:rsidRPr="006B4E33">
        <w:rPr>
          <w:rFonts w:eastAsia="Times New Roman" w:cs="Arial"/>
        </w:rPr>
        <w:t xml:space="preserve"> </w:t>
      </w:r>
      <w:r w:rsidRPr="006B4E33">
        <w:rPr>
          <w:rFonts w:cs="Arial"/>
        </w:rPr>
        <w:t>under our profile on SEDAR (</w:t>
      </w:r>
      <w:hyperlink r:id="rId12" w:history="1"/>
      <w:hyperlink r:id="rId13" w:history="1">
        <w:r w:rsidR="006B4E33" w:rsidRPr="006B4E33">
          <w:rPr>
            <w:rStyle w:val="Hyperlink"/>
            <w:rFonts w:cs="Arial"/>
            <w:color w:val="auto"/>
          </w:rPr>
          <w:t>www.sedar.com</w:t>
        </w:r>
      </w:hyperlink>
      <w:r w:rsidRPr="006B4E33">
        <w:rPr>
          <w:rFonts w:cs="Arial"/>
        </w:rPr>
        <w:t xml:space="preserve">). </w:t>
      </w:r>
      <w:r w:rsidRPr="006B4E33">
        <w:rPr>
          <w:rFonts w:eastAsia="Times New Roman" w:cs="Arial"/>
        </w:rPr>
        <w:t>The meeting materials were mailed to shareholders on May 10, 202</w:t>
      </w:r>
      <w:r w:rsidR="006B4E33">
        <w:rPr>
          <w:rFonts w:eastAsia="Times New Roman" w:cs="Arial"/>
        </w:rPr>
        <w:t>2</w:t>
      </w:r>
      <w:r w:rsidRPr="006B4E33">
        <w:rPr>
          <w:rFonts w:eastAsia="Times New Roman" w:cs="Arial"/>
        </w:rPr>
        <w:t>.</w:t>
      </w:r>
    </w:p>
    <w:p w14:paraId="43AFE5A8" w14:textId="77777777" w:rsidR="004F1223" w:rsidRDefault="004F1223" w:rsidP="006B4E33">
      <w:pPr>
        <w:pStyle w:val="BodyText"/>
        <w:widowControl w:val="0"/>
        <w:rPr>
          <w:sz w:val="20"/>
          <w:szCs w:val="20"/>
        </w:rPr>
      </w:pPr>
    </w:p>
    <w:p w14:paraId="144AF451" w14:textId="30CE41E0" w:rsidR="00EF15DA" w:rsidRPr="00357DCB" w:rsidRDefault="00EF15DA" w:rsidP="006B4E33">
      <w:pPr>
        <w:keepNext/>
        <w:autoSpaceDE w:val="0"/>
        <w:autoSpaceDN w:val="0"/>
        <w:adjustRightInd w:val="0"/>
        <w:spacing w:after="0" w:line="240" w:lineRule="auto"/>
        <w:rPr>
          <w:rFonts w:ascii="Arial" w:eastAsia="Calibri" w:hAnsi="Arial" w:cs="Arial"/>
          <w:b/>
          <w:color w:val="000000"/>
          <w:sz w:val="20"/>
          <w:szCs w:val="24"/>
        </w:rPr>
      </w:pPr>
      <w:r w:rsidRPr="00CA7C34">
        <w:rPr>
          <w:rFonts w:ascii="Arial" w:eastAsia="Calibri" w:hAnsi="Arial" w:cs="Arial"/>
          <w:b/>
          <w:color w:val="000000"/>
          <w:sz w:val="20"/>
          <w:szCs w:val="24"/>
        </w:rPr>
        <w:t>Touchstone Exploration Inc.</w:t>
      </w:r>
      <w:r w:rsidRPr="00357DCB">
        <w:rPr>
          <w:rFonts w:ascii="Arial" w:eastAsia="Calibri" w:hAnsi="Arial" w:cs="Arial"/>
          <w:b/>
          <w:color w:val="000000"/>
          <w:sz w:val="20"/>
          <w:szCs w:val="24"/>
        </w:rPr>
        <w:t xml:space="preserve"> </w:t>
      </w:r>
    </w:p>
    <w:p w14:paraId="1A8B962E" w14:textId="77777777" w:rsidR="00EF15DA" w:rsidRPr="00357DCB" w:rsidRDefault="00EF15DA" w:rsidP="006B4E33">
      <w:pPr>
        <w:keepNext/>
        <w:autoSpaceDE w:val="0"/>
        <w:autoSpaceDN w:val="0"/>
        <w:adjustRightInd w:val="0"/>
        <w:spacing w:after="0" w:line="240" w:lineRule="auto"/>
        <w:rPr>
          <w:rFonts w:ascii="Arial" w:eastAsia="Calibri" w:hAnsi="Arial" w:cs="Arial"/>
          <w:color w:val="000000"/>
          <w:sz w:val="20"/>
          <w:szCs w:val="24"/>
        </w:rPr>
      </w:pPr>
    </w:p>
    <w:p w14:paraId="780D1283" w14:textId="77777777" w:rsidR="00EF15DA" w:rsidRDefault="00EF15DA" w:rsidP="006B4E33">
      <w:pPr>
        <w:autoSpaceDE w:val="0"/>
        <w:autoSpaceDN w:val="0"/>
        <w:adjustRightInd w:val="0"/>
        <w:spacing w:after="0" w:line="240" w:lineRule="auto"/>
        <w:jc w:val="both"/>
        <w:rPr>
          <w:rFonts w:ascii="Arial" w:eastAsia="Calibri" w:hAnsi="Arial" w:cs="Arial"/>
          <w:color w:val="000000"/>
          <w:sz w:val="20"/>
          <w:szCs w:val="24"/>
        </w:rPr>
      </w:pPr>
      <w:r w:rsidRPr="00357DCB">
        <w:rPr>
          <w:rFonts w:ascii="Arial" w:eastAsia="Calibri" w:hAnsi="Arial" w:cs="Arial"/>
          <w:color w:val="000000"/>
          <w:sz w:val="20"/>
          <w:szCs w:val="24"/>
        </w:rPr>
        <w:t>Touchstone Exploration Inc. is a Calgary</w:t>
      </w:r>
      <w:r>
        <w:rPr>
          <w:rFonts w:ascii="Arial" w:eastAsia="Calibri" w:hAnsi="Arial" w:cs="Arial"/>
          <w:color w:val="000000"/>
          <w:sz w:val="20"/>
          <w:szCs w:val="24"/>
        </w:rPr>
        <w:t>, Alberta</w:t>
      </w:r>
      <w:r w:rsidRPr="00357DCB">
        <w:rPr>
          <w:rFonts w:ascii="Arial" w:eastAsia="Calibri" w:hAnsi="Arial" w:cs="Arial"/>
          <w:color w:val="000000"/>
          <w:sz w:val="20"/>
          <w:szCs w:val="24"/>
        </w:rPr>
        <w:t xml:space="preserve"> based company engaged in the business of acquiring interests in petroleum and natural gas rights and the exploration, development, production and sale of petroleum and natural gas. Touchstone is currently active in onshore properties located in the Republic of Trinidad and Tobago. The Company's common shares are traded on the Toronto Stock Exchange and the AIM market of the London Stock Exchange under the symbol </w:t>
      </w:r>
      <w:r w:rsidRPr="00F242C1">
        <w:rPr>
          <w:rFonts w:ascii="Arial" w:hAnsi="Arial" w:cs="Arial"/>
          <w:bCs/>
          <w:iCs/>
          <w:sz w:val="20"/>
          <w:szCs w:val="20"/>
        </w:rPr>
        <w:t>"</w:t>
      </w:r>
      <w:r w:rsidRPr="00357DCB">
        <w:rPr>
          <w:rFonts w:ascii="Arial" w:eastAsia="Calibri" w:hAnsi="Arial" w:cs="Arial"/>
          <w:color w:val="000000"/>
          <w:sz w:val="20"/>
          <w:szCs w:val="24"/>
        </w:rPr>
        <w:t>TXP</w:t>
      </w:r>
      <w:r w:rsidRPr="00F242C1">
        <w:rPr>
          <w:rFonts w:ascii="Arial" w:hAnsi="Arial" w:cs="Arial"/>
          <w:bCs/>
          <w:iCs/>
          <w:sz w:val="20"/>
          <w:szCs w:val="20"/>
        </w:rPr>
        <w:t>"</w:t>
      </w:r>
      <w:r w:rsidRPr="00357DCB">
        <w:rPr>
          <w:rFonts w:ascii="Arial" w:eastAsia="Calibri" w:hAnsi="Arial" w:cs="Arial"/>
          <w:color w:val="000000"/>
          <w:sz w:val="20"/>
          <w:szCs w:val="24"/>
        </w:rPr>
        <w:t>.</w:t>
      </w:r>
      <w:r>
        <w:rPr>
          <w:rFonts w:ascii="Arial" w:eastAsia="Calibri" w:hAnsi="Arial" w:cs="Arial"/>
          <w:color w:val="000000"/>
          <w:sz w:val="20"/>
          <w:szCs w:val="24"/>
        </w:rPr>
        <w:t xml:space="preserve"> </w:t>
      </w:r>
    </w:p>
    <w:p w14:paraId="288C2773" w14:textId="77777777" w:rsidR="00EF15DA" w:rsidRDefault="00EF15DA" w:rsidP="00EF15DA">
      <w:pPr>
        <w:autoSpaceDE w:val="0"/>
        <w:autoSpaceDN w:val="0"/>
        <w:adjustRightInd w:val="0"/>
        <w:spacing w:after="0" w:line="240" w:lineRule="auto"/>
        <w:jc w:val="both"/>
        <w:rPr>
          <w:rFonts w:ascii="Arial" w:eastAsia="Calibri" w:hAnsi="Arial" w:cs="Arial"/>
          <w:color w:val="000000"/>
          <w:sz w:val="20"/>
          <w:szCs w:val="24"/>
        </w:rPr>
      </w:pPr>
    </w:p>
    <w:p w14:paraId="23D223FF" w14:textId="283E74AC" w:rsidR="00EF15DA" w:rsidRPr="00AE134B" w:rsidRDefault="00EF15DA" w:rsidP="00F9174B">
      <w:pPr>
        <w:keepNext/>
        <w:autoSpaceDE w:val="0"/>
        <w:autoSpaceDN w:val="0"/>
        <w:adjustRightInd w:val="0"/>
        <w:spacing w:after="0" w:line="240" w:lineRule="auto"/>
        <w:jc w:val="both"/>
        <w:rPr>
          <w:rFonts w:ascii="Arial" w:eastAsia="Calibri" w:hAnsi="Arial" w:cs="Arial"/>
          <w:color w:val="000000"/>
          <w:sz w:val="20"/>
          <w:szCs w:val="24"/>
        </w:rPr>
      </w:pPr>
      <w:r w:rsidRPr="006B0F17">
        <w:rPr>
          <w:rFonts w:ascii="Arial" w:eastAsia="Calibri" w:hAnsi="Arial" w:cs="Arial"/>
          <w:sz w:val="20"/>
        </w:rPr>
        <w:lastRenderedPageBreak/>
        <w:t xml:space="preserve">For </w:t>
      </w:r>
      <w:r>
        <w:rPr>
          <w:rFonts w:ascii="Arial" w:eastAsia="Calibri" w:hAnsi="Arial" w:cs="Arial"/>
          <w:sz w:val="20"/>
        </w:rPr>
        <w:t>f</w:t>
      </w:r>
      <w:r w:rsidRPr="006B0F17">
        <w:rPr>
          <w:rFonts w:ascii="Arial" w:eastAsia="Calibri" w:hAnsi="Arial" w:cs="Arial"/>
          <w:sz w:val="20"/>
        </w:rPr>
        <w:t xml:space="preserve">urther </w:t>
      </w:r>
      <w:r>
        <w:rPr>
          <w:rFonts w:ascii="Arial" w:eastAsia="Calibri" w:hAnsi="Arial" w:cs="Arial"/>
          <w:sz w:val="20"/>
        </w:rPr>
        <w:t>i</w:t>
      </w:r>
      <w:r w:rsidRPr="006B0F17">
        <w:rPr>
          <w:rFonts w:ascii="Arial" w:eastAsia="Calibri" w:hAnsi="Arial" w:cs="Arial"/>
          <w:sz w:val="20"/>
        </w:rPr>
        <w:t>nformation</w:t>
      </w:r>
      <w:r>
        <w:rPr>
          <w:rFonts w:ascii="Arial" w:eastAsia="Calibri" w:hAnsi="Arial" w:cs="Arial"/>
          <w:sz w:val="20"/>
        </w:rPr>
        <w:t xml:space="preserve"> about Touchstone, please visit our website </w:t>
      </w:r>
      <w:r w:rsidRPr="00FA33AF">
        <w:rPr>
          <w:rFonts w:ascii="Arial" w:eastAsia="Calibri" w:hAnsi="Arial" w:cs="Arial"/>
          <w:sz w:val="20"/>
        </w:rPr>
        <w:t xml:space="preserve">at </w:t>
      </w:r>
      <w:hyperlink r:id="rId14" w:history="1">
        <w:r w:rsidR="00FA33AF" w:rsidRPr="00FA33AF">
          <w:rPr>
            <w:rStyle w:val="Hyperlink"/>
            <w:rFonts w:ascii="Arial" w:eastAsia="Calibri" w:hAnsi="Arial" w:cs="Arial"/>
            <w:color w:val="auto"/>
            <w:sz w:val="20"/>
          </w:rPr>
          <w:t>www.touchstoneexploration.com</w:t>
        </w:r>
      </w:hyperlink>
      <w:r w:rsidR="00FA33AF">
        <w:rPr>
          <w:rFonts w:ascii="Arial" w:eastAsia="Calibri" w:hAnsi="Arial" w:cs="Arial"/>
          <w:sz w:val="20"/>
        </w:rPr>
        <w:t xml:space="preserve"> </w:t>
      </w:r>
      <w:r>
        <w:rPr>
          <w:rFonts w:ascii="Arial" w:eastAsia="Calibri" w:hAnsi="Arial" w:cs="Arial"/>
          <w:sz w:val="20"/>
        </w:rPr>
        <w:t>or contact</w:t>
      </w:r>
      <w:r w:rsidRPr="006B0F17">
        <w:rPr>
          <w:rFonts w:ascii="Arial" w:eastAsia="Calibri" w:hAnsi="Arial" w:cs="Arial"/>
          <w:sz w:val="20"/>
        </w:rPr>
        <w:t>:</w:t>
      </w:r>
    </w:p>
    <w:p w14:paraId="4FBBB079" w14:textId="3F4C52E4" w:rsidR="00EF15DA" w:rsidRDefault="00EF15DA" w:rsidP="00F9174B">
      <w:pPr>
        <w:keepNext/>
        <w:spacing w:after="0" w:line="240" w:lineRule="auto"/>
        <w:jc w:val="both"/>
        <w:rPr>
          <w:rFonts w:ascii="Arial" w:eastAsia="Calibri" w:hAnsi="Arial" w:cs="Arial"/>
          <w:b/>
          <w:sz w:val="20"/>
          <w:szCs w:val="20"/>
        </w:rPr>
      </w:pPr>
    </w:p>
    <w:p w14:paraId="122C49F1" w14:textId="77777777" w:rsidR="00F9174B" w:rsidRDefault="00F9174B" w:rsidP="00F9174B">
      <w:pPr>
        <w:keepNext/>
        <w:spacing w:after="0" w:line="240" w:lineRule="auto"/>
        <w:jc w:val="both"/>
        <w:rPr>
          <w:rFonts w:ascii="Arial" w:eastAsia="Calibri" w:hAnsi="Arial" w:cs="Arial"/>
          <w:sz w:val="20"/>
          <w:szCs w:val="20"/>
        </w:rPr>
      </w:pPr>
      <w:r>
        <w:rPr>
          <w:rFonts w:ascii="Arial" w:eastAsia="Calibri" w:hAnsi="Arial" w:cs="Arial"/>
          <w:sz w:val="20"/>
          <w:szCs w:val="20"/>
        </w:rPr>
        <w:t>Mr. Paul Baay, President and Chief Executive Officer</w:t>
      </w:r>
    </w:p>
    <w:p w14:paraId="481D6B4E" w14:textId="77777777" w:rsidR="00F9174B" w:rsidRDefault="00F9174B" w:rsidP="00F9174B">
      <w:pPr>
        <w:keepNext/>
        <w:spacing w:after="0" w:line="240" w:lineRule="auto"/>
        <w:jc w:val="both"/>
        <w:rPr>
          <w:rFonts w:ascii="Arial" w:eastAsia="Calibri" w:hAnsi="Arial" w:cs="Arial"/>
          <w:sz w:val="20"/>
          <w:szCs w:val="20"/>
        </w:rPr>
      </w:pPr>
      <w:r>
        <w:rPr>
          <w:rFonts w:ascii="Arial" w:eastAsia="Calibri" w:hAnsi="Arial" w:cs="Arial"/>
          <w:sz w:val="20"/>
          <w:szCs w:val="20"/>
        </w:rPr>
        <w:t>Mr. Scott Budau, Chief Financial Officer</w:t>
      </w:r>
    </w:p>
    <w:p w14:paraId="2BAA777D" w14:textId="77777777" w:rsidR="00F9174B" w:rsidRDefault="00F9174B" w:rsidP="00F9174B">
      <w:pPr>
        <w:keepNext/>
        <w:spacing w:after="0" w:line="240" w:lineRule="auto"/>
        <w:jc w:val="both"/>
        <w:rPr>
          <w:rFonts w:ascii="Arial" w:eastAsia="Calibri" w:hAnsi="Arial" w:cs="Arial"/>
          <w:sz w:val="20"/>
          <w:szCs w:val="20"/>
        </w:rPr>
      </w:pPr>
      <w:r>
        <w:rPr>
          <w:rFonts w:ascii="Arial" w:eastAsia="Calibri" w:hAnsi="Arial" w:cs="Arial"/>
          <w:sz w:val="20"/>
          <w:szCs w:val="20"/>
        </w:rPr>
        <w:t>Mr. James Shipka, Chief Operating Officer</w:t>
      </w:r>
    </w:p>
    <w:p w14:paraId="45B6BC51" w14:textId="77777777" w:rsidR="00F9174B" w:rsidRDefault="00F9174B" w:rsidP="00F9174B">
      <w:pPr>
        <w:keepNext/>
        <w:spacing w:after="0" w:line="240" w:lineRule="auto"/>
        <w:jc w:val="both"/>
        <w:rPr>
          <w:rFonts w:ascii="Arial" w:eastAsia="Calibri" w:hAnsi="Arial" w:cs="Arial"/>
          <w:sz w:val="20"/>
          <w:szCs w:val="20"/>
        </w:rPr>
      </w:pPr>
      <w:r>
        <w:rPr>
          <w:rFonts w:ascii="Arial" w:eastAsia="Calibri" w:hAnsi="Arial" w:cs="Arial"/>
          <w:sz w:val="20"/>
          <w:szCs w:val="20"/>
        </w:rPr>
        <w:t>Telephone: 403.750.4487</w:t>
      </w:r>
    </w:p>
    <w:p w14:paraId="6E14C196" w14:textId="2D539765" w:rsidR="00F9174B" w:rsidRDefault="00F9174B" w:rsidP="00F9174B">
      <w:pPr>
        <w:keepNext/>
        <w:spacing w:after="0" w:line="240" w:lineRule="auto"/>
        <w:jc w:val="both"/>
        <w:rPr>
          <w:rFonts w:ascii="Arial" w:eastAsia="Calibri" w:hAnsi="Arial" w:cs="Arial"/>
          <w:b/>
          <w:sz w:val="20"/>
          <w:szCs w:val="20"/>
        </w:rPr>
      </w:pPr>
    </w:p>
    <w:p w14:paraId="2588B75F" w14:textId="4528FD94" w:rsidR="00EF15DA" w:rsidRPr="00EB008B" w:rsidRDefault="00EF15DA" w:rsidP="00EF15DA">
      <w:pPr>
        <w:keepNext/>
        <w:spacing w:after="0" w:line="240" w:lineRule="auto"/>
        <w:jc w:val="both"/>
        <w:rPr>
          <w:rFonts w:ascii="Arial" w:eastAsia="Calibri" w:hAnsi="Arial" w:cs="Arial"/>
          <w:b/>
          <w:sz w:val="20"/>
          <w:szCs w:val="20"/>
          <w:lang w:val="en-CA"/>
        </w:rPr>
      </w:pPr>
      <w:r w:rsidRPr="00EB008B">
        <w:rPr>
          <w:rFonts w:ascii="Arial" w:eastAsia="Calibri" w:hAnsi="Arial" w:cs="Arial"/>
          <w:b/>
          <w:sz w:val="20"/>
          <w:szCs w:val="20"/>
          <w:lang w:val="en-CA"/>
        </w:rPr>
        <w:t>Advisories</w:t>
      </w:r>
    </w:p>
    <w:p w14:paraId="08EF70B0" w14:textId="77777777" w:rsidR="00EF15DA" w:rsidRPr="008B1B63" w:rsidRDefault="00EF15DA" w:rsidP="00EF15DA">
      <w:pPr>
        <w:keepNext/>
        <w:spacing w:after="0" w:line="240" w:lineRule="auto"/>
        <w:jc w:val="both"/>
        <w:rPr>
          <w:rFonts w:ascii="Arial" w:eastAsia="Calibri" w:hAnsi="Arial" w:cs="Arial"/>
          <w:b/>
          <w:sz w:val="20"/>
          <w:szCs w:val="20"/>
          <w:lang w:val="en-CA"/>
        </w:rPr>
      </w:pPr>
    </w:p>
    <w:p w14:paraId="64C2B3C0" w14:textId="7E326942" w:rsidR="00EF15DA" w:rsidRPr="008B1B63" w:rsidRDefault="00EF15DA" w:rsidP="00EF15DA">
      <w:pPr>
        <w:pStyle w:val="Header"/>
        <w:keepNext/>
        <w:jc w:val="both"/>
        <w:rPr>
          <w:rFonts w:ascii="Arial" w:eastAsia="Calibri" w:hAnsi="Arial" w:cs="Arial"/>
          <w:b/>
          <w:i/>
          <w:sz w:val="20"/>
          <w:szCs w:val="20"/>
          <w:lang w:val="en-CA"/>
        </w:rPr>
      </w:pPr>
      <w:r w:rsidRPr="008B1B63">
        <w:rPr>
          <w:rFonts w:ascii="Arial" w:eastAsia="Calibri" w:hAnsi="Arial" w:cs="Arial"/>
          <w:b/>
          <w:i/>
          <w:sz w:val="20"/>
          <w:szCs w:val="20"/>
          <w:lang w:val="en-CA"/>
        </w:rPr>
        <w:t xml:space="preserve">Non-GAAP </w:t>
      </w:r>
      <w:r w:rsidR="00896F7B">
        <w:rPr>
          <w:rFonts w:ascii="Arial" w:eastAsia="Calibri" w:hAnsi="Arial" w:cs="Arial"/>
          <w:b/>
          <w:i/>
          <w:sz w:val="20"/>
          <w:szCs w:val="20"/>
          <w:lang w:val="en-CA"/>
        </w:rPr>
        <w:t xml:space="preserve">Financial </w:t>
      </w:r>
      <w:r w:rsidRPr="008B1B63">
        <w:rPr>
          <w:rFonts w:ascii="Arial" w:eastAsia="Calibri" w:hAnsi="Arial" w:cs="Arial"/>
          <w:b/>
          <w:i/>
          <w:sz w:val="20"/>
          <w:szCs w:val="20"/>
          <w:lang w:val="en-CA"/>
        </w:rPr>
        <w:t>Measures</w:t>
      </w:r>
    </w:p>
    <w:p w14:paraId="1C76C636" w14:textId="7ED17055" w:rsidR="00EF15DA" w:rsidRDefault="00EF15DA" w:rsidP="00C762EB">
      <w:pPr>
        <w:pStyle w:val="Header"/>
        <w:widowControl w:val="0"/>
        <w:jc w:val="both"/>
        <w:rPr>
          <w:rFonts w:ascii="Arial" w:eastAsia="Calibri" w:hAnsi="Arial" w:cs="Arial"/>
          <w:b/>
          <w:i/>
          <w:sz w:val="20"/>
          <w:szCs w:val="20"/>
          <w:lang w:val="en-CA"/>
        </w:rPr>
      </w:pPr>
    </w:p>
    <w:p w14:paraId="5FB56253" w14:textId="36BE3AC1" w:rsidR="00896F7B" w:rsidRDefault="009052A4" w:rsidP="00896F7B">
      <w:pPr>
        <w:autoSpaceDE w:val="0"/>
        <w:autoSpaceDN w:val="0"/>
        <w:adjustRightInd w:val="0"/>
        <w:spacing w:after="0" w:line="240" w:lineRule="auto"/>
        <w:jc w:val="both"/>
        <w:rPr>
          <w:rFonts w:ascii="ArialMT" w:hAnsi="ArialMT" w:cs="ArialMT"/>
          <w:sz w:val="20"/>
          <w:szCs w:val="20"/>
          <w:lang w:val="en-CA"/>
        </w:rPr>
      </w:pPr>
      <w:bookmarkStart w:id="2" w:name="_Hlk97104010"/>
      <w:r>
        <w:rPr>
          <w:rFonts w:ascii="ArialMT" w:hAnsi="ArialMT" w:cs="ArialMT"/>
          <w:sz w:val="20"/>
          <w:szCs w:val="20"/>
          <w:lang w:val="en-CA"/>
        </w:rPr>
        <w:t xml:space="preserve">Certain financial measures in this </w:t>
      </w:r>
      <w:r w:rsidR="00F9174B" w:rsidRPr="00F9174B">
        <w:rPr>
          <w:rFonts w:ascii="ArialMT" w:hAnsi="ArialMT" w:cs="ArialMT"/>
          <w:sz w:val="20"/>
          <w:szCs w:val="20"/>
          <w:lang w:val="en-CA"/>
        </w:rPr>
        <w:t>news release</w:t>
      </w:r>
      <w:r w:rsidR="00F9174B">
        <w:rPr>
          <w:rFonts w:ascii="ArialMT" w:hAnsi="ArialMT" w:cs="ArialMT"/>
          <w:sz w:val="20"/>
          <w:szCs w:val="20"/>
          <w:lang w:val="en-CA"/>
        </w:rPr>
        <w:t xml:space="preserve"> </w:t>
      </w:r>
      <w:r>
        <w:rPr>
          <w:rFonts w:ascii="ArialMT" w:hAnsi="ArialMT" w:cs="ArialMT"/>
          <w:sz w:val="20"/>
          <w:szCs w:val="20"/>
          <w:lang w:val="en-CA"/>
        </w:rPr>
        <w:t xml:space="preserve">do not have a standardized meaning as prescribed by International Financial </w:t>
      </w:r>
      <w:r w:rsidR="006B4C75">
        <w:rPr>
          <w:rFonts w:ascii="ArialMT" w:hAnsi="ArialMT" w:cs="ArialMT"/>
          <w:sz w:val="20"/>
          <w:szCs w:val="20"/>
          <w:lang w:val="en-CA"/>
        </w:rPr>
        <w:t>R</w:t>
      </w:r>
      <w:r>
        <w:rPr>
          <w:rFonts w:ascii="ArialMT" w:hAnsi="ArialMT" w:cs="ArialMT"/>
          <w:sz w:val="20"/>
          <w:szCs w:val="20"/>
          <w:lang w:val="en-CA"/>
        </w:rPr>
        <w:t xml:space="preserve">eporting Standards ("IFRS" or "GAAP") and therefore are considered non-GAAP financial measures. These </w:t>
      </w:r>
      <w:r w:rsidR="00896F7B">
        <w:rPr>
          <w:rFonts w:ascii="ArialMT" w:hAnsi="ArialMT" w:cs="ArialMT"/>
          <w:sz w:val="20"/>
          <w:szCs w:val="20"/>
          <w:lang w:val="en-CA"/>
        </w:rPr>
        <w:t xml:space="preserve">financial </w:t>
      </w:r>
      <w:r>
        <w:rPr>
          <w:rFonts w:ascii="ArialMT" w:hAnsi="ArialMT" w:cs="ArialMT"/>
          <w:sz w:val="20"/>
          <w:szCs w:val="20"/>
          <w:lang w:val="en-CA"/>
        </w:rPr>
        <w:t xml:space="preserve">measures may not be comparable to similar </w:t>
      </w:r>
      <w:r w:rsidR="00896F7B">
        <w:rPr>
          <w:rFonts w:ascii="ArialMT" w:hAnsi="ArialMT" w:cs="ArialMT"/>
          <w:sz w:val="20"/>
          <w:szCs w:val="20"/>
          <w:lang w:val="en-CA"/>
        </w:rPr>
        <w:t xml:space="preserve">financial </w:t>
      </w:r>
      <w:r>
        <w:rPr>
          <w:rFonts w:ascii="ArialMT" w:hAnsi="ArialMT" w:cs="ArialMT"/>
          <w:sz w:val="20"/>
          <w:szCs w:val="20"/>
          <w:lang w:val="en-CA"/>
        </w:rPr>
        <w:t xml:space="preserve">measures </w:t>
      </w:r>
      <w:r w:rsidR="00896F7B">
        <w:rPr>
          <w:rFonts w:ascii="ArialMT" w:hAnsi="ArialMT" w:cs="ArialMT"/>
          <w:sz w:val="20"/>
          <w:szCs w:val="20"/>
          <w:lang w:val="en-CA"/>
        </w:rPr>
        <w:t>disclosed by</w:t>
      </w:r>
      <w:r>
        <w:rPr>
          <w:rFonts w:ascii="ArialMT" w:hAnsi="ArialMT" w:cs="ArialMT"/>
          <w:sz w:val="20"/>
          <w:szCs w:val="20"/>
          <w:lang w:val="en-CA"/>
        </w:rPr>
        <w:t xml:space="preserve"> other issuers. </w:t>
      </w:r>
      <w:r w:rsidR="00896F7B">
        <w:rPr>
          <w:rFonts w:ascii="ArialMT" w:hAnsi="ArialMT" w:cs="ArialMT"/>
          <w:sz w:val="20"/>
          <w:szCs w:val="20"/>
          <w:lang w:val="en-CA"/>
        </w:rPr>
        <w:t>Readers are cautioned that any non-GAAP financial measures</w:t>
      </w:r>
      <w:r w:rsidR="00896F7B" w:rsidRPr="00D9310E">
        <w:rPr>
          <w:rFonts w:ascii="ArialMT" w:hAnsi="ArialMT" w:cs="ArialMT"/>
          <w:sz w:val="20"/>
          <w:szCs w:val="20"/>
          <w:lang w:val="en-CA"/>
        </w:rPr>
        <w:t xml:space="preserve"> referred to </w:t>
      </w:r>
      <w:r w:rsidR="00896F7B">
        <w:rPr>
          <w:rFonts w:ascii="ArialMT" w:hAnsi="ArialMT" w:cs="ArialMT"/>
          <w:sz w:val="20"/>
          <w:szCs w:val="20"/>
          <w:lang w:val="en-CA"/>
        </w:rPr>
        <w:t>herein</w:t>
      </w:r>
      <w:r w:rsidR="00896F7B" w:rsidRPr="00D9310E">
        <w:rPr>
          <w:rFonts w:ascii="ArialMT" w:hAnsi="ArialMT" w:cs="ArialMT"/>
          <w:sz w:val="20"/>
          <w:szCs w:val="20"/>
          <w:lang w:val="en-CA"/>
        </w:rPr>
        <w:t xml:space="preserve"> should not be </w:t>
      </w:r>
      <w:r w:rsidR="00896F7B" w:rsidRPr="00862CC5">
        <w:rPr>
          <w:rFonts w:ascii="ArialMT" w:hAnsi="ArialMT" w:cs="ArialMT"/>
          <w:sz w:val="20"/>
          <w:szCs w:val="20"/>
          <w:lang w:val="en-CA"/>
        </w:rPr>
        <w:t>construed as alternatives to, or more meaningful than</w:t>
      </w:r>
      <w:r w:rsidR="0039642E">
        <w:rPr>
          <w:rFonts w:ascii="ArialMT" w:hAnsi="ArialMT" w:cs="ArialMT"/>
          <w:sz w:val="20"/>
          <w:szCs w:val="20"/>
          <w:lang w:val="en-CA"/>
        </w:rPr>
        <w:t>,</w:t>
      </w:r>
      <w:r w:rsidR="00896F7B" w:rsidRPr="00862CC5">
        <w:rPr>
          <w:rFonts w:ascii="ArialMT" w:hAnsi="ArialMT" w:cs="ArialMT"/>
          <w:sz w:val="20"/>
          <w:szCs w:val="20"/>
          <w:lang w:val="en-CA"/>
        </w:rPr>
        <w:t xml:space="preserve"> measures prescribed by </w:t>
      </w:r>
      <w:proofErr w:type="gramStart"/>
      <w:r w:rsidR="00896F7B" w:rsidRPr="00862CC5">
        <w:rPr>
          <w:rFonts w:ascii="ArialMT" w:hAnsi="ArialMT" w:cs="ArialMT"/>
          <w:sz w:val="20"/>
          <w:szCs w:val="20"/>
          <w:lang w:val="en-CA"/>
        </w:rPr>
        <w:t>IFRS</w:t>
      </w:r>
      <w:proofErr w:type="gramEnd"/>
      <w:r w:rsidR="00896F7B" w:rsidRPr="00862CC5">
        <w:rPr>
          <w:rFonts w:ascii="ArialMT" w:hAnsi="ArialMT" w:cs="ArialMT"/>
          <w:sz w:val="20"/>
          <w:szCs w:val="20"/>
          <w:lang w:val="en-CA"/>
        </w:rPr>
        <w:t xml:space="preserve"> and they are not meant to enhance the Company</w:t>
      </w:r>
      <w:r w:rsidR="00C62F26">
        <w:rPr>
          <w:rFonts w:ascii="ArialMT" w:hAnsi="ArialMT" w:cs="ArialMT"/>
          <w:sz w:val="20"/>
          <w:szCs w:val="20"/>
          <w:lang w:val="en-CA"/>
        </w:rPr>
        <w:t>'</w:t>
      </w:r>
      <w:r w:rsidR="00896F7B" w:rsidRPr="00862CC5">
        <w:rPr>
          <w:rFonts w:ascii="ArialMT" w:hAnsi="ArialMT" w:cs="ArialMT"/>
          <w:sz w:val="20"/>
          <w:szCs w:val="20"/>
          <w:lang w:val="en-CA"/>
        </w:rPr>
        <w:t>s reported financial performance or position.</w:t>
      </w:r>
      <w:r w:rsidR="00896F7B">
        <w:rPr>
          <w:rFonts w:ascii="ArialMT" w:hAnsi="ArialMT" w:cs="ArialMT"/>
          <w:sz w:val="20"/>
          <w:szCs w:val="20"/>
          <w:lang w:val="en-CA"/>
        </w:rPr>
        <w:t xml:space="preserve"> </w:t>
      </w:r>
      <w:r w:rsidR="00896F7B" w:rsidRPr="00862CC5">
        <w:rPr>
          <w:rFonts w:ascii="ArialMT" w:hAnsi="ArialMT" w:cs="ArialMT"/>
          <w:sz w:val="20"/>
          <w:szCs w:val="20"/>
          <w:lang w:val="en-CA"/>
        </w:rPr>
        <w:t xml:space="preserve">These are complementary measures that are commonly used in the oil and natural gas industry and by the Company to provide shareholders and potential investors with additional information regarding the Company's performance, </w:t>
      </w:r>
      <w:proofErr w:type="gramStart"/>
      <w:r w:rsidR="00896F7B" w:rsidRPr="00862CC5">
        <w:rPr>
          <w:rFonts w:ascii="ArialMT" w:hAnsi="ArialMT" w:cs="ArialMT"/>
          <w:sz w:val="20"/>
          <w:szCs w:val="20"/>
          <w:lang w:val="en-CA"/>
        </w:rPr>
        <w:t>liquidity</w:t>
      </w:r>
      <w:proofErr w:type="gramEnd"/>
      <w:r w:rsidR="00896F7B" w:rsidRPr="00862CC5">
        <w:rPr>
          <w:rFonts w:ascii="ArialMT" w:hAnsi="ArialMT" w:cs="ArialMT"/>
          <w:sz w:val="20"/>
          <w:szCs w:val="20"/>
          <w:lang w:val="en-CA"/>
        </w:rPr>
        <w:t xml:space="preserve"> and ability to generate funds to finance its operations. Below is a description of the non-GAAP financial measures, non-GAAP ratios, capital management measures and supplementary financial measures </w:t>
      </w:r>
      <w:r w:rsidR="009C4869">
        <w:rPr>
          <w:rFonts w:ascii="ArialMT" w:hAnsi="ArialMT" w:cs="ArialMT"/>
          <w:sz w:val="20"/>
          <w:szCs w:val="20"/>
          <w:lang w:val="en-CA"/>
        </w:rPr>
        <w:t>disclosed</w:t>
      </w:r>
      <w:r w:rsidR="00896F7B">
        <w:rPr>
          <w:rFonts w:ascii="ArialMT" w:hAnsi="ArialMT" w:cs="ArialMT"/>
          <w:sz w:val="20"/>
          <w:szCs w:val="20"/>
          <w:lang w:val="en-CA"/>
        </w:rPr>
        <w:t xml:space="preserve"> herein.</w:t>
      </w:r>
    </w:p>
    <w:bookmarkEnd w:id="2"/>
    <w:p w14:paraId="77AA6415" w14:textId="5ECE605B" w:rsidR="009052A4" w:rsidRDefault="009052A4" w:rsidP="009052A4">
      <w:pPr>
        <w:pStyle w:val="Header"/>
        <w:widowControl w:val="0"/>
        <w:jc w:val="both"/>
        <w:rPr>
          <w:rFonts w:ascii="Arial" w:eastAsia="Calibri" w:hAnsi="Arial" w:cs="Arial"/>
          <w:b/>
          <w:i/>
          <w:sz w:val="20"/>
          <w:szCs w:val="20"/>
          <w:lang w:val="en-CA"/>
        </w:rPr>
      </w:pPr>
    </w:p>
    <w:p w14:paraId="05E3A65E" w14:textId="77777777" w:rsidR="009052A4" w:rsidRPr="002A0CCF" w:rsidRDefault="009052A4" w:rsidP="009052A4">
      <w:pPr>
        <w:keepNext/>
        <w:tabs>
          <w:tab w:val="left" w:pos="2160"/>
        </w:tabs>
        <w:spacing w:after="0" w:line="240" w:lineRule="auto"/>
        <w:jc w:val="both"/>
        <w:rPr>
          <w:rFonts w:ascii="Arial" w:hAnsi="Arial" w:cs="Arial"/>
          <w:i/>
          <w:iCs/>
          <w:sz w:val="20"/>
          <w:szCs w:val="20"/>
        </w:rPr>
      </w:pPr>
      <w:r w:rsidRPr="002A0CCF">
        <w:rPr>
          <w:rFonts w:ascii="Arial" w:hAnsi="Arial" w:cs="Arial"/>
          <w:i/>
          <w:iCs/>
          <w:sz w:val="20"/>
          <w:szCs w:val="20"/>
        </w:rPr>
        <w:t>Funds flow from operations and funds flow from operations per share</w:t>
      </w:r>
    </w:p>
    <w:p w14:paraId="0972141B" w14:textId="77777777" w:rsidR="009052A4" w:rsidRDefault="009052A4" w:rsidP="009052A4">
      <w:pPr>
        <w:keepNext/>
        <w:tabs>
          <w:tab w:val="left" w:pos="2160"/>
        </w:tabs>
        <w:spacing w:after="0" w:line="240" w:lineRule="auto"/>
        <w:rPr>
          <w:rFonts w:ascii="Arial" w:hAnsi="Arial" w:cs="Arial"/>
          <w:sz w:val="20"/>
          <w:szCs w:val="20"/>
        </w:rPr>
      </w:pPr>
    </w:p>
    <w:p w14:paraId="16E59073" w14:textId="77777777" w:rsidR="009C4869" w:rsidRDefault="009052A4" w:rsidP="009052A4">
      <w:pPr>
        <w:pStyle w:val="BodyText"/>
        <w:keepNext/>
        <w:rPr>
          <w:sz w:val="20"/>
          <w:szCs w:val="20"/>
        </w:rPr>
      </w:pPr>
      <w:r w:rsidRPr="00F5771E">
        <w:rPr>
          <w:iCs/>
          <w:sz w:val="20"/>
          <w:szCs w:val="20"/>
        </w:rPr>
        <w:t>Funds flow from operations is included in the Company's consolidated statements of cash flows.</w:t>
      </w:r>
      <w:r w:rsidRPr="00152FA5">
        <w:rPr>
          <w:iCs/>
          <w:sz w:val="20"/>
          <w:szCs w:val="20"/>
        </w:rPr>
        <w:t xml:space="preserve"> </w:t>
      </w:r>
      <w:r w:rsidRPr="00C954E7">
        <w:rPr>
          <w:iCs/>
          <w:sz w:val="20"/>
          <w:szCs w:val="20"/>
        </w:rPr>
        <w:t xml:space="preserve">Touchstone considers funds flow from operations to be a key measure of operating performance as it demonstrates the Company's ability to generate the funds necessary to finance capital expenditures and repay debt. </w:t>
      </w:r>
      <w:r>
        <w:rPr>
          <w:iCs/>
          <w:sz w:val="20"/>
          <w:szCs w:val="20"/>
        </w:rPr>
        <w:t>Management</w:t>
      </w:r>
      <w:r w:rsidRPr="00C954E7">
        <w:rPr>
          <w:iCs/>
          <w:sz w:val="20"/>
          <w:szCs w:val="20"/>
        </w:rPr>
        <w:t xml:space="preserve"> believe</w:t>
      </w:r>
      <w:r>
        <w:rPr>
          <w:iCs/>
          <w:sz w:val="20"/>
          <w:szCs w:val="20"/>
        </w:rPr>
        <w:t>s</w:t>
      </w:r>
      <w:r w:rsidRPr="00C954E7">
        <w:rPr>
          <w:iCs/>
          <w:sz w:val="20"/>
          <w:szCs w:val="20"/>
        </w:rPr>
        <w:t xml:space="preserve"> </w:t>
      </w:r>
      <w:r>
        <w:rPr>
          <w:iCs/>
          <w:sz w:val="20"/>
          <w:szCs w:val="20"/>
        </w:rPr>
        <w:t xml:space="preserve">that </w:t>
      </w:r>
      <w:r w:rsidRPr="00C954E7">
        <w:rPr>
          <w:sz w:val="20"/>
          <w:szCs w:val="20"/>
        </w:rPr>
        <w:t>by excluding the temporary impact of changes in non-cash operating working capital</w:t>
      </w:r>
      <w:r>
        <w:rPr>
          <w:sz w:val="20"/>
          <w:szCs w:val="20"/>
        </w:rPr>
        <w:t xml:space="preserve">, </w:t>
      </w:r>
      <w:r w:rsidRPr="00C954E7">
        <w:rPr>
          <w:sz w:val="20"/>
          <w:szCs w:val="20"/>
        </w:rPr>
        <w:t xml:space="preserve">funds flow from operations provides a useful measure of </w:t>
      </w:r>
      <w:r>
        <w:rPr>
          <w:sz w:val="20"/>
          <w:szCs w:val="20"/>
        </w:rPr>
        <w:t>the Company's</w:t>
      </w:r>
      <w:r w:rsidRPr="00C954E7">
        <w:rPr>
          <w:sz w:val="20"/>
          <w:szCs w:val="20"/>
        </w:rPr>
        <w:t xml:space="preserve"> ability to generate cash that is not subject to short-term movements in non-cash operating working capital. </w:t>
      </w:r>
      <w:bookmarkStart w:id="3" w:name="_Hlk34035329"/>
    </w:p>
    <w:p w14:paraId="4B1E3C5F" w14:textId="77777777" w:rsidR="009C4869" w:rsidRDefault="009C4869" w:rsidP="009052A4">
      <w:pPr>
        <w:pStyle w:val="BodyText"/>
        <w:keepNext/>
        <w:rPr>
          <w:sz w:val="20"/>
          <w:szCs w:val="20"/>
        </w:rPr>
      </w:pPr>
    </w:p>
    <w:p w14:paraId="787A0CDF" w14:textId="41591467" w:rsidR="009052A4" w:rsidRPr="00D707B2" w:rsidRDefault="009052A4" w:rsidP="009052A4">
      <w:pPr>
        <w:pStyle w:val="BodyText"/>
        <w:keepNext/>
        <w:rPr>
          <w:sz w:val="20"/>
          <w:szCs w:val="20"/>
        </w:rPr>
      </w:pPr>
      <w:r>
        <w:rPr>
          <w:iCs/>
          <w:sz w:val="20"/>
          <w:szCs w:val="20"/>
        </w:rPr>
        <w:t>F</w:t>
      </w:r>
      <w:r w:rsidRPr="00152FA5">
        <w:rPr>
          <w:iCs/>
          <w:sz w:val="20"/>
          <w:szCs w:val="20"/>
        </w:rPr>
        <w:t>unds flow from operations per share</w:t>
      </w:r>
      <w:r>
        <w:rPr>
          <w:iCs/>
          <w:sz w:val="20"/>
          <w:szCs w:val="20"/>
        </w:rPr>
        <w:t xml:space="preserve"> is a non-GAAP ratio calculated</w:t>
      </w:r>
      <w:r w:rsidRPr="00152FA5">
        <w:rPr>
          <w:iCs/>
          <w:sz w:val="20"/>
          <w:szCs w:val="20"/>
        </w:rPr>
        <w:t xml:space="preserve"> by dividing funds flow from operations by the weighted average number of common shares outstanding during the applicable period</w:t>
      </w:r>
      <w:r>
        <w:rPr>
          <w:iCs/>
          <w:sz w:val="20"/>
          <w:szCs w:val="20"/>
        </w:rPr>
        <w:t xml:space="preserve"> on a basic and dilutive basis</w:t>
      </w:r>
      <w:r w:rsidRPr="00152FA5">
        <w:rPr>
          <w:iCs/>
          <w:sz w:val="20"/>
          <w:szCs w:val="20"/>
        </w:rPr>
        <w:t>.</w:t>
      </w:r>
      <w:r>
        <w:rPr>
          <w:iCs/>
          <w:sz w:val="20"/>
          <w:szCs w:val="20"/>
        </w:rPr>
        <w:t xml:space="preserve"> </w:t>
      </w:r>
    </w:p>
    <w:bookmarkEnd w:id="3"/>
    <w:p w14:paraId="2E535E19" w14:textId="77777777" w:rsidR="009052A4" w:rsidRPr="008B1B63" w:rsidRDefault="009052A4" w:rsidP="009052A4">
      <w:pPr>
        <w:pStyle w:val="Header"/>
        <w:widowControl w:val="0"/>
        <w:jc w:val="both"/>
        <w:rPr>
          <w:rFonts w:ascii="Arial" w:eastAsia="Calibri" w:hAnsi="Arial" w:cs="Arial"/>
          <w:b/>
          <w:i/>
          <w:sz w:val="20"/>
          <w:szCs w:val="20"/>
          <w:lang w:val="en-CA"/>
        </w:rPr>
      </w:pPr>
    </w:p>
    <w:p w14:paraId="46DB8AD1" w14:textId="77777777" w:rsidR="009052A4" w:rsidRPr="002A0CCF" w:rsidRDefault="009052A4" w:rsidP="009052A4">
      <w:pPr>
        <w:widowControl w:val="0"/>
        <w:tabs>
          <w:tab w:val="left" w:pos="2160"/>
        </w:tabs>
        <w:spacing w:after="0" w:line="240" w:lineRule="auto"/>
        <w:jc w:val="both"/>
        <w:rPr>
          <w:rFonts w:ascii="Arial" w:hAnsi="Arial" w:cs="Arial"/>
          <w:i/>
          <w:iCs/>
          <w:sz w:val="20"/>
          <w:szCs w:val="20"/>
        </w:rPr>
      </w:pPr>
      <w:r w:rsidRPr="002A0CCF">
        <w:rPr>
          <w:rFonts w:ascii="Arial" w:hAnsi="Arial" w:cs="Arial"/>
          <w:i/>
          <w:iCs/>
          <w:sz w:val="20"/>
          <w:szCs w:val="20"/>
        </w:rPr>
        <w:t>Operating netback</w:t>
      </w:r>
    </w:p>
    <w:p w14:paraId="6F6946B8" w14:textId="77777777" w:rsidR="009052A4" w:rsidRDefault="009052A4" w:rsidP="009052A4">
      <w:pPr>
        <w:widowControl w:val="0"/>
        <w:tabs>
          <w:tab w:val="left" w:pos="2160"/>
        </w:tabs>
        <w:autoSpaceDE w:val="0"/>
        <w:autoSpaceDN w:val="0"/>
        <w:adjustRightInd w:val="0"/>
        <w:spacing w:after="0" w:line="240" w:lineRule="auto"/>
        <w:jc w:val="both"/>
        <w:rPr>
          <w:rFonts w:ascii="Arial" w:hAnsi="Arial" w:cs="Arial"/>
          <w:iCs/>
          <w:sz w:val="20"/>
          <w:szCs w:val="20"/>
        </w:rPr>
      </w:pPr>
    </w:p>
    <w:p w14:paraId="4DB6624B" w14:textId="648FC6D6" w:rsidR="00EF15DA" w:rsidRDefault="009052A4" w:rsidP="009052A4">
      <w:pPr>
        <w:widowControl w:val="0"/>
        <w:tabs>
          <w:tab w:val="center" w:pos="4680"/>
          <w:tab w:val="right" w:pos="9360"/>
        </w:tabs>
        <w:spacing w:after="0" w:line="240" w:lineRule="auto"/>
        <w:jc w:val="both"/>
        <w:rPr>
          <w:rFonts w:ascii="Arial" w:eastAsia="Times New Roman" w:hAnsi="Arial" w:cs="Arial"/>
          <w:iCs/>
          <w:sz w:val="20"/>
          <w:szCs w:val="20"/>
          <w:highlight w:val="cyan"/>
        </w:rPr>
      </w:pPr>
      <w:r w:rsidRPr="00152FA5">
        <w:rPr>
          <w:rFonts w:ascii="Arial" w:hAnsi="Arial" w:cs="Arial"/>
          <w:iCs/>
          <w:sz w:val="20"/>
          <w:szCs w:val="20"/>
        </w:rPr>
        <w:t>The Company uses operating netback as a key performance indicator of field results. The Company considers operating netback to be a key measure as it demonstrates Touchstone's profitability relative to current commodity prices</w:t>
      </w:r>
      <w:r>
        <w:rPr>
          <w:rFonts w:ascii="Arial" w:hAnsi="Arial" w:cs="Arial"/>
          <w:iCs/>
          <w:sz w:val="20"/>
          <w:szCs w:val="20"/>
        </w:rPr>
        <w:t xml:space="preserve"> and</w:t>
      </w:r>
      <w:r w:rsidRPr="00152FA5">
        <w:rPr>
          <w:rFonts w:ascii="Arial" w:hAnsi="Arial" w:cs="Arial"/>
          <w:iCs/>
          <w:sz w:val="20"/>
          <w:szCs w:val="20"/>
        </w:rPr>
        <w:t xml:space="preserve"> assists Management and investors with evaluating operating results on a historical basis</w:t>
      </w:r>
      <w:r>
        <w:rPr>
          <w:rFonts w:ascii="Arial" w:hAnsi="Arial" w:cs="Arial"/>
          <w:iCs/>
          <w:sz w:val="20"/>
          <w:szCs w:val="20"/>
        </w:rPr>
        <w:t xml:space="preserve">. </w:t>
      </w:r>
      <w:r w:rsidRPr="00152FA5">
        <w:rPr>
          <w:rFonts w:ascii="Arial" w:hAnsi="Arial" w:cs="Arial"/>
          <w:iCs/>
          <w:sz w:val="20"/>
          <w:szCs w:val="20"/>
        </w:rPr>
        <w:t>Operating netback</w:t>
      </w:r>
      <w:r>
        <w:rPr>
          <w:rFonts w:ascii="Arial" w:hAnsi="Arial" w:cs="Arial"/>
          <w:iCs/>
          <w:sz w:val="20"/>
          <w:szCs w:val="20"/>
        </w:rPr>
        <w:t xml:space="preserve"> is a non-GAAP </w:t>
      </w:r>
      <w:r w:rsidR="00896F7B">
        <w:rPr>
          <w:rFonts w:ascii="Arial" w:hAnsi="Arial" w:cs="Arial"/>
          <w:iCs/>
          <w:sz w:val="20"/>
          <w:szCs w:val="20"/>
        </w:rPr>
        <w:t xml:space="preserve">financial </w:t>
      </w:r>
      <w:r>
        <w:rPr>
          <w:rFonts w:ascii="Arial" w:hAnsi="Arial" w:cs="Arial"/>
          <w:iCs/>
          <w:sz w:val="20"/>
          <w:szCs w:val="20"/>
        </w:rPr>
        <w:t>measure</w:t>
      </w:r>
      <w:r w:rsidRPr="00152FA5">
        <w:rPr>
          <w:rFonts w:ascii="Arial" w:hAnsi="Arial" w:cs="Arial"/>
          <w:iCs/>
          <w:sz w:val="20"/>
          <w:szCs w:val="20"/>
        </w:rPr>
        <w:t xml:space="preserve"> calculated by deducting royalties and operating expenses from petroleum sales.</w:t>
      </w:r>
      <w:r>
        <w:rPr>
          <w:rFonts w:ascii="Arial" w:hAnsi="Arial" w:cs="Arial"/>
          <w:iCs/>
          <w:sz w:val="20"/>
          <w:szCs w:val="20"/>
        </w:rPr>
        <w:t xml:space="preserve"> Operating netback per barrel is a non-GAAP ratio calculated by dividing the operating netback by </w:t>
      </w:r>
      <w:r w:rsidR="008E0B2E">
        <w:rPr>
          <w:rFonts w:ascii="Arial" w:hAnsi="Arial" w:cs="Arial"/>
          <w:iCs/>
          <w:sz w:val="20"/>
          <w:szCs w:val="20"/>
        </w:rPr>
        <w:t xml:space="preserve">total crude oil sales </w:t>
      </w:r>
      <w:r>
        <w:rPr>
          <w:rFonts w:ascii="Arial" w:hAnsi="Arial" w:cs="Arial"/>
          <w:iCs/>
          <w:sz w:val="20"/>
          <w:szCs w:val="20"/>
        </w:rPr>
        <w:t>volumes for the period.</w:t>
      </w:r>
    </w:p>
    <w:p w14:paraId="04C64F44" w14:textId="7ED27ED1" w:rsidR="009052A4" w:rsidRDefault="009052A4" w:rsidP="009052A4">
      <w:pPr>
        <w:widowControl w:val="0"/>
        <w:tabs>
          <w:tab w:val="center" w:pos="4680"/>
          <w:tab w:val="right" w:pos="9360"/>
        </w:tabs>
        <w:spacing w:after="0" w:line="240" w:lineRule="auto"/>
        <w:jc w:val="both"/>
        <w:rPr>
          <w:rFonts w:ascii="Arial" w:eastAsia="Times New Roman" w:hAnsi="Arial" w:cs="Arial"/>
          <w:iCs/>
          <w:sz w:val="20"/>
          <w:szCs w:val="20"/>
          <w:highlight w:val="cyan"/>
        </w:rPr>
      </w:pPr>
    </w:p>
    <w:p w14:paraId="3D8D7B32" w14:textId="62A21B2D" w:rsidR="009052A4" w:rsidRPr="009052A4" w:rsidRDefault="009052A4" w:rsidP="009052A4">
      <w:pPr>
        <w:keepNext/>
        <w:tabs>
          <w:tab w:val="left" w:pos="2160"/>
        </w:tabs>
        <w:spacing w:after="0" w:line="240" w:lineRule="auto"/>
        <w:jc w:val="both"/>
        <w:rPr>
          <w:rFonts w:ascii="Arial" w:eastAsia="Times New Roman" w:hAnsi="Arial" w:cs="Arial"/>
          <w:i/>
          <w:iCs/>
          <w:sz w:val="20"/>
          <w:szCs w:val="20"/>
        </w:rPr>
      </w:pPr>
      <w:r w:rsidRPr="009052A4">
        <w:rPr>
          <w:rFonts w:ascii="Arial" w:eastAsia="Times New Roman" w:hAnsi="Arial" w:cs="Arial"/>
          <w:i/>
          <w:iCs/>
          <w:sz w:val="20"/>
          <w:szCs w:val="20"/>
        </w:rPr>
        <w:t>Working capital</w:t>
      </w:r>
      <w:r>
        <w:rPr>
          <w:rFonts w:ascii="Arial" w:eastAsia="Times New Roman" w:hAnsi="Arial" w:cs="Arial"/>
          <w:i/>
          <w:iCs/>
          <w:sz w:val="20"/>
          <w:szCs w:val="20"/>
        </w:rPr>
        <w:t xml:space="preserve"> and</w:t>
      </w:r>
      <w:r w:rsidRPr="009052A4">
        <w:rPr>
          <w:rFonts w:ascii="Arial" w:eastAsia="Times New Roman" w:hAnsi="Arial" w:cs="Arial"/>
          <w:i/>
          <w:iCs/>
          <w:sz w:val="20"/>
          <w:szCs w:val="20"/>
        </w:rPr>
        <w:t xml:space="preserve"> net debt</w:t>
      </w:r>
    </w:p>
    <w:p w14:paraId="77BC0D25" w14:textId="77777777" w:rsidR="009052A4" w:rsidRPr="009052A4" w:rsidRDefault="009052A4" w:rsidP="009052A4">
      <w:pPr>
        <w:keepNext/>
        <w:autoSpaceDE w:val="0"/>
        <w:autoSpaceDN w:val="0"/>
        <w:adjustRightInd w:val="0"/>
        <w:spacing w:after="0" w:line="240" w:lineRule="auto"/>
        <w:jc w:val="both"/>
        <w:rPr>
          <w:rFonts w:ascii="Arial" w:eastAsia="Times New Roman" w:hAnsi="Arial" w:cs="Arial"/>
          <w:sz w:val="20"/>
          <w:szCs w:val="20"/>
        </w:rPr>
      </w:pPr>
    </w:p>
    <w:p w14:paraId="0451386F" w14:textId="77777777" w:rsidR="009052A4" w:rsidRPr="009052A4" w:rsidRDefault="009052A4" w:rsidP="009052A4">
      <w:pPr>
        <w:keepNext/>
        <w:autoSpaceDE w:val="0"/>
        <w:autoSpaceDN w:val="0"/>
        <w:adjustRightInd w:val="0"/>
        <w:spacing w:after="0" w:line="240" w:lineRule="auto"/>
        <w:jc w:val="both"/>
        <w:rPr>
          <w:rFonts w:ascii="Arial" w:eastAsia="Times New Roman" w:hAnsi="Arial" w:cs="Arial"/>
          <w:sz w:val="20"/>
          <w:szCs w:val="20"/>
        </w:rPr>
      </w:pPr>
      <w:r w:rsidRPr="009052A4">
        <w:rPr>
          <w:rFonts w:ascii="Arial" w:eastAsia="Times New Roman" w:hAnsi="Arial" w:cs="Arial"/>
          <w:sz w:val="20"/>
          <w:szCs w:val="20"/>
        </w:rPr>
        <w:t>Touchstone closely monitors its capital structure with a goal of maintaining a strong financial position to fund current operations and future growth. These are capital management measures used by Management to steward the Company's overall debt position and as measures of overall financial strength.</w:t>
      </w:r>
    </w:p>
    <w:p w14:paraId="3AEEB4B2" w14:textId="77777777" w:rsidR="009052A4" w:rsidRPr="009052A4" w:rsidRDefault="009052A4" w:rsidP="009052A4">
      <w:pPr>
        <w:widowControl w:val="0"/>
        <w:autoSpaceDE w:val="0"/>
        <w:autoSpaceDN w:val="0"/>
        <w:adjustRightInd w:val="0"/>
        <w:spacing w:after="0" w:line="240" w:lineRule="auto"/>
        <w:jc w:val="both"/>
        <w:rPr>
          <w:rFonts w:ascii="Arial" w:eastAsia="Times New Roman" w:hAnsi="Arial" w:cs="Arial"/>
          <w:sz w:val="20"/>
          <w:szCs w:val="20"/>
        </w:rPr>
      </w:pPr>
    </w:p>
    <w:p w14:paraId="6C580A90" w14:textId="7296D73E" w:rsidR="009052A4" w:rsidRDefault="009052A4" w:rsidP="009C4869">
      <w:pPr>
        <w:widowControl w:val="0"/>
        <w:tabs>
          <w:tab w:val="center" w:pos="4680"/>
          <w:tab w:val="right" w:pos="9360"/>
        </w:tabs>
        <w:spacing w:after="0" w:line="240" w:lineRule="auto"/>
        <w:jc w:val="both"/>
        <w:rPr>
          <w:rFonts w:ascii="Arial" w:eastAsia="Times New Roman" w:hAnsi="Arial" w:cs="Arial"/>
          <w:iCs/>
          <w:sz w:val="20"/>
          <w:szCs w:val="20"/>
          <w:highlight w:val="cyan"/>
        </w:rPr>
      </w:pPr>
      <w:bookmarkStart w:id="4" w:name="_Hlk34035391"/>
      <w:r w:rsidRPr="009052A4">
        <w:rPr>
          <w:rFonts w:ascii="Arial" w:eastAsia="Times New Roman" w:hAnsi="Arial" w:cs="Arial"/>
          <w:sz w:val="20"/>
          <w:szCs w:val="20"/>
        </w:rPr>
        <w:t xml:space="preserve">Management monitors working capital and net debt as part of the Company's capital structure to assess its true debt and liquidity position and to manage capital and liquidity risk. </w:t>
      </w:r>
      <w:bookmarkStart w:id="5" w:name="_Hlk8305568"/>
      <w:r w:rsidRPr="009052A4">
        <w:rPr>
          <w:rFonts w:ascii="Arial" w:eastAsia="Times New Roman" w:hAnsi="Arial" w:cs="Arial"/>
          <w:sz w:val="20"/>
          <w:szCs w:val="20"/>
        </w:rPr>
        <w:t>Working</w:t>
      </w:r>
      <w:r w:rsidRPr="009052A4">
        <w:rPr>
          <w:rFonts w:ascii="Arial" w:eastAsia="Times New Roman" w:hAnsi="Arial" w:cs="Arial"/>
          <w:iCs/>
          <w:sz w:val="20"/>
          <w:szCs w:val="20"/>
        </w:rPr>
        <w:t xml:space="preserve"> capital is calculated as current assets minus current liabilities as they appear on the consolidated statements of financial position. </w:t>
      </w:r>
      <w:r w:rsidRPr="009052A4">
        <w:rPr>
          <w:rFonts w:ascii="Arial" w:eastAsia="Times New Roman" w:hAnsi="Arial" w:cs="Arial"/>
          <w:sz w:val="20"/>
          <w:szCs w:val="24"/>
        </w:rPr>
        <w:t xml:space="preserve">Net debt (surplus) is calculated by summing the Company's working capital and the principal (undiscounted) </w:t>
      </w:r>
      <w:r w:rsidRPr="009052A4">
        <w:rPr>
          <w:rFonts w:ascii="Arial" w:eastAsia="Times New Roman" w:hAnsi="Arial" w:cs="Arial"/>
          <w:sz w:val="20"/>
          <w:szCs w:val="24"/>
        </w:rPr>
        <w:lastRenderedPageBreak/>
        <w:t>long-term amount of senior secured debt.</w:t>
      </w:r>
      <w:bookmarkEnd w:id="4"/>
      <w:bookmarkEnd w:id="5"/>
    </w:p>
    <w:p w14:paraId="1EABBD65" w14:textId="00198B47" w:rsidR="009052A4" w:rsidRDefault="009052A4" w:rsidP="009C4869">
      <w:pPr>
        <w:widowControl w:val="0"/>
        <w:tabs>
          <w:tab w:val="center" w:pos="4680"/>
          <w:tab w:val="right" w:pos="9360"/>
        </w:tabs>
        <w:spacing w:after="0" w:line="240" w:lineRule="auto"/>
        <w:jc w:val="both"/>
        <w:rPr>
          <w:rFonts w:ascii="Arial" w:eastAsia="Times New Roman" w:hAnsi="Arial" w:cs="Arial"/>
          <w:iCs/>
          <w:sz w:val="20"/>
          <w:szCs w:val="20"/>
          <w:highlight w:val="cyan"/>
        </w:rPr>
      </w:pPr>
    </w:p>
    <w:p w14:paraId="42AF2EC4" w14:textId="78CC18B3" w:rsidR="009C4869" w:rsidRDefault="009C4869" w:rsidP="009C4869">
      <w:pPr>
        <w:keepNext/>
        <w:tabs>
          <w:tab w:val="left" w:pos="2160"/>
        </w:tabs>
        <w:spacing w:after="0" w:line="240" w:lineRule="auto"/>
        <w:jc w:val="both"/>
        <w:rPr>
          <w:rFonts w:ascii="Arial" w:hAnsi="Arial" w:cs="Arial"/>
          <w:i/>
          <w:iCs/>
          <w:sz w:val="20"/>
          <w:szCs w:val="20"/>
        </w:rPr>
      </w:pPr>
      <w:r w:rsidRPr="00862CC5">
        <w:rPr>
          <w:rFonts w:ascii="Arial" w:hAnsi="Arial" w:cs="Arial"/>
          <w:i/>
          <w:iCs/>
          <w:sz w:val="20"/>
          <w:szCs w:val="20"/>
        </w:rPr>
        <w:t>Supplementary Financial Measures</w:t>
      </w:r>
    </w:p>
    <w:p w14:paraId="48DC8606" w14:textId="77777777" w:rsidR="009C4869" w:rsidRPr="00862CC5" w:rsidRDefault="009C4869" w:rsidP="009C4869">
      <w:pPr>
        <w:keepNext/>
        <w:tabs>
          <w:tab w:val="left" w:pos="2160"/>
        </w:tabs>
        <w:spacing w:after="0" w:line="240" w:lineRule="auto"/>
        <w:jc w:val="both"/>
        <w:rPr>
          <w:rFonts w:ascii="Arial" w:hAnsi="Arial" w:cs="Arial"/>
          <w:i/>
          <w:iCs/>
          <w:sz w:val="20"/>
          <w:szCs w:val="20"/>
        </w:rPr>
      </w:pPr>
    </w:p>
    <w:p w14:paraId="3FD8109E" w14:textId="77777777" w:rsidR="009C4869" w:rsidRDefault="009C4869" w:rsidP="009C4869">
      <w:pPr>
        <w:pStyle w:val="Header"/>
        <w:widowControl w:val="0"/>
        <w:jc w:val="both"/>
        <w:rPr>
          <w:rFonts w:ascii="Arial" w:hAnsi="Arial" w:cs="Arial"/>
          <w:sz w:val="20"/>
        </w:rPr>
      </w:pPr>
      <w:r>
        <w:rPr>
          <w:rFonts w:ascii="Arial" w:hAnsi="Arial" w:cs="Arial"/>
          <w:sz w:val="20"/>
        </w:rPr>
        <w:t>The following supplementary financial measures are disclosed herein.</w:t>
      </w:r>
    </w:p>
    <w:p w14:paraId="5F02548A" w14:textId="77777777" w:rsidR="009C4869" w:rsidRDefault="009C4869" w:rsidP="009C4869">
      <w:pPr>
        <w:pStyle w:val="Header"/>
        <w:widowControl w:val="0"/>
        <w:jc w:val="both"/>
        <w:rPr>
          <w:rFonts w:ascii="Arial" w:hAnsi="Arial" w:cs="Arial"/>
          <w:sz w:val="20"/>
        </w:rPr>
      </w:pPr>
    </w:p>
    <w:p w14:paraId="7772157C" w14:textId="164E967D" w:rsidR="009C4869" w:rsidRDefault="009C4869" w:rsidP="009C4869">
      <w:pPr>
        <w:pStyle w:val="Header"/>
        <w:widowControl w:val="0"/>
        <w:jc w:val="both"/>
        <w:rPr>
          <w:rFonts w:ascii="Arial" w:hAnsi="Arial" w:cs="Arial"/>
          <w:sz w:val="20"/>
        </w:rPr>
      </w:pPr>
      <w:bookmarkStart w:id="6" w:name="_Hlk98492098"/>
      <w:r w:rsidRPr="00862CC5">
        <w:rPr>
          <w:rFonts w:ascii="Arial" w:hAnsi="Arial" w:cs="Arial"/>
          <w:i/>
          <w:iCs/>
          <w:sz w:val="20"/>
        </w:rPr>
        <w:t>Realized sales price per barrel</w:t>
      </w:r>
      <w:r>
        <w:rPr>
          <w:rFonts w:ascii="Arial" w:hAnsi="Arial" w:cs="Arial"/>
          <w:i/>
          <w:iCs/>
          <w:sz w:val="20"/>
        </w:rPr>
        <w:t xml:space="preserve"> </w:t>
      </w:r>
      <w:r>
        <w:rPr>
          <w:rFonts w:ascii="Arial" w:hAnsi="Arial" w:cs="Arial"/>
          <w:sz w:val="20"/>
        </w:rPr>
        <w:t>- is comprised of petroleum sales as determined in accordance with IFRS, divided by the Company's total crude oil sales volumes</w:t>
      </w:r>
      <w:r w:rsidR="008E0B2E">
        <w:rPr>
          <w:rFonts w:ascii="Arial" w:hAnsi="Arial" w:cs="Arial"/>
          <w:sz w:val="20"/>
        </w:rPr>
        <w:t xml:space="preserve"> for the period</w:t>
      </w:r>
      <w:r>
        <w:rPr>
          <w:rFonts w:ascii="Arial" w:hAnsi="Arial" w:cs="Arial"/>
          <w:sz w:val="20"/>
        </w:rPr>
        <w:t>.</w:t>
      </w:r>
    </w:p>
    <w:p w14:paraId="4C7BAE39" w14:textId="77777777" w:rsidR="00AD6EFC" w:rsidRDefault="00AD6EFC" w:rsidP="009C4869">
      <w:pPr>
        <w:pStyle w:val="Header"/>
        <w:widowControl w:val="0"/>
        <w:jc w:val="both"/>
        <w:rPr>
          <w:rFonts w:ascii="Arial" w:hAnsi="Arial" w:cs="Arial"/>
          <w:i/>
          <w:iCs/>
          <w:sz w:val="20"/>
        </w:rPr>
      </w:pPr>
    </w:p>
    <w:p w14:paraId="51EC5091" w14:textId="69A72678" w:rsidR="009C4869" w:rsidRDefault="009C4869" w:rsidP="009C4869">
      <w:pPr>
        <w:pStyle w:val="Header"/>
        <w:widowControl w:val="0"/>
        <w:jc w:val="both"/>
        <w:rPr>
          <w:rFonts w:ascii="Arial" w:hAnsi="Arial" w:cs="Arial"/>
          <w:sz w:val="20"/>
        </w:rPr>
      </w:pPr>
      <w:r w:rsidRPr="00862CC5">
        <w:rPr>
          <w:rFonts w:ascii="Arial" w:hAnsi="Arial" w:cs="Arial"/>
          <w:i/>
          <w:iCs/>
          <w:sz w:val="20"/>
        </w:rPr>
        <w:t>Royalties per barrel</w:t>
      </w:r>
      <w:r>
        <w:rPr>
          <w:rFonts w:ascii="Arial" w:hAnsi="Arial" w:cs="Arial"/>
          <w:i/>
          <w:iCs/>
          <w:sz w:val="20"/>
        </w:rPr>
        <w:t xml:space="preserve"> </w:t>
      </w:r>
      <w:r>
        <w:rPr>
          <w:rFonts w:ascii="Arial" w:hAnsi="Arial" w:cs="Arial"/>
          <w:sz w:val="20"/>
        </w:rPr>
        <w:t>- is comprised of royalties as determined in accordance with IFRS, divided by the Company's total crude oil sales volumes</w:t>
      </w:r>
      <w:r w:rsidR="008E0B2E">
        <w:rPr>
          <w:rFonts w:ascii="Arial" w:hAnsi="Arial" w:cs="Arial"/>
          <w:sz w:val="20"/>
        </w:rPr>
        <w:t xml:space="preserve"> for the period</w:t>
      </w:r>
      <w:r>
        <w:rPr>
          <w:rFonts w:ascii="Arial" w:hAnsi="Arial" w:cs="Arial"/>
          <w:sz w:val="20"/>
        </w:rPr>
        <w:t>.</w:t>
      </w:r>
    </w:p>
    <w:p w14:paraId="6B47D1BC" w14:textId="77777777" w:rsidR="009C4869" w:rsidRPr="00862CC5" w:rsidRDefault="009C4869" w:rsidP="009C4869">
      <w:pPr>
        <w:pStyle w:val="Header"/>
        <w:widowControl w:val="0"/>
        <w:jc w:val="both"/>
        <w:rPr>
          <w:rFonts w:ascii="Arial" w:hAnsi="Arial" w:cs="Arial"/>
          <w:i/>
          <w:iCs/>
          <w:sz w:val="20"/>
        </w:rPr>
      </w:pPr>
    </w:p>
    <w:p w14:paraId="3D45FEC0" w14:textId="797F843A" w:rsidR="009C4869" w:rsidRPr="00862CC5" w:rsidRDefault="009C4869" w:rsidP="009C4869">
      <w:pPr>
        <w:pStyle w:val="Header"/>
        <w:widowControl w:val="0"/>
        <w:jc w:val="both"/>
        <w:rPr>
          <w:rFonts w:ascii="Arial" w:hAnsi="Arial" w:cs="Arial"/>
          <w:i/>
          <w:iCs/>
          <w:sz w:val="20"/>
        </w:rPr>
      </w:pPr>
      <w:r w:rsidRPr="00862CC5">
        <w:rPr>
          <w:rFonts w:ascii="Arial" w:hAnsi="Arial" w:cs="Arial"/>
          <w:i/>
          <w:iCs/>
          <w:sz w:val="20"/>
        </w:rPr>
        <w:t>Operating expenses per barrel</w:t>
      </w:r>
      <w:r>
        <w:rPr>
          <w:rFonts w:ascii="Arial" w:hAnsi="Arial" w:cs="Arial"/>
          <w:i/>
          <w:iCs/>
          <w:sz w:val="20"/>
        </w:rPr>
        <w:t xml:space="preserve"> </w:t>
      </w:r>
      <w:r>
        <w:rPr>
          <w:rFonts w:ascii="Arial" w:hAnsi="Arial" w:cs="Arial"/>
          <w:sz w:val="20"/>
        </w:rPr>
        <w:t>- is comprised of operating expenses as determined in accordance with IFRS, divided by the Company's total crude oil sales volumes</w:t>
      </w:r>
      <w:r w:rsidR="008E0B2E">
        <w:rPr>
          <w:rFonts w:ascii="Arial" w:hAnsi="Arial" w:cs="Arial"/>
          <w:sz w:val="20"/>
        </w:rPr>
        <w:t xml:space="preserve"> for the period</w:t>
      </w:r>
      <w:r>
        <w:rPr>
          <w:rFonts w:ascii="Arial" w:hAnsi="Arial" w:cs="Arial"/>
          <w:sz w:val="20"/>
        </w:rPr>
        <w:t>.</w:t>
      </w:r>
    </w:p>
    <w:bookmarkEnd w:id="6"/>
    <w:p w14:paraId="344B2AA1" w14:textId="77777777" w:rsidR="009C4869" w:rsidRPr="005B1DFE" w:rsidRDefault="009C4869" w:rsidP="009C4869">
      <w:pPr>
        <w:widowControl w:val="0"/>
        <w:tabs>
          <w:tab w:val="center" w:pos="4680"/>
          <w:tab w:val="right" w:pos="9360"/>
        </w:tabs>
        <w:spacing w:after="0" w:line="240" w:lineRule="auto"/>
        <w:jc w:val="both"/>
        <w:rPr>
          <w:rFonts w:ascii="Arial" w:eastAsia="Times New Roman" w:hAnsi="Arial" w:cs="Arial"/>
          <w:iCs/>
          <w:sz w:val="20"/>
          <w:szCs w:val="20"/>
          <w:highlight w:val="cyan"/>
        </w:rPr>
      </w:pPr>
    </w:p>
    <w:p w14:paraId="5C076507" w14:textId="219D90F3" w:rsidR="00EF15DA" w:rsidRPr="00EB008B" w:rsidRDefault="009052A4" w:rsidP="009C4869">
      <w:pPr>
        <w:tabs>
          <w:tab w:val="center" w:pos="4680"/>
          <w:tab w:val="right" w:pos="9360"/>
        </w:tabs>
        <w:spacing w:after="0" w:line="240" w:lineRule="auto"/>
        <w:jc w:val="both"/>
        <w:rPr>
          <w:rFonts w:ascii="Arial" w:eastAsia="Calibri" w:hAnsi="Arial" w:cs="Arial"/>
          <w:iCs/>
          <w:sz w:val="20"/>
          <w:szCs w:val="20"/>
        </w:rPr>
      </w:pPr>
      <w:r w:rsidRPr="00E237B1">
        <w:rPr>
          <w:rFonts w:ascii="Arial" w:hAnsi="Arial" w:cs="Arial"/>
          <w:sz w:val="20"/>
        </w:rPr>
        <w:t>R</w:t>
      </w:r>
      <w:r w:rsidR="00EF15DA" w:rsidRPr="00E237B1">
        <w:rPr>
          <w:rFonts w:ascii="Arial" w:hAnsi="Arial" w:cs="Arial"/>
          <w:sz w:val="20"/>
        </w:rPr>
        <w:t>efer to the</w:t>
      </w:r>
      <w:r w:rsidR="00E237B1" w:rsidRPr="00E237B1">
        <w:rPr>
          <w:rFonts w:ascii="Arial" w:hAnsi="Arial" w:cs="Arial"/>
          <w:sz w:val="20"/>
        </w:rPr>
        <w:t xml:space="preserve"> "</w:t>
      </w:r>
      <w:r w:rsidR="00E237B1" w:rsidRPr="00E237B1">
        <w:rPr>
          <w:rFonts w:ascii="Arial" w:hAnsi="Arial" w:cs="Arial"/>
          <w:i/>
          <w:iCs/>
          <w:sz w:val="20"/>
        </w:rPr>
        <w:t xml:space="preserve">Non-GAAP </w:t>
      </w:r>
      <w:r w:rsidR="00896F7B">
        <w:rPr>
          <w:rFonts w:ascii="Arial" w:hAnsi="Arial" w:cs="Arial"/>
          <w:i/>
          <w:iCs/>
          <w:sz w:val="20"/>
        </w:rPr>
        <w:t xml:space="preserve">Financial </w:t>
      </w:r>
      <w:r w:rsidR="00E237B1" w:rsidRPr="00E237B1">
        <w:rPr>
          <w:rFonts w:ascii="Arial" w:hAnsi="Arial" w:cs="Arial"/>
          <w:i/>
          <w:iCs/>
          <w:sz w:val="20"/>
        </w:rPr>
        <w:t>Measures</w:t>
      </w:r>
      <w:r w:rsidR="00E237B1" w:rsidRPr="00E237B1">
        <w:rPr>
          <w:rFonts w:ascii="Arial" w:hAnsi="Arial" w:cs="Arial"/>
          <w:sz w:val="20"/>
        </w:rPr>
        <w:t>" advisory section</w:t>
      </w:r>
      <w:r w:rsidR="00E237B1">
        <w:rPr>
          <w:rFonts w:ascii="Arial" w:hAnsi="Arial" w:cs="Arial"/>
          <w:sz w:val="20"/>
        </w:rPr>
        <w:t xml:space="preserve"> </w:t>
      </w:r>
      <w:r w:rsidR="00F137E4">
        <w:rPr>
          <w:rFonts w:ascii="Arial" w:hAnsi="Arial" w:cs="Arial"/>
          <w:sz w:val="20"/>
        </w:rPr>
        <w:t>in</w:t>
      </w:r>
      <w:r w:rsidR="00E237B1" w:rsidRPr="00E237B1">
        <w:rPr>
          <w:rFonts w:ascii="Arial" w:hAnsi="Arial" w:cs="Arial"/>
          <w:sz w:val="20"/>
        </w:rPr>
        <w:t xml:space="preserve"> the</w:t>
      </w:r>
      <w:r w:rsidR="00EF15DA" w:rsidRPr="00E237B1">
        <w:rPr>
          <w:rFonts w:ascii="Arial" w:hAnsi="Arial" w:cs="Arial"/>
          <w:sz w:val="20"/>
        </w:rPr>
        <w:t xml:space="preserve"> Company's </w:t>
      </w:r>
      <w:r w:rsidR="00D701C5">
        <w:rPr>
          <w:rFonts w:ascii="Arial" w:hAnsi="Arial" w:cs="Arial"/>
          <w:sz w:val="20"/>
        </w:rPr>
        <w:t>March</w:t>
      </w:r>
      <w:r w:rsidR="00EF15DA" w:rsidRPr="00E237B1">
        <w:rPr>
          <w:rFonts w:ascii="Arial" w:hAnsi="Arial" w:cs="Arial"/>
          <w:sz w:val="20"/>
        </w:rPr>
        <w:t xml:space="preserve"> 3</w:t>
      </w:r>
      <w:r w:rsidRPr="00E237B1">
        <w:rPr>
          <w:rFonts w:ascii="Arial" w:hAnsi="Arial" w:cs="Arial"/>
          <w:sz w:val="20"/>
        </w:rPr>
        <w:t>1</w:t>
      </w:r>
      <w:r w:rsidR="00EF15DA" w:rsidRPr="00E237B1">
        <w:rPr>
          <w:rFonts w:ascii="Arial" w:hAnsi="Arial" w:cs="Arial"/>
          <w:sz w:val="20"/>
        </w:rPr>
        <w:t>, 202</w:t>
      </w:r>
      <w:r w:rsidR="00D701C5">
        <w:rPr>
          <w:rFonts w:ascii="Arial" w:hAnsi="Arial" w:cs="Arial"/>
          <w:sz w:val="20"/>
        </w:rPr>
        <w:t>2</w:t>
      </w:r>
      <w:r w:rsidR="00EF15DA" w:rsidRPr="00E237B1">
        <w:rPr>
          <w:rFonts w:ascii="Arial" w:hAnsi="Arial" w:cs="Arial"/>
          <w:sz w:val="20"/>
        </w:rPr>
        <w:t xml:space="preserve"> Management's discussion and analysis for reconciliations of non-GAAP </w:t>
      </w:r>
      <w:r w:rsidR="00896F7B">
        <w:rPr>
          <w:rFonts w:ascii="Arial" w:hAnsi="Arial" w:cs="Arial"/>
          <w:sz w:val="20"/>
        </w:rPr>
        <w:t xml:space="preserve">financial </w:t>
      </w:r>
      <w:r w:rsidR="00EF15DA" w:rsidRPr="00E237B1">
        <w:rPr>
          <w:rFonts w:ascii="Arial" w:hAnsi="Arial" w:cs="Arial"/>
          <w:sz w:val="20"/>
        </w:rPr>
        <w:t xml:space="preserve">measures </w:t>
      </w:r>
      <w:r w:rsidR="00E237B1">
        <w:rPr>
          <w:rFonts w:ascii="Arial" w:hAnsi="Arial" w:cs="Arial"/>
          <w:sz w:val="20"/>
        </w:rPr>
        <w:t>included</w:t>
      </w:r>
      <w:r w:rsidR="00EF15DA" w:rsidRPr="00E237B1">
        <w:rPr>
          <w:rFonts w:ascii="Arial" w:hAnsi="Arial" w:cs="Arial"/>
          <w:sz w:val="20"/>
        </w:rPr>
        <w:t xml:space="preserve"> herein to applicable GAAP measures.</w:t>
      </w:r>
    </w:p>
    <w:p w14:paraId="5432AE25" w14:textId="77777777" w:rsidR="00252B01" w:rsidRDefault="00252B01" w:rsidP="009C4869">
      <w:pPr>
        <w:spacing w:after="0" w:line="240" w:lineRule="auto"/>
        <w:jc w:val="both"/>
        <w:rPr>
          <w:rFonts w:ascii="Arial" w:eastAsia="Calibri" w:hAnsi="Arial" w:cs="Arial"/>
          <w:b/>
          <w:i/>
          <w:sz w:val="20"/>
        </w:rPr>
      </w:pPr>
    </w:p>
    <w:p w14:paraId="3EA84089" w14:textId="780E35CB" w:rsidR="00EF15DA" w:rsidRPr="00EB008B" w:rsidRDefault="00EF15DA" w:rsidP="009C4869">
      <w:pPr>
        <w:keepNext/>
        <w:spacing w:after="0" w:line="240" w:lineRule="auto"/>
        <w:jc w:val="both"/>
        <w:rPr>
          <w:rFonts w:ascii="Arial" w:eastAsia="Calibri" w:hAnsi="Arial" w:cs="Arial"/>
          <w:b/>
          <w:i/>
          <w:sz w:val="20"/>
        </w:rPr>
      </w:pPr>
      <w:r w:rsidRPr="00EB008B">
        <w:rPr>
          <w:rFonts w:ascii="Arial" w:eastAsia="Calibri" w:hAnsi="Arial" w:cs="Arial"/>
          <w:b/>
          <w:i/>
          <w:sz w:val="20"/>
        </w:rPr>
        <w:t>Forward-Looking Statements</w:t>
      </w:r>
    </w:p>
    <w:p w14:paraId="57C09C11" w14:textId="77777777" w:rsidR="00EF15DA" w:rsidRPr="009E7F6C" w:rsidRDefault="00EF15DA" w:rsidP="009C4869">
      <w:pPr>
        <w:keepNext/>
        <w:spacing w:after="0" w:line="240" w:lineRule="auto"/>
        <w:jc w:val="both"/>
        <w:rPr>
          <w:rFonts w:ascii="Arial" w:eastAsia="Calibri" w:hAnsi="Arial" w:cs="Arial"/>
          <w:b/>
          <w:i/>
          <w:sz w:val="20"/>
        </w:rPr>
      </w:pPr>
    </w:p>
    <w:p w14:paraId="13300FEB" w14:textId="26413398" w:rsidR="00EF15DA" w:rsidRPr="009E7F6C" w:rsidRDefault="00EF15DA" w:rsidP="009C4869">
      <w:pPr>
        <w:keepNext/>
        <w:spacing w:after="0" w:line="240" w:lineRule="auto"/>
        <w:jc w:val="both"/>
        <w:rPr>
          <w:rStyle w:val="ib"/>
          <w:rFonts w:ascii="Arial" w:hAnsi="Arial" w:cs="Arial"/>
          <w:sz w:val="20"/>
          <w:szCs w:val="20"/>
        </w:rPr>
      </w:pPr>
      <w:r w:rsidRPr="009E7F6C">
        <w:rPr>
          <w:rStyle w:val="ib"/>
          <w:rFonts w:ascii="Arial" w:hAnsi="Arial" w:cs="Arial"/>
          <w:sz w:val="20"/>
          <w:szCs w:val="20"/>
        </w:rPr>
        <w:t xml:space="preserve">Certain information provided in this </w:t>
      </w:r>
      <w:r w:rsidR="00F9174B" w:rsidRPr="00F9174B">
        <w:rPr>
          <w:rFonts w:ascii="ArialMT" w:hAnsi="ArialMT" w:cs="ArialMT"/>
          <w:sz w:val="20"/>
          <w:szCs w:val="20"/>
          <w:lang w:val="en-CA"/>
        </w:rPr>
        <w:t>news release</w:t>
      </w:r>
      <w:r w:rsidR="00F9174B" w:rsidRPr="009E7F6C">
        <w:rPr>
          <w:rStyle w:val="ib"/>
          <w:rFonts w:ascii="Arial" w:hAnsi="Arial" w:cs="Arial"/>
          <w:sz w:val="20"/>
          <w:szCs w:val="20"/>
        </w:rPr>
        <w:t xml:space="preserve"> </w:t>
      </w:r>
      <w:r w:rsidRPr="009E7F6C">
        <w:rPr>
          <w:rStyle w:val="ib"/>
          <w:rFonts w:ascii="Arial" w:hAnsi="Arial" w:cs="Arial"/>
          <w:sz w:val="20"/>
          <w:szCs w:val="20"/>
        </w:rPr>
        <w:t xml:space="preserve">may constitute forward-looking statements and information (collectively, "forward-looking statements") within the meaning of applicable securities laws. Such forward-looking statements include, without limitation, forecasts, estimates, </w:t>
      </w:r>
      <w:proofErr w:type="gramStart"/>
      <w:r w:rsidRPr="009E7F6C">
        <w:rPr>
          <w:rStyle w:val="ib"/>
          <w:rFonts w:ascii="Arial" w:hAnsi="Arial" w:cs="Arial"/>
          <w:sz w:val="20"/>
          <w:szCs w:val="20"/>
        </w:rPr>
        <w:t>expectations</w:t>
      </w:r>
      <w:proofErr w:type="gramEnd"/>
      <w:r w:rsidRPr="009E7F6C">
        <w:rPr>
          <w:rStyle w:val="ib"/>
          <w:rFonts w:ascii="Arial" w:hAnsi="Arial" w:cs="Arial"/>
          <w:sz w:val="20"/>
          <w:szCs w:val="20"/>
        </w:rPr>
        <w:t xml:space="preserve"> and objectives for future operations that are subject to assumptions, risks and uncertainties, many of which are beyond the control of the Company. Forward-looking statements are statements that are not historical facts and are generally, but not always, identified by the words "expects", "plans", "anticipates", "believes", "intends", "estimates", "projects", "potential" and similar expressions, or are events or conditions that "will", "would", "may", "could" or "should" occur or be achieved.</w:t>
      </w:r>
    </w:p>
    <w:p w14:paraId="35DF78BF" w14:textId="77777777" w:rsidR="00EF15DA" w:rsidRPr="00EB008B" w:rsidRDefault="00EF15DA" w:rsidP="00EF15DA">
      <w:pPr>
        <w:spacing w:after="0" w:line="240" w:lineRule="auto"/>
        <w:jc w:val="both"/>
        <w:rPr>
          <w:rFonts w:ascii="Arial" w:eastAsia="Calibri" w:hAnsi="Arial" w:cs="Arial"/>
          <w:b/>
          <w:i/>
          <w:sz w:val="20"/>
        </w:rPr>
      </w:pPr>
    </w:p>
    <w:p w14:paraId="2F71D626" w14:textId="3A52038D" w:rsidR="00AF0D33" w:rsidRPr="00AF0D33" w:rsidRDefault="00EF15DA" w:rsidP="00E237B1">
      <w:pPr>
        <w:keepNext/>
        <w:autoSpaceDE w:val="0"/>
        <w:autoSpaceDN w:val="0"/>
        <w:adjustRightInd w:val="0"/>
        <w:spacing w:after="0" w:line="240" w:lineRule="auto"/>
        <w:jc w:val="both"/>
        <w:rPr>
          <w:rFonts w:ascii="Arial" w:eastAsia="Calibri" w:hAnsi="Arial" w:cs="Arial"/>
          <w:iCs/>
          <w:sz w:val="20"/>
        </w:rPr>
      </w:pPr>
      <w:r w:rsidRPr="00BD20AE">
        <w:rPr>
          <w:rFonts w:ascii="Arial" w:eastAsia="Calibri" w:hAnsi="Arial" w:cs="Arial"/>
          <w:sz w:val="20"/>
        </w:rPr>
        <w:t xml:space="preserve">Forward-looking statements in this </w:t>
      </w:r>
      <w:r w:rsidR="00F9174B" w:rsidRPr="00F9174B">
        <w:rPr>
          <w:rFonts w:ascii="ArialMT" w:hAnsi="ArialMT" w:cs="ArialMT"/>
          <w:sz w:val="20"/>
          <w:szCs w:val="20"/>
          <w:lang w:val="en-CA"/>
        </w:rPr>
        <w:t>news release</w:t>
      </w:r>
      <w:r w:rsidR="00F9174B" w:rsidRPr="00BD20AE">
        <w:rPr>
          <w:rFonts w:ascii="Arial" w:eastAsia="Calibri" w:hAnsi="Arial" w:cs="Arial"/>
          <w:sz w:val="20"/>
        </w:rPr>
        <w:t xml:space="preserve"> </w:t>
      </w:r>
      <w:r w:rsidRPr="00BD20AE">
        <w:rPr>
          <w:rFonts w:ascii="Arial" w:eastAsia="Calibri" w:hAnsi="Arial" w:cs="Arial"/>
          <w:sz w:val="20"/>
        </w:rPr>
        <w:t xml:space="preserve">may include, but are not limited to, statements relating to </w:t>
      </w:r>
      <w:r w:rsidR="00151A62" w:rsidRPr="00BD20AE">
        <w:rPr>
          <w:rFonts w:ascii="Arial" w:eastAsia="Calibri" w:hAnsi="Arial" w:cs="Arial"/>
          <w:sz w:val="20"/>
        </w:rPr>
        <w:t xml:space="preserve">Touchstone's near-term priorities, </w:t>
      </w:r>
      <w:r w:rsidRPr="00BD20AE">
        <w:rPr>
          <w:rFonts w:ascii="Arial" w:eastAsia="Calibri" w:hAnsi="Arial" w:cs="Arial"/>
          <w:sz w:val="20"/>
        </w:rPr>
        <w:t>the Company's development and exploration plans and strategies</w:t>
      </w:r>
      <w:r w:rsidR="00DB3F9B" w:rsidRPr="00BD20AE">
        <w:rPr>
          <w:rFonts w:ascii="Arial" w:eastAsia="Calibri" w:hAnsi="Arial" w:cs="Arial"/>
          <w:sz w:val="20"/>
        </w:rPr>
        <w:t>,</w:t>
      </w:r>
      <w:r w:rsidR="00C62F26" w:rsidRPr="00BD20AE">
        <w:rPr>
          <w:rFonts w:ascii="Arial" w:eastAsia="Calibri" w:hAnsi="Arial" w:cs="Arial"/>
          <w:sz w:val="20"/>
        </w:rPr>
        <w:t xml:space="preserve"> including anticipated </w:t>
      </w:r>
      <w:r w:rsidR="00BD20AE" w:rsidRPr="00BD20AE">
        <w:rPr>
          <w:rFonts w:ascii="Arial" w:eastAsia="Calibri" w:hAnsi="Arial" w:cs="Arial"/>
          <w:sz w:val="20"/>
        </w:rPr>
        <w:t xml:space="preserve">future </w:t>
      </w:r>
      <w:r w:rsidR="00C62F26" w:rsidRPr="00BD20AE">
        <w:rPr>
          <w:rFonts w:ascii="Arial" w:eastAsia="Calibri" w:hAnsi="Arial" w:cs="Arial"/>
          <w:sz w:val="20"/>
        </w:rPr>
        <w:t>production</w:t>
      </w:r>
      <w:r w:rsidR="00DB3F9B" w:rsidRPr="00BD20AE">
        <w:rPr>
          <w:rFonts w:ascii="Arial" w:eastAsia="Calibri" w:hAnsi="Arial" w:cs="Arial"/>
          <w:sz w:val="20"/>
        </w:rPr>
        <w:t xml:space="preserve">, </w:t>
      </w:r>
      <w:r w:rsidR="0039642E" w:rsidRPr="00BD20AE">
        <w:rPr>
          <w:rFonts w:ascii="Arial" w:eastAsia="Calibri" w:hAnsi="Arial" w:cs="Arial"/>
          <w:sz w:val="20"/>
        </w:rPr>
        <w:t>the receipt of anticipated regulatory a</w:t>
      </w:r>
      <w:r w:rsidR="00BD20AE" w:rsidRPr="00BD20AE">
        <w:rPr>
          <w:rFonts w:ascii="Arial" w:eastAsia="Calibri" w:hAnsi="Arial" w:cs="Arial"/>
          <w:sz w:val="20"/>
        </w:rPr>
        <w:t>pprovals</w:t>
      </w:r>
      <w:r w:rsidR="0039642E" w:rsidRPr="00BD20AE">
        <w:rPr>
          <w:rFonts w:ascii="Arial" w:eastAsia="Calibri" w:hAnsi="Arial" w:cs="Arial"/>
          <w:sz w:val="20"/>
        </w:rPr>
        <w:t>,</w:t>
      </w:r>
      <w:r w:rsidR="00BD20AE" w:rsidRPr="00BD20AE">
        <w:rPr>
          <w:rFonts w:ascii="Arial" w:eastAsia="Calibri" w:hAnsi="Arial" w:cs="Arial"/>
          <w:sz w:val="20"/>
        </w:rPr>
        <w:t xml:space="preserve"> anticipated </w:t>
      </w:r>
      <w:r w:rsidR="00DB3F9B" w:rsidRPr="00BD20AE">
        <w:rPr>
          <w:rFonts w:ascii="Arial" w:eastAsia="Calibri" w:hAnsi="Arial" w:cs="Arial"/>
          <w:sz w:val="20"/>
        </w:rPr>
        <w:t>future drilling operations</w:t>
      </w:r>
      <w:r w:rsidR="00BD20AE" w:rsidRPr="00BD20AE">
        <w:rPr>
          <w:rFonts w:ascii="Arial" w:eastAsia="Calibri" w:hAnsi="Arial" w:cs="Arial"/>
          <w:sz w:val="20"/>
        </w:rPr>
        <w:t xml:space="preserve"> and timing thereof</w:t>
      </w:r>
      <w:r w:rsidR="00997903" w:rsidRPr="00BD20AE">
        <w:rPr>
          <w:rFonts w:ascii="Arial" w:hAnsi="Arial" w:cs="Arial"/>
          <w:iCs/>
          <w:sz w:val="20"/>
          <w:szCs w:val="20"/>
        </w:rPr>
        <w:t xml:space="preserve">, </w:t>
      </w:r>
      <w:r w:rsidR="00B55A85" w:rsidRPr="00BD20AE">
        <w:rPr>
          <w:rFonts w:ascii="Arial" w:hAnsi="Arial" w:cs="Arial"/>
          <w:iCs/>
          <w:sz w:val="20"/>
          <w:szCs w:val="20"/>
        </w:rPr>
        <w:t xml:space="preserve">and </w:t>
      </w:r>
      <w:r w:rsidR="00151A62" w:rsidRPr="00BD20AE">
        <w:rPr>
          <w:rFonts w:ascii="Arial" w:hAnsi="Arial" w:cs="Arial"/>
          <w:iCs/>
          <w:sz w:val="20"/>
          <w:szCs w:val="20"/>
        </w:rPr>
        <w:t>Touchstone's</w:t>
      </w:r>
      <w:r w:rsidRPr="00BD20AE">
        <w:rPr>
          <w:rFonts w:ascii="Arial" w:eastAsia="Calibri" w:hAnsi="Arial" w:cs="Arial"/>
          <w:sz w:val="20"/>
        </w:rPr>
        <w:t xml:space="preserve"> current</w:t>
      </w:r>
      <w:r w:rsidR="00C62F26" w:rsidRPr="00BD20AE">
        <w:rPr>
          <w:rFonts w:ascii="Arial" w:eastAsia="Calibri" w:hAnsi="Arial" w:cs="Arial"/>
          <w:sz w:val="20"/>
        </w:rPr>
        <w:t xml:space="preserve"> and future</w:t>
      </w:r>
      <w:r w:rsidRPr="00BD20AE">
        <w:rPr>
          <w:rFonts w:ascii="Arial" w:eastAsia="Calibri" w:hAnsi="Arial" w:cs="Arial"/>
          <w:sz w:val="20"/>
        </w:rPr>
        <w:t xml:space="preserve"> financial position </w:t>
      </w:r>
      <w:r w:rsidR="00151A62" w:rsidRPr="00BD20AE">
        <w:rPr>
          <w:rFonts w:ascii="Arial" w:eastAsia="Calibri" w:hAnsi="Arial" w:cs="Arial"/>
          <w:sz w:val="20"/>
        </w:rPr>
        <w:t>including</w:t>
      </w:r>
      <w:r w:rsidRPr="00BD20AE">
        <w:rPr>
          <w:rFonts w:ascii="Arial" w:eastAsia="Calibri" w:hAnsi="Arial" w:cs="Arial"/>
          <w:sz w:val="20"/>
        </w:rPr>
        <w:t xml:space="preserve"> the sufficiency of resources to fund future capital expenditures and maintain financial liquidity. Although</w:t>
      </w:r>
      <w:r w:rsidRPr="00FA33AF">
        <w:rPr>
          <w:rFonts w:ascii="Arial" w:eastAsia="Calibri" w:hAnsi="Arial" w:cs="Arial"/>
          <w:sz w:val="20"/>
        </w:rPr>
        <w:t xml:space="preserve"> the Company believes that the expectations and assumptions on which the forward-looking statements</w:t>
      </w:r>
      <w:r w:rsidRPr="00EB008B">
        <w:rPr>
          <w:rFonts w:ascii="Arial" w:eastAsia="Calibri" w:hAnsi="Arial" w:cs="Arial"/>
          <w:sz w:val="20"/>
        </w:rPr>
        <w:t xml:space="preserve"> are based are reasonable, undue reliance should not be placed on the forward-looking statements because the Company can give no assurance that they will prove to be correct. Since forward-looking statements address future events and conditions, by their very nature they involve inherent risks and uncertainties. Actual results could differ materially from those currently anticipated due to a number of factors and risks. Certain of these risks are set out in more detail in the Company's 20</w:t>
      </w:r>
      <w:r>
        <w:rPr>
          <w:rFonts w:ascii="Arial" w:eastAsia="Calibri" w:hAnsi="Arial" w:cs="Arial"/>
          <w:sz w:val="20"/>
        </w:rPr>
        <w:t>2</w:t>
      </w:r>
      <w:r w:rsidR="00E237B1">
        <w:rPr>
          <w:rFonts w:ascii="Arial" w:eastAsia="Calibri" w:hAnsi="Arial" w:cs="Arial"/>
          <w:sz w:val="20"/>
        </w:rPr>
        <w:t>1</w:t>
      </w:r>
      <w:r w:rsidRPr="00EB008B">
        <w:rPr>
          <w:rFonts w:ascii="Arial" w:eastAsia="Calibri" w:hAnsi="Arial" w:cs="Arial"/>
          <w:sz w:val="20"/>
        </w:rPr>
        <w:t xml:space="preserve"> Annual Information Form dated March 25, 202</w:t>
      </w:r>
      <w:r w:rsidR="00E237B1">
        <w:rPr>
          <w:rFonts w:ascii="Arial" w:eastAsia="Calibri" w:hAnsi="Arial" w:cs="Arial"/>
          <w:sz w:val="20"/>
        </w:rPr>
        <w:t>2</w:t>
      </w:r>
      <w:r w:rsidRPr="00EB008B">
        <w:rPr>
          <w:rFonts w:ascii="Arial" w:eastAsia="Calibri" w:hAnsi="Arial" w:cs="Arial"/>
          <w:sz w:val="20"/>
        </w:rPr>
        <w:t xml:space="preserve"> which </w:t>
      </w:r>
      <w:r w:rsidR="001004FC">
        <w:rPr>
          <w:rFonts w:ascii="Arial" w:eastAsia="Calibri" w:hAnsi="Arial" w:cs="Arial"/>
          <w:sz w:val="20"/>
        </w:rPr>
        <w:t>is available</w:t>
      </w:r>
      <w:r w:rsidRPr="00EB008B">
        <w:rPr>
          <w:rFonts w:ascii="Arial" w:eastAsia="Calibri" w:hAnsi="Arial" w:cs="Arial"/>
          <w:sz w:val="20"/>
        </w:rPr>
        <w:t xml:space="preserve"> </w:t>
      </w:r>
      <w:r w:rsidRPr="00FA33AF">
        <w:rPr>
          <w:rFonts w:ascii="Arial" w:eastAsia="Calibri" w:hAnsi="Arial" w:cs="Arial"/>
          <w:sz w:val="20"/>
        </w:rPr>
        <w:t>under the Company's profile on SEDAR (</w:t>
      </w:r>
      <w:hyperlink r:id="rId15" w:history="1">
        <w:r w:rsidR="00FA33AF" w:rsidRPr="00FA33AF">
          <w:rPr>
            <w:rStyle w:val="Hyperlink"/>
            <w:rFonts w:ascii="Arial" w:eastAsia="Calibri" w:hAnsi="Arial" w:cs="Arial"/>
            <w:color w:val="auto"/>
            <w:sz w:val="20"/>
          </w:rPr>
          <w:t>www.sedar.com</w:t>
        </w:r>
      </w:hyperlink>
      <w:r w:rsidRPr="00FA33AF">
        <w:rPr>
          <w:rFonts w:ascii="Arial" w:eastAsia="Calibri" w:hAnsi="Arial" w:cs="Arial"/>
          <w:sz w:val="20"/>
        </w:rPr>
        <w:t>) an</w:t>
      </w:r>
      <w:r w:rsidR="001004FC">
        <w:rPr>
          <w:rFonts w:ascii="Arial" w:eastAsia="Calibri" w:hAnsi="Arial" w:cs="Arial"/>
          <w:sz w:val="20"/>
        </w:rPr>
        <w:t xml:space="preserve">d </w:t>
      </w:r>
      <w:r w:rsidRPr="00FA33AF">
        <w:rPr>
          <w:rFonts w:ascii="Arial" w:eastAsia="Calibri" w:hAnsi="Arial" w:cs="Arial"/>
          <w:sz w:val="20"/>
        </w:rPr>
        <w:t>on the Company's website (</w:t>
      </w:r>
      <w:hyperlink r:id="rId16" w:history="1">
        <w:r w:rsidR="00FA33AF" w:rsidRPr="00FA33AF">
          <w:rPr>
            <w:rStyle w:val="Hyperlink"/>
            <w:rFonts w:ascii="Arial" w:eastAsia="Calibri" w:hAnsi="Arial" w:cs="Arial"/>
            <w:color w:val="auto"/>
            <w:sz w:val="20"/>
          </w:rPr>
          <w:t>www.touchstoneexploration.com</w:t>
        </w:r>
      </w:hyperlink>
      <w:r w:rsidRPr="00FA33AF">
        <w:rPr>
          <w:rFonts w:ascii="Arial" w:eastAsia="Calibri" w:hAnsi="Arial" w:cs="Arial"/>
          <w:sz w:val="20"/>
        </w:rPr>
        <w:t xml:space="preserve">). The </w:t>
      </w:r>
      <w:r w:rsidRPr="00EB008B">
        <w:rPr>
          <w:rFonts w:ascii="Arial" w:eastAsia="Calibri" w:hAnsi="Arial" w:cs="Arial"/>
          <w:sz w:val="20"/>
        </w:rPr>
        <w:t xml:space="preserve">forward-looking statements contained in this </w:t>
      </w:r>
      <w:r w:rsidR="00F9174B" w:rsidRPr="00F9174B">
        <w:rPr>
          <w:rFonts w:ascii="ArialMT" w:hAnsi="ArialMT" w:cs="ArialMT"/>
          <w:sz w:val="20"/>
          <w:szCs w:val="20"/>
          <w:lang w:val="en-CA"/>
        </w:rPr>
        <w:t>news release</w:t>
      </w:r>
      <w:r w:rsidR="00F9174B" w:rsidRPr="00EB008B">
        <w:rPr>
          <w:rFonts w:ascii="Arial" w:eastAsia="Calibri" w:hAnsi="Arial" w:cs="Arial"/>
          <w:sz w:val="20"/>
        </w:rPr>
        <w:t xml:space="preserve"> </w:t>
      </w:r>
      <w:r w:rsidRPr="00EB008B">
        <w:rPr>
          <w:rFonts w:ascii="Arial" w:eastAsia="Calibri" w:hAnsi="Arial" w:cs="Arial"/>
          <w:sz w:val="20"/>
        </w:rPr>
        <w:t>are made as of the date hereof, and e</w:t>
      </w:r>
      <w:r w:rsidRPr="00EB008B">
        <w:rPr>
          <w:rFonts w:ascii="Arial" w:eastAsia="Calibri" w:hAnsi="Arial" w:cs="Arial"/>
          <w:iCs/>
          <w:sz w:val="20"/>
        </w:rPr>
        <w:t>xcept as may be required by applicable securities laws, the Company assumes no obligation to update publicly or revise any forward-looking statements made herein or otherwise, whether as a result of new information, future events or otherwise.</w:t>
      </w:r>
    </w:p>
    <w:sectPr w:rsidR="00AF0D33" w:rsidRPr="00AF0D33" w:rsidSect="00CE7AE1">
      <w:headerReference w:type="default" r:id="rId17"/>
      <w:footerReference w:type="default" r:id="rId18"/>
      <w:headerReference w:type="first" r:id="rId19"/>
      <w:pgSz w:w="12240" w:h="15840" w:code="1"/>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03A4D" w14:textId="77777777" w:rsidR="00C8737B" w:rsidRDefault="00C8737B" w:rsidP="007C0BCE">
      <w:pPr>
        <w:spacing w:after="0" w:line="240" w:lineRule="auto"/>
      </w:pPr>
      <w:r>
        <w:separator/>
      </w:r>
    </w:p>
  </w:endnote>
  <w:endnote w:type="continuationSeparator" w:id="0">
    <w:p w14:paraId="472A55F6" w14:textId="77777777" w:rsidR="00C8737B" w:rsidRDefault="00C8737B" w:rsidP="007C0BCE">
      <w:pPr>
        <w:spacing w:after="0" w:line="240" w:lineRule="auto"/>
      </w:pPr>
      <w:r>
        <w:continuationSeparator/>
      </w:r>
    </w:p>
  </w:endnote>
  <w:endnote w:type="continuationNotice" w:id="1">
    <w:p w14:paraId="675211AF" w14:textId="77777777" w:rsidR="00C8737B" w:rsidRDefault="00C873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54057318"/>
      <w:docPartObj>
        <w:docPartGallery w:val="Page Numbers (Bottom of Page)"/>
        <w:docPartUnique/>
      </w:docPartObj>
    </w:sdtPr>
    <w:sdtEndPr>
      <w:rPr>
        <w:noProof/>
        <w:sz w:val="18"/>
        <w:szCs w:val="18"/>
      </w:rPr>
    </w:sdtEndPr>
    <w:sdtContent>
      <w:p w14:paraId="5C9471E4" w14:textId="77777777" w:rsidR="001A505D" w:rsidRPr="006100EA" w:rsidRDefault="001A505D">
        <w:pPr>
          <w:pStyle w:val="Footer"/>
          <w:jc w:val="right"/>
          <w:rPr>
            <w:rFonts w:ascii="Arial" w:hAnsi="Arial" w:cs="Arial"/>
            <w:sz w:val="18"/>
            <w:szCs w:val="18"/>
          </w:rPr>
        </w:pPr>
        <w:r w:rsidRPr="006100EA">
          <w:rPr>
            <w:rFonts w:ascii="Arial" w:hAnsi="Arial" w:cs="Arial"/>
            <w:sz w:val="18"/>
            <w:szCs w:val="18"/>
          </w:rPr>
          <w:fldChar w:fldCharType="begin"/>
        </w:r>
        <w:r w:rsidRPr="006100EA">
          <w:rPr>
            <w:rFonts w:ascii="Arial" w:hAnsi="Arial" w:cs="Arial"/>
            <w:sz w:val="18"/>
            <w:szCs w:val="18"/>
          </w:rPr>
          <w:instrText xml:space="preserve"> PAGE   \* MERGEFORMAT </w:instrText>
        </w:r>
        <w:r w:rsidRPr="006100EA">
          <w:rPr>
            <w:rFonts w:ascii="Arial" w:hAnsi="Arial" w:cs="Arial"/>
            <w:sz w:val="18"/>
            <w:szCs w:val="18"/>
          </w:rPr>
          <w:fldChar w:fldCharType="separate"/>
        </w:r>
        <w:r w:rsidRPr="006100EA">
          <w:rPr>
            <w:rFonts w:ascii="Arial" w:hAnsi="Arial" w:cs="Arial"/>
            <w:noProof/>
            <w:sz w:val="18"/>
            <w:szCs w:val="18"/>
          </w:rPr>
          <w:t>2</w:t>
        </w:r>
        <w:r w:rsidRPr="006100EA">
          <w:rPr>
            <w:rFonts w:ascii="Arial" w:hAnsi="Arial" w:cs="Arial"/>
            <w:noProof/>
            <w:sz w:val="18"/>
            <w:szCs w:val="18"/>
          </w:rPr>
          <w:fldChar w:fldCharType="end"/>
        </w:r>
      </w:p>
    </w:sdtContent>
  </w:sdt>
  <w:p w14:paraId="45E22F1D" w14:textId="77777777" w:rsidR="001A505D" w:rsidRDefault="001A5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EDB71" w14:textId="77777777" w:rsidR="00C8737B" w:rsidRDefault="00C8737B" w:rsidP="007C0BCE">
      <w:pPr>
        <w:spacing w:after="0" w:line="240" w:lineRule="auto"/>
      </w:pPr>
      <w:r>
        <w:separator/>
      </w:r>
    </w:p>
  </w:footnote>
  <w:footnote w:type="continuationSeparator" w:id="0">
    <w:p w14:paraId="77B1F28B" w14:textId="77777777" w:rsidR="00C8737B" w:rsidRDefault="00C8737B" w:rsidP="007C0BCE">
      <w:pPr>
        <w:spacing w:after="0" w:line="240" w:lineRule="auto"/>
      </w:pPr>
      <w:r>
        <w:continuationSeparator/>
      </w:r>
    </w:p>
  </w:footnote>
  <w:footnote w:type="continuationNotice" w:id="1">
    <w:p w14:paraId="62118461" w14:textId="77777777" w:rsidR="00C8737B" w:rsidRDefault="00C873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3061" w14:textId="0149A6C4" w:rsidR="001A505D" w:rsidRDefault="001A505D" w:rsidP="0079583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114E" w14:textId="56A3D8C9" w:rsidR="00795831" w:rsidRDefault="00795831" w:rsidP="00795831">
    <w:pPr>
      <w:pStyle w:val="Header"/>
      <w:jc w:val="center"/>
    </w:pPr>
    <w:r>
      <w:rPr>
        <w:noProof/>
      </w:rPr>
      <w:drawing>
        <wp:inline distT="0" distB="0" distL="0" distR="0" wp14:anchorId="3C173F6B" wp14:editId="62E8CC4D">
          <wp:extent cx="2450592" cy="658368"/>
          <wp:effectExtent l="0" t="0" r="6985" b="8890"/>
          <wp:docPr id="8" name="Picture 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stretch>
                    <a:fillRect/>
                  </a:stretch>
                </pic:blipFill>
                <pic:spPr>
                  <a:xfrm>
                    <a:off x="0" y="0"/>
                    <a:ext cx="2450592" cy="658368"/>
                  </a:xfrm>
                  <a:prstGeom prst="rect">
                    <a:avLst/>
                  </a:prstGeom>
                </pic:spPr>
              </pic:pic>
            </a:graphicData>
          </a:graphic>
        </wp:inline>
      </w:drawing>
    </w:r>
  </w:p>
  <w:p w14:paraId="66C06BC3" w14:textId="77777777" w:rsidR="00795831" w:rsidRPr="00795831" w:rsidRDefault="00795831" w:rsidP="00795831">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F2E"/>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 w15:restartNumberingAfterBreak="0">
    <w:nsid w:val="051C41F3"/>
    <w:multiLevelType w:val="hybridMultilevel"/>
    <w:tmpl w:val="B4A468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DB38FB"/>
    <w:multiLevelType w:val="hybridMultilevel"/>
    <w:tmpl w:val="94EA688E"/>
    <w:lvl w:ilvl="0" w:tplc="6974FADC">
      <w:start w:val="1"/>
      <w:numFmt w:val="lowerLetter"/>
      <w:lvlText w:val="(%1)"/>
      <w:lvlJc w:val="left"/>
      <w:pPr>
        <w:ind w:left="720" w:hanging="360"/>
      </w:pPr>
      <w:rPr>
        <w:rFonts w:ascii="Arial" w:hAnsi="Arial"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1979AF"/>
    <w:multiLevelType w:val="hybridMultilevel"/>
    <w:tmpl w:val="CEB6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C7423"/>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5" w15:restartNumberingAfterBreak="0">
    <w:nsid w:val="0CC33BED"/>
    <w:multiLevelType w:val="hybridMultilevel"/>
    <w:tmpl w:val="4AC61C50"/>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24" w:hanging="360"/>
      </w:pPr>
      <w:rPr>
        <w:rFonts w:ascii="Courier New" w:hAnsi="Courier New" w:cs="Courier New" w:hint="default"/>
      </w:rPr>
    </w:lvl>
    <w:lvl w:ilvl="2" w:tplc="04090005" w:tentative="1">
      <w:start w:val="1"/>
      <w:numFmt w:val="bullet"/>
      <w:lvlText w:val=""/>
      <w:lvlJc w:val="left"/>
      <w:pPr>
        <w:ind w:left="696" w:hanging="360"/>
      </w:pPr>
      <w:rPr>
        <w:rFonts w:ascii="Wingdings" w:hAnsi="Wingdings" w:hint="default"/>
      </w:rPr>
    </w:lvl>
    <w:lvl w:ilvl="3" w:tplc="04090001" w:tentative="1">
      <w:start w:val="1"/>
      <w:numFmt w:val="bullet"/>
      <w:lvlText w:val=""/>
      <w:lvlJc w:val="left"/>
      <w:pPr>
        <w:ind w:left="1416" w:hanging="360"/>
      </w:pPr>
      <w:rPr>
        <w:rFonts w:ascii="Symbol" w:hAnsi="Symbol" w:hint="default"/>
      </w:rPr>
    </w:lvl>
    <w:lvl w:ilvl="4" w:tplc="04090003" w:tentative="1">
      <w:start w:val="1"/>
      <w:numFmt w:val="bullet"/>
      <w:lvlText w:val="o"/>
      <w:lvlJc w:val="left"/>
      <w:pPr>
        <w:ind w:left="2136" w:hanging="360"/>
      </w:pPr>
      <w:rPr>
        <w:rFonts w:ascii="Courier New" w:hAnsi="Courier New" w:cs="Courier New" w:hint="default"/>
      </w:rPr>
    </w:lvl>
    <w:lvl w:ilvl="5" w:tplc="04090005" w:tentative="1">
      <w:start w:val="1"/>
      <w:numFmt w:val="bullet"/>
      <w:lvlText w:val=""/>
      <w:lvlJc w:val="left"/>
      <w:pPr>
        <w:ind w:left="2856" w:hanging="360"/>
      </w:pPr>
      <w:rPr>
        <w:rFonts w:ascii="Wingdings" w:hAnsi="Wingdings" w:hint="default"/>
      </w:rPr>
    </w:lvl>
    <w:lvl w:ilvl="6" w:tplc="04090001" w:tentative="1">
      <w:start w:val="1"/>
      <w:numFmt w:val="bullet"/>
      <w:lvlText w:val=""/>
      <w:lvlJc w:val="left"/>
      <w:pPr>
        <w:ind w:left="3576" w:hanging="360"/>
      </w:pPr>
      <w:rPr>
        <w:rFonts w:ascii="Symbol" w:hAnsi="Symbol" w:hint="default"/>
      </w:rPr>
    </w:lvl>
    <w:lvl w:ilvl="7" w:tplc="04090003" w:tentative="1">
      <w:start w:val="1"/>
      <w:numFmt w:val="bullet"/>
      <w:lvlText w:val="o"/>
      <w:lvlJc w:val="left"/>
      <w:pPr>
        <w:ind w:left="4296" w:hanging="360"/>
      </w:pPr>
      <w:rPr>
        <w:rFonts w:ascii="Courier New" w:hAnsi="Courier New" w:cs="Courier New" w:hint="default"/>
      </w:rPr>
    </w:lvl>
    <w:lvl w:ilvl="8" w:tplc="04090005" w:tentative="1">
      <w:start w:val="1"/>
      <w:numFmt w:val="bullet"/>
      <w:lvlText w:val=""/>
      <w:lvlJc w:val="left"/>
      <w:pPr>
        <w:ind w:left="5016" w:hanging="360"/>
      </w:pPr>
      <w:rPr>
        <w:rFonts w:ascii="Wingdings" w:hAnsi="Wingdings" w:hint="default"/>
      </w:rPr>
    </w:lvl>
  </w:abstractNum>
  <w:abstractNum w:abstractNumId="6" w15:restartNumberingAfterBreak="0">
    <w:nsid w:val="0E923CC5"/>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7" w15:restartNumberingAfterBreak="0">
    <w:nsid w:val="125038EA"/>
    <w:multiLevelType w:val="hybridMultilevel"/>
    <w:tmpl w:val="39CEF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ED19AD"/>
    <w:multiLevelType w:val="hybridMultilevel"/>
    <w:tmpl w:val="97C6160E"/>
    <w:lvl w:ilvl="0" w:tplc="8CE0D608">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0E2A47"/>
    <w:multiLevelType w:val="hybridMultilevel"/>
    <w:tmpl w:val="DD4EA882"/>
    <w:lvl w:ilvl="0" w:tplc="FFFFFFFF">
      <w:start w:val="1"/>
      <w:numFmt w:val="decimal"/>
      <w:lvlText w:val="(%1)"/>
      <w:lvlJc w:val="left"/>
      <w:pPr>
        <w:ind w:left="450" w:hanging="360"/>
      </w:pPr>
      <w:rPr>
        <w:rFonts w:hint="default"/>
        <w:vertAlign w:val="baseline"/>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0" w15:restartNumberingAfterBreak="0">
    <w:nsid w:val="1F78034B"/>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1" w15:restartNumberingAfterBreak="0">
    <w:nsid w:val="2350602B"/>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2" w15:restartNumberingAfterBreak="0">
    <w:nsid w:val="25130307"/>
    <w:multiLevelType w:val="multilevel"/>
    <w:tmpl w:val="A55E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D5964"/>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4" w15:restartNumberingAfterBreak="0">
    <w:nsid w:val="2B7440FE"/>
    <w:multiLevelType w:val="hybridMultilevel"/>
    <w:tmpl w:val="8892F0F4"/>
    <w:lvl w:ilvl="0" w:tplc="79E60B30">
      <w:start w:val="1"/>
      <w:numFmt w:val="decimal"/>
      <w:lvlText w:val="%1."/>
      <w:lvlJc w:val="left"/>
      <w:pPr>
        <w:ind w:left="360" w:hanging="360"/>
      </w:pPr>
      <w:rPr>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D705964"/>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6" w15:restartNumberingAfterBreak="0">
    <w:nsid w:val="2FF6371F"/>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7" w15:restartNumberingAfterBreak="0">
    <w:nsid w:val="32CC0C08"/>
    <w:multiLevelType w:val="hybridMultilevel"/>
    <w:tmpl w:val="29FC37B4"/>
    <w:lvl w:ilvl="0" w:tplc="5E36B34C">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772465A"/>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9" w15:restartNumberingAfterBreak="0">
    <w:nsid w:val="38E725CF"/>
    <w:multiLevelType w:val="hybridMultilevel"/>
    <w:tmpl w:val="758E447E"/>
    <w:lvl w:ilvl="0" w:tplc="F56CD280">
      <w:start w:val="1"/>
      <w:numFmt w:val="decimal"/>
      <w:lvlText w:val="(%1)"/>
      <w:lvlJc w:val="left"/>
      <w:pPr>
        <w:ind w:left="450" w:hanging="360"/>
      </w:pPr>
      <w:rPr>
        <w:rFonts w:hint="default"/>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20" w15:restartNumberingAfterBreak="0">
    <w:nsid w:val="39651FB2"/>
    <w:multiLevelType w:val="hybridMultilevel"/>
    <w:tmpl w:val="B348421E"/>
    <w:lvl w:ilvl="0" w:tplc="040810E4">
      <w:start w:val="1"/>
      <w:numFmt w:val="lowerLetter"/>
      <w:lvlText w:val="(%1)"/>
      <w:lvlJc w:val="left"/>
      <w:pPr>
        <w:ind w:left="720" w:hanging="360"/>
      </w:pPr>
      <w:rPr>
        <w:rFonts w:ascii="Arial" w:hAnsi="Arial" w:cs="Arial" w:hint="default"/>
        <w:b/>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AE2333E"/>
    <w:multiLevelType w:val="multilevel"/>
    <w:tmpl w:val="2EAAA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F1142F"/>
    <w:multiLevelType w:val="hybridMultilevel"/>
    <w:tmpl w:val="94EA688E"/>
    <w:lvl w:ilvl="0" w:tplc="6974FADC">
      <w:start w:val="1"/>
      <w:numFmt w:val="lowerLetter"/>
      <w:lvlText w:val="(%1)"/>
      <w:lvlJc w:val="left"/>
      <w:pPr>
        <w:ind w:left="720" w:hanging="360"/>
      </w:pPr>
      <w:rPr>
        <w:rFonts w:ascii="Arial" w:hAnsi="Arial"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09C71EE"/>
    <w:multiLevelType w:val="hybridMultilevel"/>
    <w:tmpl w:val="20EEA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352A23"/>
    <w:multiLevelType w:val="hybridMultilevel"/>
    <w:tmpl w:val="94EA688E"/>
    <w:lvl w:ilvl="0" w:tplc="6974FADC">
      <w:start w:val="1"/>
      <w:numFmt w:val="lowerLetter"/>
      <w:lvlText w:val="(%1)"/>
      <w:lvlJc w:val="left"/>
      <w:pPr>
        <w:ind w:left="720" w:hanging="360"/>
      </w:pPr>
      <w:rPr>
        <w:rFonts w:ascii="Arial" w:hAnsi="Arial"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54066C1"/>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26" w15:restartNumberingAfterBreak="0">
    <w:nsid w:val="4AEA2D01"/>
    <w:multiLevelType w:val="multilevel"/>
    <w:tmpl w:val="6878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8E3A63"/>
    <w:multiLevelType w:val="hybridMultilevel"/>
    <w:tmpl w:val="321A8C48"/>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28" w15:restartNumberingAfterBreak="0">
    <w:nsid w:val="50051A88"/>
    <w:multiLevelType w:val="hybridMultilevel"/>
    <w:tmpl w:val="29FC37B4"/>
    <w:lvl w:ilvl="0" w:tplc="5E36B34C">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008180C"/>
    <w:multiLevelType w:val="hybridMultilevel"/>
    <w:tmpl w:val="88F47F06"/>
    <w:lvl w:ilvl="0" w:tplc="A2B446BE">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30" w15:restartNumberingAfterBreak="0">
    <w:nsid w:val="502B508C"/>
    <w:multiLevelType w:val="hybridMultilevel"/>
    <w:tmpl w:val="72BC0356"/>
    <w:lvl w:ilvl="0" w:tplc="647671D6">
      <w:start w:val="1"/>
      <w:numFmt w:val="decimal"/>
      <w:lvlText w:val="(%1)"/>
      <w:lvlJc w:val="left"/>
      <w:pPr>
        <w:ind w:left="1170" w:hanging="360"/>
      </w:pPr>
      <w:rPr>
        <w:rFonts w:hint="default"/>
        <w:sz w:val="14"/>
        <w:szCs w:val="1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21827F9"/>
    <w:multiLevelType w:val="hybridMultilevel"/>
    <w:tmpl w:val="4266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413B81"/>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33" w15:restartNumberingAfterBreak="0">
    <w:nsid w:val="5434133B"/>
    <w:multiLevelType w:val="multilevel"/>
    <w:tmpl w:val="0B6C7666"/>
    <w:name w:val="Prospectus-42871585B-X"/>
    <w:lvl w:ilvl="0">
      <w:start w:val="1"/>
      <w:numFmt w:val="bullet"/>
      <w:pStyle w:val="NRL1Bullet"/>
      <w:lvlText w:val=""/>
      <w:lvlJc w:val="left"/>
      <w:pPr>
        <w:ind w:left="720" w:hanging="720"/>
      </w:pPr>
      <w:rPr>
        <w:rFonts w:ascii="Symbol" w:hAnsi="Symbol" w:hint="default"/>
      </w:rPr>
    </w:lvl>
    <w:lvl w:ilvl="1">
      <w:start w:val="1"/>
      <w:numFmt w:val="bullet"/>
      <w:pStyle w:val="NRL2Bullet"/>
      <w:lvlText w:val=""/>
      <w:lvlJc w:val="left"/>
      <w:pPr>
        <w:ind w:left="1440" w:hanging="72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59F76B8"/>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35" w15:restartNumberingAfterBreak="0">
    <w:nsid w:val="592C4492"/>
    <w:multiLevelType w:val="hybridMultilevel"/>
    <w:tmpl w:val="94EA688E"/>
    <w:lvl w:ilvl="0" w:tplc="6974FADC">
      <w:start w:val="1"/>
      <w:numFmt w:val="lowerLetter"/>
      <w:lvlText w:val="(%1)"/>
      <w:lvlJc w:val="left"/>
      <w:pPr>
        <w:ind w:left="720" w:hanging="360"/>
      </w:pPr>
      <w:rPr>
        <w:rFonts w:ascii="Arial" w:hAnsi="Arial"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C2B2F49"/>
    <w:multiLevelType w:val="hybridMultilevel"/>
    <w:tmpl w:val="94EA688E"/>
    <w:lvl w:ilvl="0" w:tplc="6974FADC">
      <w:start w:val="1"/>
      <w:numFmt w:val="lowerLetter"/>
      <w:lvlText w:val="(%1)"/>
      <w:lvlJc w:val="left"/>
      <w:pPr>
        <w:ind w:left="720" w:hanging="360"/>
      </w:pPr>
      <w:rPr>
        <w:rFonts w:ascii="Arial" w:hAnsi="Arial"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E0B1C1A"/>
    <w:multiLevelType w:val="hybridMultilevel"/>
    <w:tmpl w:val="AAB8F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0281912"/>
    <w:multiLevelType w:val="hybridMultilevel"/>
    <w:tmpl w:val="718094F4"/>
    <w:lvl w:ilvl="0" w:tplc="F5568A6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037593A"/>
    <w:multiLevelType w:val="hybridMultilevel"/>
    <w:tmpl w:val="C0A8824E"/>
    <w:lvl w:ilvl="0" w:tplc="A372C9F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7C0791"/>
    <w:multiLevelType w:val="hybridMultilevel"/>
    <w:tmpl w:val="33EA264C"/>
    <w:lvl w:ilvl="0" w:tplc="B202849E">
      <w:start w:val="1"/>
      <w:numFmt w:val="low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FB61C5"/>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42" w15:restartNumberingAfterBreak="0">
    <w:nsid w:val="643D3367"/>
    <w:multiLevelType w:val="hybridMultilevel"/>
    <w:tmpl w:val="7AF21D94"/>
    <w:lvl w:ilvl="0" w:tplc="15EA1BC4">
      <w:start w:val="1"/>
      <w:numFmt w:val="decimal"/>
      <w:lvlText w:val="(%1)"/>
      <w:lvlJc w:val="left"/>
      <w:pPr>
        <w:ind w:left="450" w:hanging="360"/>
      </w:pPr>
      <w:rPr>
        <w:rFonts w:ascii="Arial" w:eastAsiaTheme="minorHAnsi" w:hAnsi="Arial" w:cs="Arial"/>
        <w:i w:val="0"/>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43" w15:restartNumberingAfterBreak="0">
    <w:nsid w:val="65264216"/>
    <w:multiLevelType w:val="hybridMultilevel"/>
    <w:tmpl w:val="ED56A004"/>
    <w:lvl w:ilvl="0" w:tplc="10090001">
      <w:start w:val="1"/>
      <w:numFmt w:val="bullet"/>
      <w:lvlText w:val=""/>
      <w:lvlJc w:val="left"/>
      <w:pPr>
        <w:ind w:left="900" w:hanging="360"/>
      </w:pPr>
      <w:rPr>
        <w:rFonts w:ascii="Symbol" w:hAnsi="Symbol" w:hint="default"/>
      </w:rPr>
    </w:lvl>
    <w:lvl w:ilvl="1" w:tplc="10090003" w:tentative="1">
      <w:start w:val="1"/>
      <w:numFmt w:val="bullet"/>
      <w:lvlText w:val="o"/>
      <w:lvlJc w:val="left"/>
      <w:pPr>
        <w:ind w:left="1620" w:hanging="360"/>
      </w:pPr>
      <w:rPr>
        <w:rFonts w:ascii="Courier New" w:hAnsi="Courier New" w:cs="Courier New" w:hint="default"/>
      </w:rPr>
    </w:lvl>
    <w:lvl w:ilvl="2" w:tplc="10090005" w:tentative="1">
      <w:start w:val="1"/>
      <w:numFmt w:val="bullet"/>
      <w:lvlText w:val=""/>
      <w:lvlJc w:val="left"/>
      <w:pPr>
        <w:ind w:left="2340" w:hanging="360"/>
      </w:pPr>
      <w:rPr>
        <w:rFonts w:ascii="Wingdings" w:hAnsi="Wingdings" w:hint="default"/>
      </w:rPr>
    </w:lvl>
    <w:lvl w:ilvl="3" w:tplc="10090001" w:tentative="1">
      <w:start w:val="1"/>
      <w:numFmt w:val="bullet"/>
      <w:lvlText w:val=""/>
      <w:lvlJc w:val="left"/>
      <w:pPr>
        <w:ind w:left="3060" w:hanging="360"/>
      </w:pPr>
      <w:rPr>
        <w:rFonts w:ascii="Symbol" w:hAnsi="Symbol" w:hint="default"/>
      </w:rPr>
    </w:lvl>
    <w:lvl w:ilvl="4" w:tplc="10090003" w:tentative="1">
      <w:start w:val="1"/>
      <w:numFmt w:val="bullet"/>
      <w:lvlText w:val="o"/>
      <w:lvlJc w:val="left"/>
      <w:pPr>
        <w:ind w:left="3780" w:hanging="360"/>
      </w:pPr>
      <w:rPr>
        <w:rFonts w:ascii="Courier New" w:hAnsi="Courier New" w:cs="Courier New" w:hint="default"/>
      </w:rPr>
    </w:lvl>
    <w:lvl w:ilvl="5" w:tplc="10090005" w:tentative="1">
      <w:start w:val="1"/>
      <w:numFmt w:val="bullet"/>
      <w:lvlText w:val=""/>
      <w:lvlJc w:val="left"/>
      <w:pPr>
        <w:ind w:left="4500" w:hanging="360"/>
      </w:pPr>
      <w:rPr>
        <w:rFonts w:ascii="Wingdings" w:hAnsi="Wingdings" w:hint="default"/>
      </w:rPr>
    </w:lvl>
    <w:lvl w:ilvl="6" w:tplc="10090001" w:tentative="1">
      <w:start w:val="1"/>
      <w:numFmt w:val="bullet"/>
      <w:lvlText w:val=""/>
      <w:lvlJc w:val="left"/>
      <w:pPr>
        <w:ind w:left="5220" w:hanging="360"/>
      </w:pPr>
      <w:rPr>
        <w:rFonts w:ascii="Symbol" w:hAnsi="Symbol" w:hint="default"/>
      </w:rPr>
    </w:lvl>
    <w:lvl w:ilvl="7" w:tplc="10090003" w:tentative="1">
      <w:start w:val="1"/>
      <w:numFmt w:val="bullet"/>
      <w:lvlText w:val="o"/>
      <w:lvlJc w:val="left"/>
      <w:pPr>
        <w:ind w:left="5940" w:hanging="360"/>
      </w:pPr>
      <w:rPr>
        <w:rFonts w:ascii="Courier New" w:hAnsi="Courier New" w:cs="Courier New" w:hint="default"/>
      </w:rPr>
    </w:lvl>
    <w:lvl w:ilvl="8" w:tplc="10090005" w:tentative="1">
      <w:start w:val="1"/>
      <w:numFmt w:val="bullet"/>
      <w:lvlText w:val=""/>
      <w:lvlJc w:val="left"/>
      <w:pPr>
        <w:ind w:left="6660" w:hanging="360"/>
      </w:pPr>
      <w:rPr>
        <w:rFonts w:ascii="Wingdings" w:hAnsi="Wingdings" w:hint="default"/>
      </w:rPr>
    </w:lvl>
  </w:abstractNum>
  <w:abstractNum w:abstractNumId="44" w15:restartNumberingAfterBreak="0">
    <w:nsid w:val="6FE5712C"/>
    <w:multiLevelType w:val="hybridMultilevel"/>
    <w:tmpl w:val="DD4EA882"/>
    <w:lvl w:ilvl="0" w:tplc="0324E820">
      <w:start w:val="1"/>
      <w:numFmt w:val="decimal"/>
      <w:lvlText w:val="(%1)"/>
      <w:lvlJc w:val="left"/>
      <w:pPr>
        <w:ind w:left="450" w:hanging="360"/>
      </w:pPr>
      <w:rPr>
        <w:rFonts w:hint="default"/>
        <w:vertAlign w:val="baseline"/>
      </w:r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45" w15:restartNumberingAfterBreak="0">
    <w:nsid w:val="762702BD"/>
    <w:multiLevelType w:val="hybridMultilevel"/>
    <w:tmpl w:val="94EA688E"/>
    <w:lvl w:ilvl="0" w:tplc="6974FADC">
      <w:start w:val="1"/>
      <w:numFmt w:val="lowerLetter"/>
      <w:lvlText w:val="(%1)"/>
      <w:lvlJc w:val="left"/>
      <w:pPr>
        <w:ind w:left="720" w:hanging="360"/>
      </w:pPr>
      <w:rPr>
        <w:rFonts w:ascii="Arial" w:hAnsi="Arial"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7B654C1"/>
    <w:multiLevelType w:val="hybridMultilevel"/>
    <w:tmpl w:val="805236AA"/>
    <w:lvl w:ilvl="0" w:tplc="5420B072">
      <w:start w:val="1"/>
      <w:numFmt w:val="decimal"/>
      <w:lvlText w:val="(%1)"/>
      <w:lvlJc w:val="left"/>
      <w:pPr>
        <w:ind w:left="117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B8E3B05"/>
    <w:multiLevelType w:val="hybridMultilevel"/>
    <w:tmpl w:val="00AE89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3455827">
    <w:abstractNumId w:val="31"/>
  </w:num>
  <w:num w:numId="2" w16cid:durableId="1848443424">
    <w:abstractNumId w:val="23"/>
  </w:num>
  <w:num w:numId="3" w16cid:durableId="1667661617">
    <w:abstractNumId w:val="3"/>
  </w:num>
  <w:num w:numId="4" w16cid:durableId="1086927639">
    <w:abstractNumId w:val="47"/>
  </w:num>
  <w:num w:numId="5" w16cid:durableId="1986547187">
    <w:abstractNumId w:val="43"/>
  </w:num>
  <w:num w:numId="6" w16cid:durableId="91096988">
    <w:abstractNumId w:val="3"/>
  </w:num>
  <w:num w:numId="7" w16cid:durableId="2085760996">
    <w:abstractNumId w:val="40"/>
  </w:num>
  <w:num w:numId="8" w16cid:durableId="1628311525">
    <w:abstractNumId w:val="34"/>
  </w:num>
  <w:num w:numId="9" w16cid:durableId="1506676570">
    <w:abstractNumId w:val="19"/>
  </w:num>
  <w:num w:numId="10" w16cid:durableId="1982267663">
    <w:abstractNumId w:val="7"/>
  </w:num>
  <w:num w:numId="11" w16cid:durableId="1301691035">
    <w:abstractNumId w:val="32"/>
  </w:num>
  <w:num w:numId="12" w16cid:durableId="1687369226">
    <w:abstractNumId w:val="25"/>
  </w:num>
  <w:num w:numId="13" w16cid:durableId="533075501">
    <w:abstractNumId w:val="18"/>
  </w:num>
  <w:num w:numId="14" w16cid:durableId="1457602038">
    <w:abstractNumId w:val="42"/>
  </w:num>
  <w:num w:numId="15" w16cid:durableId="729690613">
    <w:abstractNumId w:val="16"/>
  </w:num>
  <w:num w:numId="16" w16cid:durableId="2014988991">
    <w:abstractNumId w:val="38"/>
  </w:num>
  <w:num w:numId="17" w16cid:durableId="1399740279">
    <w:abstractNumId w:val="28"/>
  </w:num>
  <w:num w:numId="18" w16cid:durableId="2137402978">
    <w:abstractNumId w:val="14"/>
  </w:num>
  <w:num w:numId="19" w16cid:durableId="327292836">
    <w:abstractNumId w:val="39"/>
  </w:num>
  <w:num w:numId="20" w16cid:durableId="113252755">
    <w:abstractNumId w:val="5"/>
  </w:num>
  <w:num w:numId="21" w16cid:durableId="580911163">
    <w:abstractNumId w:val="46"/>
  </w:num>
  <w:num w:numId="22" w16cid:durableId="1478917238">
    <w:abstractNumId w:val="35"/>
  </w:num>
  <w:num w:numId="23" w16cid:durableId="1825468135">
    <w:abstractNumId w:val="24"/>
  </w:num>
  <w:num w:numId="24" w16cid:durableId="1838615878">
    <w:abstractNumId w:val="36"/>
  </w:num>
  <w:num w:numId="25" w16cid:durableId="1652053719">
    <w:abstractNumId w:val="45"/>
  </w:num>
  <w:num w:numId="26" w16cid:durableId="604388915">
    <w:abstractNumId w:val="29"/>
  </w:num>
  <w:num w:numId="27" w16cid:durableId="2004812823">
    <w:abstractNumId w:val="6"/>
  </w:num>
  <w:num w:numId="28" w16cid:durableId="555354989">
    <w:abstractNumId w:val="15"/>
  </w:num>
  <w:num w:numId="29" w16cid:durableId="1714961373">
    <w:abstractNumId w:val="10"/>
  </w:num>
  <w:num w:numId="30" w16cid:durableId="332219424">
    <w:abstractNumId w:val="44"/>
  </w:num>
  <w:num w:numId="31" w16cid:durableId="411582569">
    <w:abstractNumId w:val="4"/>
  </w:num>
  <w:num w:numId="32" w16cid:durableId="1484540372">
    <w:abstractNumId w:val="33"/>
  </w:num>
  <w:num w:numId="33" w16cid:durableId="1659000440">
    <w:abstractNumId w:val="13"/>
  </w:num>
  <w:num w:numId="34" w16cid:durableId="534853178">
    <w:abstractNumId w:val="0"/>
  </w:num>
  <w:num w:numId="35" w16cid:durableId="277417975">
    <w:abstractNumId w:val="26"/>
  </w:num>
  <w:num w:numId="36" w16cid:durableId="589319416">
    <w:abstractNumId w:val="12"/>
  </w:num>
  <w:num w:numId="37" w16cid:durableId="911352495">
    <w:abstractNumId w:val="17"/>
  </w:num>
  <w:num w:numId="38" w16cid:durableId="231896265">
    <w:abstractNumId w:val="20"/>
  </w:num>
  <w:num w:numId="39" w16cid:durableId="2115125643">
    <w:abstractNumId w:val="30"/>
  </w:num>
  <w:num w:numId="40" w16cid:durableId="1528828491">
    <w:abstractNumId w:val="22"/>
  </w:num>
  <w:num w:numId="41" w16cid:durableId="1748720273">
    <w:abstractNumId w:val="2"/>
  </w:num>
  <w:num w:numId="42" w16cid:durableId="553738291">
    <w:abstractNumId w:val="8"/>
  </w:num>
  <w:num w:numId="43" w16cid:durableId="1106390079">
    <w:abstractNumId w:val="27"/>
  </w:num>
  <w:num w:numId="44" w16cid:durableId="1507792448">
    <w:abstractNumId w:val="11"/>
  </w:num>
  <w:num w:numId="45" w16cid:durableId="570192780">
    <w:abstractNumId w:val="21"/>
  </w:num>
  <w:num w:numId="46" w16cid:durableId="974486244">
    <w:abstractNumId w:val="41"/>
  </w:num>
  <w:num w:numId="47" w16cid:durableId="112604671">
    <w:abstractNumId w:val="37"/>
  </w:num>
  <w:num w:numId="48" w16cid:durableId="1416782381">
    <w:abstractNumId w:val="1"/>
  </w:num>
  <w:num w:numId="49" w16cid:durableId="2088768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7C0BCE"/>
    <w:rsid w:val="0000075A"/>
    <w:rsid w:val="00000C1B"/>
    <w:rsid w:val="00001835"/>
    <w:rsid w:val="00001D73"/>
    <w:rsid w:val="00002FF3"/>
    <w:rsid w:val="00003022"/>
    <w:rsid w:val="00003283"/>
    <w:rsid w:val="0000383C"/>
    <w:rsid w:val="00004353"/>
    <w:rsid w:val="00004BC5"/>
    <w:rsid w:val="00004EA6"/>
    <w:rsid w:val="00005257"/>
    <w:rsid w:val="000057AF"/>
    <w:rsid w:val="00005BE6"/>
    <w:rsid w:val="0000601E"/>
    <w:rsid w:val="00006667"/>
    <w:rsid w:val="00007BA7"/>
    <w:rsid w:val="00007FA0"/>
    <w:rsid w:val="00013505"/>
    <w:rsid w:val="00013AFC"/>
    <w:rsid w:val="00013B92"/>
    <w:rsid w:val="00015125"/>
    <w:rsid w:val="00016DBF"/>
    <w:rsid w:val="00017361"/>
    <w:rsid w:val="0001782E"/>
    <w:rsid w:val="00017E0A"/>
    <w:rsid w:val="00017F0B"/>
    <w:rsid w:val="000231D6"/>
    <w:rsid w:val="0002357F"/>
    <w:rsid w:val="00025B2F"/>
    <w:rsid w:val="00026086"/>
    <w:rsid w:val="00026660"/>
    <w:rsid w:val="00026942"/>
    <w:rsid w:val="00026AEF"/>
    <w:rsid w:val="00031290"/>
    <w:rsid w:val="000318F0"/>
    <w:rsid w:val="00033596"/>
    <w:rsid w:val="00034AA5"/>
    <w:rsid w:val="00035A1E"/>
    <w:rsid w:val="000373C4"/>
    <w:rsid w:val="00041095"/>
    <w:rsid w:val="00042767"/>
    <w:rsid w:val="000436F6"/>
    <w:rsid w:val="00043880"/>
    <w:rsid w:val="00044946"/>
    <w:rsid w:val="00044BF1"/>
    <w:rsid w:val="0004524E"/>
    <w:rsid w:val="00046EBC"/>
    <w:rsid w:val="00047CD3"/>
    <w:rsid w:val="00047E4D"/>
    <w:rsid w:val="00050551"/>
    <w:rsid w:val="000508A1"/>
    <w:rsid w:val="00050E66"/>
    <w:rsid w:val="00054B6E"/>
    <w:rsid w:val="00054BF1"/>
    <w:rsid w:val="00055700"/>
    <w:rsid w:val="00055D1A"/>
    <w:rsid w:val="00060DA8"/>
    <w:rsid w:val="00061500"/>
    <w:rsid w:val="000618F0"/>
    <w:rsid w:val="00061C90"/>
    <w:rsid w:val="000626D5"/>
    <w:rsid w:val="00062940"/>
    <w:rsid w:val="00064436"/>
    <w:rsid w:val="0006474E"/>
    <w:rsid w:val="00067246"/>
    <w:rsid w:val="000673ED"/>
    <w:rsid w:val="000676BD"/>
    <w:rsid w:val="000715D7"/>
    <w:rsid w:val="000717D3"/>
    <w:rsid w:val="0007285B"/>
    <w:rsid w:val="00072E99"/>
    <w:rsid w:val="00073617"/>
    <w:rsid w:val="00073BAB"/>
    <w:rsid w:val="000826FD"/>
    <w:rsid w:val="00082974"/>
    <w:rsid w:val="00082B29"/>
    <w:rsid w:val="0009069E"/>
    <w:rsid w:val="00090CEF"/>
    <w:rsid w:val="00091529"/>
    <w:rsid w:val="000926DB"/>
    <w:rsid w:val="00094408"/>
    <w:rsid w:val="00094AFE"/>
    <w:rsid w:val="00095F90"/>
    <w:rsid w:val="000A0785"/>
    <w:rsid w:val="000A18A1"/>
    <w:rsid w:val="000A3F2C"/>
    <w:rsid w:val="000A65C9"/>
    <w:rsid w:val="000B042C"/>
    <w:rsid w:val="000B0C39"/>
    <w:rsid w:val="000B1886"/>
    <w:rsid w:val="000B2774"/>
    <w:rsid w:val="000B3C2F"/>
    <w:rsid w:val="000B60B1"/>
    <w:rsid w:val="000B6966"/>
    <w:rsid w:val="000C3244"/>
    <w:rsid w:val="000C487F"/>
    <w:rsid w:val="000C4E7A"/>
    <w:rsid w:val="000C4F07"/>
    <w:rsid w:val="000C7006"/>
    <w:rsid w:val="000C76AB"/>
    <w:rsid w:val="000C77AE"/>
    <w:rsid w:val="000C7C86"/>
    <w:rsid w:val="000D0196"/>
    <w:rsid w:val="000D0FCE"/>
    <w:rsid w:val="000D185E"/>
    <w:rsid w:val="000D1C46"/>
    <w:rsid w:val="000D211C"/>
    <w:rsid w:val="000D326D"/>
    <w:rsid w:val="000D349E"/>
    <w:rsid w:val="000D39C7"/>
    <w:rsid w:val="000D6530"/>
    <w:rsid w:val="000D6973"/>
    <w:rsid w:val="000D7B7D"/>
    <w:rsid w:val="000E0712"/>
    <w:rsid w:val="000E111D"/>
    <w:rsid w:val="000E1D90"/>
    <w:rsid w:val="000E3658"/>
    <w:rsid w:val="000E47CB"/>
    <w:rsid w:val="000E4A92"/>
    <w:rsid w:val="000E5062"/>
    <w:rsid w:val="000E6486"/>
    <w:rsid w:val="000F0C7C"/>
    <w:rsid w:val="000F0EF5"/>
    <w:rsid w:val="000F28EE"/>
    <w:rsid w:val="000F3BDB"/>
    <w:rsid w:val="000F5751"/>
    <w:rsid w:val="000F5A53"/>
    <w:rsid w:val="000F62EA"/>
    <w:rsid w:val="000F71B9"/>
    <w:rsid w:val="001000DC"/>
    <w:rsid w:val="0010040C"/>
    <w:rsid w:val="001004FC"/>
    <w:rsid w:val="00101089"/>
    <w:rsid w:val="0010165C"/>
    <w:rsid w:val="00102910"/>
    <w:rsid w:val="00102EFD"/>
    <w:rsid w:val="00102F38"/>
    <w:rsid w:val="001044CE"/>
    <w:rsid w:val="0010459F"/>
    <w:rsid w:val="00106B95"/>
    <w:rsid w:val="00106CC7"/>
    <w:rsid w:val="00107F5F"/>
    <w:rsid w:val="001107B1"/>
    <w:rsid w:val="00111297"/>
    <w:rsid w:val="00113DC2"/>
    <w:rsid w:val="00114202"/>
    <w:rsid w:val="00115668"/>
    <w:rsid w:val="00115C80"/>
    <w:rsid w:val="00117F1E"/>
    <w:rsid w:val="00120444"/>
    <w:rsid w:val="00120D59"/>
    <w:rsid w:val="001222B0"/>
    <w:rsid w:val="00123B30"/>
    <w:rsid w:val="00123D4E"/>
    <w:rsid w:val="0012502A"/>
    <w:rsid w:val="0012549F"/>
    <w:rsid w:val="0012741E"/>
    <w:rsid w:val="00127571"/>
    <w:rsid w:val="001306AE"/>
    <w:rsid w:val="00130C94"/>
    <w:rsid w:val="00130F6A"/>
    <w:rsid w:val="00130F8B"/>
    <w:rsid w:val="00131F03"/>
    <w:rsid w:val="00131F7E"/>
    <w:rsid w:val="00132EE4"/>
    <w:rsid w:val="00133D75"/>
    <w:rsid w:val="00133DBB"/>
    <w:rsid w:val="001367B6"/>
    <w:rsid w:val="0014094B"/>
    <w:rsid w:val="0014144D"/>
    <w:rsid w:val="00143478"/>
    <w:rsid w:val="00143AA0"/>
    <w:rsid w:val="00144B2A"/>
    <w:rsid w:val="001451C6"/>
    <w:rsid w:val="00147029"/>
    <w:rsid w:val="00147335"/>
    <w:rsid w:val="00151A62"/>
    <w:rsid w:val="0015357E"/>
    <w:rsid w:val="001535A0"/>
    <w:rsid w:val="00154AD8"/>
    <w:rsid w:val="00155048"/>
    <w:rsid w:val="0015529A"/>
    <w:rsid w:val="00156AE3"/>
    <w:rsid w:val="0016095F"/>
    <w:rsid w:val="00160E9F"/>
    <w:rsid w:val="00161921"/>
    <w:rsid w:val="001658A1"/>
    <w:rsid w:val="00165A0C"/>
    <w:rsid w:val="00165A3A"/>
    <w:rsid w:val="001666EF"/>
    <w:rsid w:val="001668AC"/>
    <w:rsid w:val="0016707E"/>
    <w:rsid w:val="00170DFE"/>
    <w:rsid w:val="001717BA"/>
    <w:rsid w:val="0017389C"/>
    <w:rsid w:val="001747E1"/>
    <w:rsid w:val="00174F04"/>
    <w:rsid w:val="001768C7"/>
    <w:rsid w:val="00177ACB"/>
    <w:rsid w:val="00177FFB"/>
    <w:rsid w:val="00181E30"/>
    <w:rsid w:val="00185593"/>
    <w:rsid w:val="00186E06"/>
    <w:rsid w:val="00186F3E"/>
    <w:rsid w:val="00186FE7"/>
    <w:rsid w:val="0018718A"/>
    <w:rsid w:val="00187EEE"/>
    <w:rsid w:val="001906B2"/>
    <w:rsid w:val="001908B8"/>
    <w:rsid w:val="00193C7C"/>
    <w:rsid w:val="0019460B"/>
    <w:rsid w:val="00194C99"/>
    <w:rsid w:val="00196473"/>
    <w:rsid w:val="00196EE6"/>
    <w:rsid w:val="001973CA"/>
    <w:rsid w:val="0019741D"/>
    <w:rsid w:val="001A0937"/>
    <w:rsid w:val="001A0AD3"/>
    <w:rsid w:val="001A3E07"/>
    <w:rsid w:val="001A505D"/>
    <w:rsid w:val="001A565F"/>
    <w:rsid w:val="001A60FB"/>
    <w:rsid w:val="001B084B"/>
    <w:rsid w:val="001B097B"/>
    <w:rsid w:val="001B221B"/>
    <w:rsid w:val="001B3D74"/>
    <w:rsid w:val="001B60FF"/>
    <w:rsid w:val="001C02ED"/>
    <w:rsid w:val="001C0640"/>
    <w:rsid w:val="001C071E"/>
    <w:rsid w:val="001C1048"/>
    <w:rsid w:val="001C1E77"/>
    <w:rsid w:val="001C2C62"/>
    <w:rsid w:val="001C3C3D"/>
    <w:rsid w:val="001C4256"/>
    <w:rsid w:val="001C4B01"/>
    <w:rsid w:val="001C598A"/>
    <w:rsid w:val="001C59C8"/>
    <w:rsid w:val="001C68A3"/>
    <w:rsid w:val="001C699B"/>
    <w:rsid w:val="001C6ADA"/>
    <w:rsid w:val="001C6BFF"/>
    <w:rsid w:val="001C76E0"/>
    <w:rsid w:val="001C790A"/>
    <w:rsid w:val="001C79B0"/>
    <w:rsid w:val="001D1C02"/>
    <w:rsid w:val="001D25D2"/>
    <w:rsid w:val="001D28C3"/>
    <w:rsid w:val="001D2951"/>
    <w:rsid w:val="001D2A2A"/>
    <w:rsid w:val="001D3BAB"/>
    <w:rsid w:val="001D42CA"/>
    <w:rsid w:val="001D46C3"/>
    <w:rsid w:val="001D52CE"/>
    <w:rsid w:val="001E05C4"/>
    <w:rsid w:val="001E0CA0"/>
    <w:rsid w:val="001E10A1"/>
    <w:rsid w:val="001E175B"/>
    <w:rsid w:val="001E2D1E"/>
    <w:rsid w:val="001E2E32"/>
    <w:rsid w:val="001E3EB3"/>
    <w:rsid w:val="001E4C73"/>
    <w:rsid w:val="001F10E0"/>
    <w:rsid w:val="001F31B9"/>
    <w:rsid w:val="001F3932"/>
    <w:rsid w:val="001F417E"/>
    <w:rsid w:val="001F471E"/>
    <w:rsid w:val="002039DD"/>
    <w:rsid w:val="00204427"/>
    <w:rsid w:val="0020475D"/>
    <w:rsid w:val="00204DCE"/>
    <w:rsid w:val="00205077"/>
    <w:rsid w:val="00205AEC"/>
    <w:rsid w:val="00206220"/>
    <w:rsid w:val="002068ED"/>
    <w:rsid w:val="00214AD8"/>
    <w:rsid w:val="00214FCF"/>
    <w:rsid w:val="00215E0E"/>
    <w:rsid w:val="00216CE6"/>
    <w:rsid w:val="002172AD"/>
    <w:rsid w:val="00221A3F"/>
    <w:rsid w:val="0022279C"/>
    <w:rsid w:val="002229ED"/>
    <w:rsid w:val="0022323D"/>
    <w:rsid w:val="00223338"/>
    <w:rsid w:val="00223911"/>
    <w:rsid w:val="00227520"/>
    <w:rsid w:val="00230189"/>
    <w:rsid w:val="00231F43"/>
    <w:rsid w:val="002347C9"/>
    <w:rsid w:val="002368F8"/>
    <w:rsid w:val="00237AA2"/>
    <w:rsid w:val="00240A49"/>
    <w:rsid w:val="00240CC7"/>
    <w:rsid w:val="00241147"/>
    <w:rsid w:val="0024182C"/>
    <w:rsid w:val="00242CD2"/>
    <w:rsid w:val="0024477E"/>
    <w:rsid w:val="00245F48"/>
    <w:rsid w:val="00246089"/>
    <w:rsid w:val="002479A7"/>
    <w:rsid w:val="002510E1"/>
    <w:rsid w:val="002527BA"/>
    <w:rsid w:val="00252B01"/>
    <w:rsid w:val="00254D50"/>
    <w:rsid w:val="00255D09"/>
    <w:rsid w:val="00256ABD"/>
    <w:rsid w:val="00256B0A"/>
    <w:rsid w:val="00260152"/>
    <w:rsid w:val="00260557"/>
    <w:rsid w:val="00260CB6"/>
    <w:rsid w:val="00263DD2"/>
    <w:rsid w:val="00266958"/>
    <w:rsid w:val="0027356A"/>
    <w:rsid w:val="00274DD0"/>
    <w:rsid w:val="002752A5"/>
    <w:rsid w:val="00276453"/>
    <w:rsid w:val="00277749"/>
    <w:rsid w:val="00277FF9"/>
    <w:rsid w:val="00280670"/>
    <w:rsid w:val="00281712"/>
    <w:rsid w:val="002820B4"/>
    <w:rsid w:val="0028342F"/>
    <w:rsid w:val="00283ADC"/>
    <w:rsid w:val="002840C6"/>
    <w:rsid w:val="00287167"/>
    <w:rsid w:val="00291269"/>
    <w:rsid w:val="00292A23"/>
    <w:rsid w:val="0029318C"/>
    <w:rsid w:val="0029455F"/>
    <w:rsid w:val="00294BE6"/>
    <w:rsid w:val="002969CF"/>
    <w:rsid w:val="00296A30"/>
    <w:rsid w:val="0029716F"/>
    <w:rsid w:val="002978D9"/>
    <w:rsid w:val="00297D97"/>
    <w:rsid w:val="002A1376"/>
    <w:rsid w:val="002A6C19"/>
    <w:rsid w:val="002A6EC4"/>
    <w:rsid w:val="002A73CD"/>
    <w:rsid w:val="002A796A"/>
    <w:rsid w:val="002B0990"/>
    <w:rsid w:val="002B10CF"/>
    <w:rsid w:val="002B1E41"/>
    <w:rsid w:val="002B25F7"/>
    <w:rsid w:val="002B2A3B"/>
    <w:rsid w:val="002B2A56"/>
    <w:rsid w:val="002B2D9E"/>
    <w:rsid w:val="002B6188"/>
    <w:rsid w:val="002B63FD"/>
    <w:rsid w:val="002B77FD"/>
    <w:rsid w:val="002B796C"/>
    <w:rsid w:val="002C3899"/>
    <w:rsid w:val="002C3D06"/>
    <w:rsid w:val="002C4DCF"/>
    <w:rsid w:val="002C5AC1"/>
    <w:rsid w:val="002C7F61"/>
    <w:rsid w:val="002D0093"/>
    <w:rsid w:val="002D21EE"/>
    <w:rsid w:val="002D25A3"/>
    <w:rsid w:val="002D2C0C"/>
    <w:rsid w:val="002D345F"/>
    <w:rsid w:val="002D3FF3"/>
    <w:rsid w:val="002D4959"/>
    <w:rsid w:val="002D60E4"/>
    <w:rsid w:val="002D7C14"/>
    <w:rsid w:val="002E0CB7"/>
    <w:rsid w:val="002E5EA4"/>
    <w:rsid w:val="002F004C"/>
    <w:rsid w:val="002F07E5"/>
    <w:rsid w:val="002F123B"/>
    <w:rsid w:val="002F4EEA"/>
    <w:rsid w:val="002F5A8A"/>
    <w:rsid w:val="002F66FB"/>
    <w:rsid w:val="003001C2"/>
    <w:rsid w:val="00300D0F"/>
    <w:rsid w:val="00302C44"/>
    <w:rsid w:val="00302D9A"/>
    <w:rsid w:val="00304DE9"/>
    <w:rsid w:val="00305D99"/>
    <w:rsid w:val="0031121D"/>
    <w:rsid w:val="0031179B"/>
    <w:rsid w:val="00311E43"/>
    <w:rsid w:val="00311F1E"/>
    <w:rsid w:val="0031519A"/>
    <w:rsid w:val="00315F91"/>
    <w:rsid w:val="0031623F"/>
    <w:rsid w:val="00322CAB"/>
    <w:rsid w:val="00323A5C"/>
    <w:rsid w:val="00324050"/>
    <w:rsid w:val="003261EB"/>
    <w:rsid w:val="003264A0"/>
    <w:rsid w:val="00326595"/>
    <w:rsid w:val="00332C3E"/>
    <w:rsid w:val="003334B3"/>
    <w:rsid w:val="00333AB8"/>
    <w:rsid w:val="003347C6"/>
    <w:rsid w:val="00334A5A"/>
    <w:rsid w:val="003357B3"/>
    <w:rsid w:val="00337600"/>
    <w:rsid w:val="00340813"/>
    <w:rsid w:val="00340856"/>
    <w:rsid w:val="00341874"/>
    <w:rsid w:val="0034282C"/>
    <w:rsid w:val="003428E2"/>
    <w:rsid w:val="0034314F"/>
    <w:rsid w:val="00343439"/>
    <w:rsid w:val="00344F4C"/>
    <w:rsid w:val="0034514A"/>
    <w:rsid w:val="003464AF"/>
    <w:rsid w:val="00346E35"/>
    <w:rsid w:val="0035059D"/>
    <w:rsid w:val="00350D35"/>
    <w:rsid w:val="00353A82"/>
    <w:rsid w:val="00355806"/>
    <w:rsid w:val="00355D05"/>
    <w:rsid w:val="00356FB3"/>
    <w:rsid w:val="0035795E"/>
    <w:rsid w:val="00357BF5"/>
    <w:rsid w:val="00357DCB"/>
    <w:rsid w:val="00360D01"/>
    <w:rsid w:val="00362BF9"/>
    <w:rsid w:val="00363152"/>
    <w:rsid w:val="00363263"/>
    <w:rsid w:val="00363809"/>
    <w:rsid w:val="00365749"/>
    <w:rsid w:val="0036628D"/>
    <w:rsid w:val="00366F13"/>
    <w:rsid w:val="00366F5C"/>
    <w:rsid w:val="00366F74"/>
    <w:rsid w:val="00367271"/>
    <w:rsid w:val="003672E0"/>
    <w:rsid w:val="003679B2"/>
    <w:rsid w:val="00370BEE"/>
    <w:rsid w:val="00370EAB"/>
    <w:rsid w:val="00371203"/>
    <w:rsid w:val="00373159"/>
    <w:rsid w:val="00374587"/>
    <w:rsid w:val="00375408"/>
    <w:rsid w:val="00376544"/>
    <w:rsid w:val="00377685"/>
    <w:rsid w:val="00382BE4"/>
    <w:rsid w:val="00384203"/>
    <w:rsid w:val="00384798"/>
    <w:rsid w:val="0038558D"/>
    <w:rsid w:val="0038587C"/>
    <w:rsid w:val="0038750D"/>
    <w:rsid w:val="00387688"/>
    <w:rsid w:val="0039018E"/>
    <w:rsid w:val="00390FE8"/>
    <w:rsid w:val="00392A71"/>
    <w:rsid w:val="00393A52"/>
    <w:rsid w:val="00393C9E"/>
    <w:rsid w:val="003940C6"/>
    <w:rsid w:val="0039585B"/>
    <w:rsid w:val="0039631C"/>
    <w:rsid w:val="0039642E"/>
    <w:rsid w:val="00396961"/>
    <w:rsid w:val="003A29F8"/>
    <w:rsid w:val="003A455F"/>
    <w:rsid w:val="003A4BA6"/>
    <w:rsid w:val="003A5D73"/>
    <w:rsid w:val="003A6929"/>
    <w:rsid w:val="003B0296"/>
    <w:rsid w:val="003B1C85"/>
    <w:rsid w:val="003B2325"/>
    <w:rsid w:val="003B3539"/>
    <w:rsid w:val="003B6833"/>
    <w:rsid w:val="003C0995"/>
    <w:rsid w:val="003C1AAF"/>
    <w:rsid w:val="003C496F"/>
    <w:rsid w:val="003C57C4"/>
    <w:rsid w:val="003C5D4F"/>
    <w:rsid w:val="003C7A37"/>
    <w:rsid w:val="003D05DC"/>
    <w:rsid w:val="003D29B6"/>
    <w:rsid w:val="003D2BC5"/>
    <w:rsid w:val="003D2EF2"/>
    <w:rsid w:val="003D43E6"/>
    <w:rsid w:val="003D465B"/>
    <w:rsid w:val="003D487D"/>
    <w:rsid w:val="003D5166"/>
    <w:rsid w:val="003D5396"/>
    <w:rsid w:val="003D61E3"/>
    <w:rsid w:val="003D648D"/>
    <w:rsid w:val="003D6D6B"/>
    <w:rsid w:val="003E16DF"/>
    <w:rsid w:val="003E2555"/>
    <w:rsid w:val="003E4D52"/>
    <w:rsid w:val="003E6E03"/>
    <w:rsid w:val="003E75DD"/>
    <w:rsid w:val="003F1F67"/>
    <w:rsid w:val="003F34D1"/>
    <w:rsid w:val="003F5238"/>
    <w:rsid w:val="003F5F95"/>
    <w:rsid w:val="003F7F25"/>
    <w:rsid w:val="00400091"/>
    <w:rsid w:val="00400CDF"/>
    <w:rsid w:val="0040185F"/>
    <w:rsid w:val="00402751"/>
    <w:rsid w:val="00402C49"/>
    <w:rsid w:val="00403300"/>
    <w:rsid w:val="004037B3"/>
    <w:rsid w:val="00404292"/>
    <w:rsid w:val="004048F3"/>
    <w:rsid w:val="00404BCD"/>
    <w:rsid w:val="00405764"/>
    <w:rsid w:val="00406074"/>
    <w:rsid w:val="00412AF3"/>
    <w:rsid w:val="00413A14"/>
    <w:rsid w:val="00413B30"/>
    <w:rsid w:val="00415262"/>
    <w:rsid w:val="00416F9A"/>
    <w:rsid w:val="0041741E"/>
    <w:rsid w:val="00417425"/>
    <w:rsid w:val="00417570"/>
    <w:rsid w:val="004178B5"/>
    <w:rsid w:val="004251EA"/>
    <w:rsid w:val="004266C1"/>
    <w:rsid w:val="00426968"/>
    <w:rsid w:val="0043173C"/>
    <w:rsid w:val="00431CA2"/>
    <w:rsid w:val="00432AC4"/>
    <w:rsid w:val="0043478C"/>
    <w:rsid w:val="00436F1E"/>
    <w:rsid w:val="0043796A"/>
    <w:rsid w:val="004404CA"/>
    <w:rsid w:val="004404F1"/>
    <w:rsid w:val="00440E85"/>
    <w:rsid w:val="004414FD"/>
    <w:rsid w:val="00441ED7"/>
    <w:rsid w:val="0044407A"/>
    <w:rsid w:val="00444527"/>
    <w:rsid w:val="00444B67"/>
    <w:rsid w:val="0044555A"/>
    <w:rsid w:val="00452301"/>
    <w:rsid w:val="004523AF"/>
    <w:rsid w:val="004541AF"/>
    <w:rsid w:val="0045426E"/>
    <w:rsid w:val="004545AC"/>
    <w:rsid w:val="004551AB"/>
    <w:rsid w:val="00455935"/>
    <w:rsid w:val="00455AF3"/>
    <w:rsid w:val="0045636F"/>
    <w:rsid w:val="00456A61"/>
    <w:rsid w:val="00457DDC"/>
    <w:rsid w:val="004600E9"/>
    <w:rsid w:val="00460F2E"/>
    <w:rsid w:val="0046142E"/>
    <w:rsid w:val="004623DC"/>
    <w:rsid w:val="004627E1"/>
    <w:rsid w:val="004629E0"/>
    <w:rsid w:val="004633FA"/>
    <w:rsid w:val="00466616"/>
    <w:rsid w:val="004713A9"/>
    <w:rsid w:val="00471481"/>
    <w:rsid w:val="004718E9"/>
    <w:rsid w:val="00472DD6"/>
    <w:rsid w:val="00473C22"/>
    <w:rsid w:val="0047444F"/>
    <w:rsid w:val="00474790"/>
    <w:rsid w:val="00475500"/>
    <w:rsid w:val="00475618"/>
    <w:rsid w:val="00475A60"/>
    <w:rsid w:val="00475F29"/>
    <w:rsid w:val="00476F14"/>
    <w:rsid w:val="0047749F"/>
    <w:rsid w:val="00477D65"/>
    <w:rsid w:val="00480430"/>
    <w:rsid w:val="00480A32"/>
    <w:rsid w:val="00481860"/>
    <w:rsid w:val="00484E2D"/>
    <w:rsid w:val="00485F70"/>
    <w:rsid w:val="00487AD6"/>
    <w:rsid w:val="00491B38"/>
    <w:rsid w:val="0049316A"/>
    <w:rsid w:val="004949F1"/>
    <w:rsid w:val="004959D1"/>
    <w:rsid w:val="004959E2"/>
    <w:rsid w:val="00495F23"/>
    <w:rsid w:val="004A0224"/>
    <w:rsid w:val="004A06BB"/>
    <w:rsid w:val="004A0A9B"/>
    <w:rsid w:val="004A1861"/>
    <w:rsid w:val="004A1FB7"/>
    <w:rsid w:val="004A3AC5"/>
    <w:rsid w:val="004A5704"/>
    <w:rsid w:val="004B11C7"/>
    <w:rsid w:val="004B2245"/>
    <w:rsid w:val="004B32F0"/>
    <w:rsid w:val="004B5A4E"/>
    <w:rsid w:val="004B6A49"/>
    <w:rsid w:val="004B7E09"/>
    <w:rsid w:val="004C145B"/>
    <w:rsid w:val="004C1581"/>
    <w:rsid w:val="004C1F20"/>
    <w:rsid w:val="004C3B56"/>
    <w:rsid w:val="004C451F"/>
    <w:rsid w:val="004C5DF7"/>
    <w:rsid w:val="004D27DE"/>
    <w:rsid w:val="004D33F0"/>
    <w:rsid w:val="004D3F9B"/>
    <w:rsid w:val="004D5BAF"/>
    <w:rsid w:val="004D7129"/>
    <w:rsid w:val="004D7D25"/>
    <w:rsid w:val="004E000C"/>
    <w:rsid w:val="004E0786"/>
    <w:rsid w:val="004E0CD8"/>
    <w:rsid w:val="004E1FAF"/>
    <w:rsid w:val="004E216C"/>
    <w:rsid w:val="004E35D7"/>
    <w:rsid w:val="004E5195"/>
    <w:rsid w:val="004E7516"/>
    <w:rsid w:val="004F1223"/>
    <w:rsid w:val="004F2068"/>
    <w:rsid w:val="004F2126"/>
    <w:rsid w:val="004F448C"/>
    <w:rsid w:val="004F49C1"/>
    <w:rsid w:val="004F584E"/>
    <w:rsid w:val="004F69EF"/>
    <w:rsid w:val="004F6B5A"/>
    <w:rsid w:val="004F7017"/>
    <w:rsid w:val="004F7511"/>
    <w:rsid w:val="005026A0"/>
    <w:rsid w:val="005053DE"/>
    <w:rsid w:val="005063F1"/>
    <w:rsid w:val="00506433"/>
    <w:rsid w:val="00506480"/>
    <w:rsid w:val="005067D7"/>
    <w:rsid w:val="00506B9A"/>
    <w:rsid w:val="00506D10"/>
    <w:rsid w:val="00511D90"/>
    <w:rsid w:val="0051301D"/>
    <w:rsid w:val="0051381A"/>
    <w:rsid w:val="005203E3"/>
    <w:rsid w:val="00520883"/>
    <w:rsid w:val="0052144C"/>
    <w:rsid w:val="00522E8B"/>
    <w:rsid w:val="00526DD9"/>
    <w:rsid w:val="0052711D"/>
    <w:rsid w:val="00530B01"/>
    <w:rsid w:val="005339D1"/>
    <w:rsid w:val="00533C3E"/>
    <w:rsid w:val="005342B6"/>
    <w:rsid w:val="00534F22"/>
    <w:rsid w:val="00534FBB"/>
    <w:rsid w:val="00535C67"/>
    <w:rsid w:val="00541C53"/>
    <w:rsid w:val="00541EB8"/>
    <w:rsid w:val="0054292D"/>
    <w:rsid w:val="00543404"/>
    <w:rsid w:val="00543F53"/>
    <w:rsid w:val="005458E6"/>
    <w:rsid w:val="005473F5"/>
    <w:rsid w:val="00547566"/>
    <w:rsid w:val="00547EA3"/>
    <w:rsid w:val="00551A24"/>
    <w:rsid w:val="00555F8E"/>
    <w:rsid w:val="00557395"/>
    <w:rsid w:val="0056053B"/>
    <w:rsid w:val="00560C7A"/>
    <w:rsid w:val="00562075"/>
    <w:rsid w:val="00562D88"/>
    <w:rsid w:val="00564259"/>
    <w:rsid w:val="005643CD"/>
    <w:rsid w:val="00567BC0"/>
    <w:rsid w:val="0057032C"/>
    <w:rsid w:val="00570C66"/>
    <w:rsid w:val="00570CA7"/>
    <w:rsid w:val="00572696"/>
    <w:rsid w:val="0057505B"/>
    <w:rsid w:val="00575AD4"/>
    <w:rsid w:val="005765D7"/>
    <w:rsid w:val="00577C23"/>
    <w:rsid w:val="00580BA6"/>
    <w:rsid w:val="0058200F"/>
    <w:rsid w:val="00582465"/>
    <w:rsid w:val="0058319D"/>
    <w:rsid w:val="005831B3"/>
    <w:rsid w:val="0058486D"/>
    <w:rsid w:val="005857B7"/>
    <w:rsid w:val="005865EC"/>
    <w:rsid w:val="00590745"/>
    <w:rsid w:val="00590C26"/>
    <w:rsid w:val="0059132C"/>
    <w:rsid w:val="00591B7F"/>
    <w:rsid w:val="00592112"/>
    <w:rsid w:val="005924C4"/>
    <w:rsid w:val="005924F2"/>
    <w:rsid w:val="0059367C"/>
    <w:rsid w:val="00593899"/>
    <w:rsid w:val="00595196"/>
    <w:rsid w:val="005A11BB"/>
    <w:rsid w:val="005A213F"/>
    <w:rsid w:val="005A423C"/>
    <w:rsid w:val="005A5AD2"/>
    <w:rsid w:val="005A67B9"/>
    <w:rsid w:val="005A6D30"/>
    <w:rsid w:val="005A704C"/>
    <w:rsid w:val="005B1445"/>
    <w:rsid w:val="005B1654"/>
    <w:rsid w:val="005B1D81"/>
    <w:rsid w:val="005B1DFE"/>
    <w:rsid w:val="005B2DCF"/>
    <w:rsid w:val="005B32E0"/>
    <w:rsid w:val="005B385D"/>
    <w:rsid w:val="005B44FB"/>
    <w:rsid w:val="005B5633"/>
    <w:rsid w:val="005B5A35"/>
    <w:rsid w:val="005C19DE"/>
    <w:rsid w:val="005C1DA6"/>
    <w:rsid w:val="005C2B7D"/>
    <w:rsid w:val="005C3274"/>
    <w:rsid w:val="005C334F"/>
    <w:rsid w:val="005C335F"/>
    <w:rsid w:val="005C3ACA"/>
    <w:rsid w:val="005C45D7"/>
    <w:rsid w:val="005C4A99"/>
    <w:rsid w:val="005C5190"/>
    <w:rsid w:val="005C6618"/>
    <w:rsid w:val="005D40F0"/>
    <w:rsid w:val="005D6153"/>
    <w:rsid w:val="005D7CE9"/>
    <w:rsid w:val="005E1B57"/>
    <w:rsid w:val="005E2022"/>
    <w:rsid w:val="005E2452"/>
    <w:rsid w:val="005E3572"/>
    <w:rsid w:val="005E7E55"/>
    <w:rsid w:val="005E7F22"/>
    <w:rsid w:val="005F1EC6"/>
    <w:rsid w:val="005F24EB"/>
    <w:rsid w:val="005F288D"/>
    <w:rsid w:val="005F37CB"/>
    <w:rsid w:val="006016CA"/>
    <w:rsid w:val="00601E60"/>
    <w:rsid w:val="00602E88"/>
    <w:rsid w:val="006033C2"/>
    <w:rsid w:val="00605190"/>
    <w:rsid w:val="006057B6"/>
    <w:rsid w:val="006059B5"/>
    <w:rsid w:val="00605AAE"/>
    <w:rsid w:val="00605EBB"/>
    <w:rsid w:val="00606603"/>
    <w:rsid w:val="006071D7"/>
    <w:rsid w:val="006100EA"/>
    <w:rsid w:val="00611FB0"/>
    <w:rsid w:val="00611FF8"/>
    <w:rsid w:val="006149CA"/>
    <w:rsid w:val="00614A03"/>
    <w:rsid w:val="00616200"/>
    <w:rsid w:val="006171AA"/>
    <w:rsid w:val="00623395"/>
    <w:rsid w:val="0062345A"/>
    <w:rsid w:val="006258EE"/>
    <w:rsid w:val="00626DD9"/>
    <w:rsid w:val="0063118C"/>
    <w:rsid w:val="006312D4"/>
    <w:rsid w:val="00633D7E"/>
    <w:rsid w:val="00634C2F"/>
    <w:rsid w:val="006353B7"/>
    <w:rsid w:val="00636A2E"/>
    <w:rsid w:val="00637105"/>
    <w:rsid w:val="0064178F"/>
    <w:rsid w:val="00642281"/>
    <w:rsid w:val="00644695"/>
    <w:rsid w:val="00644D39"/>
    <w:rsid w:val="006466E7"/>
    <w:rsid w:val="00647A72"/>
    <w:rsid w:val="0065318C"/>
    <w:rsid w:val="006536C3"/>
    <w:rsid w:val="00653879"/>
    <w:rsid w:val="00654652"/>
    <w:rsid w:val="00655612"/>
    <w:rsid w:val="00655689"/>
    <w:rsid w:val="0065635A"/>
    <w:rsid w:val="00661C8B"/>
    <w:rsid w:val="0066430C"/>
    <w:rsid w:val="00664EDA"/>
    <w:rsid w:val="00670E7C"/>
    <w:rsid w:val="006712BD"/>
    <w:rsid w:val="00673F31"/>
    <w:rsid w:val="006776AE"/>
    <w:rsid w:val="006813B2"/>
    <w:rsid w:val="0068187F"/>
    <w:rsid w:val="0068230F"/>
    <w:rsid w:val="00683162"/>
    <w:rsid w:val="00685D2B"/>
    <w:rsid w:val="0068678A"/>
    <w:rsid w:val="00686A68"/>
    <w:rsid w:val="0069081D"/>
    <w:rsid w:val="006919ED"/>
    <w:rsid w:val="00692275"/>
    <w:rsid w:val="006953C1"/>
    <w:rsid w:val="00696966"/>
    <w:rsid w:val="00696CA0"/>
    <w:rsid w:val="006976DC"/>
    <w:rsid w:val="006977AE"/>
    <w:rsid w:val="006A0746"/>
    <w:rsid w:val="006A2405"/>
    <w:rsid w:val="006A4908"/>
    <w:rsid w:val="006A4926"/>
    <w:rsid w:val="006A4E0F"/>
    <w:rsid w:val="006A4FDA"/>
    <w:rsid w:val="006A7385"/>
    <w:rsid w:val="006B02FF"/>
    <w:rsid w:val="006B0F17"/>
    <w:rsid w:val="006B10A3"/>
    <w:rsid w:val="006B16EB"/>
    <w:rsid w:val="006B1E22"/>
    <w:rsid w:val="006B2235"/>
    <w:rsid w:val="006B24EC"/>
    <w:rsid w:val="006B3136"/>
    <w:rsid w:val="006B4C75"/>
    <w:rsid w:val="006B4E33"/>
    <w:rsid w:val="006B5C5C"/>
    <w:rsid w:val="006C1189"/>
    <w:rsid w:val="006C3F36"/>
    <w:rsid w:val="006D12C5"/>
    <w:rsid w:val="006D178B"/>
    <w:rsid w:val="006D1EB0"/>
    <w:rsid w:val="006D2131"/>
    <w:rsid w:val="006D22EA"/>
    <w:rsid w:val="006D2333"/>
    <w:rsid w:val="006D4A64"/>
    <w:rsid w:val="006D572B"/>
    <w:rsid w:val="006D64C7"/>
    <w:rsid w:val="006D747C"/>
    <w:rsid w:val="006E094C"/>
    <w:rsid w:val="006E0CB7"/>
    <w:rsid w:val="006E1EC9"/>
    <w:rsid w:val="006E2E3C"/>
    <w:rsid w:val="006E3AD4"/>
    <w:rsid w:val="006E3DFE"/>
    <w:rsid w:val="006E3E3A"/>
    <w:rsid w:val="006E5A3B"/>
    <w:rsid w:val="006E60EE"/>
    <w:rsid w:val="006F4305"/>
    <w:rsid w:val="006F4C89"/>
    <w:rsid w:val="006F7738"/>
    <w:rsid w:val="006F7B8D"/>
    <w:rsid w:val="006F7EEB"/>
    <w:rsid w:val="007001A7"/>
    <w:rsid w:val="00700505"/>
    <w:rsid w:val="0070050F"/>
    <w:rsid w:val="00700FA2"/>
    <w:rsid w:val="007018FA"/>
    <w:rsid w:val="00701F15"/>
    <w:rsid w:val="00702405"/>
    <w:rsid w:val="007041D5"/>
    <w:rsid w:val="00705579"/>
    <w:rsid w:val="00706086"/>
    <w:rsid w:val="00706FB0"/>
    <w:rsid w:val="00707AE1"/>
    <w:rsid w:val="00707AFB"/>
    <w:rsid w:val="0071038D"/>
    <w:rsid w:val="0071156D"/>
    <w:rsid w:val="00711DCB"/>
    <w:rsid w:val="007121CC"/>
    <w:rsid w:val="0071250E"/>
    <w:rsid w:val="007142E2"/>
    <w:rsid w:val="00714B86"/>
    <w:rsid w:val="00714FE6"/>
    <w:rsid w:val="00716712"/>
    <w:rsid w:val="00716CEE"/>
    <w:rsid w:val="00717446"/>
    <w:rsid w:val="00717961"/>
    <w:rsid w:val="007206FF"/>
    <w:rsid w:val="00720EB4"/>
    <w:rsid w:val="0072170C"/>
    <w:rsid w:val="00722970"/>
    <w:rsid w:val="00723D1A"/>
    <w:rsid w:val="00724331"/>
    <w:rsid w:val="007265FC"/>
    <w:rsid w:val="00727554"/>
    <w:rsid w:val="00731010"/>
    <w:rsid w:val="00731DC3"/>
    <w:rsid w:val="00733395"/>
    <w:rsid w:val="007335CE"/>
    <w:rsid w:val="00734F33"/>
    <w:rsid w:val="00736B1C"/>
    <w:rsid w:val="00737D00"/>
    <w:rsid w:val="00740C9E"/>
    <w:rsid w:val="007413CB"/>
    <w:rsid w:val="00741C00"/>
    <w:rsid w:val="0074397E"/>
    <w:rsid w:val="00744C8F"/>
    <w:rsid w:val="00745E7C"/>
    <w:rsid w:val="007466B8"/>
    <w:rsid w:val="00747049"/>
    <w:rsid w:val="00751E90"/>
    <w:rsid w:val="007529D9"/>
    <w:rsid w:val="00753735"/>
    <w:rsid w:val="007570AA"/>
    <w:rsid w:val="007575AB"/>
    <w:rsid w:val="0075771A"/>
    <w:rsid w:val="00760BA0"/>
    <w:rsid w:val="00760DC9"/>
    <w:rsid w:val="0076147B"/>
    <w:rsid w:val="007625F2"/>
    <w:rsid w:val="00762D80"/>
    <w:rsid w:val="00763138"/>
    <w:rsid w:val="00763317"/>
    <w:rsid w:val="00763632"/>
    <w:rsid w:val="00765C28"/>
    <w:rsid w:val="00771C6E"/>
    <w:rsid w:val="00771FFA"/>
    <w:rsid w:val="00773B3B"/>
    <w:rsid w:val="00774D89"/>
    <w:rsid w:val="00774E60"/>
    <w:rsid w:val="00775D19"/>
    <w:rsid w:val="00775FBF"/>
    <w:rsid w:val="00780363"/>
    <w:rsid w:val="00780CC2"/>
    <w:rsid w:val="0078242B"/>
    <w:rsid w:val="007851D9"/>
    <w:rsid w:val="00786D2C"/>
    <w:rsid w:val="00787902"/>
    <w:rsid w:val="007900DC"/>
    <w:rsid w:val="00790261"/>
    <w:rsid w:val="007905D9"/>
    <w:rsid w:val="00790F85"/>
    <w:rsid w:val="00791614"/>
    <w:rsid w:val="00792630"/>
    <w:rsid w:val="00793C61"/>
    <w:rsid w:val="00795831"/>
    <w:rsid w:val="00796179"/>
    <w:rsid w:val="007A01E7"/>
    <w:rsid w:val="007A0CBE"/>
    <w:rsid w:val="007A2255"/>
    <w:rsid w:val="007A3C8E"/>
    <w:rsid w:val="007A56FE"/>
    <w:rsid w:val="007A6A9B"/>
    <w:rsid w:val="007A6C45"/>
    <w:rsid w:val="007B14F0"/>
    <w:rsid w:val="007B4E3E"/>
    <w:rsid w:val="007B50BC"/>
    <w:rsid w:val="007B6F21"/>
    <w:rsid w:val="007B72C4"/>
    <w:rsid w:val="007B7CFC"/>
    <w:rsid w:val="007C0BCE"/>
    <w:rsid w:val="007C0DD5"/>
    <w:rsid w:val="007C33F6"/>
    <w:rsid w:val="007C359E"/>
    <w:rsid w:val="007C3767"/>
    <w:rsid w:val="007C4A15"/>
    <w:rsid w:val="007C5467"/>
    <w:rsid w:val="007C5472"/>
    <w:rsid w:val="007D04B5"/>
    <w:rsid w:val="007D2796"/>
    <w:rsid w:val="007D3165"/>
    <w:rsid w:val="007D332E"/>
    <w:rsid w:val="007D4FD8"/>
    <w:rsid w:val="007D548E"/>
    <w:rsid w:val="007D7047"/>
    <w:rsid w:val="007E068D"/>
    <w:rsid w:val="007E32A9"/>
    <w:rsid w:val="007E5FB9"/>
    <w:rsid w:val="007E61F0"/>
    <w:rsid w:val="007F17B1"/>
    <w:rsid w:val="007F2A5E"/>
    <w:rsid w:val="007F32F2"/>
    <w:rsid w:val="007F3399"/>
    <w:rsid w:val="007F4CF3"/>
    <w:rsid w:val="007F4D15"/>
    <w:rsid w:val="007F4E84"/>
    <w:rsid w:val="007F66B8"/>
    <w:rsid w:val="007F6DDA"/>
    <w:rsid w:val="007F7C9F"/>
    <w:rsid w:val="007F7F7B"/>
    <w:rsid w:val="00800903"/>
    <w:rsid w:val="00801FB3"/>
    <w:rsid w:val="00802295"/>
    <w:rsid w:val="008031D1"/>
    <w:rsid w:val="008035F3"/>
    <w:rsid w:val="00803AAF"/>
    <w:rsid w:val="00804569"/>
    <w:rsid w:val="0080642E"/>
    <w:rsid w:val="00807678"/>
    <w:rsid w:val="0080775E"/>
    <w:rsid w:val="00807E17"/>
    <w:rsid w:val="00810929"/>
    <w:rsid w:val="00810F27"/>
    <w:rsid w:val="00811599"/>
    <w:rsid w:val="00811A3B"/>
    <w:rsid w:val="008130F7"/>
    <w:rsid w:val="00813164"/>
    <w:rsid w:val="00814B81"/>
    <w:rsid w:val="00816694"/>
    <w:rsid w:val="008172F4"/>
    <w:rsid w:val="008200DC"/>
    <w:rsid w:val="00822E27"/>
    <w:rsid w:val="00823EFE"/>
    <w:rsid w:val="00824388"/>
    <w:rsid w:val="00826175"/>
    <w:rsid w:val="00826931"/>
    <w:rsid w:val="00826D96"/>
    <w:rsid w:val="00827837"/>
    <w:rsid w:val="00830C5F"/>
    <w:rsid w:val="00831087"/>
    <w:rsid w:val="0083169F"/>
    <w:rsid w:val="00831B0D"/>
    <w:rsid w:val="00831E30"/>
    <w:rsid w:val="00832A61"/>
    <w:rsid w:val="00833D83"/>
    <w:rsid w:val="00836B33"/>
    <w:rsid w:val="00840C53"/>
    <w:rsid w:val="00841A6E"/>
    <w:rsid w:val="0084231E"/>
    <w:rsid w:val="0084277C"/>
    <w:rsid w:val="00843406"/>
    <w:rsid w:val="0084393B"/>
    <w:rsid w:val="0084428E"/>
    <w:rsid w:val="00844755"/>
    <w:rsid w:val="00845810"/>
    <w:rsid w:val="00847CB9"/>
    <w:rsid w:val="008500C2"/>
    <w:rsid w:val="00850337"/>
    <w:rsid w:val="00850387"/>
    <w:rsid w:val="00851993"/>
    <w:rsid w:val="0085281E"/>
    <w:rsid w:val="008533AD"/>
    <w:rsid w:val="00856D25"/>
    <w:rsid w:val="00856F42"/>
    <w:rsid w:val="00857AC3"/>
    <w:rsid w:val="00861F12"/>
    <w:rsid w:val="00862045"/>
    <w:rsid w:val="00863973"/>
    <w:rsid w:val="008639A4"/>
    <w:rsid w:val="00866C2D"/>
    <w:rsid w:val="00867034"/>
    <w:rsid w:val="00871542"/>
    <w:rsid w:val="00872638"/>
    <w:rsid w:val="00872F5C"/>
    <w:rsid w:val="00873C4C"/>
    <w:rsid w:val="00873C71"/>
    <w:rsid w:val="00874265"/>
    <w:rsid w:val="00874DE4"/>
    <w:rsid w:val="0087776D"/>
    <w:rsid w:val="0087785F"/>
    <w:rsid w:val="00880FB1"/>
    <w:rsid w:val="00886EDB"/>
    <w:rsid w:val="0088719F"/>
    <w:rsid w:val="00893787"/>
    <w:rsid w:val="00894F46"/>
    <w:rsid w:val="00896675"/>
    <w:rsid w:val="00896F7B"/>
    <w:rsid w:val="0089794A"/>
    <w:rsid w:val="00897F10"/>
    <w:rsid w:val="008A4400"/>
    <w:rsid w:val="008A44FC"/>
    <w:rsid w:val="008A48FF"/>
    <w:rsid w:val="008A52B5"/>
    <w:rsid w:val="008A69A9"/>
    <w:rsid w:val="008B0724"/>
    <w:rsid w:val="008B07E8"/>
    <w:rsid w:val="008B133A"/>
    <w:rsid w:val="008B1731"/>
    <w:rsid w:val="008B17C6"/>
    <w:rsid w:val="008B1B63"/>
    <w:rsid w:val="008B27CE"/>
    <w:rsid w:val="008B349A"/>
    <w:rsid w:val="008B3A02"/>
    <w:rsid w:val="008B4B43"/>
    <w:rsid w:val="008B76D6"/>
    <w:rsid w:val="008C1675"/>
    <w:rsid w:val="008C17CF"/>
    <w:rsid w:val="008C2CB8"/>
    <w:rsid w:val="008C508B"/>
    <w:rsid w:val="008C6237"/>
    <w:rsid w:val="008C65BB"/>
    <w:rsid w:val="008C6A85"/>
    <w:rsid w:val="008D06CF"/>
    <w:rsid w:val="008D1280"/>
    <w:rsid w:val="008D1FF8"/>
    <w:rsid w:val="008D2055"/>
    <w:rsid w:val="008D225B"/>
    <w:rsid w:val="008D3A3F"/>
    <w:rsid w:val="008D570E"/>
    <w:rsid w:val="008D6C18"/>
    <w:rsid w:val="008D7064"/>
    <w:rsid w:val="008D7F17"/>
    <w:rsid w:val="008E0B2E"/>
    <w:rsid w:val="008E1274"/>
    <w:rsid w:val="008E1E5A"/>
    <w:rsid w:val="008E2C30"/>
    <w:rsid w:val="008E34A0"/>
    <w:rsid w:val="008E44B5"/>
    <w:rsid w:val="008E4A7E"/>
    <w:rsid w:val="008E4C87"/>
    <w:rsid w:val="008E5AAA"/>
    <w:rsid w:val="008E704C"/>
    <w:rsid w:val="008F08A7"/>
    <w:rsid w:val="008F1D29"/>
    <w:rsid w:val="008F2E0E"/>
    <w:rsid w:val="008F4FCA"/>
    <w:rsid w:val="008F51EF"/>
    <w:rsid w:val="008F6169"/>
    <w:rsid w:val="008F61F6"/>
    <w:rsid w:val="008F7357"/>
    <w:rsid w:val="008F73A4"/>
    <w:rsid w:val="0090157A"/>
    <w:rsid w:val="009028D7"/>
    <w:rsid w:val="0090388C"/>
    <w:rsid w:val="009052A4"/>
    <w:rsid w:val="009060B9"/>
    <w:rsid w:val="009061FE"/>
    <w:rsid w:val="009065A3"/>
    <w:rsid w:val="00907089"/>
    <w:rsid w:val="00907EC6"/>
    <w:rsid w:val="009109ED"/>
    <w:rsid w:val="00911C29"/>
    <w:rsid w:val="00912343"/>
    <w:rsid w:val="009147BD"/>
    <w:rsid w:val="009150DE"/>
    <w:rsid w:val="00915F92"/>
    <w:rsid w:val="009178E4"/>
    <w:rsid w:val="009219D1"/>
    <w:rsid w:val="00921AA4"/>
    <w:rsid w:val="00924D07"/>
    <w:rsid w:val="00926FE0"/>
    <w:rsid w:val="009307AD"/>
    <w:rsid w:val="00931E91"/>
    <w:rsid w:val="00931FDA"/>
    <w:rsid w:val="00932D8D"/>
    <w:rsid w:val="009344D3"/>
    <w:rsid w:val="009346CB"/>
    <w:rsid w:val="00940A9F"/>
    <w:rsid w:val="00940F8D"/>
    <w:rsid w:val="009422F0"/>
    <w:rsid w:val="00942FC9"/>
    <w:rsid w:val="009431A8"/>
    <w:rsid w:val="00943849"/>
    <w:rsid w:val="009441B7"/>
    <w:rsid w:val="009450B7"/>
    <w:rsid w:val="00945C40"/>
    <w:rsid w:val="00947092"/>
    <w:rsid w:val="0094751F"/>
    <w:rsid w:val="009503EC"/>
    <w:rsid w:val="009506A5"/>
    <w:rsid w:val="00951426"/>
    <w:rsid w:val="00951FCB"/>
    <w:rsid w:val="0095289D"/>
    <w:rsid w:val="00954574"/>
    <w:rsid w:val="0095764F"/>
    <w:rsid w:val="00961145"/>
    <w:rsid w:val="0096165B"/>
    <w:rsid w:val="00962E67"/>
    <w:rsid w:val="009632A7"/>
    <w:rsid w:val="009637A8"/>
    <w:rsid w:val="00965F8F"/>
    <w:rsid w:val="009663AF"/>
    <w:rsid w:val="0096678C"/>
    <w:rsid w:val="0097021A"/>
    <w:rsid w:val="0097379C"/>
    <w:rsid w:val="009759D1"/>
    <w:rsid w:val="00975C87"/>
    <w:rsid w:val="009765F0"/>
    <w:rsid w:val="00981213"/>
    <w:rsid w:val="00981EAB"/>
    <w:rsid w:val="009822C1"/>
    <w:rsid w:val="0098257D"/>
    <w:rsid w:val="00982D20"/>
    <w:rsid w:val="00984DA6"/>
    <w:rsid w:val="0098727A"/>
    <w:rsid w:val="00987ED8"/>
    <w:rsid w:val="009905E9"/>
    <w:rsid w:val="00990CF3"/>
    <w:rsid w:val="009911CB"/>
    <w:rsid w:val="00991952"/>
    <w:rsid w:val="009928D7"/>
    <w:rsid w:val="009938C6"/>
    <w:rsid w:val="00994350"/>
    <w:rsid w:val="00994683"/>
    <w:rsid w:val="009978B3"/>
    <w:rsid w:val="00997903"/>
    <w:rsid w:val="009A0C62"/>
    <w:rsid w:val="009A1613"/>
    <w:rsid w:val="009A3D5C"/>
    <w:rsid w:val="009A517F"/>
    <w:rsid w:val="009A59A1"/>
    <w:rsid w:val="009A7B1F"/>
    <w:rsid w:val="009B2277"/>
    <w:rsid w:val="009B2C80"/>
    <w:rsid w:val="009B36DF"/>
    <w:rsid w:val="009B487F"/>
    <w:rsid w:val="009B4DB4"/>
    <w:rsid w:val="009B5D8C"/>
    <w:rsid w:val="009C0F7C"/>
    <w:rsid w:val="009C183A"/>
    <w:rsid w:val="009C2090"/>
    <w:rsid w:val="009C22E3"/>
    <w:rsid w:val="009C34FC"/>
    <w:rsid w:val="009C3E42"/>
    <w:rsid w:val="009C3E67"/>
    <w:rsid w:val="009C4869"/>
    <w:rsid w:val="009C7F04"/>
    <w:rsid w:val="009D02B7"/>
    <w:rsid w:val="009D200F"/>
    <w:rsid w:val="009D42B1"/>
    <w:rsid w:val="009D74E0"/>
    <w:rsid w:val="009E0139"/>
    <w:rsid w:val="009E1791"/>
    <w:rsid w:val="009E1AE9"/>
    <w:rsid w:val="009E27D0"/>
    <w:rsid w:val="009E580B"/>
    <w:rsid w:val="009E725A"/>
    <w:rsid w:val="009E7F6C"/>
    <w:rsid w:val="009F104F"/>
    <w:rsid w:val="009F1A15"/>
    <w:rsid w:val="009F4BDC"/>
    <w:rsid w:val="009F56F7"/>
    <w:rsid w:val="009F583F"/>
    <w:rsid w:val="009F79EE"/>
    <w:rsid w:val="00A00168"/>
    <w:rsid w:val="00A07383"/>
    <w:rsid w:val="00A07DF4"/>
    <w:rsid w:val="00A105DE"/>
    <w:rsid w:val="00A1167B"/>
    <w:rsid w:val="00A11A4D"/>
    <w:rsid w:val="00A11C9B"/>
    <w:rsid w:val="00A11FEA"/>
    <w:rsid w:val="00A12659"/>
    <w:rsid w:val="00A12DBD"/>
    <w:rsid w:val="00A135A9"/>
    <w:rsid w:val="00A14278"/>
    <w:rsid w:val="00A1497D"/>
    <w:rsid w:val="00A17369"/>
    <w:rsid w:val="00A21571"/>
    <w:rsid w:val="00A216BF"/>
    <w:rsid w:val="00A24652"/>
    <w:rsid w:val="00A2709B"/>
    <w:rsid w:val="00A325F9"/>
    <w:rsid w:val="00A32973"/>
    <w:rsid w:val="00A34337"/>
    <w:rsid w:val="00A34AEE"/>
    <w:rsid w:val="00A36043"/>
    <w:rsid w:val="00A362AC"/>
    <w:rsid w:val="00A405BA"/>
    <w:rsid w:val="00A421F1"/>
    <w:rsid w:val="00A437E0"/>
    <w:rsid w:val="00A44123"/>
    <w:rsid w:val="00A46409"/>
    <w:rsid w:val="00A47F78"/>
    <w:rsid w:val="00A50B0F"/>
    <w:rsid w:val="00A55257"/>
    <w:rsid w:val="00A55E96"/>
    <w:rsid w:val="00A55FF1"/>
    <w:rsid w:val="00A561FC"/>
    <w:rsid w:val="00A565DF"/>
    <w:rsid w:val="00A56C68"/>
    <w:rsid w:val="00A57228"/>
    <w:rsid w:val="00A60A45"/>
    <w:rsid w:val="00A61EA5"/>
    <w:rsid w:val="00A625D4"/>
    <w:rsid w:val="00A628DF"/>
    <w:rsid w:val="00A628F1"/>
    <w:rsid w:val="00A62932"/>
    <w:rsid w:val="00A64C7F"/>
    <w:rsid w:val="00A671FE"/>
    <w:rsid w:val="00A673E2"/>
    <w:rsid w:val="00A6763B"/>
    <w:rsid w:val="00A67EC2"/>
    <w:rsid w:val="00A67F32"/>
    <w:rsid w:val="00A704EE"/>
    <w:rsid w:val="00A70BC7"/>
    <w:rsid w:val="00A711BE"/>
    <w:rsid w:val="00A75F36"/>
    <w:rsid w:val="00A76E3B"/>
    <w:rsid w:val="00A777C6"/>
    <w:rsid w:val="00A77A40"/>
    <w:rsid w:val="00A811BB"/>
    <w:rsid w:val="00A8243F"/>
    <w:rsid w:val="00A84826"/>
    <w:rsid w:val="00A84FC5"/>
    <w:rsid w:val="00A85FD5"/>
    <w:rsid w:val="00A863CD"/>
    <w:rsid w:val="00A9074F"/>
    <w:rsid w:val="00A90D27"/>
    <w:rsid w:val="00A913E9"/>
    <w:rsid w:val="00A938F1"/>
    <w:rsid w:val="00A96922"/>
    <w:rsid w:val="00A96E5D"/>
    <w:rsid w:val="00A97E3A"/>
    <w:rsid w:val="00AA0498"/>
    <w:rsid w:val="00AA0E81"/>
    <w:rsid w:val="00AA1BBE"/>
    <w:rsid w:val="00AA200E"/>
    <w:rsid w:val="00AA3374"/>
    <w:rsid w:val="00AA4177"/>
    <w:rsid w:val="00AA4379"/>
    <w:rsid w:val="00AA72EA"/>
    <w:rsid w:val="00AA7FFB"/>
    <w:rsid w:val="00AB0595"/>
    <w:rsid w:val="00AB0CF5"/>
    <w:rsid w:val="00AB10C0"/>
    <w:rsid w:val="00AB1737"/>
    <w:rsid w:val="00AB1A6A"/>
    <w:rsid w:val="00AB23AB"/>
    <w:rsid w:val="00AB25DB"/>
    <w:rsid w:val="00AB3082"/>
    <w:rsid w:val="00AB31EF"/>
    <w:rsid w:val="00AB5483"/>
    <w:rsid w:val="00AB55CE"/>
    <w:rsid w:val="00AB5B01"/>
    <w:rsid w:val="00AB5E0D"/>
    <w:rsid w:val="00AB6310"/>
    <w:rsid w:val="00AB67E4"/>
    <w:rsid w:val="00AB7110"/>
    <w:rsid w:val="00AB77E6"/>
    <w:rsid w:val="00AC0711"/>
    <w:rsid w:val="00AC0E81"/>
    <w:rsid w:val="00AC0F17"/>
    <w:rsid w:val="00AC12ED"/>
    <w:rsid w:val="00AC2C79"/>
    <w:rsid w:val="00AC3292"/>
    <w:rsid w:val="00AC457B"/>
    <w:rsid w:val="00AC5C50"/>
    <w:rsid w:val="00AC5D9A"/>
    <w:rsid w:val="00AC6C93"/>
    <w:rsid w:val="00AC7DEE"/>
    <w:rsid w:val="00AD0488"/>
    <w:rsid w:val="00AD29FB"/>
    <w:rsid w:val="00AD394A"/>
    <w:rsid w:val="00AD3AA8"/>
    <w:rsid w:val="00AD3DC7"/>
    <w:rsid w:val="00AD48C8"/>
    <w:rsid w:val="00AD68C8"/>
    <w:rsid w:val="00AD68D0"/>
    <w:rsid w:val="00AD6EFC"/>
    <w:rsid w:val="00AD764B"/>
    <w:rsid w:val="00AD7E0E"/>
    <w:rsid w:val="00AE032C"/>
    <w:rsid w:val="00AE134B"/>
    <w:rsid w:val="00AE2A6C"/>
    <w:rsid w:val="00AE3D3C"/>
    <w:rsid w:val="00AE43DB"/>
    <w:rsid w:val="00AE549C"/>
    <w:rsid w:val="00AE5BCC"/>
    <w:rsid w:val="00AE5D79"/>
    <w:rsid w:val="00AF09D9"/>
    <w:rsid w:val="00AF0D33"/>
    <w:rsid w:val="00AF1ACC"/>
    <w:rsid w:val="00AF6280"/>
    <w:rsid w:val="00AF628B"/>
    <w:rsid w:val="00AF70F1"/>
    <w:rsid w:val="00AF7A13"/>
    <w:rsid w:val="00B00E39"/>
    <w:rsid w:val="00B023DB"/>
    <w:rsid w:val="00B06A4B"/>
    <w:rsid w:val="00B071B2"/>
    <w:rsid w:val="00B121F7"/>
    <w:rsid w:val="00B13619"/>
    <w:rsid w:val="00B172A1"/>
    <w:rsid w:val="00B204D1"/>
    <w:rsid w:val="00B210F1"/>
    <w:rsid w:val="00B212D1"/>
    <w:rsid w:val="00B216CB"/>
    <w:rsid w:val="00B21A20"/>
    <w:rsid w:val="00B220DE"/>
    <w:rsid w:val="00B2210E"/>
    <w:rsid w:val="00B22641"/>
    <w:rsid w:val="00B2315E"/>
    <w:rsid w:val="00B2378C"/>
    <w:rsid w:val="00B243DE"/>
    <w:rsid w:val="00B26DA5"/>
    <w:rsid w:val="00B30FEA"/>
    <w:rsid w:val="00B32AD0"/>
    <w:rsid w:val="00B33091"/>
    <w:rsid w:val="00B330CE"/>
    <w:rsid w:val="00B34415"/>
    <w:rsid w:val="00B360A5"/>
    <w:rsid w:val="00B36776"/>
    <w:rsid w:val="00B376C4"/>
    <w:rsid w:val="00B42518"/>
    <w:rsid w:val="00B425E2"/>
    <w:rsid w:val="00B439D9"/>
    <w:rsid w:val="00B43C9A"/>
    <w:rsid w:val="00B44225"/>
    <w:rsid w:val="00B45012"/>
    <w:rsid w:val="00B4508B"/>
    <w:rsid w:val="00B47083"/>
    <w:rsid w:val="00B47773"/>
    <w:rsid w:val="00B532A6"/>
    <w:rsid w:val="00B543E1"/>
    <w:rsid w:val="00B54502"/>
    <w:rsid w:val="00B55A85"/>
    <w:rsid w:val="00B55D6B"/>
    <w:rsid w:val="00B566CC"/>
    <w:rsid w:val="00B60892"/>
    <w:rsid w:val="00B61C57"/>
    <w:rsid w:val="00B62C67"/>
    <w:rsid w:val="00B6731E"/>
    <w:rsid w:val="00B67AB8"/>
    <w:rsid w:val="00B7010C"/>
    <w:rsid w:val="00B7179C"/>
    <w:rsid w:val="00B745F0"/>
    <w:rsid w:val="00B764A8"/>
    <w:rsid w:val="00B768A3"/>
    <w:rsid w:val="00B76A74"/>
    <w:rsid w:val="00B77ADD"/>
    <w:rsid w:val="00B809F3"/>
    <w:rsid w:val="00B82E3F"/>
    <w:rsid w:val="00B83B63"/>
    <w:rsid w:val="00B840B5"/>
    <w:rsid w:val="00B84628"/>
    <w:rsid w:val="00B90502"/>
    <w:rsid w:val="00B90881"/>
    <w:rsid w:val="00B90C1A"/>
    <w:rsid w:val="00B92267"/>
    <w:rsid w:val="00B92A98"/>
    <w:rsid w:val="00B935F8"/>
    <w:rsid w:val="00B95071"/>
    <w:rsid w:val="00B95732"/>
    <w:rsid w:val="00B971ED"/>
    <w:rsid w:val="00B97906"/>
    <w:rsid w:val="00B97C36"/>
    <w:rsid w:val="00BA2C16"/>
    <w:rsid w:val="00BA3894"/>
    <w:rsid w:val="00BA7305"/>
    <w:rsid w:val="00BB006F"/>
    <w:rsid w:val="00BB0109"/>
    <w:rsid w:val="00BB0254"/>
    <w:rsid w:val="00BB02FC"/>
    <w:rsid w:val="00BB1BD9"/>
    <w:rsid w:val="00BB2166"/>
    <w:rsid w:val="00BB2915"/>
    <w:rsid w:val="00BB35A9"/>
    <w:rsid w:val="00BB37D2"/>
    <w:rsid w:val="00BB39F2"/>
    <w:rsid w:val="00BB43A9"/>
    <w:rsid w:val="00BB54AF"/>
    <w:rsid w:val="00BB6615"/>
    <w:rsid w:val="00BB66ED"/>
    <w:rsid w:val="00BB6C41"/>
    <w:rsid w:val="00BB71B8"/>
    <w:rsid w:val="00BB7907"/>
    <w:rsid w:val="00BC0A30"/>
    <w:rsid w:val="00BC0B43"/>
    <w:rsid w:val="00BC1171"/>
    <w:rsid w:val="00BC148F"/>
    <w:rsid w:val="00BC17DC"/>
    <w:rsid w:val="00BC1A18"/>
    <w:rsid w:val="00BC1C0C"/>
    <w:rsid w:val="00BC21E1"/>
    <w:rsid w:val="00BC29C0"/>
    <w:rsid w:val="00BC31B6"/>
    <w:rsid w:val="00BC3DC7"/>
    <w:rsid w:val="00BC4267"/>
    <w:rsid w:val="00BC5151"/>
    <w:rsid w:val="00BC5502"/>
    <w:rsid w:val="00BC5597"/>
    <w:rsid w:val="00BD01B9"/>
    <w:rsid w:val="00BD149E"/>
    <w:rsid w:val="00BD20AE"/>
    <w:rsid w:val="00BD3A21"/>
    <w:rsid w:val="00BD55D5"/>
    <w:rsid w:val="00BD5AB9"/>
    <w:rsid w:val="00BD7023"/>
    <w:rsid w:val="00BD7F65"/>
    <w:rsid w:val="00BD7F89"/>
    <w:rsid w:val="00BE0563"/>
    <w:rsid w:val="00BE0997"/>
    <w:rsid w:val="00BE2297"/>
    <w:rsid w:val="00BE370A"/>
    <w:rsid w:val="00BE4A60"/>
    <w:rsid w:val="00BE61EE"/>
    <w:rsid w:val="00BE6570"/>
    <w:rsid w:val="00BE7AA2"/>
    <w:rsid w:val="00BE7D1F"/>
    <w:rsid w:val="00BF06BD"/>
    <w:rsid w:val="00BF1FEC"/>
    <w:rsid w:val="00BF28FD"/>
    <w:rsid w:val="00BF2CD3"/>
    <w:rsid w:val="00BF2F5A"/>
    <w:rsid w:val="00BF56F0"/>
    <w:rsid w:val="00BF7985"/>
    <w:rsid w:val="00C00D84"/>
    <w:rsid w:val="00C01B61"/>
    <w:rsid w:val="00C01DF7"/>
    <w:rsid w:val="00C02F0D"/>
    <w:rsid w:val="00C04985"/>
    <w:rsid w:val="00C04A79"/>
    <w:rsid w:val="00C0517A"/>
    <w:rsid w:val="00C05F75"/>
    <w:rsid w:val="00C10A7F"/>
    <w:rsid w:val="00C10D5E"/>
    <w:rsid w:val="00C10EF5"/>
    <w:rsid w:val="00C116C6"/>
    <w:rsid w:val="00C1469A"/>
    <w:rsid w:val="00C15973"/>
    <w:rsid w:val="00C2264D"/>
    <w:rsid w:val="00C23E69"/>
    <w:rsid w:val="00C24095"/>
    <w:rsid w:val="00C25D13"/>
    <w:rsid w:val="00C27C2A"/>
    <w:rsid w:val="00C31155"/>
    <w:rsid w:val="00C33481"/>
    <w:rsid w:val="00C36E09"/>
    <w:rsid w:val="00C37B8B"/>
    <w:rsid w:val="00C4089A"/>
    <w:rsid w:val="00C43390"/>
    <w:rsid w:val="00C4343C"/>
    <w:rsid w:val="00C441CE"/>
    <w:rsid w:val="00C446EE"/>
    <w:rsid w:val="00C45EEA"/>
    <w:rsid w:val="00C47342"/>
    <w:rsid w:val="00C500BE"/>
    <w:rsid w:val="00C500FC"/>
    <w:rsid w:val="00C504E8"/>
    <w:rsid w:val="00C50597"/>
    <w:rsid w:val="00C50E32"/>
    <w:rsid w:val="00C5213E"/>
    <w:rsid w:val="00C52A0F"/>
    <w:rsid w:val="00C53FA9"/>
    <w:rsid w:val="00C54A23"/>
    <w:rsid w:val="00C55883"/>
    <w:rsid w:val="00C579F8"/>
    <w:rsid w:val="00C60B19"/>
    <w:rsid w:val="00C61C42"/>
    <w:rsid w:val="00C61E70"/>
    <w:rsid w:val="00C62CCF"/>
    <w:rsid w:val="00C62F26"/>
    <w:rsid w:val="00C65892"/>
    <w:rsid w:val="00C6608A"/>
    <w:rsid w:val="00C66AB9"/>
    <w:rsid w:val="00C67301"/>
    <w:rsid w:val="00C70FD0"/>
    <w:rsid w:val="00C71132"/>
    <w:rsid w:val="00C719F8"/>
    <w:rsid w:val="00C73B5B"/>
    <w:rsid w:val="00C74BA9"/>
    <w:rsid w:val="00C76010"/>
    <w:rsid w:val="00C762EB"/>
    <w:rsid w:val="00C775EA"/>
    <w:rsid w:val="00C80421"/>
    <w:rsid w:val="00C806AD"/>
    <w:rsid w:val="00C827FB"/>
    <w:rsid w:val="00C82CBF"/>
    <w:rsid w:val="00C83BE8"/>
    <w:rsid w:val="00C8454F"/>
    <w:rsid w:val="00C8572B"/>
    <w:rsid w:val="00C85CAA"/>
    <w:rsid w:val="00C86416"/>
    <w:rsid w:val="00C8737B"/>
    <w:rsid w:val="00C906C9"/>
    <w:rsid w:val="00C90A97"/>
    <w:rsid w:val="00C9139C"/>
    <w:rsid w:val="00C91C44"/>
    <w:rsid w:val="00C923BD"/>
    <w:rsid w:val="00C92DBD"/>
    <w:rsid w:val="00C93FC8"/>
    <w:rsid w:val="00C94649"/>
    <w:rsid w:val="00C9539A"/>
    <w:rsid w:val="00C96FE0"/>
    <w:rsid w:val="00C9796E"/>
    <w:rsid w:val="00CA0123"/>
    <w:rsid w:val="00CA23AA"/>
    <w:rsid w:val="00CA2635"/>
    <w:rsid w:val="00CA3ABF"/>
    <w:rsid w:val="00CA4175"/>
    <w:rsid w:val="00CA461A"/>
    <w:rsid w:val="00CA6318"/>
    <w:rsid w:val="00CA7C34"/>
    <w:rsid w:val="00CB1268"/>
    <w:rsid w:val="00CB3E1A"/>
    <w:rsid w:val="00CB4571"/>
    <w:rsid w:val="00CB5B01"/>
    <w:rsid w:val="00CB6073"/>
    <w:rsid w:val="00CC0B16"/>
    <w:rsid w:val="00CC236C"/>
    <w:rsid w:val="00CC584C"/>
    <w:rsid w:val="00CC5930"/>
    <w:rsid w:val="00CC613C"/>
    <w:rsid w:val="00CD1C1F"/>
    <w:rsid w:val="00CD1D3B"/>
    <w:rsid w:val="00CD68B8"/>
    <w:rsid w:val="00CD6FCA"/>
    <w:rsid w:val="00CD709A"/>
    <w:rsid w:val="00CD758D"/>
    <w:rsid w:val="00CE04A0"/>
    <w:rsid w:val="00CE0746"/>
    <w:rsid w:val="00CE3CF2"/>
    <w:rsid w:val="00CE3D5C"/>
    <w:rsid w:val="00CE42AB"/>
    <w:rsid w:val="00CE5508"/>
    <w:rsid w:val="00CE6003"/>
    <w:rsid w:val="00CE6EEB"/>
    <w:rsid w:val="00CE6F4B"/>
    <w:rsid w:val="00CE7AE1"/>
    <w:rsid w:val="00CF0732"/>
    <w:rsid w:val="00CF175A"/>
    <w:rsid w:val="00CF483D"/>
    <w:rsid w:val="00CF5DED"/>
    <w:rsid w:val="00CF69CF"/>
    <w:rsid w:val="00CF784E"/>
    <w:rsid w:val="00D00384"/>
    <w:rsid w:val="00D01139"/>
    <w:rsid w:val="00D02AAC"/>
    <w:rsid w:val="00D06565"/>
    <w:rsid w:val="00D06E8A"/>
    <w:rsid w:val="00D111FC"/>
    <w:rsid w:val="00D12C92"/>
    <w:rsid w:val="00D148EB"/>
    <w:rsid w:val="00D16119"/>
    <w:rsid w:val="00D17AB1"/>
    <w:rsid w:val="00D17F2F"/>
    <w:rsid w:val="00D2209C"/>
    <w:rsid w:val="00D2264D"/>
    <w:rsid w:val="00D252EF"/>
    <w:rsid w:val="00D262C7"/>
    <w:rsid w:val="00D26784"/>
    <w:rsid w:val="00D268E3"/>
    <w:rsid w:val="00D271B5"/>
    <w:rsid w:val="00D3100B"/>
    <w:rsid w:val="00D31024"/>
    <w:rsid w:val="00D31790"/>
    <w:rsid w:val="00D3185F"/>
    <w:rsid w:val="00D325E7"/>
    <w:rsid w:val="00D32850"/>
    <w:rsid w:val="00D32B43"/>
    <w:rsid w:val="00D34885"/>
    <w:rsid w:val="00D350ED"/>
    <w:rsid w:val="00D35BEE"/>
    <w:rsid w:val="00D35EB1"/>
    <w:rsid w:val="00D36226"/>
    <w:rsid w:val="00D365C3"/>
    <w:rsid w:val="00D365FB"/>
    <w:rsid w:val="00D406E9"/>
    <w:rsid w:val="00D40E69"/>
    <w:rsid w:val="00D433C3"/>
    <w:rsid w:val="00D43914"/>
    <w:rsid w:val="00D439A8"/>
    <w:rsid w:val="00D446D2"/>
    <w:rsid w:val="00D45F9A"/>
    <w:rsid w:val="00D479D5"/>
    <w:rsid w:val="00D50886"/>
    <w:rsid w:val="00D50990"/>
    <w:rsid w:val="00D52A14"/>
    <w:rsid w:val="00D534FA"/>
    <w:rsid w:val="00D6221F"/>
    <w:rsid w:val="00D623BB"/>
    <w:rsid w:val="00D630C5"/>
    <w:rsid w:val="00D63EEC"/>
    <w:rsid w:val="00D64853"/>
    <w:rsid w:val="00D67BCC"/>
    <w:rsid w:val="00D701C5"/>
    <w:rsid w:val="00D7226C"/>
    <w:rsid w:val="00D72A01"/>
    <w:rsid w:val="00D73A7B"/>
    <w:rsid w:val="00D743D0"/>
    <w:rsid w:val="00D75DEA"/>
    <w:rsid w:val="00D76B0D"/>
    <w:rsid w:val="00D76D54"/>
    <w:rsid w:val="00D76DEF"/>
    <w:rsid w:val="00D76FE9"/>
    <w:rsid w:val="00D81B4B"/>
    <w:rsid w:val="00D8226E"/>
    <w:rsid w:val="00D822E5"/>
    <w:rsid w:val="00D83510"/>
    <w:rsid w:val="00D86E13"/>
    <w:rsid w:val="00D87106"/>
    <w:rsid w:val="00D91F90"/>
    <w:rsid w:val="00D928D3"/>
    <w:rsid w:val="00D93BFF"/>
    <w:rsid w:val="00D94A45"/>
    <w:rsid w:val="00DA1379"/>
    <w:rsid w:val="00DA1EDB"/>
    <w:rsid w:val="00DA246E"/>
    <w:rsid w:val="00DA467C"/>
    <w:rsid w:val="00DA571C"/>
    <w:rsid w:val="00DA5D85"/>
    <w:rsid w:val="00DA7E1D"/>
    <w:rsid w:val="00DB05CC"/>
    <w:rsid w:val="00DB1BF5"/>
    <w:rsid w:val="00DB20A4"/>
    <w:rsid w:val="00DB3F9B"/>
    <w:rsid w:val="00DB5874"/>
    <w:rsid w:val="00DB5920"/>
    <w:rsid w:val="00DB67AE"/>
    <w:rsid w:val="00DB6931"/>
    <w:rsid w:val="00DC0E55"/>
    <w:rsid w:val="00DC108C"/>
    <w:rsid w:val="00DC41C6"/>
    <w:rsid w:val="00DC4828"/>
    <w:rsid w:val="00DC5AA4"/>
    <w:rsid w:val="00DC650F"/>
    <w:rsid w:val="00DC683C"/>
    <w:rsid w:val="00DC7D13"/>
    <w:rsid w:val="00DC7DEE"/>
    <w:rsid w:val="00DD001E"/>
    <w:rsid w:val="00DD18CD"/>
    <w:rsid w:val="00DD39BB"/>
    <w:rsid w:val="00DD4500"/>
    <w:rsid w:val="00DE04D0"/>
    <w:rsid w:val="00DE1541"/>
    <w:rsid w:val="00DE3935"/>
    <w:rsid w:val="00DE4C47"/>
    <w:rsid w:val="00DE6B16"/>
    <w:rsid w:val="00DF0A7B"/>
    <w:rsid w:val="00DF1A38"/>
    <w:rsid w:val="00DF2549"/>
    <w:rsid w:val="00DF3447"/>
    <w:rsid w:val="00DF3CA0"/>
    <w:rsid w:val="00DF62DF"/>
    <w:rsid w:val="00DF6481"/>
    <w:rsid w:val="00DF721F"/>
    <w:rsid w:val="00DF75BB"/>
    <w:rsid w:val="00E01B09"/>
    <w:rsid w:val="00E02925"/>
    <w:rsid w:val="00E02FA6"/>
    <w:rsid w:val="00E0331B"/>
    <w:rsid w:val="00E037AB"/>
    <w:rsid w:val="00E058AC"/>
    <w:rsid w:val="00E062F7"/>
    <w:rsid w:val="00E06A5D"/>
    <w:rsid w:val="00E1256E"/>
    <w:rsid w:val="00E12B56"/>
    <w:rsid w:val="00E12BD9"/>
    <w:rsid w:val="00E13172"/>
    <w:rsid w:val="00E1495E"/>
    <w:rsid w:val="00E14C86"/>
    <w:rsid w:val="00E15FF3"/>
    <w:rsid w:val="00E163C1"/>
    <w:rsid w:val="00E1721C"/>
    <w:rsid w:val="00E17943"/>
    <w:rsid w:val="00E21069"/>
    <w:rsid w:val="00E2245F"/>
    <w:rsid w:val="00E229AA"/>
    <w:rsid w:val="00E22B2D"/>
    <w:rsid w:val="00E237B1"/>
    <w:rsid w:val="00E2523A"/>
    <w:rsid w:val="00E2649D"/>
    <w:rsid w:val="00E30A9C"/>
    <w:rsid w:val="00E318CF"/>
    <w:rsid w:val="00E329B1"/>
    <w:rsid w:val="00E33A3F"/>
    <w:rsid w:val="00E348B4"/>
    <w:rsid w:val="00E3642E"/>
    <w:rsid w:val="00E36BEF"/>
    <w:rsid w:val="00E37CA9"/>
    <w:rsid w:val="00E40753"/>
    <w:rsid w:val="00E42971"/>
    <w:rsid w:val="00E44DE1"/>
    <w:rsid w:val="00E459B0"/>
    <w:rsid w:val="00E469A1"/>
    <w:rsid w:val="00E50B3E"/>
    <w:rsid w:val="00E513AA"/>
    <w:rsid w:val="00E52830"/>
    <w:rsid w:val="00E53717"/>
    <w:rsid w:val="00E54A12"/>
    <w:rsid w:val="00E5518A"/>
    <w:rsid w:val="00E5541E"/>
    <w:rsid w:val="00E62B49"/>
    <w:rsid w:val="00E639BE"/>
    <w:rsid w:val="00E64EC4"/>
    <w:rsid w:val="00E65322"/>
    <w:rsid w:val="00E66724"/>
    <w:rsid w:val="00E7122C"/>
    <w:rsid w:val="00E71A6D"/>
    <w:rsid w:val="00E72C46"/>
    <w:rsid w:val="00E730D0"/>
    <w:rsid w:val="00E73973"/>
    <w:rsid w:val="00E750C1"/>
    <w:rsid w:val="00E829D7"/>
    <w:rsid w:val="00E85EF7"/>
    <w:rsid w:val="00E8600C"/>
    <w:rsid w:val="00E86CA1"/>
    <w:rsid w:val="00E86EE9"/>
    <w:rsid w:val="00E87792"/>
    <w:rsid w:val="00E90320"/>
    <w:rsid w:val="00E90682"/>
    <w:rsid w:val="00E91078"/>
    <w:rsid w:val="00E92F47"/>
    <w:rsid w:val="00E936E9"/>
    <w:rsid w:val="00E93AF8"/>
    <w:rsid w:val="00E94049"/>
    <w:rsid w:val="00E96A5E"/>
    <w:rsid w:val="00E96B64"/>
    <w:rsid w:val="00EA31EB"/>
    <w:rsid w:val="00EA35DD"/>
    <w:rsid w:val="00EA3808"/>
    <w:rsid w:val="00EA605C"/>
    <w:rsid w:val="00EA7418"/>
    <w:rsid w:val="00EA7E54"/>
    <w:rsid w:val="00EB008B"/>
    <w:rsid w:val="00EB0878"/>
    <w:rsid w:val="00EB209A"/>
    <w:rsid w:val="00EB3229"/>
    <w:rsid w:val="00EB36A3"/>
    <w:rsid w:val="00EB47DD"/>
    <w:rsid w:val="00EB5EFE"/>
    <w:rsid w:val="00EC0633"/>
    <w:rsid w:val="00EC1C43"/>
    <w:rsid w:val="00EC1F3D"/>
    <w:rsid w:val="00EC203D"/>
    <w:rsid w:val="00EC256C"/>
    <w:rsid w:val="00EC36E2"/>
    <w:rsid w:val="00EC4B9A"/>
    <w:rsid w:val="00EC727C"/>
    <w:rsid w:val="00ED04C2"/>
    <w:rsid w:val="00ED2ACF"/>
    <w:rsid w:val="00ED606A"/>
    <w:rsid w:val="00ED70B3"/>
    <w:rsid w:val="00ED7367"/>
    <w:rsid w:val="00EE0193"/>
    <w:rsid w:val="00EE0EE0"/>
    <w:rsid w:val="00EE1188"/>
    <w:rsid w:val="00EE2DF4"/>
    <w:rsid w:val="00EE2EA1"/>
    <w:rsid w:val="00EE6206"/>
    <w:rsid w:val="00EE7A6B"/>
    <w:rsid w:val="00EF05E1"/>
    <w:rsid w:val="00EF0C76"/>
    <w:rsid w:val="00EF15DA"/>
    <w:rsid w:val="00EF1E3A"/>
    <w:rsid w:val="00EF60BA"/>
    <w:rsid w:val="00EF644C"/>
    <w:rsid w:val="00EF6543"/>
    <w:rsid w:val="00EF7C5B"/>
    <w:rsid w:val="00F01D3F"/>
    <w:rsid w:val="00F0242D"/>
    <w:rsid w:val="00F02AB5"/>
    <w:rsid w:val="00F05FDF"/>
    <w:rsid w:val="00F06AA5"/>
    <w:rsid w:val="00F06D77"/>
    <w:rsid w:val="00F1018F"/>
    <w:rsid w:val="00F1072D"/>
    <w:rsid w:val="00F113AF"/>
    <w:rsid w:val="00F12477"/>
    <w:rsid w:val="00F137E4"/>
    <w:rsid w:val="00F148C3"/>
    <w:rsid w:val="00F14A54"/>
    <w:rsid w:val="00F15100"/>
    <w:rsid w:val="00F151E4"/>
    <w:rsid w:val="00F1604E"/>
    <w:rsid w:val="00F17C18"/>
    <w:rsid w:val="00F20379"/>
    <w:rsid w:val="00F2073E"/>
    <w:rsid w:val="00F221B3"/>
    <w:rsid w:val="00F23EF9"/>
    <w:rsid w:val="00F242C1"/>
    <w:rsid w:val="00F24BD6"/>
    <w:rsid w:val="00F26494"/>
    <w:rsid w:val="00F27C3E"/>
    <w:rsid w:val="00F3012A"/>
    <w:rsid w:val="00F31177"/>
    <w:rsid w:val="00F33228"/>
    <w:rsid w:val="00F354D3"/>
    <w:rsid w:val="00F35942"/>
    <w:rsid w:val="00F4059B"/>
    <w:rsid w:val="00F40BE3"/>
    <w:rsid w:val="00F40F3D"/>
    <w:rsid w:val="00F42389"/>
    <w:rsid w:val="00F426F7"/>
    <w:rsid w:val="00F43433"/>
    <w:rsid w:val="00F44838"/>
    <w:rsid w:val="00F45C15"/>
    <w:rsid w:val="00F45D31"/>
    <w:rsid w:val="00F50B00"/>
    <w:rsid w:val="00F53095"/>
    <w:rsid w:val="00F545B0"/>
    <w:rsid w:val="00F55E24"/>
    <w:rsid w:val="00F5660A"/>
    <w:rsid w:val="00F56C38"/>
    <w:rsid w:val="00F56F90"/>
    <w:rsid w:val="00F575D9"/>
    <w:rsid w:val="00F64C22"/>
    <w:rsid w:val="00F64D36"/>
    <w:rsid w:val="00F66949"/>
    <w:rsid w:val="00F66CF4"/>
    <w:rsid w:val="00F67ECF"/>
    <w:rsid w:val="00F70ABA"/>
    <w:rsid w:val="00F71F6A"/>
    <w:rsid w:val="00F73EDB"/>
    <w:rsid w:val="00F7427F"/>
    <w:rsid w:val="00F7432E"/>
    <w:rsid w:val="00F744C2"/>
    <w:rsid w:val="00F765D8"/>
    <w:rsid w:val="00F768FD"/>
    <w:rsid w:val="00F774AB"/>
    <w:rsid w:val="00F81B55"/>
    <w:rsid w:val="00F820A0"/>
    <w:rsid w:val="00F82552"/>
    <w:rsid w:val="00F82E1B"/>
    <w:rsid w:val="00F86FC3"/>
    <w:rsid w:val="00F9174B"/>
    <w:rsid w:val="00F958A6"/>
    <w:rsid w:val="00F96A07"/>
    <w:rsid w:val="00FA043F"/>
    <w:rsid w:val="00FA0D35"/>
    <w:rsid w:val="00FA134E"/>
    <w:rsid w:val="00FA17E6"/>
    <w:rsid w:val="00FA33AF"/>
    <w:rsid w:val="00FA3E07"/>
    <w:rsid w:val="00FA5D5A"/>
    <w:rsid w:val="00FA6526"/>
    <w:rsid w:val="00FA7508"/>
    <w:rsid w:val="00FA7F6B"/>
    <w:rsid w:val="00FB17F0"/>
    <w:rsid w:val="00FB2440"/>
    <w:rsid w:val="00FB2F67"/>
    <w:rsid w:val="00FB47F7"/>
    <w:rsid w:val="00FB51D4"/>
    <w:rsid w:val="00FB63DD"/>
    <w:rsid w:val="00FB6970"/>
    <w:rsid w:val="00FB7AE7"/>
    <w:rsid w:val="00FB7F7E"/>
    <w:rsid w:val="00FC028D"/>
    <w:rsid w:val="00FC0327"/>
    <w:rsid w:val="00FC08D6"/>
    <w:rsid w:val="00FC1B0E"/>
    <w:rsid w:val="00FC5A93"/>
    <w:rsid w:val="00FC697D"/>
    <w:rsid w:val="00FD1083"/>
    <w:rsid w:val="00FD2C87"/>
    <w:rsid w:val="00FD3683"/>
    <w:rsid w:val="00FD4365"/>
    <w:rsid w:val="00FD6ADF"/>
    <w:rsid w:val="00FE0952"/>
    <w:rsid w:val="00FE1106"/>
    <w:rsid w:val="00FE114B"/>
    <w:rsid w:val="00FE2353"/>
    <w:rsid w:val="00FE3A40"/>
    <w:rsid w:val="00FE435B"/>
    <w:rsid w:val="00FE4554"/>
    <w:rsid w:val="00FE7E9D"/>
    <w:rsid w:val="00FF0F50"/>
    <w:rsid w:val="00FF22F0"/>
    <w:rsid w:val="00FF2981"/>
    <w:rsid w:val="00FF2E63"/>
    <w:rsid w:val="00FF3B93"/>
    <w:rsid w:val="00FF3EE5"/>
    <w:rsid w:val="00FF45F4"/>
    <w:rsid w:val="00FF4775"/>
    <w:rsid w:val="00FF4EA4"/>
    <w:rsid w:val="00FF59BD"/>
    <w:rsid w:val="00FF5F6E"/>
    <w:rsid w:val="00FF63D4"/>
    <w:rsid w:val="00FF6638"/>
  </w:rsids>
  <m:mathPr>
    <m:mathFont m:val="Cambria Math"/>
    <m:brkBin m:val="before"/>
    <m:brkBinSub m:val="--"/>
    <m:smallFrac/>
    <m:dispDef/>
    <m:lMargin m:val="0"/>
    <m:rMargin m:val="0"/>
    <m:defJc m:val="centerGroup"/>
    <m:wrapIndent m:val="1440"/>
    <m:intLim m:val="subSup"/>
    <m:naryLim m:val="undOvr"/>
  </m:mathPr>
  <w:attachedSchema w:val="urn-legalmacpac-data/10"/>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4B5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B3B"/>
  </w:style>
  <w:style w:type="paragraph" w:styleId="Heading1">
    <w:name w:val="heading 1"/>
    <w:basedOn w:val="Normal"/>
    <w:next w:val="Normal"/>
    <w:link w:val="Heading1Char"/>
    <w:qFormat/>
    <w:rsid w:val="009765F0"/>
    <w:pPr>
      <w:keepNext/>
      <w:spacing w:after="0" w:line="240" w:lineRule="auto"/>
      <w:outlineLvl w:val="0"/>
    </w:pPr>
    <w:rPr>
      <w:rFonts w:ascii="Arial" w:eastAsia="Times New Roman" w:hAnsi="Arial" w:cs="Arial"/>
      <w:b/>
      <w:bCs/>
      <w:sz w:val="16"/>
      <w:szCs w:val="24"/>
      <w:u w:val="single"/>
    </w:rPr>
  </w:style>
  <w:style w:type="paragraph" w:styleId="Heading2">
    <w:name w:val="heading 2"/>
    <w:basedOn w:val="Normal"/>
    <w:next w:val="Normal"/>
    <w:link w:val="Heading2Char"/>
    <w:unhideWhenUsed/>
    <w:qFormat/>
    <w:rsid w:val="000057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0057A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931FDA"/>
    <w:pPr>
      <w:keepNext/>
      <w:widowControl w:val="0"/>
      <w:tabs>
        <w:tab w:val="decimal" w:pos="1166"/>
        <w:tab w:val="left" w:pos="7459"/>
        <w:tab w:val="decimal" w:pos="8467"/>
        <w:tab w:val="left" w:pos="8726"/>
        <w:tab w:val="decimal" w:pos="9734"/>
      </w:tabs>
      <w:spacing w:after="0" w:line="240" w:lineRule="auto"/>
      <w:jc w:val="center"/>
      <w:outlineLvl w:val="3"/>
    </w:pPr>
    <w:rPr>
      <w:rFonts w:ascii="Times New Roman" w:eastAsia="Times New Roman" w:hAnsi="Times New Roman" w:cs="Times New Roman"/>
      <w:b/>
      <w:sz w:val="20"/>
      <w:szCs w:val="20"/>
      <w:lang w:val="en-GB"/>
    </w:rPr>
  </w:style>
  <w:style w:type="paragraph" w:styleId="Heading5">
    <w:name w:val="heading 5"/>
    <w:basedOn w:val="Normal"/>
    <w:next w:val="Normal"/>
    <w:link w:val="Heading5Char"/>
    <w:qFormat/>
    <w:rsid w:val="00931FDA"/>
    <w:pPr>
      <w:keepNext/>
      <w:widowControl w:val="0"/>
      <w:spacing w:after="0" w:line="240" w:lineRule="auto"/>
      <w:outlineLvl w:val="4"/>
    </w:pPr>
    <w:rPr>
      <w:rFonts w:ascii="Times New Roman" w:eastAsia="Times New Roman" w:hAnsi="Times New Roman" w:cs="Times New Roman"/>
      <w:b/>
      <w:sz w:val="28"/>
      <w:szCs w:val="20"/>
    </w:rPr>
  </w:style>
  <w:style w:type="paragraph" w:styleId="Heading6">
    <w:name w:val="heading 6"/>
    <w:basedOn w:val="Normal"/>
    <w:next w:val="Normal"/>
    <w:link w:val="Heading6Char"/>
    <w:qFormat/>
    <w:rsid w:val="00931FDA"/>
    <w:pPr>
      <w:keepNext/>
      <w:widowControl w:val="0"/>
      <w:tabs>
        <w:tab w:val="left" w:pos="252"/>
        <w:tab w:val="left" w:pos="522"/>
        <w:tab w:val="left" w:pos="7459"/>
        <w:tab w:val="decimal" w:pos="8467"/>
        <w:tab w:val="left" w:pos="8726"/>
        <w:tab w:val="decimal" w:pos="9734"/>
      </w:tabs>
      <w:spacing w:after="0" w:line="240" w:lineRule="auto"/>
      <w:outlineLvl w:val="5"/>
    </w:pPr>
    <w:rPr>
      <w:rFonts w:ascii="Times New Roman" w:eastAsia="Times New Roman" w:hAnsi="Times New Roman" w:cs="Times New Roman"/>
      <w:b/>
      <w:sz w:val="20"/>
      <w:szCs w:val="20"/>
      <w:lang w:val="en-GB"/>
    </w:rPr>
  </w:style>
  <w:style w:type="paragraph" w:styleId="Heading7">
    <w:name w:val="heading 7"/>
    <w:basedOn w:val="Normal"/>
    <w:next w:val="Normal"/>
    <w:link w:val="Heading7Char"/>
    <w:qFormat/>
    <w:rsid w:val="00931FDA"/>
    <w:pPr>
      <w:keepNext/>
      <w:widowControl w:val="0"/>
      <w:tabs>
        <w:tab w:val="left" w:pos="252"/>
      </w:tabs>
      <w:spacing w:after="0" w:line="240" w:lineRule="auto"/>
      <w:jc w:val="both"/>
      <w:outlineLvl w:val="6"/>
    </w:pPr>
    <w:rPr>
      <w:rFonts w:ascii="Times New Roman" w:eastAsia="Times New Roman" w:hAnsi="Times New Roman" w:cs="Times New Roman"/>
      <w:b/>
      <w:sz w:val="16"/>
      <w:szCs w:val="20"/>
      <w:lang w:val="en-GB"/>
    </w:rPr>
  </w:style>
  <w:style w:type="paragraph" w:styleId="Heading8">
    <w:name w:val="heading 8"/>
    <w:basedOn w:val="Normal"/>
    <w:next w:val="Normal"/>
    <w:link w:val="Heading8Char"/>
    <w:qFormat/>
    <w:rsid w:val="00931FDA"/>
    <w:pPr>
      <w:keepNext/>
      <w:widowControl w:val="0"/>
      <w:tabs>
        <w:tab w:val="left" w:pos="252"/>
        <w:tab w:val="left" w:pos="522"/>
      </w:tabs>
      <w:spacing w:after="0" w:line="240" w:lineRule="auto"/>
      <w:outlineLvl w:val="7"/>
    </w:pPr>
    <w:rPr>
      <w:rFonts w:ascii="Times New Roman" w:eastAsia="Times New Roman" w:hAnsi="Times New Roman" w:cs="Times New Roman"/>
      <w:i/>
      <w:sz w:val="20"/>
      <w:szCs w:val="20"/>
      <w:lang w:val="en-GB"/>
    </w:rPr>
  </w:style>
  <w:style w:type="paragraph" w:styleId="Heading9">
    <w:name w:val="heading 9"/>
    <w:basedOn w:val="Normal"/>
    <w:next w:val="Normal"/>
    <w:link w:val="Heading9Char"/>
    <w:qFormat/>
    <w:rsid w:val="00931FDA"/>
    <w:pPr>
      <w:keepNext/>
      <w:widowControl w:val="0"/>
      <w:tabs>
        <w:tab w:val="left" w:pos="252"/>
        <w:tab w:val="left" w:pos="522"/>
        <w:tab w:val="left" w:pos="7459"/>
        <w:tab w:val="decimal" w:pos="8467"/>
        <w:tab w:val="left" w:pos="8726"/>
        <w:tab w:val="decimal" w:pos="9734"/>
      </w:tabs>
      <w:spacing w:after="0" w:line="240" w:lineRule="auto"/>
      <w:jc w:val="both"/>
      <w:outlineLvl w:val="8"/>
    </w:pPr>
    <w:rPr>
      <w:rFonts w:ascii="Times New Roman" w:eastAsia="Times New Roman" w:hAnsi="Times New Roman" w:cs="Times New Roman"/>
      <w:i/>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C0BCE"/>
    <w:pPr>
      <w:tabs>
        <w:tab w:val="center" w:pos="4680"/>
        <w:tab w:val="right" w:pos="9360"/>
      </w:tabs>
      <w:spacing w:after="0" w:line="240" w:lineRule="auto"/>
    </w:pPr>
  </w:style>
  <w:style w:type="character" w:customStyle="1" w:styleId="HeaderChar">
    <w:name w:val="Header Char"/>
    <w:basedOn w:val="DefaultParagraphFont"/>
    <w:link w:val="Header"/>
    <w:rsid w:val="007C0BCE"/>
  </w:style>
  <w:style w:type="paragraph" w:styleId="Footer">
    <w:name w:val="footer"/>
    <w:basedOn w:val="Normal"/>
    <w:link w:val="FooterChar"/>
    <w:uiPriority w:val="99"/>
    <w:unhideWhenUsed/>
    <w:rsid w:val="007C0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BCE"/>
  </w:style>
  <w:style w:type="paragraph" w:styleId="ListParagraph">
    <w:name w:val="List Paragraph"/>
    <w:basedOn w:val="Normal"/>
    <w:uiPriority w:val="99"/>
    <w:qFormat/>
    <w:rsid w:val="007C0BCE"/>
    <w:pPr>
      <w:ind w:left="720"/>
      <w:contextualSpacing/>
    </w:pPr>
  </w:style>
  <w:style w:type="character" w:styleId="Hyperlink">
    <w:name w:val="Hyperlink"/>
    <w:basedOn w:val="DefaultParagraphFont"/>
    <w:uiPriority w:val="99"/>
    <w:unhideWhenUsed/>
    <w:rsid w:val="00FE435B"/>
    <w:rPr>
      <w:color w:val="0563C1" w:themeColor="hyperlink"/>
      <w:u w:val="single"/>
    </w:rPr>
  </w:style>
  <w:style w:type="table" w:styleId="TableGrid">
    <w:name w:val="Table Grid"/>
    <w:basedOn w:val="TableNormal"/>
    <w:uiPriority w:val="99"/>
    <w:rsid w:val="00363263"/>
    <w:pPr>
      <w:spacing w:after="0" w:line="240" w:lineRule="auto"/>
    </w:pPr>
    <w:rPr>
      <w:rFonts w:ascii="Times New Roman" w:eastAsia="Times New Roman" w:hAnsi="Times New Roman" w:cs="Times New Roman"/>
      <w:sz w:val="20"/>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F14A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54"/>
    <w:rPr>
      <w:rFonts w:ascii="Segoe UI" w:hAnsi="Segoe UI" w:cs="Segoe UI"/>
      <w:sz w:val="18"/>
      <w:szCs w:val="18"/>
    </w:rPr>
  </w:style>
  <w:style w:type="character" w:styleId="CommentReference">
    <w:name w:val="annotation reference"/>
    <w:basedOn w:val="DefaultParagraphFont"/>
    <w:uiPriority w:val="99"/>
    <w:semiHidden/>
    <w:unhideWhenUsed/>
    <w:rsid w:val="00590C26"/>
    <w:rPr>
      <w:sz w:val="16"/>
      <w:szCs w:val="16"/>
    </w:rPr>
  </w:style>
  <w:style w:type="paragraph" w:styleId="CommentText">
    <w:name w:val="annotation text"/>
    <w:basedOn w:val="Normal"/>
    <w:link w:val="CommentTextChar"/>
    <w:uiPriority w:val="99"/>
    <w:unhideWhenUsed/>
    <w:rsid w:val="00590C26"/>
    <w:pPr>
      <w:spacing w:line="240" w:lineRule="auto"/>
    </w:pPr>
    <w:rPr>
      <w:sz w:val="20"/>
      <w:szCs w:val="20"/>
    </w:rPr>
  </w:style>
  <w:style w:type="character" w:customStyle="1" w:styleId="CommentTextChar">
    <w:name w:val="Comment Text Char"/>
    <w:basedOn w:val="DefaultParagraphFont"/>
    <w:link w:val="CommentText"/>
    <w:uiPriority w:val="99"/>
    <w:rsid w:val="00590C26"/>
    <w:rPr>
      <w:sz w:val="20"/>
      <w:szCs w:val="20"/>
    </w:rPr>
  </w:style>
  <w:style w:type="paragraph" w:styleId="CommentSubject">
    <w:name w:val="annotation subject"/>
    <w:basedOn w:val="CommentText"/>
    <w:next w:val="CommentText"/>
    <w:link w:val="CommentSubjectChar"/>
    <w:semiHidden/>
    <w:unhideWhenUsed/>
    <w:rsid w:val="00590C26"/>
    <w:rPr>
      <w:b/>
      <w:bCs/>
    </w:rPr>
  </w:style>
  <w:style w:type="character" w:customStyle="1" w:styleId="CommentSubjectChar">
    <w:name w:val="Comment Subject Char"/>
    <w:basedOn w:val="CommentTextChar"/>
    <w:link w:val="CommentSubject"/>
    <w:semiHidden/>
    <w:rsid w:val="00590C26"/>
    <w:rPr>
      <w:b/>
      <w:bCs/>
      <w:sz w:val="20"/>
      <w:szCs w:val="20"/>
    </w:rPr>
  </w:style>
  <w:style w:type="paragraph" w:styleId="Revision">
    <w:name w:val="Revision"/>
    <w:hidden/>
    <w:uiPriority w:val="99"/>
    <w:semiHidden/>
    <w:rsid w:val="00292A23"/>
    <w:pPr>
      <w:spacing w:after="0" w:line="240" w:lineRule="auto"/>
    </w:pPr>
  </w:style>
  <w:style w:type="paragraph" w:customStyle="1" w:styleId="MacPacTrailer">
    <w:name w:val="MacPac Trailer"/>
    <w:rsid w:val="00050551"/>
    <w:pPr>
      <w:widowControl w:val="0"/>
      <w:spacing w:after="0" w:line="200" w:lineRule="exact"/>
    </w:pPr>
    <w:rPr>
      <w:rFonts w:ascii="Calibri" w:eastAsia="Times New Roman" w:hAnsi="Calibri" w:cs="Times New Roman"/>
      <w:sz w:val="12"/>
      <w:lang w:val="en-CA"/>
    </w:rPr>
  </w:style>
  <w:style w:type="paragraph" w:customStyle="1" w:styleId="Default">
    <w:name w:val="Default"/>
    <w:rsid w:val="0015504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C83BE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EA31EB"/>
    <w:pPr>
      <w:spacing w:after="0" w:line="240" w:lineRule="auto"/>
      <w:jc w:val="both"/>
    </w:pPr>
    <w:rPr>
      <w:rFonts w:ascii="Arial" w:eastAsia="Times New Roman" w:hAnsi="Arial" w:cs="Arial"/>
      <w:sz w:val="18"/>
      <w:szCs w:val="24"/>
    </w:rPr>
  </w:style>
  <w:style w:type="character" w:customStyle="1" w:styleId="BodyTextChar">
    <w:name w:val="Body Text Char"/>
    <w:basedOn w:val="DefaultParagraphFont"/>
    <w:link w:val="BodyText"/>
    <w:rsid w:val="00EA31EB"/>
    <w:rPr>
      <w:rFonts w:ascii="Arial" w:eastAsia="Times New Roman" w:hAnsi="Arial" w:cs="Arial"/>
      <w:sz w:val="18"/>
      <w:szCs w:val="24"/>
    </w:rPr>
  </w:style>
  <w:style w:type="paragraph" w:styleId="PlainText">
    <w:name w:val="Plain Text"/>
    <w:basedOn w:val="Normal"/>
    <w:link w:val="PlainTextChar"/>
    <w:uiPriority w:val="99"/>
    <w:unhideWhenUsed/>
    <w:rsid w:val="006C3F36"/>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6C3F36"/>
    <w:rPr>
      <w:rFonts w:ascii="Arial" w:hAnsi="Arial" w:cs="Arial"/>
      <w:sz w:val="20"/>
      <w:szCs w:val="20"/>
    </w:rPr>
  </w:style>
  <w:style w:type="paragraph" w:styleId="BodyText3">
    <w:name w:val="Body Text 3"/>
    <w:basedOn w:val="Normal"/>
    <w:link w:val="BodyText3Char"/>
    <w:unhideWhenUsed/>
    <w:rsid w:val="00F575D9"/>
    <w:pPr>
      <w:spacing w:after="120"/>
    </w:pPr>
    <w:rPr>
      <w:sz w:val="16"/>
      <w:szCs w:val="16"/>
    </w:rPr>
  </w:style>
  <w:style w:type="character" w:customStyle="1" w:styleId="BodyText3Char">
    <w:name w:val="Body Text 3 Char"/>
    <w:basedOn w:val="DefaultParagraphFont"/>
    <w:link w:val="BodyText3"/>
    <w:uiPriority w:val="99"/>
    <w:semiHidden/>
    <w:rsid w:val="00F575D9"/>
    <w:rPr>
      <w:sz w:val="16"/>
      <w:szCs w:val="16"/>
    </w:rPr>
  </w:style>
  <w:style w:type="character" w:customStyle="1" w:styleId="Heading1Char">
    <w:name w:val="Heading 1 Char"/>
    <w:basedOn w:val="DefaultParagraphFont"/>
    <w:link w:val="Heading1"/>
    <w:rsid w:val="009765F0"/>
    <w:rPr>
      <w:rFonts w:ascii="Arial" w:eastAsia="Times New Roman" w:hAnsi="Arial" w:cs="Arial"/>
      <w:b/>
      <w:bCs/>
      <w:sz w:val="16"/>
      <w:szCs w:val="24"/>
      <w:u w:val="single"/>
    </w:rPr>
  </w:style>
  <w:style w:type="paragraph" w:styleId="BodyTextIndent">
    <w:name w:val="Body Text Indent"/>
    <w:basedOn w:val="Normal"/>
    <w:link w:val="BodyTextIndentChar"/>
    <w:unhideWhenUsed/>
    <w:rsid w:val="00AC3292"/>
    <w:pPr>
      <w:spacing w:after="120"/>
      <w:ind w:left="283"/>
    </w:pPr>
  </w:style>
  <w:style w:type="character" w:customStyle="1" w:styleId="BodyTextIndentChar">
    <w:name w:val="Body Text Indent Char"/>
    <w:basedOn w:val="DefaultParagraphFont"/>
    <w:link w:val="BodyTextIndent"/>
    <w:uiPriority w:val="99"/>
    <w:semiHidden/>
    <w:rsid w:val="00AC3292"/>
  </w:style>
  <w:style w:type="paragraph" w:styleId="DocumentMap">
    <w:name w:val="Document Map"/>
    <w:basedOn w:val="Normal"/>
    <w:link w:val="DocumentMapChar"/>
    <w:rsid w:val="00DA7E1D"/>
    <w:pPr>
      <w:spacing w:after="0" w:line="240" w:lineRule="auto"/>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DA7E1D"/>
    <w:rPr>
      <w:rFonts w:ascii="Tahoma" w:eastAsia="Times New Roman" w:hAnsi="Tahoma" w:cs="Times New Roman"/>
      <w:sz w:val="16"/>
      <w:szCs w:val="16"/>
    </w:rPr>
  </w:style>
  <w:style w:type="character" w:styleId="UnresolvedMention">
    <w:name w:val="Unresolved Mention"/>
    <w:basedOn w:val="DefaultParagraphFont"/>
    <w:uiPriority w:val="99"/>
    <w:semiHidden/>
    <w:unhideWhenUsed/>
    <w:rsid w:val="00B216CB"/>
    <w:rPr>
      <w:color w:val="605E5C"/>
      <w:shd w:val="clear" w:color="auto" w:fill="E1DFDD"/>
    </w:rPr>
  </w:style>
  <w:style w:type="character" w:customStyle="1" w:styleId="Heading2Char">
    <w:name w:val="Heading 2 Char"/>
    <w:basedOn w:val="DefaultParagraphFont"/>
    <w:link w:val="Heading2"/>
    <w:uiPriority w:val="9"/>
    <w:rsid w:val="000057A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057AF"/>
    <w:rPr>
      <w:rFonts w:asciiTheme="majorHAnsi" w:eastAsiaTheme="majorEastAsia" w:hAnsiTheme="majorHAnsi" w:cstheme="majorBidi"/>
      <w:color w:val="1F4D78" w:themeColor="accent1" w:themeShade="7F"/>
      <w:sz w:val="24"/>
      <w:szCs w:val="24"/>
    </w:rPr>
  </w:style>
  <w:style w:type="paragraph" w:styleId="BodyTextIndent3">
    <w:name w:val="Body Text Indent 3"/>
    <w:basedOn w:val="Normal"/>
    <w:link w:val="BodyTextIndent3Char"/>
    <w:unhideWhenUsed/>
    <w:rsid w:val="00931FDA"/>
    <w:pPr>
      <w:spacing w:after="120"/>
      <w:ind w:left="360"/>
    </w:pPr>
    <w:rPr>
      <w:sz w:val="16"/>
      <w:szCs w:val="16"/>
    </w:rPr>
  </w:style>
  <w:style w:type="character" w:customStyle="1" w:styleId="BodyTextIndent3Char">
    <w:name w:val="Body Text Indent 3 Char"/>
    <w:basedOn w:val="DefaultParagraphFont"/>
    <w:link w:val="BodyTextIndent3"/>
    <w:rsid w:val="00931FDA"/>
    <w:rPr>
      <w:sz w:val="16"/>
      <w:szCs w:val="16"/>
    </w:rPr>
  </w:style>
  <w:style w:type="character" w:customStyle="1" w:styleId="Heading4Char">
    <w:name w:val="Heading 4 Char"/>
    <w:basedOn w:val="DefaultParagraphFont"/>
    <w:link w:val="Heading4"/>
    <w:rsid w:val="00931FDA"/>
    <w:rPr>
      <w:rFonts w:ascii="Times New Roman" w:eastAsia="Times New Roman" w:hAnsi="Times New Roman" w:cs="Times New Roman"/>
      <w:b/>
      <w:sz w:val="20"/>
      <w:szCs w:val="20"/>
      <w:lang w:val="en-GB"/>
    </w:rPr>
  </w:style>
  <w:style w:type="character" w:customStyle="1" w:styleId="Heading5Char">
    <w:name w:val="Heading 5 Char"/>
    <w:basedOn w:val="DefaultParagraphFont"/>
    <w:link w:val="Heading5"/>
    <w:rsid w:val="00931FDA"/>
    <w:rPr>
      <w:rFonts w:ascii="Times New Roman" w:eastAsia="Times New Roman" w:hAnsi="Times New Roman" w:cs="Times New Roman"/>
      <w:b/>
      <w:sz w:val="28"/>
      <w:szCs w:val="20"/>
    </w:rPr>
  </w:style>
  <w:style w:type="character" w:customStyle="1" w:styleId="Heading6Char">
    <w:name w:val="Heading 6 Char"/>
    <w:basedOn w:val="DefaultParagraphFont"/>
    <w:link w:val="Heading6"/>
    <w:rsid w:val="00931FDA"/>
    <w:rPr>
      <w:rFonts w:ascii="Times New Roman" w:eastAsia="Times New Roman" w:hAnsi="Times New Roman" w:cs="Times New Roman"/>
      <w:b/>
      <w:sz w:val="20"/>
      <w:szCs w:val="20"/>
      <w:lang w:val="en-GB"/>
    </w:rPr>
  </w:style>
  <w:style w:type="character" w:customStyle="1" w:styleId="Heading7Char">
    <w:name w:val="Heading 7 Char"/>
    <w:basedOn w:val="DefaultParagraphFont"/>
    <w:link w:val="Heading7"/>
    <w:rsid w:val="00931FDA"/>
    <w:rPr>
      <w:rFonts w:ascii="Times New Roman" w:eastAsia="Times New Roman" w:hAnsi="Times New Roman" w:cs="Times New Roman"/>
      <w:b/>
      <w:sz w:val="16"/>
      <w:szCs w:val="20"/>
      <w:lang w:val="en-GB"/>
    </w:rPr>
  </w:style>
  <w:style w:type="character" w:customStyle="1" w:styleId="Heading8Char">
    <w:name w:val="Heading 8 Char"/>
    <w:basedOn w:val="DefaultParagraphFont"/>
    <w:link w:val="Heading8"/>
    <w:rsid w:val="00931FDA"/>
    <w:rPr>
      <w:rFonts w:ascii="Times New Roman" w:eastAsia="Times New Roman" w:hAnsi="Times New Roman" w:cs="Times New Roman"/>
      <w:i/>
      <w:sz w:val="20"/>
      <w:szCs w:val="20"/>
      <w:lang w:val="en-GB"/>
    </w:rPr>
  </w:style>
  <w:style w:type="character" w:customStyle="1" w:styleId="Heading9Char">
    <w:name w:val="Heading 9 Char"/>
    <w:basedOn w:val="DefaultParagraphFont"/>
    <w:link w:val="Heading9"/>
    <w:rsid w:val="00931FDA"/>
    <w:rPr>
      <w:rFonts w:ascii="Times New Roman" w:eastAsia="Times New Roman" w:hAnsi="Times New Roman" w:cs="Times New Roman"/>
      <w:i/>
      <w:sz w:val="20"/>
      <w:szCs w:val="20"/>
      <w:lang w:val="en-GB"/>
    </w:rPr>
  </w:style>
  <w:style w:type="numbering" w:customStyle="1" w:styleId="NoList1">
    <w:name w:val="No List1"/>
    <w:next w:val="NoList"/>
    <w:uiPriority w:val="99"/>
    <w:semiHidden/>
    <w:unhideWhenUsed/>
    <w:rsid w:val="00931FDA"/>
  </w:style>
  <w:style w:type="character" w:styleId="FootnoteReference">
    <w:name w:val="footnote reference"/>
    <w:basedOn w:val="DefaultParagraphFont"/>
    <w:semiHidden/>
    <w:rsid w:val="00931FDA"/>
  </w:style>
  <w:style w:type="paragraph" w:styleId="BodyText2">
    <w:name w:val="Body Text 2"/>
    <w:basedOn w:val="Normal"/>
    <w:link w:val="BodyText2Char"/>
    <w:rsid w:val="00931FDA"/>
    <w:pPr>
      <w:widowControl w:val="0"/>
      <w:tabs>
        <w:tab w:val="left" w:pos="-720"/>
        <w:tab w:val="left" w:pos="630"/>
        <w:tab w:val="left" w:pos="990"/>
        <w:tab w:val="left" w:pos="1350"/>
        <w:tab w:val="right" w:pos="10080"/>
      </w:tabs>
      <w:spacing w:after="0" w:line="240" w:lineRule="auto"/>
      <w:ind w:left="630"/>
      <w:jc w:val="both"/>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rsid w:val="00931FDA"/>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931FDA"/>
    <w:pPr>
      <w:tabs>
        <w:tab w:val="left" w:pos="720"/>
        <w:tab w:val="left" w:pos="990"/>
      </w:tabs>
      <w:spacing w:after="0" w:line="240" w:lineRule="auto"/>
      <w:ind w:left="720" w:hanging="720"/>
      <w:jc w:val="both"/>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931FDA"/>
    <w:rPr>
      <w:rFonts w:ascii="Times New Roman" w:eastAsia="Times New Roman" w:hAnsi="Times New Roman" w:cs="Times New Roman"/>
      <w:sz w:val="20"/>
      <w:szCs w:val="20"/>
    </w:rPr>
  </w:style>
  <w:style w:type="paragraph" w:styleId="BlockText">
    <w:name w:val="Block Text"/>
    <w:basedOn w:val="Normal"/>
    <w:rsid w:val="00931FDA"/>
    <w:pPr>
      <w:widowControl w:val="0"/>
      <w:tabs>
        <w:tab w:val="left" w:pos="252"/>
      </w:tabs>
      <w:spacing w:after="0" w:line="240" w:lineRule="auto"/>
      <w:ind w:left="252" w:right="288" w:hanging="252"/>
      <w:jc w:val="both"/>
    </w:pPr>
    <w:rPr>
      <w:rFonts w:ascii="Times New Roman" w:eastAsia="Times New Roman" w:hAnsi="Times New Roman" w:cs="Times New Roman"/>
      <w:sz w:val="19"/>
      <w:szCs w:val="20"/>
    </w:rPr>
  </w:style>
  <w:style w:type="paragraph" w:customStyle="1" w:styleId="paragraph">
    <w:name w:val="paragraph"/>
    <w:basedOn w:val="Normal"/>
    <w:rsid w:val="00931FDA"/>
    <w:pPr>
      <w:spacing w:before="86" w:after="86" w:line="240" w:lineRule="auto"/>
      <w:ind w:left="305"/>
    </w:pPr>
    <w:rPr>
      <w:rFonts w:ascii="Arial" w:eastAsia="Times New Roman" w:hAnsi="Arial" w:cs="Arial"/>
      <w:color w:val="000000"/>
    </w:rPr>
  </w:style>
  <w:style w:type="paragraph" w:styleId="ListContinue">
    <w:name w:val="List Continue"/>
    <w:basedOn w:val="Normal"/>
    <w:rsid w:val="00931FDA"/>
    <w:pPr>
      <w:spacing w:after="120" w:line="240" w:lineRule="auto"/>
      <w:ind w:left="360"/>
    </w:pPr>
    <w:rPr>
      <w:rFonts w:ascii="Times New Roman" w:eastAsia="Times New Roman" w:hAnsi="Times New Roman" w:cs="Times New Roman"/>
      <w:sz w:val="20"/>
      <w:szCs w:val="20"/>
    </w:rPr>
  </w:style>
  <w:style w:type="paragraph" w:customStyle="1" w:styleId="note">
    <w:name w:val="note #"/>
    <w:uiPriority w:val="99"/>
    <w:rsid w:val="00931FDA"/>
    <w:pPr>
      <w:keepNext/>
      <w:widowControl w:val="0"/>
      <w:tabs>
        <w:tab w:val="left" w:pos="576"/>
      </w:tabs>
      <w:autoSpaceDE w:val="0"/>
      <w:autoSpaceDN w:val="0"/>
      <w:adjustRightInd w:val="0"/>
      <w:spacing w:after="216" w:line="240" w:lineRule="auto"/>
      <w:jc w:val="both"/>
    </w:pPr>
    <w:rPr>
      <w:rFonts w:ascii="Arial" w:eastAsia="Times New Roman" w:hAnsi="Arial" w:cs="Arial"/>
      <w:color w:val="000000"/>
    </w:rPr>
  </w:style>
  <w:style w:type="paragraph" w:customStyle="1" w:styleId="BodyTextInd8input">
    <w:name w:val="Body Text Ind8 input"/>
    <w:uiPriority w:val="99"/>
    <w:rsid w:val="00931FDA"/>
    <w:pPr>
      <w:widowControl w:val="0"/>
      <w:autoSpaceDE w:val="0"/>
      <w:autoSpaceDN w:val="0"/>
      <w:adjustRightInd w:val="0"/>
      <w:spacing w:after="216" w:line="240" w:lineRule="auto"/>
      <w:ind w:left="1152"/>
      <w:jc w:val="both"/>
    </w:pPr>
    <w:rPr>
      <w:rFonts w:ascii="Arial" w:eastAsia="Times New Roman" w:hAnsi="Arial" w:cs="Arial"/>
      <w:color w:val="000000"/>
    </w:rPr>
  </w:style>
  <w:style w:type="paragraph" w:customStyle="1" w:styleId="BodyTextInd4">
    <w:name w:val="Body Text Ind4"/>
    <w:rsid w:val="00931FDA"/>
    <w:pPr>
      <w:widowControl w:val="0"/>
      <w:tabs>
        <w:tab w:val="left" w:pos="1152"/>
      </w:tabs>
      <w:autoSpaceDE w:val="0"/>
      <w:autoSpaceDN w:val="0"/>
      <w:adjustRightInd w:val="0"/>
      <w:spacing w:after="216" w:line="240" w:lineRule="auto"/>
      <w:ind w:left="576"/>
      <w:jc w:val="both"/>
    </w:pPr>
    <w:rPr>
      <w:rFonts w:ascii="Arial" w:eastAsia="Times New Roman" w:hAnsi="Arial" w:cs="Arial"/>
      <w:color w:val="000000"/>
    </w:rPr>
  </w:style>
  <w:style w:type="paragraph" w:customStyle="1" w:styleId="BodyTextInd8">
    <w:name w:val="Body Text Ind8"/>
    <w:uiPriority w:val="99"/>
    <w:rsid w:val="00931FDA"/>
    <w:pPr>
      <w:widowControl w:val="0"/>
      <w:autoSpaceDE w:val="0"/>
      <w:autoSpaceDN w:val="0"/>
      <w:adjustRightInd w:val="0"/>
      <w:spacing w:after="216" w:line="240" w:lineRule="auto"/>
      <w:ind w:left="1152"/>
      <w:jc w:val="both"/>
    </w:pPr>
    <w:rPr>
      <w:rFonts w:ascii="Arial" w:eastAsia="Times New Roman" w:hAnsi="Arial" w:cs="Arial"/>
      <w:color w:val="000000"/>
    </w:rPr>
  </w:style>
  <w:style w:type="table" w:customStyle="1" w:styleId="TableGrid1">
    <w:name w:val="Table Grid1"/>
    <w:basedOn w:val="TableNormal"/>
    <w:next w:val="TableGrid"/>
    <w:rsid w:val="00931F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0">
    <w:name w:val="Paragraph"/>
    <w:rsid w:val="00931FDA"/>
    <w:pPr>
      <w:widowControl w:val="0"/>
      <w:tabs>
        <w:tab w:val="left" w:pos="720"/>
      </w:tabs>
      <w:autoSpaceDE w:val="0"/>
      <w:autoSpaceDN w:val="0"/>
      <w:adjustRightInd w:val="0"/>
      <w:spacing w:before="72" w:after="72" w:line="240" w:lineRule="auto"/>
      <w:ind w:left="720" w:hanging="717"/>
    </w:pPr>
    <w:rPr>
      <w:rFonts w:ascii="Times New Roman" w:eastAsia="Times New Roman" w:hAnsi="Times New Roman" w:cs="Times New Roman"/>
      <w:sz w:val="24"/>
      <w:szCs w:val="24"/>
    </w:rPr>
  </w:style>
  <w:style w:type="paragraph" w:customStyle="1" w:styleId="IndentSecondLevel">
    <w:name w:val="Indent (Second Level)"/>
    <w:basedOn w:val="Normal"/>
    <w:rsid w:val="00931FDA"/>
    <w:pPr>
      <w:tabs>
        <w:tab w:val="left" w:pos="1134"/>
      </w:tabs>
      <w:spacing w:before="140" w:after="0" w:line="280" w:lineRule="exact"/>
      <w:ind w:left="1134"/>
      <w:jc w:val="both"/>
    </w:pPr>
    <w:rPr>
      <w:rFonts w:ascii="Times New Roman" w:eastAsia="Times New Roman" w:hAnsi="Times New Roman" w:cs="Times New Roman"/>
      <w:kern w:val="8"/>
      <w:sz w:val="24"/>
      <w:szCs w:val="24"/>
      <w:lang w:bidi="he-IL"/>
    </w:rPr>
  </w:style>
  <w:style w:type="paragraph" w:customStyle="1" w:styleId="notea">
    <w:name w:val="note (a)"/>
    <w:next w:val="BodyTextInd8input"/>
    <w:uiPriority w:val="99"/>
    <w:rsid w:val="00931FDA"/>
    <w:pPr>
      <w:keepNext/>
      <w:widowControl w:val="0"/>
      <w:tabs>
        <w:tab w:val="left" w:pos="1152"/>
      </w:tabs>
      <w:autoSpaceDE w:val="0"/>
      <w:autoSpaceDN w:val="0"/>
      <w:adjustRightInd w:val="0"/>
      <w:spacing w:after="216" w:line="240" w:lineRule="auto"/>
      <w:ind w:left="576"/>
      <w:jc w:val="both"/>
    </w:pPr>
    <w:rPr>
      <w:rFonts w:ascii="Arial" w:eastAsia="Times New Roman" w:hAnsi="Arial" w:cs="Arial"/>
      <w:color w:val="000000"/>
      <w:lang w:val="en-CA" w:eastAsia="en-CA"/>
    </w:rPr>
  </w:style>
  <w:style w:type="paragraph" w:customStyle="1" w:styleId="BodyTextInd4input">
    <w:name w:val="Body Text Ind4 input"/>
    <w:uiPriority w:val="99"/>
    <w:rsid w:val="00931FDA"/>
    <w:pPr>
      <w:widowControl w:val="0"/>
      <w:tabs>
        <w:tab w:val="left" w:pos="1152"/>
      </w:tabs>
      <w:autoSpaceDE w:val="0"/>
      <w:autoSpaceDN w:val="0"/>
      <w:adjustRightInd w:val="0"/>
      <w:spacing w:after="216" w:line="240" w:lineRule="auto"/>
      <w:ind w:left="576"/>
      <w:jc w:val="both"/>
    </w:pPr>
    <w:rPr>
      <w:rFonts w:ascii="Arial" w:eastAsia="Times New Roman" w:hAnsi="Arial" w:cs="Arial"/>
      <w:color w:val="000000"/>
      <w:lang w:val="en-CA" w:eastAsia="en-CA"/>
    </w:rPr>
  </w:style>
  <w:style w:type="paragraph" w:customStyle="1" w:styleId="BodyText0">
    <w:name w:val="#BodyText"/>
    <w:basedOn w:val="Normal"/>
    <w:qFormat/>
    <w:rsid w:val="00931FDA"/>
    <w:pPr>
      <w:spacing w:after="240" w:line="240" w:lineRule="auto"/>
      <w:jc w:val="both"/>
    </w:pPr>
    <w:rPr>
      <w:rFonts w:ascii="Arial" w:eastAsia="Times New Roman" w:hAnsi="Arial" w:cs="Times New Roman"/>
      <w:sz w:val="20"/>
      <w:szCs w:val="20"/>
      <w:lang w:val="en-CA" w:eastAsia="en-CA"/>
    </w:rPr>
  </w:style>
  <w:style w:type="numbering" w:customStyle="1" w:styleId="NoList2">
    <w:name w:val="No List2"/>
    <w:next w:val="NoList"/>
    <w:uiPriority w:val="99"/>
    <w:semiHidden/>
    <w:unhideWhenUsed/>
    <w:rsid w:val="00413A14"/>
  </w:style>
  <w:style w:type="table" w:customStyle="1" w:styleId="TableGrid2">
    <w:name w:val="Table Grid2"/>
    <w:basedOn w:val="TableNormal"/>
    <w:next w:val="TableGrid"/>
    <w:rsid w:val="00413A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0F17"/>
    <w:rPr>
      <w:color w:val="954F72" w:themeColor="followedHyperlink"/>
      <w:u w:val="single"/>
    </w:rPr>
  </w:style>
  <w:style w:type="character" w:customStyle="1" w:styleId="Negative">
    <w:name w:val="_Negative"/>
    <w:basedOn w:val="DefaultParagraphFont"/>
    <w:rsid w:val="007D04B5"/>
    <w:rPr>
      <w:rFonts w:ascii="Arial" w:hAnsi="Arial" w:cs="Arial"/>
      <w:b/>
      <w:color w:val="FF0000"/>
      <w:sz w:val="20"/>
      <w:szCs w:val="20"/>
    </w:rPr>
  </w:style>
  <w:style w:type="paragraph" w:customStyle="1" w:styleId="NRL1Bullet">
    <w:name w:val="NR L1 Bullet"/>
    <w:basedOn w:val="ListParagraph"/>
    <w:uiPriority w:val="28"/>
    <w:qFormat/>
    <w:rsid w:val="001D1C02"/>
    <w:pPr>
      <w:numPr>
        <w:numId w:val="32"/>
      </w:numPr>
      <w:spacing w:after="240" w:line="240" w:lineRule="auto"/>
      <w:contextualSpacing w:val="0"/>
      <w:jc w:val="both"/>
    </w:pPr>
    <w:rPr>
      <w:rFonts w:ascii="Arial" w:eastAsia="Calibri" w:hAnsi="Arial" w:cs="Times New Roman"/>
      <w:sz w:val="20"/>
      <w:szCs w:val="20"/>
      <w:lang w:val="en-CA"/>
    </w:rPr>
  </w:style>
  <w:style w:type="paragraph" w:customStyle="1" w:styleId="NRL2Bullet">
    <w:name w:val="NR L2 Bullet"/>
    <w:basedOn w:val="NRL1Bullet"/>
    <w:uiPriority w:val="28"/>
    <w:qFormat/>
    <w:rsid w:val="001D1C02"/>
    <w:pPr>
      <w:numPr>
        <w:ilvl w:val="1"/>
      </w:numPr>
    </w:pPr>
  </w:style>
  <w:style w:type="numbering" w:customStyle="1" w:styleId="NoList3">
    <w:name w:val="No List3"/>
    <w:next w:val="NoList"/>
    <w:uiPriority w:val="99"/>
    <w:semiHidden/>
    <w:unhideWhenUsed/>
    <w:rsid w:val="00BB2915"/>
  </w:style>
  <w:style w:type="table" w:customStyle="1" w:styleId="TableGrid3">
    <w:name w:val="Table Grid3"/>
    <w:basedOn w:val="TableNormal"/>
    <w:next w:val="TableGrid"/>
    <w:rsid w:val="00BB29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b">
    <w:name w:val="ib"/>
    <w:basedOn w:val="DefaultParagraphFont"/>
    <w:uiPriority w:val="29"/>
    <w:qFormat/>
    <w:rsid w:val="00FD2C87"/>
  </w:style>
  <w:style w:type="paragraph" w:customStyle="1" w:styleId="yh">
    <w:name w:val="yh"/>
    <w:basedOn w:val="Normal"/>
    <w:rsid w:val="00A11A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xs">
    <w:name w:val="xs"/>
    <w:basedOn w:val="DefaultParagraphFont"/>
    <w:rsid w:val="00A11A4D"/>
  </w:style>
  <w:style w:type="paragraph" w:customStyle="1" w:styleId="ye">
    <w:name w:val="ye"/>
    <w:basedOn w:val="Normal"/>
    <w:rsid w:val="00A11A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xh">
    <w:name w:val="xh"/>
    <w:basedOn w:val="DefaultParagraphFont"/>
    <w:rsid w:val="00A11A4D"/>
  </w:style>
  <w:style w:type="paragraph" w:customStyle="1" w:styleId="yi">
    <w:name w:val="yi"/>
    <w:basedOn w:val="Normal"/>
    <w:rsid w:val="00A11A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xq">
    <w:name w:val="xq"/>
    <w:basedOn w:val="DefaultParagraphFont"/>
    <w:rsid w:val="00A11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5130">
      <w:bodyDiv w:val="1"/>
      <w:marLeft w:val="0"/>
      <w:marRight w:val="0"/>
      <w:marTop w:val="0"/>
      <w:marBottom w:val="0"/>
      <w:divBdr>
        <w:top w:val="none" w:sz="0" w:space="0" w:color="auto"/>
        <w:left w:val="none" w:sz="0" w:space="0" w:color="auto"/>
        <w:bottom w:val="none" w:sz="0" w:space="0" w:color="auto"/>
        <w:right w:val="none" w:sz="0" w:space="0" w:color="auto"/>
      </w:divBdr>
    </w:div>
    <w:div w:id="128743708">
      <w:bodyDiv w:val="1"/>
      <w:marLeft w:val="0"/>
      <w:marRight w:val="0"/>
      <w:marTop w:val="0"/>
      <w:marBottom w:val="0"/>
      <w:divBdr>
        <w:top w:val="none" w:sz="0" w:space="0" w:color="auto"/>
        <w:left w:val="none" w:sz="0" w:space="0" w:color="auto"/>
        <w:bottom w:val="none" w:sz="0" w:space="0" w:color="auto"/>
        <w:right w:val="none" w:sz="0" w:space="0" w:color="auto"/>
      </w:divBdr>
    </w:div>
    <w:div w:id="534462705">
      <w:bodyDiv w:val="1"/>
      <w:marLeft w:val="0"/>
      <w:marRight w:val="0"/>
      <w:marTop w:val="0"/>
      <w:marBottom w:val="0"/>
      <w:divBdr>
        <w:top w:val="none" w:sz="0" w:space="0" w:color="auto"/>
        <w:left w:val="none" w:sz="0" w:space="0" w:color="auto"/>
        <w:bottom w:val="none" w:sz="0" w:space="0" w:color="auto"/>
        <w:right w:val="none" w:sz="0" w:space="0" w:color="auto"/>
      </w:divBdr>
    </w:div>
    <w:div w:id="558245542">
      <w:bodyDiv w:val="1"/>
      <w:marLeft w:val="0"/>
      <w:marRight w:val="0"/>
      <w:marTop w:val="0"/>
      <w:marBottom w:val="0"/>
      <w:divBdr>
        <w:top w:val="none" w:sz="0" w:space="0" w:color="auto"/>
        <w:left w:val="none" w:sz="0" w:space="0" w:color="auto"/>
        <w:bottom w:val="none" w:sz="0" w:space="0" w:color="auto"/>
        <w:right w:val="none" w:sz="0" w:space="0" w:color="auto"/>
      </w:divBdr>
    </w:div>
    <w:div w:id="761150689">
      <w:bodyDiv w:val="1"/>
      <w:marLeft w:val="0"/>
      <w:marRight w:val="0"/>
      <w:marTop w:val="0"/>
      <w:marBottom w:val="0"/>
      <w:divBdr>
        <w:top w:val="none" w:sz="0" w:space="0" w:color="auto"/>
        <w:left w:val="none" w:sz="0" w:space="0" w:color="auto"/>
        <w:bottom w:val="none" w:sz="0" w:space="0" w:color="auto"/>
        <w:right w:val="none" w:sz="0" w:space="0" w:color="auto"/>
      </w:divBdr>
    </w:div>
    <w:div w:id="857044639">
      <w:bodyDiv w:val="1"/>
      <w:marLeft w:val="0"/>
      <w:marRight w:val="0"/>
      <w:marTop w:val="0"/>
      <w:marBottom w:val="0"/>
      <w:divBdr>
        <w:top w:val="none" w:sz="0" w:space="0" w:color="auto"/>
        <w:left w:val="none" w:sz="0" w:space="0" w:color="auto"/>
        <w:bottom w:val="none" w:sz="0" w:space="0" w:color="auto"/>
        <w:right w:val="none" w:sz="0" w:space="0" w:color="auto"/>
      </w:divBdr>
    </w:div>
    <w:div w:id="1112824708">
      <w:bodyDiv w:val="1"/>
      <w:marLeft w:val="0"/>
      <w:marRight w:val="0"/>
      <w:marTop w:val="0"/>
      <w:marBottom w:val="0"/>
      <w:divBdr>
        <w:top w:val="none" w:sz="0" w:space="0" w:color="auto"/>
        <w:left w:val="none" w:sz="0" w:space="0" w:color="auto"/>
        <w:bottom w:val="none" w:sz="0" w:space="0" w:color="auto"/>
        <w:right w:val="none" w:sz="0" w:space="0" w:color="auto"/>
      </w:divBdr>
      <w:divsChild>
        <w:div w:id="207495681">
          <w:marLeft w:val="0"/>
          <w:marRight w:val="0"/>
          <w:marTop w:val="0"/>
          <w:marBottom w:val="0"/>
          <w:divBdr>
            <w:top w:val="none" w:sz="0" w:space="0" w:color="auto"/>
            <w:left w:val="none" w:sz="0" w:space="0" w:color="auto"/>
            <w:bottom w:val="none" w:sz="0" w:space="0" w:color="auto"/>
            <w:right w:val="none" w:sz="0" w:space="0" w:color="auto"/>
          </w:divBdr>
        </w:div>
        <w:div w:id="410200692">
          <w:marLeft w:val="0"/>
          <w:marRight w:val="0"/>
          <w:marTop w:val="0"/>
          <w:marBottom w:val="0"/>
          <w:divBdr>
            <w:top w:val="none" w:sz="0" w:space="0" w:color="auto"/>
            <w:left w:val="none" w:sz="0" w:space="0" w:color="auto"/>
            <w:bottom w:val="none" w:sz="0" w:space="0" w:color="auto"/>
            <w:right w:val="none" w:sz="0" w:space="0" w:color="auto"/>
          </w:divBdr>
        </w:div>
        <w:div w:id="1156923185">
          <w:marLeft w:val="0"/>
          <w:marRight w:val="0"/>
          <w:marTop w:val="0"/>
          <w:marBottom w:val="0"/>
          <w:divBdr>
            <w:top w:val="none" w:sz="0" w:space="0" w:color="auto"/>
            <w:left w:val="none" w:sz="0" w:space="0" w:color="auto"/>
            <w:bottom w:val="none" w:sz="0" w:space="0" w:color="auto"/>
            <w:right w:val="none" w:sz="0" w:space="0" w:color="auto"/>
          </w:divBdr>
        </w:div>
        <w:div w:id="1422995534">
          <w:marLeft w:val="0"/>
          <w:marRight w:val="0"/>
          <w:marTop w:val="0"/>
          <w:marBottom w:val="0"/>
          <w:divBdr>
            <w:top w:val="none" w:sz="0" w:space="0" w:color="auto"/>
            <w:left w:val="none" w:sz="0" w:space="0" w:color="auto"/>
            <w:bottom w:val="none" w:sz="0" w:space="0" w:color="auto"/>
            <w:right w:val="none" w:sz="0" w:space="0" w:color="auto"/>
          </w:divBdr>
        </w:div>
        <w:div w:id="611786364">
          <w:marLeft w:val="0"/>
          <w:marRight w:val="0"/>
          <w:marTop w:val="0"/>
          <w:marBottom w:val="0"/>
          <w:divBdr>
            <w:top w:val="none" w:sz="0" w:space="0" w:color="auto"/>
            <w:left w:val="none" w:sz="0" w:space="0" w:color="auto"/>
            <w:bottom w:val="none" w:sz="0" w:space="0" w:color="auto"/>
            <w:right w:val="none" w:sz="0" w:space="0" w:color="auto"/>
          </w:divBdr>
        </w:div>
        <w:div w:id="96878125">
          <w:marLeft w:val="0"/>
          <w:marRight w:val="0"/>
          <w:marTop w:val="0"/>
          <w:marBottom w:val="0"/>
          <w:divBdr>
            <w:top w:val="none" w:sz="0" w:space="0" w:color="auto"/>
            <w:left w:val="none" w:sz="0" w:space="0" w:color="auto"/>
            <w:bottom w:val="none" w:sz="0" w:space="0" w:color="auto"/>
            <w:right w:val="none" w:sz="0" w:space="0" w:color="auto"/>
          </w:divBdr>
        </w:div>
        <w:div w:id="1329478744">
          <w:marLeft w:val="0"/>
          <w:marRight w:val="0"/>
          <w:marTop w:val="0"/>
          <w:marBottom w:val="0"/>
          <w:divBdr>
            <w:top w:val="none" w:sz="0" w:space="0" w:color="auto"/>
            <w:left w:val="none" w:sz="0" w:space="0" w:color="auto"/>
            <w:bottom w:val="none" w:sz="0" w:space="0" w:color="auto"/>
            <w:right w:val="none" w:sz="0" w:space="0" w:color="auto"/>
          </w:divBdr>
        </w:div>
        <w:div w:id="527909721">
          <w:marLeft w:val="0"/>
          <w:marRight w:val="0"/>
          <w:marTop w:val="0"/>
          <w:marBottom w:val="0"/>
          <w:divBdr>
            <w:top w:val="none" w:sz="0" w:space="0" w:color="auto"/>
            <w:left w:val="none" w:sz="0" w:space="0" w:color="auto"/>
            <w:bottom w:val="none" w:sz="0" w:space="0" w:color="auto"/>
            <w:right w:val="none" w:sz="0" w:space="0" w:color="auto"/>
          </w:divBdr>
        </w:div>
        <w:div w:id="917136225">
          <w:marLeft w:val="0"/>
          <w:marRight w:val="0"/>
          <w:marTop w:val="0"/>
          <w:marBottom w:val="0"/>
          <w:divBdr>
            <w:top w:val="none" w:sz="0" w:space="0" w:color="auto"/>
            <w:left w:val="none" w:sz="0" w:space="0" w:color="auto"/>
            <w:bottom w:val="none" w:sz="0" w:space="0" w:color="auto"/>
            <w:right w:val="none" w:sz="0" w:space="0" w:color="auto"/>
          </w:divBdr>
        </w:div>
        <w:div w:id="806825564">
          <w:marLeft w:val="0"/>
          <w:marRight w:val="0"/>
          <w:marTop w:val="0"/>
          <w:marBottom w:val="0"/>
          <w:divBdr>
            <w:top w:val="none" w:sz="0" w:space="0" w:color="auto"/>
            <w:left w:val="none" w:sz="0" w:space="0" w:color="auto"/>
            <w:bottom w:val="none" w:sz="0" w:space="0" w:color="auto"/>
            <w:right w:val="none" w:sz="0" w:space="0" w:color="auto"/>
          </w:divBdr>
        </w:div>
        <w:div w:id="595595320">
          <w:marLeft w:val="0"/>
          <w:marRight w:val="0"/>
          <w:marTop w:val="0"/>
          <w:marBottom w:val="0"/>
          <w:divBdr>
            <w:top w:val="none" w:sz="0" w:space="0" w:color="auto"/>
            <w:left w:val="none" w:sz="0" w:space="0" w:color="auto"/>
            <w:bottom w:val="none" w:sz="0" w:space="0" w:color="auto"/>
            <w:right w:val="none" w:sz="0" w:space="0" w:color="auto"/>
          </w:divBdr>
        </w:div>
        <w:div w:id="1095638595">
          <w:marLeft w:val="0"/>
          <w:marRight w:val="0"/>
          <w:marTop w:val="0"/>
          <w:marBottom w:val="0"/>
          <w:divBdr>
            <w:top w:val="none" w:sz="0" w:space="0" w:color="auto"/>
            <w:left w:val="none" w:sz="0" w:space="0" w:color="auto"/>
            <w:bottom w:val="none" w:sz="0" w:space="0" w:color="auto"/>
            <w:right w:val="none" w:sz="0" w:space="0" w:color="auto"/>
          </w:divBdr>
        </w:div>
        <w:div w:id="258100291">
          <w:marLeft w:val="0"/>
          <w:marRight w:val="0"/>
          <w:marTop w:val="0"/>
          <w:marBottom w:val="0"/>
          <w:divBdr>
            <w:top w:val="none" w:sz="0" w:space="0" w:color="auto"/>
            <w:left w:val="none" w:sz="0" w:space="0" w:color="auto"/>
            <w:bottom w:val="none" w:sz="0" w:space="0" w:color="auto"/>
            <w:right w:val="none" w:sz="0" w:space="0" w:color="auto"/>
          </w:divBdr>
        </w:div>
        <w:div w:id="1089544275">
          <w:marLeft w:val="0"/>
          <w:marRight w:val="0"/>
          <w:marTop w:val="0"/>
          <w:marBottom w:val="0"/>
          <w:divBdr>
            <w:top w:val="none" w:sz="0" w:space="0" w:color="auto"/>
            <w:left w:val="none" w:sz="0" w:space="0" w:color="auto"/>
            <w:bottom w:val="none" w:sz="0" w:space="0" w:color="auto"/>
            <w:right w:val="none" w:sz="0" w:space="0" w:color="auto"/>
          </w:divBdr>
        </w:div>
        <w:div w:id="766735930">
          <w:marLeft w:val="0"/>
          <w:marRight w:val="0"/>
          <w:marTop w:val="0"/>
          <w:marBottom w:val="0"/>
          <w:divBdr>
            <w:top w:val="none" w:sz="0" w:space="0" w:color="auto"/>
            <w:left w:val="none" w:sz="0" w:space="0" w:color="auto"/>
            <w:bottom w:val="none" w:sz="0" w:space="0" w:color="auto"/>
            <w:right w:val="none" w:sz="0" w:space="0" w:color="auto"/>
          </w:divBdr>
        </w:div>
        <w:div w:id="758524854">
          <w:marLeft w:val="0"/>
          <w:marRight w:val="0"/>
          <w:marTop w:val="0"/>
          <w:marBottom w:val="0"/>
          <w:divBdr>
            <w:top w:val="none" w:sz="0" w:space="0" w:color="auto"/>
            <w:left w:val="none" w:sz="0" w:space="0" w:color="auto"/>
            <w:bottom w:val="none" w:sz="0" w:space="0" w:color="auto"/>
            <w:right w:val="none" w:sz="0" w:space="0" w:color="auto"/>
          </w:divBdr>
        </w:div>
        <w:div w:id="105276210">
          <w:marLeft w:val="0"/>
          <w:marRight w:val="0"/>
          <w:marTop w:val="0"/>
          <w:marBottom w:val="0"/>
          <w:divBdr>
            <w:top w:val="none" w:sz="0" w:space="0" w:color="auto"/>
            <w:left w:val="none" w:sz="0" w:space="0" w:color="auto"/>
            <w:bottom w:val="none" w:sz="0" w:space="0" w:color="auto"/>
            <w:right w:val="none" w:sz="0" w:space="0" w:color="auto"/>
          </w:divBdr>
        </w:div>
        <w:div w:id="249699783">
          <w:marLeft w:val="0"/>
          <w:marRight w:val="0"/>
          <w:marTop w:val="0"/>
          <w:marBottom w:val="0"/>
          <w:divBdr>
            <w:top w:val="none" w:sz="0" w:space="0" w:color="auto"/>
            <w:left w:val="none" w:sz="0" w:space="0" w:color="auto"/>
            <w:bottom w:val="none" w:sz="0" w:space="0" w:color="auto"/>
            <w:right w:val="none" w:sz="0" w:space="0" w:color="auto"/>
          </w:divBdr>
        </w:div>
        <w:div w:id="1756513156">
          <w:marLeft w:val="0"/>
          <w:marRight w:val="0"/>
          <w:marTop w:val="0"/>
          <w:marBottom w:val="0"/>
          <w:divBdr>
            <w:top w:val="none" w:sz="0" w:space="0" w:color="auto"/>
            <w:left w:val="none" w:sz="0" w:space="0" w:color="auto"/>
            <w:bottom w:val="none" w:sz="0" w:space="0" w:color="auto"/>
            <w:right w:val="none" w:sz="0" w:space="0" w:color="auto"/>
          </w:divBdr>
        </w:div>
        <w:div w:id="834759078">
          <w:marLeft w:val="0"/>
          <w:marRight w:val="0"/>
          <w:marTop w:val="0"/>
          <w:marBottom w:val="0"/>
          <w:divBdr>
            <w:top w:val="none" w:sz="0" w:space="0" w:color="auto"/>
            <w:left w:val="none" w:sz="0" w:space="0" w:color="auto"/>
            <w:bottom w:val="none" w:sz="0" w:space="0" w:color="auto"/>
            <w:right w:val="none" w:sz="0" w:space="0" w:color="auto"/>
          </w:divBdr>
        </w:div>
        <w:div w:id="911744690">
          <w:marLeft w:val="0"/>
          <w:marRight w:val="0"/>
          <w:marTop w:val="0"/>
          <w:marBottom w:val="0"/>
          <w:divBdr>
            <w:top w:val="none" w:sz="0" w:space="0" w:color="auto"/>
            <w:left w:val="none" w:sz="0" w:space="0" w:color="auto"/>
            <w:bottom w:val="none" w:sz="0" w:space="0" w:color="auto"/>
            <w:right w:val="none" w:sz="0" w:space="0" w:color="auto"/>
          </w:divBdr>
        </w:div>
        <w:div w:id="731738924">
          <w:marLeft w:val="0"/>
          <w:marRight w:val="0"/>
          <w:marTop w:val="0"/>
          <w:marBottom w:val="0"/>
          <w:divBdr>
            <w:top w:val="none" w:sz="0" w:space="0" w:color="auto"/>
            <w:left w:val="none" w:sz="0" w:space="0" w:color="auto"/>
            <w:bottom w:val="none" w:sz="0" w:space="0" w:color="auto"/>
            <w:right w:val="none" w:sz="0" w:space="0" w:color="auto"/>
          </w:divBdr>
        </w:div>
        <w:div w:id="2092382990">
          <w:marLeft w:val="0"/>
          <w:marRight w:val="0"/>
          <w:marTop w:val="0"/>
          <w:marBottom w:val="0"/>
          <w:divBdr>
            <w:top w:val="none" w:sz="0" w:space="0" w:color="auto"/>
            <w:left w:val="none" w:sz="0" w:space="0" w:color="auto"/>
            <w:bottom w:val="none" w:sz="0" w:space="0" w:color="auto"/>
            <w:right w:val="none" w:sz="0" w:space="0" w:color="auto"/>
          </w:divBdr>
        </w:div>
        <w:div w:id="381560622">
          <w:marLeft w:val="0"/>
          <w:marRight w:val="0"/>
          <w:marTop w:val="0"/>
          <w:marBottom w:val="0"/>
          <w:divBdr>
            <w:top w:val="none" w:sz="0" w:space="0" w:color="auto"/>
            <w:left w:val="none" w:sz="0" w:space="0" w:color="auto"/>
            <w:bottom w:val="none" w:sz="0" w:space="0" w:color="auto"/>
            <w:right w:val="none" w:sz="0" w:space="0" w:color="auto"/>
          </w:divBdr>
        </w:div>
        <w:div w:id="554240310">
          <w:marLeft w:val="0"/>
          <w:marRight w:val="0"/>
          <w:marTop w:val="0"/>
          <w:marBottom w:val="0"/>
          <w:divBdr>
            <w:top w:val="none" w:sz="0" w:space="0" w:color="auto"/>
            <w:left w:val="none" w:sz="0" w:space="0" w:color="auto"/>
            <w:bottom w:val="none" w:sz="0" w:space="0" w:color="auto"/>
            <w:right w:val="none" w:sz="0" w:space="0" w:color="auto"/>
          </w:divBdr>
        </w:div>
        <w:div w:id="1696419874">
          <w:marLeft w:val="0"/>
          <w:marRight w:val="0"/>
          <w:marTop w:val="0"/>
          <w:marBottom w:val="0"/>
          <w:divBdr>
            <w:top w:val="none" w:sz="0" w:space="0" w:color="auto"/>
            <w:left w:val="none" w:sz="0" w:space="0" w:color="auto"/>
            <w:bottom w:val="none" w:sz="0" w:space="0" w:color="auto"/>
            <w:right w:val="none" w:sz="0" w:space="0" w:color="auto"/>
          </w:divBdr>
        </w:div>
        <w:div w:id="1215383989">
          <w:marLeft w:val="0"/>
          <w:marRight w:val="0"/>
          <w:marTop w:val="0"/>
          <w:marBottom w:val="0"/>
          <w:divBdr>
            <w:top w:val="none" w:sz="0" w:space="0" w:color="auto"/>
            <w:left w:val="none" w:sz="0" w:space="0" w:color="auto"/>
            <w:bottom w:val="none" w:sz="0" w:space="0" w:color="auto"/>
            <w:right w:val="none" w:sz="0" w:space="0" w:color="auto"/>
          </w:divBdr>
        </w:div>
        <w:div w:id="920411910">
          <w:marLeft w:val="0"/>
          <w:marRight w:val="0"/>
          <w:marTop w:val="0"/>
          <w:marBottom w:val="0"/>
          <w:divBdr>
            <w:top w:val="none" w:sz="0" w:space="0" w:color="auto"/>
            <w:left w:val="none" w:sz="0" w:space="0" w:color="auto"/>
            <w:bottom w:val="none" w:sz="0" w:space="0" w:color="auto"/>
            <w:right w:val="none" w:sz="0" w:space="0" w:color="auto"/>
          </w:divBdr>
        </w:div>
        <w:div w:id="437917867">
          <w:marLeft w:val="0"/>
          <w:marRight w:val="0"/>
          <w:marTop w:val="0"/>
          <w:marBottom w:val="0"/>
          <w:divBdr>
            <w:top w:val="none" w:sz="0" w:space="0" w:color="auto"/>
            <w:left w:val="none" w:sz="0" w:space="0" w:color="auto"/>
            <w:bottom w:val="none" w:sz="0" w:space="0" w:color="auto"/>
            <w:right w:val="none" w:sz="0" w:space="0" w:color="auto"/>
          </w:divBdr>
        </w:div>
        <w:div w:id="1480268632">
          <w:marLeft w:val="0"/>
          <w:marRight w:val="0"/>
          <w:marTop w:val="0"/>
          <w:marBottom w:val="0"/>
          <w:divBdr>
            <w:top w:val="none" w:sz="0" w:space="0" w:color="auto"/>
            <w:left w:val="none" w:sz="0" w:space="0" w:color="auto"/>
            <w:bottom w:val="none" w:sz="0" w:space="0" w:color="auto"/>
            <w:right w:val="none" w:sz="0" w:space="0" w:color="auto"/>
          </w:divBdr>
        </w:div>
        <w:div w:id="181936663">
          <w:marLeft w:val="0"/>
          <w:marRight w:val="0"/>
          <w:marTop w:val="0"/>
          <w:marBottom w:val="0"/>
          <w:divBdr>
            <w:top w:val="none" w:sz="0" w:space="0" w:color="auto"/>
            <w:left w:val="none" w:sz="0" w:space="0" w:color="auto"/>
            <w:bottom w:val="none" w:sz="0" w:space="0" w:color="auto"/>
            <w:right w:val="none" w:sz="0" w:space="0" w:color="auto"/>
          </w:divBdr>
        </w:div>
        <w:div w:id="1451053769">
          <w:marLeft w:val="0"/>
          <w:marRight w:val="0"/>
          <w:marTop w:val="0"/>
          <w:marBottom w:val="0"/>
          <w:divBdr>
            <w:top w:val="none" w:sz="0" w:space="0" w:color="auto"/>
            <w:left w:val="none" w:sz="0" w:space="0" w:color="auto"/>
            <w:bottom w:val="none" w:sz="0" w:space="0" w:color="auto"/>
            <w:right w:val="none" w:sz="0" w:space="0" w:color="auto"/>
          </w:divBdr>
        </w:div>
        <w:div w:id="450899953">
          <w:marLeft w:val="0"/>
          <w:marRight w:val="0"/>
          <w:marTop w:val="0"/>
          <w:marBottom w:val="0"/>
          <w:divBdr>
            <w:top w:val="none" w:sz="0" w:space="0" w:color="auto"/>
            <w:left w:val="none" w:sz="0" w:space="0" w:color="auto"/>
            <w:bottom w:val="none" w:sz="0" w:space="0" w:color="auto"/>
            <w:right w:val="none" w:sz="0" w:space="0" w:color="auto"/>
          </w:divBdr>
        </w:div>
        <w:div w:id="1084448762">
          <w:marLeft w:val="0"/>
          <w:marRight w:val="0"/>
          <w:marTop w:val="0"/>
          <w:marBottom w:val="0"/>
          <w:divBdr>
            <w:top w:val="none" w:sz="0" w:space="0" w:color="auto"/>
            <w:left w:val="none" w:sz="0" w:space="0" w:color="auto"/>
            <w:bottom w:val="none" w:sz="0" w:space="0" w:color="auto"/>
            <w:right w:val="none" w:sz="0" w:space="0" w:color="auto"/>
          </w:divBdr>
        </w:div>
        <w:div w:id="617179669">
          <w:marLeft w:val="0"/>
          <w:marRight w:val="0"/>
          <w:marTop w:val="0"/>
          <w:marBottom w:val="0"/>
          <w:divBdr>
            <w:top w:val="none" w:sz="0" w:space="0" w:color="auto"/>
            <w:left w:val="none" w:sz="0" w:space="0" w:color="auto"/>
            <w:bottom w:val="none" w:sz="0" w:space="0" w:color="auto"/>
            <w:right w:val="none" w:sz="0" w:space="0" w:color="auto"/>
          </w:divBdr>
        </w:div>
        <w:div w:id="1374576674">
          <w:marLeft w:val="0"/>
          <w:marRight w:val="0"/>
          <w:marTop w:val="0"/>
          <w:marBottom w:val="0"/>
          <w:divBdr>
            <w:top w:val="none" w:sz="0" w:space="0" w:color="auto"/>
            <w:left w:val="none" w:sz="0" w:space="0" w:color="auto"/>
            <w:bottom w:val="none" w:sz="0" w:space="0" w:color="auto"/>
            <w:right w:val="none" w:sz="0" w:space="0" w:color="auto"/>
          </w:divBdr>
        </w:div>
        <w:div w:id="180508737">
          <w:marLeft w:val="0"/>
          <w:marRight w:val="0"/>
          <w:marTop w:val="0"/>
          <w:marBottom w:val="0"/>
          <w:divBdr>
            <w:top w:val="none" w:sz="0" w:space="0" w:color="auto"/>
            <w:left w:val="none" w:sz="0" w:space="0" w:color="auto"/>
            <w:bottom w:val="none" w:sz="0" w:space="0" w:color="auto"/>
            <w:right w:val="none" w:sz="0" w:space="0" w:color="auto"/>
          </w:divBdr>
        </w:div>
        <w:div w:id="1416247554">
          <w:marLeft w:val="0"/>
          <w:marRight w:val="0"/>
          <w:marTop w:val="0"/>
          <w:marBottom w:val="0"/>
          <w:divBdr>
            <w:top w:val="none" w:sz="0" w:space="0" w:color="auto"/>
            <w:left w:val="none" w:sz="0" w:space="0" w:color="auto"/>
            <w:bottom w:val="none" w:sz="0" w:space="0" w:color="auto"/>
            <w:right w:val="none" w:sz="0" w:space="0" w:color="auto"/>
          </w:divBdr>
        </w:div>
        <w:div w:id="587496680">
          <w:marLeft w:val="0"/>
          <w:marRight w:val="0"/>
          <w:marTop w:val="0"/>
          <w:marBottom w:val="0"/>
          <w:divBdr>
            <w:top w:val="none" w:sz="0" w:space="0" w:color="auto"/>
            <w:left w:val="none" w:sz="0" w:space="0" w:color="auto"/>
            <w:bottom w:val="none" w:sz="0" w:space="0" w:color="auto"/>
            <w:right w:val="none" w:sz="0" w:space="0" w:color="auto"/>
          </w:divBdr>
        </w:div>
        <w:div w:id="1907106813">
          <w:marLeft w:val="0"/>
          <w:marRight w:val="0"/>
          <w:marTop w:val="0"/>
          <w:marBottom w:val="0"/>
          <w:divBdr>
            <w:top w:val="none" w:sz="0" w:space="0" w:color="auto"/>
            <w:left w:val="none" w:sz="0" w:space="0" w:color="auto"/>
            <w:bottom w:val="none" w:sz="0" w:space="0" w:color="auto"/>
            <w:right w:val="none" w:sz="0" w:space="0" w:color="auto"/>
          </w:divBdr>
        </w:div>
        <w:div w:id="631330472">
          <w:marLeft w:val="0"/>
          <w:marRight w:val="0"/>
          <w:marTop w:val="0"/>
          <w:marBottom w:val="0"/>
          <w:divBdr>
            <w:top w:val="none" w:sz="0" w:space="0" w:color="auto"/>
            <w:left w:val="none" w:sz="0" w:space="0" w:color="auto"/>
            <w:bottom w:val="none" w:sz="0" w:space="0" w:color="auto"/>
            <w:right w:val="none" w:sz="0" w:space="0" w:color="auto"/>
          </w:divBdr>
        </w:div>
        <w:div w:id="2077778613">
          <w:marLeft w:val="0"/>
          <w:marRight w:val="0"/>
          <w:marTop w:val="0"/>
          <w:marBottom w:val="0"/>
          <w:divBdr>
            <w:top w:val="none" w:sz="0" w:space="0" w:color="auto"/>
            <w:left w:val="none" w:sz="0" w:space="0" w:color="auto"/>
            <w:bottom w:val="none" w:sz="0" w:space="0" w:color="auto"/>
            <w:right w:val="none" w:sz="0" w:space="0" w:color="auto"/>
          </w:divBdr>
        </w:div>
        <w:div w:id="1473401307">
          <w:marLeft w:val="0"/>
          <w:marRight w:val="0"/>
          <w:marTop w:val="0"/>
          <w:marBottom w:val="0"/>
          <w:divBdr>
            <w:top w:val="none" w:sz="0" w:space="0" w:color="auto"/>
            <w:left w:val="none" w:sz="0" w:space="0" w:color="auto"/>
            <w:bottom w:val="none" w:sz="0" w:space="0" w:color="auto"/>
            <w:right w:val="none" w:sz="0" w:space="0" w:color="auto"/>
          </w:divBdr>
        </w:div>
        <w:div w:id="1855073630">
          <w:marLeft w:val="0"/>
          <w:marRight w:val="0"/>
          <w:marTop w:val="0"/>
          <w:marBottom w:val="0"/>
          <w:divBdr>
            <w:top w:val="none" w:sz="0" w:space="0" w:color="auto"/>
            <w:left w:val="none" w:sz="0" w:space="0" w:color="auto"/>
            <w:bottom w:val="none" w:sz="0" w:space="0" w:color="auto"/>
            <w:right w:val="none" w:sz="0" w:space="0" w:color="auto"/>
          </w:divBdr>
        </w:div>
        <w:div w:id="174350272">
          <w:marLeft w:val="0"/>
          <w:marRight w:val="0"/>
          <w:marTop w:val="0"/>
          <w:marBottom w:val="0"/>
          <w:divBdr>
            <w:top w:val="none" w:sz="0" w:space="0" w:color="auto"/>
            <w:left w:val="none" w:sz="0" w:space="0" w:color="auto"/>
            <w:bottom w:val="none" w:sz="0" w:space="0" w:color="auto"/>
            <w:right w:val="none" w:sz="0" w:space="0" w:color="auto"/>
          </w:divBdr>
        </w:div>
        <w:div w:id="1553812432">
          <w:marLeft w:val="0"/>
          <w:marRight w:val="0"/>
          <w:marTop w:val="0"/>
          <w:marBottom w:val="0"/>
          <w:divBdr>
            <w:top w:val="none" w:sz="0" w:space="0" w:color="auto"/>
            <w:left w:val="none" w:sz="0" w:space="0" w:color="auto"/>
            <w:bottom w:val="none" w:sz="0" w:space="0" w:color="auto"/>
            <w:right w:val="none" w:sz="0" w:space="0" w:color="auto"/>
          </w:divBdr>
        </w:div>
        <w:div w:id="40831168">
          <w:marLeft w:val="0"/>
          <w:marRight w:val="0"/>
          <w:marTop w:val="0"/>
          <w:marBottom w:val="0"/>
          <w:divBdr>
            <w:top w:val="none" w:sz="0" w:space="0" w:color="auto"/>
            <w:left w:val="none" w:sz="0" w:space="0" w:color="auto"/>
            <w:bottom w:val="none" w:sz="0" w:space="0" w:color="auto"/>
            <w:right w:val="none" w:sz="0" w:space="0" w:color="auto"/>
          </w:divBdr>
        </w:div>
        <w:div w:id="1087077218">
          <w:marLeft w:val="0"/>
          <w:marRight w:val="0"/>
          <w:marTop w:val="0"/>
          <w:marBottom w:val="0"/>
          <w:divBdr>
            <w:top w:val="none" w:sz="0" w:space="0" w:color="auto"/>
            <w:left w:val="none" w:sz="0" w:space="0" w:color="auto"/>
            <w:bottom w:val="none" w:sz="0" w:space="0" w:color="auto"/>
            <w:right w:val="none" w:sz="0" w:space="0" w:color="auto"/>
          </w:divBdr>
        </w:div>
        <w:div w:id="136262153">
          <w:marLeft w:val="0"/>
          <w:marRight w:val="0"/>
          <w:marTop w:val="0"/>
          <w:marBottom w:val="0"/>
          <w:divBdr>
            <w:top w:val="none" w:sz="0" w:space="0" w:color="auto"/>
            <w:left w:val="none" w:sz="0" w:space="0" w:color="auto"/>
            <w:bottom w:val="none" w:sz="0" w:space="0" w:color="auto"/>
            <w:right w:val="none" w:sz="0" w:space="0" w:color="auto"/>
          </w:divBdr>
        </w:div>
        <w:div w:id="646596295">
          <w:marLeft w:val="0"/>
          <w:marRight w:val="0"/>
          <w:marTop w:val="0"/>
          <w:marBottom w:val="0"/>
          <w:divBdr>
            <w:top w:val="none" w:sz="0" w:space="0" w:color="auto"/>
            <w:left w:val="none" w:sz="0" w:space="0" w:color="auto"/>
            <w:bottom w:val="none" w:sz="0" w:space="0" w:color="auto"/>
            <w:right w:val="none" w:sz="0" w:space="0" w:color="auto"/>
          </w:divBdr>
        </w:div>
        <w:div w:id="1276601291">
          <w:marLeft w:val="0"/>
          <w:marRight w:val="0"/>
          <w:marTop w:val="0"/>
          <w:marBottom w:val="0"/>
          <w:divBdr>
            <w:top w:val="none" w:sz="0" w:space="0" w:color="auto"/>
            <w:left w:val="none" w:sz="0" w:space="0" w:color="auto"/>
            <w:bottom w:val="none" w:sz="0" w:space="0" w:color="auto"/>
            <w:right w:val="none" w:sz="0" w:space="0" w:color="auto"/>
          </w:divBdr>
        </w:div>
        <w:div w:id="202838131">
          <w:marLeft w:val="0"/>
          <w:marRight w:val="0"/>
          <w:marTop w:val="0"/>
          <w:marBottom w:val="0"/>
          <w:divBdr>
            <w:top w:val="none" w:sz="0" w:space="0" w:color="auto"/>
            <w:left w:val="none" w:sz="0" w:space="0" w:color="auto"/>
            <w:bottom w:val="none" w:sz="0" w:space="0" w:color="auto"/>
            <w:right w:val="none" w:sz="0" w:space="0" w:color="auto"/>
          </w:divBdr>
        </w:div>
        <w:div w:id="371149181">
          <w:marLeft w:val="0"/>
          <w:marRight w:val="0"/>
          <w:marTop w:val="0"/>
          <w:marBottom w:val="0"/>
          <w:divBdr>
            <w:top w:val="none" w:sz="0" w:space="0" w:color="auto"/>
            <w:left w:val="none" w:sz="0" w:space="0" w:color="auto"/>
            <w:bottom w:val="none" w:sz="0" w:space="0" w:color="auto"/>
            <w:right w:val="none" w:sz="0" w:space="0" w:color="auto"/>
          </w:divBdr>
        </w:div>
        <w:div w:id="1577518143">
          <w:marLeft w:val="0"/>
          <w:marRight w:val="0"/>
          <w:marTop w:val="0"/>
          <w:marBottom w:val="0"/>
          <w:divBdr>
            <w:top w:val="none" w:sz="0" w:space="0" w:color="auto"/>
            <w:left w:val="none" w:sz="0" w:space="0" w:color="auto"/>
            <w:bottom w:val="none" w:sz="0" w:space="0" w:color="auto"/>
            <w:right w:val="none" w:sz="0" w:space="0" w:color="auto"/>
          </w:divBdr>
        </w:div>
        <w:div w:id="2017727977">
          <w:marLeft w:val="0"/>
          <w:marRight w:val="0"/>
          <w:marTop w:val="0"/>
          <w:marBottom w:val="0"/>
          <w:divBdr>
            <w:top w:val="none" w:sz="0" w:space="0" w:color="auto"/>
            <w:left w:val="none" w:sz="0" w:space="0" w:color="auto"/>
            <w:bottom w:val="none" w:sz="0" w:space="0" w:color="auto"/>
            <w:right w:val="none" w:sz="0" w:space="0" w:color="auto"/>
          </w:divBdr>
        </w:div>
        <w:div w:id="382800682">
          <w:marLeft w:val="0"/>
          <w:marRight w:val="0"/>
          <w:marTop w:val="0"/>
          <w:marBottom w:val="0"/>
          <w:divBdr>
            <w:top w:val="none" w:sz="0" w:space="0" w:color="auto"/>
            <w:left w:val="none" w:sz="0" w:space="0" w:color="auto"/>
            <w:bottom w:val="none" w:sz="0" w:space="0" w:color="auto"/>
            <w:right w:val="none" w:sz="0" w:space="0" w:color="auto"/>
          </w:divBdr>
        </w:div>
        <w:div w:id="1281378686">
          <w:marLeft w:val="0"/>
          <w:marRight w:val="0"/>
          <w:marTop w:val="0"/>
          <w:marBottom w:val="0"/>
          <w:divBdr>
            <w:top w:val="none" w:sz="0" w:space="0" w:color="auto"/>
            <w:left w:val="none" w:sz="0" w:space="0" w:color="auto"/>
            <w:bottom w:val="none" w:sz="0" w:space="0" w:color="auto"/>
            <w:right w:val="none" w:sz="0" w:space="0" w:color="auto"/>
          </w:divBdr>
        </w:div>
        <w:div w:id="2007971315">
          <w:marLeft w:val="0"/>
          <w:marRight w:val="0"/>
          <w:marTop w:val="0"/>
          <w:marBottom w:val="0"/>
          <w:divBdr>
            <w:top w:val="none" w:sz="0" w:space="0" w:color="auto"/>
            <w:left w:val="none" w:sz="0" w:space="0" w:color="auto"/>
            <w:bottom w:val="none" w:sz="0" w:space="0" w:color="auto"/>
            <w:right w:val="none" w:sz="0" w:space="0" w:color="auto"/>
          </w:divBdr>
        </w:div>
        <w:div w:id="1226526045">
          <w:marLeft w:val="0"/>
          <w:marRight w:val="0"/>
          <w:marTop w:val="0"/>
          <w:marBottom w:val="0"/>
          <w:divBdr>
            <w:top w:val="none" w:sz="0" w:space="0" w:color="auto"/>
            <w:left w:val="none" w:sz="0" w:space="0" w:color="auto"/>
            <w:bottom w:val="none" w:sz="0" w:space="0" w:color="auto"/>
            <w:right w:val="none" w:sz="0" w:space="0" w:color="auto"/>
          </w:divBdr>
        </w:div>
        <w:div w:id="14696438">
          <w:marLeft w:val="0"/>
          <w:marRight w:val="0"/>
          <w:marTop w:val="0"/>
          <w:marBottom w:val="0"/>
          <w:divBdr>
            <w:top w:val="none" w:sz="0" w:space="0" w:color="auto"/>
            <w:left w:val="none" w:sz="0" w:space="0" w:color="auto"/>
            <w:bottom w:val="none" w:sz="0" w:space="0" w:color="auto"/>
            <w:right w:val="none" w:sz="0" w:space="0" w:color="auto"/>
          </w:divBdr>
        </w:div>
        <w:div w:id="1397515513">
          <w:marLeft w:val="0"/>
          <w:marRight w:val="0"/>
          <w:marTop w:val="0"/>
          <w:marBottom w:val="0"/>
          <w:divBdr>
            <w:top w:val="none" w:sz="0" w:space="0" w:color="auto"/>
            <w:left w:val="none" w:sz="0" w:space="0" w:color="auto"/>
            <w:bottom w:val="none" w:sz="0" w:space="0" w:color="auto"/>
            <w:right w:val="none" w:sz="0" w:space="0" w:color="auto"/>
          </w:divBdr>
        </w:div>
        <w:div w:id="1485900112">
          <w:marLeft w:val="0"/>
          <w:marRight w:val="0"/>
          <w:marTop w:val="0"/>
          <w:marBottom w:val="0"/>
          <w:divBdr>
            <w:top w:val="none" w:sz="0" w:space="0" w:color="auto"/>
            <w:left w:val="none" w:sz="0" w:space="0" w:color="auto"/>
            <w:bottom w:val="none" w:sz="0" w:space="0" w:color="auto"/>
            <w:right w:val="none" w:sz="0" w:space="0" w:color="auto"/>
          </w:divBdr>
        </w:div>
        <w:div w:id="1109816973">
          <w:marLeft w:val="0"/>
          <w:marRight w:val="0"/>
          <w:marTop w:val="0"/>
          <w:marBottom w:val="0"/>
          <w:divBdr>
            <w:top w:val="none" w:sz="0" w:space="0" w:color="auto"/>
            <w:left w:val="none" w:sz="0" w:space="0" w:color="auto"/>
            <w:bottom w:val="none" w:sz="0" w:space="0" w:color="auto"/>
            <w:right w:val="none" w:sz="0" w:space="0" w:color="auto"/>
          </w:divBdr>
        </w:div>
        <w:div w:id="690228497">
          <w:marLeft w:val="0"/>
          <w:marRight w:val="0"/>
          <w:marTop w:val="0"/>
          <w:marBottom w:val="0"/>
          <w:divBdr>
            <w:top w:val="none" w:sz="0" w:space="0" w:color="auto"/>
            <w:left w:val="none" w:sz="0" w:space="0" w:color="auto"/>
            <w:bottom w:val="none" w:sz="0" w:space="0" w:color="auto"/>
            <w:right w:val="none" w:sz="0" w:space="0" w:color="auto"/>
          </w:divBdr>
        </w:div>
        <w:div w:id="1487864169">
          <w:marLeft w:val="0"/>
          <w:marRight w:val="0"/>
          <w:marTop w:val="0"/>
          <w:marBottom w:val="0"/>
          <w:divBdr>
            <w:top w:val="none" w:sz="0" w:space="0" w:color="auto"/>
            <w:left w:val="none" w:sz="0" w:space="0" w:color="auto"/>
            <w:bottom w:val="none" w:sz="0" w:space="0" w:color="auto"/>
            <w:right w:val="none" w:sz="0" w:space="0" w:color="auto"/>
          </w:divBdr>
        </w:div>
        <w:div w:id="721245797">
          <w:marLeft w:val="0"/>
          <w:marRight w:val="0"/>
          <w:marTop w:val="0"/>
          <w:marBottom w:val="0"/>
          <w:divBdr>
            <w:top w:val="none" w:sz="0" w:space="0" w:color="auto"/>
            <w:left w:val="none" w:sz="0" w:space="0" w:color="auto"/>
            <w:bottom w:val="none" w:sz="0" w:space="0" w:color="auto"/>
            <w:right w:val="none" w:sz="0" w:space="0" w:color="auto"/>
          </w:divBdr>
        </w:div>
        <w:div w:id="227426313">
          <w:marLeft w:val="0"/>
          <w:marRight w:val="0"/>
          <w:marTop w:val="0"/>
          <w:marBottom w:val="0"/>
          <w:divBdr>
            <w:top w:val="none" w:sz="0" w:space="0" w:color="auto"/>
            <w:left w:val="none" w:sz="0" w:space="0" w:color="auto"/>
            <w:bottom w:val="none" w:sz="0" w:space="0" w:color="auto"/>
            <w:right w:val="none" w:sz="0" w:space="0" w:color="auto"/>
          </w:divBdr>
        </w:div>
        <w:div w:id="796681445">
          <w:marLeft w:val="0"/>
          <w:marRight w:val="0"/>
          <w:marTop w:val="0"/>
          <w:marBottom w:val="0"/>
          <w:divBdr>
            <w:top w:val="none" w:sz="0" w:space="0" w:color="auto"/>
            <w:left w:val="none" w:sz="0" w:space="0" w:color="auto"/>
            <w:bottom w:val="none" w:sz="0" w:space="0" w:color="auto"/>
            <w:right w:val="none" w:sz="0" w:space="0" w:color="auto"/>
          </w:divBdr>
        </w:div>
        <w:div w:id="997002111">
          <w:marLeft w:val="0"/>
          <w:marRight w:val="0"/>
          <w:marTop w:val="0"/>
          <w:marBottom w:val="0"/>
          <w:divBdr>
            <w:top w:val="none" w:sz="0" w:space="0" w:color="auto"/>
            <w:left w:val="none" w:sz="0" w:space="0" w:color="auto"/>
            <w:bottom w:val="none" w:sz="0" w:space="0" w:color="auto"/>
            <w:right w:val="none" w:sz="0" w:space="0" w:color="auto"/>
          </w:divBdr>
        </w:div>
        <w:div w:id="279069779">
          <w:marLeft w:val="0"/>
          <w:marRight w:val="0"/>
          <w:marTop w:val="0"/>
          <w:marBottom w:val="0"/>
          <w:divBdr>
            <w:top w:val="none" w:sz="0" w:space="0" w:color="auto"/>
            <w:left w:val="none" w:sz="0" w:space="0" w:color="auto"/>
            <w:bottom w:val="none" w:sz="0" w:space="0" w:color="auto"/>
            <w:right w:val="none" w:sz="0" w:space="0" w:color="auto"/>
          </w:divBdr>
        </w:div>
        <w:div w:id="1000504133">
          <w:marLeft w:val="0"/>
          <w:marRight w:val="0"/>
          <w:marTop w:val="0"/>
          <w:marBottom w:val="0"/>
          <w:divBdr>
            <w:top w:val="none" w:sz="0" w:space="0" w:color="auto"/>
            <w:left w:val="none" w:sz="0" w:space="0" w:color="auto"/>
            <w:bottom w:val="none" w:sz="0" w:space="0" w:color="auto"/>
            <w:right w:val="none" w:sz="0" w:space="0" w:color="auto"/>
          </w:divBdr>
        </w:div>
        <w:div w:id="887952504">
          <w:marLeft w:val="0"/>
          <w:marRight w:val="0"/>
          <w:marTop w:val="0"/>
          <w:marBottom w:val="0"/>
          <w:divBdr>
            <w:top w:val="none" w:sz="0" w:space="0" w:color="auto"/>
            <w:left w:val="none" w:sz="0" w:space="0" w:color="auto"/>
            <w:bottom w:val="none" w:sz="0" w:space="0" w:color="auto"/>
            <w:right w:val="none" w:sz="0" w:space="0" w:color="auto"/>
          </w:divBdr>
        </w:div>
        <w:div w:id="1077751471">
          <w:marLeft w:val="0"/>
          <w:marRight w:val="0"/>
          <w:marTop w:val="0"/>
          <w:marBottom w:val="0"/>
          <w:divBdr>
            <w:top w:val="none" w:sz="0" w:space="0" w:color="auto"/>
            <w:left w:val="none" w:sz="0" w:space="0" w:color="auto"/>
            <w:bottom w:val="none" w:sz="0" w:space="0" w:color="auto"/>
            <w:right w:val="none" w:sz="0" w:space="0" w:color="auto"/>
          </w:divBdr>
        </w:div>
        <w:div w:id="390882325">
          <w:marLeft w:val="0"/>
          <w:marRight w:val="0"/>
          <w:marTop w:val="0"/>
          <w:marBottom w:val="0"/>
          <w:divBdr>
            <w:top w:val="none" w:sz="0" w:space="0" w:color="auto"/>
            <w:left w:val="none" w:sz="0" w:space="0" w:color="auto"/>
            <w:bottom w:val="none" w:sz="0" w:space="0" w:color="auto"/>
            <w:right w:val="none" w:sz="0" w:space="0" w:color="auto"/>
          </w:divBdr>
        </w:div>
        <w:div w:id="276259013">
          <w:marLeft w:val="0"/>
          <w:marRight w:val="0"/>
          <w:marTop w:val="0"/>
          <w:marBottom w:val="0"/>
          <w:divBdr>
            <w:top w:val="none" w:sz="0" w:space="0" w:color="auto"/>
            <w:left w:val="none" w:sz="0" w:space="0" w:color="auto"/>
            <w:bottom w:val="none" w:sz="0" w:space="0" w:color="auto"/>
            <w:right w:val="none" w:sz="0" w:space="0" w:color="auto"/>
          </w:divBdr>
        </w:div>
        <w:div w:id="90928794">
          <w:marLeft w:val="0"/>
          <w:marRight w:val="0"/>
          <w:marTop w:val="0"/>
          <w:marBottom w:val="0"/>
          <w:divBdr>
            <w:top w:val="none" w:sz="0" w:space="0" w:color="auto"/>
            <w:left w:val="none" w:sz="0" w:space="0" w:color="auto"/>
            <w:bottom w:val="none" w:sz="0" w:space="0" w:color="auto"/>
            <w:right w:val="none" w:sz="0" w:space="0" w:color="auto"/>
          </w:divBdr>
        </w:div>
        <w:div w:id="645356684">
          <w:marLeft w:val="0"/>
          <w:marRight w:val="0"/>
          <w:marTop w:val="0"/>
          <w:marBottom w:val="0"/>
          <w:divBdr>
            <w:top w:val="none" w:sz="0" w:space="0" w:color="auto"/>
            <w:left w:val="none" w:sz="0" w:space="0" w:color="auto"/>
            <w:bottom w:val="none" w:sz="0" w:space="0" w:color="auto"/>
            <w:right w:val="none" w:sz="0" w:space="0" w:color="auto"/>
          </w:divBdr>
        </w:div>
        <w:div w:id="2106924305">
          <w:marLeft w:val="0"/>
          <w:marRight w:val="0"/>
          <w:marTop w:val="0"/>
          <w:marBottom w:val="0"/>
          <w:divBdr>
            <w:top w:val="none" w:sz="0" w:space="0" w:color="auto"/>
            <w:left w:val="none" w:sz="0" w:space="0" w:color="auto"/>
            <w:bottom w:val="none" w:sz="0" w:space="0" w:color="auto"/>
            <w:right w:val="none" w:sz="0" w:space="0" w:color="auto"/>
          </w:divBdr>
        </w:div>
        <w:div w:id="513963770">
          <w:marLeft w:val="0"/>
          <w:marRight w:val="0"/>
          <w:marTop w:val="0"/>
          <w:marBottom w:val="0"/>
          <w:divBdr>
            <w:top w:val="none" w:sz="0" w:space="0" w:color="auto"/>
            <w:left w:val="none" w:sz="0" w:space="0" w:color="auto"/>
            <w:bottom w:val="none" w:sz="0" w:space="0" w:color="auto"/>
            <w:right w:val="none" w:sz="0" w:space="0" w:color="auto"/>
          </w:divBdr>
        </w:div>
        <w:div w:id="133449567">
          <w:marLeft w:val="0"/>
          <w:marRight w:val="0"/>
          <w:marTop w:val="0"/>
          <w:marBottom w:val="0"/>
          <w:divBdr>
            <w:top w:val="none" w:sz="0" w:space="0" w:color="auto"/>
            <w:left w:val="none" w:sz="0" w:space="0" w:color="auto"/>
            <w:bottom w:val="none" w:sz="0" w:space="0" w:color="auto"/>
            <w:right w:val="none" w:sz="0" w:space="0" w:color="auto"/>
          </w:divBdr>
        </w:div>
        <w:div w:id="645207430">
          <w:marLeft w:val="0"/>
          <w:marRight w:val="0"/>
          <w:marTop w:val="0"/>
          <w:marBottom w:val="0"/>
          <w:divBdr>
            <w:top w:val="none" w:sz="0" w:space="0" w:color="auto"/>
            <w:left w:val="none" w:sz="0" w:space="0" w:color="auto"/>
            <w:bottom w:val="none" w:sz="0" w:space="0" w:color="auto"/>
            <w:right w:val="none" w:sz="0" w:space="0" w:color="auto"/>
          </w:divBdr>
        </w:div>
        <w:div w:id="905382416">
          <w:marLeft w:val="0"/>
          <w:marRight w:val="0"/>
          <w:marTop w:val="0"/>
          <w:marBottom w:val="0"/>
          <w:divBdr>
            <w:top w:val="none" w:sz="0" w:space="0" w:color="auto"/>
            <w:left w:val="none" w:sz="0" w:space="0" w:color="auto"/>
            <w:bottom w:val="none" w:sz="0" w:space="0" w:color="auto"/>
            <w:right w:val="none" w:sz="0" w:space="0" w:color="auto"/>
          </w:divBdr>
        </w:div>
        <w:div w:id="9265661">
          <w:marLeft w:val="0"/>
          <w:marRight w:val="0"/>
          <w:marTop w:val="0"/>
          <w:marBottom w:val="0"/>
          <w:divBdr>
            <w:top w:val="none" w:sz="0" w:space="0" w:color="auto"/>
            <w:left w:val="none" w:sz="0" w:space="0" w:color="auto"/>
            <w:bottom w:val="none" w:sz="0" w:space="0" w:color="auto"/>
            <w:right w:val="none" w:sz="0" w:space="0" w:color="auto"/>
          </w:divBdr>
        </w:div>
        <w:div w:id="1546680735">
          <w:marLeft w:val="0"/>
          <w:marRight w:val="0"/>
          <w:marTop w:val="0"/>
          <w:marBottom w:val="0"/>
          <w:divBdr>
            <w:top w:val="none" w:sz="0" w:space="0" w:color="auto"/>
            <w:left w:val="none" w:sz="0" w:space="0" w:color="auto"/>
            <w:bottom w:val="none" w:sz="0" w:space="0" w:color="auto"/>
            <w:right w:val="none" w:sz="0" w:space="0" w:color="auto"/>
          </w:divBdr>
        </w:div>
        <w:div w:id="22440745">
          <w:marLeft w:val="0"/>
          <w:marRight w:val="0"/>
          <w:marTop w:val="0"/>
          <w:marBottom w:val="0"/>
          <w:divBdr>
            <w:top w:val="none" w:sz="0" w:space="0" w:color="auto"/>
            <w:left w:val="none" w:sz="0" w:space="0" w:color="auto"/>
            <w:bottom w:val="none" w:sz="0" w:space="0" w:color="auto"/>
            <w:right w:val="none" w:sz="0" w:space="0" w:color="auto"/>
          </w:divBdr>
        </w:div>
        <w:div w:id="729351303">
          <w:marLeft w:val="0"/>
          <w:marRight w:val="0"/>
          <w:marTop w:val="0"/>
          <w:marBottom w:val="0"/>
          <w:divBdr>
            <w:top w:val="none" w:sz="0" w:space="0" w:color="auto"/>
            <w:left w:val="none" w:sz="0" w:space="0" w:color="auto"/>
            <w:bottom w:val="none" w:sz="0" w:space="0" w:color="auto"/>
            <w:right w:val="none" w:sz="0" w:space="0" w:color="auto"/>
          </w:divBdr>
        </w:div>
        <w:div w:id="723719622">
          <w:marLeft w:val="0"/>
          <w:marRight w:val="0"/>
          <w:marTop w:val="0"/>
          <w:marBottom w:val="0"/>
          <w:divBdr>
            <w:top w:val="none" w:sz="0" w:space="0" w:color="auto"/>
            <w:left w:val="none" w:sz="0" w:space="0" w:color="auto"/>
            <w:bottom w:val="none" w:sz="0" w:space="0" w:color="auto"/>
            <w:right w:val="none" w:sz="0" w:space="0" w:color="auto"/>
          </w:divBdr>
        </w:div>
        <w:div w:id="1709455536">
          <w:marLeft w:val="0"/>
          <w:marRight w:val="0"/>
          <w:marTop w:val="0"/>
          <w:marBottom w:val="0"/>
          <w:divBdr>
            <w:top w:val="none" w:sz="0" w:space="0" w:color="auto"/>
            <w:left w:val="none" w:sz="0" w:space="0" w:color="auto"/>
            <w:bottom w:val="none" w:sz="0" w:space="0" w:color="auto"/>
            <w:right w:val="none" w:sz="0" w:space="0" w:color="auto"/>
          </w:divBdr>
        </w:div>
        <w:div w:id="1350178108">
          <w:marLeft w:val="0"/>
          <w:marRight w:val="0"/>
          <w:marTop w:val="0"/>
          <w:marBottom w:val="0"/>
          <w:divBdr>
            <w:top w:val="none" w:sz="0" w:space="0" w:color="auto"/>
            <w:left w:val="none" w:sz="0" w:space="0" w:color="auto"/>
            <w:bottom w:val="none" w:sz="0" w:space="0" w:color="auto"/>
            <w:right w:val="none" w:sz="0" w:space="0" w:color="auto"/>
          </w:divBdr>
        </w:div>
        <w:div w:id="667633104">
          <w:marLeft w:val="0"/>
          <w:marRight w:val="0"/>
          <w:marTop w:val="0"/>
          <w:marBottom w:val="0"/>
          <w:divBdr>
            <w:top w:val="none" w:sz="0" w:space="0" w:color="auto"/>
            <w:left w:val="none" w:sz="0" w:space="0" w:color="auto"/>
            <w:bottom w:val="none" w:sz="0" w:space="0" w:color="auto"/>
            <w:right w:val="none" w:sz="0" w:space="0" w:color="auto"/>
          </w:divBdr>
        </w:div>
        <w:div w:id="1236740313">
          <w:marLeft w:val="0"/>
          <w:marRight w:val="0"/>
          <w:marTop w:val="0"/>
          <w:marBottom w:val="0"/>
          <w:divBdr>
            <w:top w:val="none" w:sz="0" w:space="0" w:color="auto"/>
            <w:left w:val="none" w:sz="0" w:space="0" w:color="auto"/>
            <w:bottom w:val="none" w:sz="0" w:space="0" w:color="auto"/>
            <w:right w:val="none" w:sz="0" w:space="0" w:color="auto"/>
          </w:divBdr>
        </w:div>
        <w:div w:id="382874495">
          <w:marLeft w:val="0"/>
          <w:marRight w:val="0"/>
          <w:marTop w:val="0"/>
          <w:marBottom w:val="0"/>
          <w:divBdr>
            <w:top w:val="none" w:sz="0" w:space="0" w:color="auto"/>
            <w:left w:val="none" w:sz="0" w:space="0" w:color="auto"/>
            <w:bottom w:val="none" w:sz="0" w:space="0" w:color="auto"/>
            <w:right w:val="none" w:sz="0" w:space="0" w:color="auto"/>
          </w:divBdr>
        </w:div>
        <w:div w:id="771248520">
          <w:marLeft w:val="0"/>
          <w:marRight w:val="0"/>
          <w:marTop w:val="0"/>
          <w:marBottom w:val="0"/>
          <w:divBdr>
            <w:top w:val="none" w:sz="0" w:space="0" w:color="auto"/>
            <w:left w:val="none" w:sz="0" w:space="0" w:color="auto"/>
            <w:bottom w:val="none" w:sz="0" w:space="0" w:color="auto"/>
            <w:right w:val="none" w:sz="0" w:space="0" w:color="auto"/>
          </w:divBdr>
        </w:div>
        <w:div w:id="1873765772">
          <w:marLeft w:val="0"/>
          <w:marRight w:val="0"/>
          <w:marTop w:val="0"/>
          <w:marBottom w:val="0"/>
          <w:divBdr>
            <w:top w:val="none" w:sz="0" w:space="0" w:color="auto"/>
            <w:left w:val="none" w:sz="0" w:space="0" w:color="auto"/>
            <w:bottom w:val="none" w:sz="0" w:space="0" w:color="auto"/>
            <w:right w:val="none" w:sz="0" w:space="0" w:color="auto"/>
          </w:divBdr>
        </w:div>
        <w:div w:id="1167399641">
          <w:marLeft w:val="0"/>
          <w:marRight w:val="0"/>
          <w:marTop w:val="0"/>
          <w:marBottom w:val="0"/>
          <w:divBdr>
            <w:top w:val="none" w:sz="0" w:space="0" w:color="auto"/>
            <w:left w:val="none" w:sz="0" w:space="0" w:color="auto"/>
            <w:bottom w:val="none" w:sz="0" w:space="0" w:color="auto"/>
            <w:right w:val="none" w:sz="0" w:space="0" w:color="auto"/>
          </w:divBdr>
        </w:div>
        <w:div w:id="1965767208">
          <w:marLeft w:val="0"/>
          <w:marRight w:val="0"/>
          <w:marTop w:val="0"/>
          <w:marBottom w:val="0"/>
          <w:divBdr>
            <w:top w:val="none" w:sz="0" w:space="0" w:color="auto"/>
            <w:left w:val="none" w:sz="0" w:space="0" w:color="auto"/>
            <w:bottom w:val="none" w:sz="0" w:space="0" w:color="auto"/>
            <w:right w:val="none" w:sz="0" w:space="0" w:color="auto"/>
          </w:divBdr>
        </w:div>
        <w:div w:id="829640092">
          <w:marLeft w:val="0"/>
          <w:marRight w:val="0"/>
          <w:marTop w:val="0"/>
          <w:marBottom w:val="0"/>
          <w:divBdr>
            <w:top w:val="none" w:sz="0" w:space="0" w:color="auto"/>
            <w:left w:val="none" w:sz="0" w:space="0" w:color="auto"/>
            <w:bottom w:val="none" w:sz="0" w:space="0" w:color="auto"/>
            <w:right w:val="none" w:sz="0" w:space="0" w:color="auto"/>
          </w:divBdr>
        </w:div>
        <w:div w:id="1821916971">
          <w:marLeft w:val="0"/>
          <w:marRight w:val="0"/>
          <w:marTop w:val="0"/>
          <w:marBottom w:val="0"/>
          <w:divBdr>
            <w:top w:val="none" w:sz="0" w:space="0" w:color="auto"/>
            <w:left w:val="none" w:sz="0" w:space="0" w:color="auto"/>
            <w:bottom w:val="none" w:sz="0" w:space="0" w:color="auto"/>
            <w:right w:val="none" w:sz="0" w:space="0" w:color="auto"/>
          </w:divBdr>
        </w:div>
        <w:div w:id="1988632907">
          <w:marLeft w:val="0"/>
          <w:marRight w:val="0"/>
          <w:marTop w:val="0"/>
          <w:marBottom w:val="0"/>
          <w:divBdr>
            <w:top w:val="none" w:sz="0" w:space="0" w:color="auto"/>
            <w:left w:val="none" w:sz="0" w:space="0" w:color="auto"/>
            <w:bottom w:val="none" w:sz="0" w:space="0" w:color="auto"/>
            <w:right w:val="none" w:sz="0" w:space="0" w:color="auto"/>
          </w:divBdr>
        </w:div>
        <w:div w:id="1159537159">
          <w:marLeft w:val="0"/>
          <w:marRight w:val="0"/>
          <w:marTop w:val="0"/>
          <w:marBottom w:val="0"/>
          <w:divBdr>
            <w:top w:val="none" w:sz="0" w:space="0" w:color="auto"/>
            <w:left w:val="none" w:sz="0" w:space="0" w:color="auto"/>
            <w:bottom w:val="none" w:sz="0" w:space="0" w:color="auto"/>
            <w:right w:val="none" w:sz="0" w:space="0" w:color="auto"/>
          </w:divBdr>
        </w:div>
        <w:div w:id="1908301665">
          <w:marLeft w:val="0"/>
          <w:marRight w:val="0"/>
          <w:marTop w:val="0"/>
          <w:marBottom w:val="0"/>
          <w:divBdr>
            <w:top w:val="none" w:sz="0" w:space="0" w:color="auto"/>
            <w:left w:val="none" w:sz="0" w:space="0" w:color="auto"/>
            <w:bottom w:val="none" w:sz="0" w:space="0" w:color="auto"/>
            <w:right w:val="none" w:sz="0" w:space="0" w:color="auto"/>
          </w:divBdr>
        </w:div>
        <w:div w:id="754859666">
          <w:marLeft w:val="0"/>
          <w:marRight w:val="0"/>
          <w:marTop w:val="0"/>
          <w:marBottom w:val="0"/>
          <w:divBdr>
            <w:top w:val="none" w:sz="0" w:space="0" w:color="auto"/>
            <w:left w:val="none" w:sz="0" w:space="0" w:color="auto"/>
            <w:bottom w:val="none" w:sz="0" w:space="0" w:color="auto"/>
            <w:right w:val="none" w:sz="0" w:space="0" w:color="auto"/>
          </w:divBdr>
        </w:div>
        <w:div w:id="1933973827">
          <w:marLeft w:val="0"/>
          <w:marRight w:val="0"/>
          <w:marTop w:val="0"/>
          <w:marBottom w:val="0"/>
          <w:divBdr>
            <w:top w:val="none" w:sz="0" w:space="0" w:color="auto"/>
            <w:left w:val="none" w:sz="0" w:space="0" w:color="auto"/>
            <w:bottom w:val="none" w:sz="0" w:space="0" w:color="auto"/>
            <w:right w:val="none" w:sz="0" w:space="0" w:color="auto"/>
          </w:divBdr>
        </w:div>
        <w:div w:id="634337093">
          <w:marLeft w:val="0"/>
          <w:marRight w:val="0"/>
          <w:marTop w:val="0"/>
          <w:marBottom w:val="0"/>
          <w:divBdr>
            <w:top w:val="none" w:sz="0" w:space="0" w:color="auto"/>
            <w:left w:val="none" w:sz="0" w:space="0" w:color="auto"/>
            <w:bottom w:val="none" w:sz="0" w:space="0" w:color="auto"/>
            <w:right w:val="none" w:sz="0" w:space="0" w:color="auto"/>
          </w:divBdr>
        </w:div>
        <w:div w:id="1619334937">
          <w:marLeft w:val="0"/>
          <w:marRight w:val="0"/>
          <w:marTop w:val="0"/>
          <w:marBottom w:val="0"/>
          <w:divBdr>
            <w:top w:val="none" w:sz="0" w:space="0" w:color="auto"/>
            <w:left w:val="none" w:sz="0" w:space="0" w:color="auto"/>
            <w:bottom w:val="none" w:sz="0" w:space="0" w:color="auto"/>
            <w:right w:val="none" w:sz="0" w:space="0" w:color="auto"/>
          </w:divBdr>
        </w:div>
        <w:div w:id="981693879">
          <w:marLeft w:val="0"/>
          <w:marRight w:val="0"/>
          <w:marTop w:val="0"/>
          <w:marBottom w:val="0"/>
          <w:divBdr>
            <w:top w:val="none" w:sz="0" w:space="0" w:color="auto"/>
            <w:left w:val="none" w:sz="0" w:space="0" w:color="auto"/>
            <w:bottom w:val="none" w:sz="0" w:space="0" w:color="auto"/>
            <w:right w:val="none" w:sz="0" w:space="0" w:color="auto"/>
          </w:divBdr>
        </w:div>
        <w:div w:id="245654665">
          <w:marLeft w:val="0"/>
          <w:marRight w:val="0"/>
          <w:marTop w:val="0"/>
          <w:marBottom w:val="0"/>
          <w:divBdr>
            <w:top w:val="none" w:sz="0" w:space="0" w:color="auto"/>
            <w:left w:val="none" w:sz="0" w:space="0" w:color="auto"/>
            <w:bottom w:val="none" w:sz="0" w:space="0" w:color="auto"/>
            <w:right w:val="none" w:sz="0" w:space="0" w:color="auto"/>
          </w:divBdr>
        </w:div>
        <w:div w:id="149097506">
          <w:marLeft w:val="0"/>
          <w:marRight w:val="0"/>
          <w:marTop w:val="0"/>
          <w:marBottom w:val="0"/>
          <w:divBdr>
            <w:top w:val="none" w:sz="0" w:space="0" w:color="auto"/>
            <w:left w:val="none" w:sz="0" w:space="0" w:color="auto"/>
            <w:bottom w:val="none" w:sz="0" w:space="0" w:color="auto"/>
            <w:right w:val="none" w:sz="0" w:space="0" w:color="auto"/>
          </w:divBdr>
        </w:div>
        <w:div w:id="2117403299">
          <w:marLeft w:val="0"/>
          <w:marRight w:val="0"/>
          <w:marTop w:val="0"/>
          <w:marBottom w:val="0"/>
          <w:divBdr>
            <w:top w:val="none" w:sz="0" w:space="0" w:color="auto"/>
            <w:left w:val="none" w:sz="0" w:space="0" w:color="auto"/>
            <w:bottom w:val="none" w:sz="0" w:space="0" w:color="auto"/>
            <w:right w:val="none" w:sz="0" w:space="0" w:color="auto"/>
          </w:divBdr>
        </w:div>
        <w:div w:id="1044017406">
          <w:marLeft w:val="0"/>
          <w:marRight w:val="0"/>
          <w:marTop w:val="0"/>
          <w:marBottom w:val="0"/>
          <w:divBdr>
            <w:top w:val="none" w:sz="0" w:space="0" w:color="auto"/>
            <w:left w:val="none" w:sz="0" w:space="0" w:color="auto"/>
            <w:bottom w:val="none" w:sz="0" w:space="0" w:color="auto"/>
            <w:right w:val="none" w:sz="0" w:space="0" w:color="auto"/>
          </w:divBdr>
        </w:div>
        <w:div w:id="1630696409">
          <w:marLeft w:val="0"/>
          <w:marRight w:val="0"/>
          <w:marTop w:val="0"/>
          <w:marBottom w:val="0"/>
          <w:divBdr>
            <w:top w:val="none" w:sz="0" w:space="0" w:color="auto"/>
            <w:left w:val="none" w:sz="0" w:space="0" w:color="auto"/>
            <w:bottom w:val="none" w:sz="0" w:space="0" w:color="auto"/>
            <w:right w:val="none" w:sz="0" w:space="0" w:color="auto"/>
          </w:divBdr>
        </w:div>
        <w:div w:id="51122046">
          <w:marLeft w:val="0"/>
          <w:marRight w:val="0"/>
          <w:marTop w:val="0"/>
          <w:marBottom w:val="0"/>
          <w:divBdr>
            <w:top w:val="none" w:sz="0" w:space="0" w:color="auto"/>
            <w:left w:val="none" w:sz="0" w:space="0" w:color="auto"/>
            <w:bottom w:val="none" w:sz="0" w:space="0" w:color="auto"/>
            <w:right w:val="none" w:sz="0" w:space="0" w:color="auto"/>
          </w:divBdr>
        </w:div>
        <w:div w:id="1582375612">
          <w:marLeft w:val="0"/>
          <w:marRight w:val="0"/>
          <w:marTop w:val="0"/>
          <w:marBottom w:val="0"/>
          <w:divBdr>
            <w:top w:val="none" w:sz="0" w:space="0" w:color="auto"/>
            <w:left w:val="none" w:sz="0" w:space="0" w:color="auto"/>
            <w:bottom w:val="none" w:sz="0" w:space="0" w:color="auto"/>
            <w:right w:val="none" w:sz="0" w:space="0" w:color="auto"/>
          </w:divBdr>
        </w:div>
        <w:div w:id="197596270">
          <w:marLeft w:val="0"/>
          <w:marRight w:val="0"/>
          <w:marTop w:val="0"/>
          <w:marBottom w:val="0"/>
          <w:divBdr>
            <w:top w:val="none" w:sz="0" w:space="0" w:color="auto"/>
            <w:left w:val="none" w:sz="0" w:space="0" w:color="auto"/>
            <w:bottom w:val="none" w:sz="0" w:space="0" w:color="auto"/>
            <w:right w:val="none" w:sz="0" w:space="0" w:color="auto"/>
          </w:divBdr>
        </w:div>
        <w:div w:id="1047798818">
          <w:marLeft w:val="0"/>
          <w:marRight w:val="0"/>
          <w:marTop w:val="0"/>
          <w:marBottom w:val="0"/>
          <w:divBdr>
            <w:top w:val="none" w:sz="0" w:space="0" w:color="auto"/>
            <w:left w:val="none" w:sz="0" w:space="0" w:color="auto"/>
            <w:bottom w:val="none" w:sz="0" w:space="0" w:color="auto"/>
            <w:right w:val="none" w:sz="0" w:space="0" w:color="auto"/>
          </w:divBdr>
        </w:div>
        <w:div w:id="1283223598">
          <w:marLeft w:val="0"/>
          <w:marRight w:val="0"/>
          <w:marTop w:val="0"/>
          <w:marBottom w:val="0"/>
          <w:divBdr>
            <w:top w:val="none" w:sz="0" w:space="0" w:color="auto"/>
            <w:left w:val="none" w:sz="0" w:space="0" w:color="auto"/>
            <w:bottom w:val="none" w:sz="0" w:space="0" w:color="auto"/>
            <w:right w:val="none" w:sz="0" w:space="0" w:color="auto"/>
          </w:divBdr>
        </w:div>
        <w:div w:id="1103459241">
          <w:marLeft w:val="0"/>
          <w:marRight w:val="0"/>
          <w:marTop w:val="0"/>
          <w:marBottom w:val="0"/>
          <w:divBdr>
            <w:top w:val="none" w:sz="0" w:space="0" w:color="auto"/>
            <w:left w:val="none" w:sz="0" w:space="0" w:color="auto"/>
            <w:bottom w:val="none" w:sz="0" w:space="0" w:color="auto"/>
            <w:right w:val="none" w:sz="0" w:space="0" w:color="auto"/>
          </w:divBdr>
        </w:div>
        <w:div w:id="956713877">
          <w:marLeft w:val="0"/>
          <w:marRight w:val="0"/>
          <w:marTop w:val="0"/>
          <w:marBottom w:val="0"/>
          <w:divBdr>
            <w:top w:val="none" w:sz="0" w:space="0" w:color="auto"/>
            <w:left w:val="none" w:sz="0" w:space="0" w:color="auto"/>
            <w:bottom w:val="none" w:sz="0" w:space="0" w:color="auto"/>
            <w:right w:val="none" w:sz="0" w:space="0" w:color="auto"/>
          </w:divBdr>
        </w:div>
        <w:div w:id="1106467147">
          <w:marLeft w:val="0"/>
          <w:marRight w:val="0"/>
          <w:marTop w:val="0"/>
          <w:marBottom w:val="0"/>
          <w:divBdr>
            <w:top w:val="none" w:sz="0" w:space="0" w:color="auto"/>
            <w:left w:val="none" w:sz="0" w:space="0" w:color="auto"/>
            <w:bottom w:val="none" w:sz="0" w:space="0" w:color="auto"/>
            <w:right w:val="none" w:sz="0" w:space="0" w:color="auto"/>
          </w:divBdr>
        </w:div>
        <w:div w:id="1083378024">
          <w:marLeft w:val="0"/>
          <w:marRight w:val="0"/>
          <w:marTop w:val="0"/>
          <w:marBottom w:val="0"/>
          <w:divBdr>
            <w:top w:val="none" w:sz="0" w:space="0" w:color="auto"/>
            <w:left w:val="none" w:sz="0" w:space="0" w:color="auto"/>
            <w:bottom w:val="none" w:sz="0" w:space="0" w:color="auto"/>
            <w:right w:val="none" w:sz="0" w:space="0" w:color="auto"/>
          </w:divBdr>
        </w:div>
        <w:div w:id="1621915841">
          <w:marLeft w:val="0"/>
          <w:marRight w:val="0"/>
          <w:marTop w:val="0"/>
          <w:marBottom w:val="0"/>
          <w:divBdr>
            <w:top w:val="none" w:sz="0" w:space="0" w:color="auto"/>
            <w:left w:val="none" w:sz="0" w:space="0" w:color="auto"/>
            <w:bottom w:val="none" w:sz="0" w:space="0" w:color="auto"/>
            <w:right w:val="none" w:sz="0" w:space="0" w:color="auto"/>
          </w:divBdr>
        </w:div>
        <w:div w:id="503663168">
          <w:marLeft w:val="0"/>
          <w:marRight w:val="0"/>
          <w:marTop w:val="0"/>
          <w:marBottom w:val="0"/>
          <w:divBdr>
            <w:top w:val="none" w:sz="0" w:space="0" w:color="auto"/>
            <w:left w:val="none" w:sz="0" w:space="0" w:color="auto"/>
            <w:bottom w:val="none" w:sz="0" w:space="0" w:color="auto"/>
            <w:right w:val="none" w:sz="0" w:space="0" w:color="auto"/>
          </w:divBdr>
        </w:div>
        <w:div w:id="200552540">
          <w:marLeft w:val="0"/>
          <w:marRight w:val="0"/>
          <w:marTop w:val="0"/>
          <w:marBottom w:val="0"/>
          <w:divBdr>
            <w:top w:val="none" w:sz="0" w:space="0" w:color="auto"/>
            <w:left w:val="none" w:sz="0" w:space="0" w:color="auto"/>
            <w:bottom w:val="none" w:sz="0" w:space="0" w:color="auto"/>
            <w:right w:val="none" w:sz="0" w:space="0" w:color="auto"/>
          </w:divBdr>
        </w:div>
        <w:div w:id="1053503501">
          <w:marLeft w:val="0"/>
          <w:marRight w:val="0"/>
          <w:marTop w:val="0"/>
          <w:marBottom w:val="0"/>
          <w:divBdr>
            <w:top w:val="none" w:sz="0" w:space="0" w:color="auto"/>
            <w:left w:val="none" w:sz="0" w:space="0" w:color="auto"/>
            <w:bottom w:val="none" w:sz="0" w:space="0" w:color="auto"/>
            <w:right w:val="none" w:sz="0" w:space="0" w:color="auto"/>
          </w:divBdr>
        </w:div>
        <w:div w:id="1901404405">
          <w:marLeft w:val="0"/>
          <w:marRight w:val="0"/>
          <w:marTop w:val="0"/>
          <w:marBottom w:val="0"/>
          <w:divBdr>
            <w:top w:val="none" w:sz="0" w:space="0" w:color="auto"/>
            <w:left w:val="none" w:sz="0" w:space="0" w:color="auto"/>
            <w:bottom w:val="none" w:sz="0" w:space="0" w:color="auto"/>
            <w:right w:val="none" w:sz="0" w:space="0" w:color="auto"/>
          </w:divBdr>
        </w:div>
        <w:div w:id="1483741917">
          <w:marLeft w:val="0"/>
          <w:marRight w:val="0"/>
          <w:marTop w:val="0"/>
          <w:marBottom w:val="0"/>
          <w:divBdr>
            <w:top w:val="none" w:sz="0" w:space="0" w:color="auto"/>
            <w:left w:val="none" w:sz="0" w:space="0" w:color="auto"/>
            <w:bottom w:val="none" w:sz="0" w:space="0" w:color="auto"/>
            <w:right w:val="none" w:sz="0" w:space="0" w:color="auto"/>
          </w:divBdr>
        </w:div>
        <w:div w:id="469710710">
          <w:marLeft w:val="0"/>
          <w:marRight w:val="0"/>
          <w:marTop w:val="0"/>
          <w:marBottom w:val="0"/>
          <w:divBdr>
            <w:top w:val="none" w:sz="0" w:space="0" w:color="auto"/>
            <w:left w:val="none" w:sz="0" w:space="0" w:color="auto"/>
            <w:bottom w:val="none" w:sz="0" w:space="0" w:color="auto"/>
            <w:right w:val="none" w:sz="0" w:space="0" w:color="auto"/>
          </w:divBdr>
        </w:div>
        <w:div w:id="1202476350">
          <w:marLeft w:val="0"/>
          <w:marRight w:val="0"/>
          <w:marTop w:val="0"/>
          <w:marBottom w:val="0"/>
          <w:divBdr>
            <w:top w:val="none" w:sz="0" w:space="0" w:color="auto"/>
            <w:left w:val="none" w:sz="0" w:space="0" w:color="auto"/>
            <w:bottom w:val="none" w:sz="0" w:space="0" w:color="auto"/>
            <w:right w:val="none" w:sz="0" w:space="0" w:color="auto"/>
          </w:divBdr>
        </w:div>
        <w:div w:id="1315724099">
          <w:marLeft w:val="0"/>
          <w:marRight w:val="0"/>
          <w:marTop w:val="0"/>
          <w:marBottom w:val="0"/>
          <w:divBdr>
            <w:top w:val="none" w:sz="0" w:space="0" w:color="auto"/>
            <w:left w:val="none" w:sz="0" w:space="0" w:color="auto"/>
            <w:bottom w:val="none" w:sz="0" w:space="0" w:color="auto"/>
            <w:right w:val="none" w:sz="0" w:space="0" w:color="auto"/>
          </w:divBdr>
        </w:div>
        <w:div w:id="1158770258">
          <w:marLeft w:val="0"/>
          <w:marRight w:val="0"/>
          <w:marTop w:val="0"/>
          <w:marBottom w:val="0"/>
          <w:divBdr>
            <w:top w:val="none" w:sz="0" w:space="0" w:color="auto"/>
            <w:left w:val="none" w:sz="0" w:space="0" w:color="auto"/>
            <w:bottom w:val="none" w:sz="0" w:space="0" w:color="auto"/>
            <w:right w:val="none" w:sz="0" w:space="0" w:color="auto"/>
          </w:divBdr>
        </w:div>
        <w:div w:id="1945573034">
          <w:marLeft w:val="0"/>
          <w:marRight w:val="0"/>
          <w:marTop w:val="0"/>
          <w:marBottom w:val="0"/>
          <w:divBdr>
            <w:top w:val="none" w:sz="0" w:space="0" w:color="auto"/>
            <w:left w:val="none" w:sz="0" w:space="0" w:color="auto"/>
            <w:bottom w:val="none" w:sz="0" w:space="0" w:color="auto"/>
            <w:right w:val="none" w:sz="0" w:space="0" w:color="auto"/>
          </w:divBdr>
        </w:div>
        <w:div w:id="2020234902">
          <w:marLeft w:val="0"/>
          <w:marRight w:val="0"/>
          <w:marTop w:val="0"/>
          <w:marBottom w:val="0"/>
          <w:divBdr>
            <w:top w:val="none" w:sz="0" w:space="0" w:color="auto"/>
            <w:left w:val="none" w:sz="0" w:space="0" w:color="auto"/>
            <w:bottom w:val="none" w:sz="0" w:space="0" w:color="auto"/>
            <w:right w:val="none" w:sz="0" w:space="0" w:color="auto"/>
          </w:divBdr>
        </w:div>
        <w:div w:id="1232698717">
          <w:marLeft w:val="0"/>
          <w:marRight w:val="0"/>
          <w:marTop w:val="0"/>
          <w:marBottom w:val="0"/>
          <w:divBdr>
            <w:top w:val="none" w:sz="0" w:space="0" w:color="auto"/>
            <w:left w:val="none" w:sz="0" w:space="0" w:color="auto"/>
            <w:bottom w:val="none" w:sz="0" w:space="0" w:color="auto"/>
            <w:right w:val="none" w:sz="0" w:space="0" w:color="auto"/>
          </w:divBdr>
        </w:div>
        <w:div w:id="155194637">
          <w:marLeft w:val="0"/>
          <w:marRight w:val="0"/>
          <w:marTop w:val="0"/>
          <w:marBottom w:val="0"/>
          <w:divBdr>
            <w:top w:val="none" w:sz="0" w:space="0" w:color="auto"/>
            <w:left w:val="none" w:sz="0" w:space="0" w:color="auto"/>
            <w:bottom w:val="none" w:sz="0" w:space="0" w:color="auto"/>
            <w:right w:val="none" w:sz="0" w:space="0" w:color="auto"/>
          </w:divBdr>
        </w:div>
        <w:div w:id="860893558">
          <w:marLeft w:val="0"/>
          <w:marRight w:val="0"/>
          <w:marTop w:val="0"/>
          <w:marBottom w:val="0"/>
          <w:divBdr>
            <w:top w:val="none" w:sz="0" w:space="0" w:color="auto"/>
            <w:left w:val="none" w:sz="0" w:space="0" w:color="auto"/>
            <w:bottom w:val="none" w:sz="0" w:space="0" w:color="auto"/>
            <w:right w:val="none" w:sz="0" w:space="0" w:color="auto"/>
          </w:divBdr>
        </w:div>
        <w:div w:id="420414289">
          <w:marLeft w:val="0"/>
          <w:marRight w:val="0"/>
          <w:marTop w:val="0"/>
          <w:marBottom w:val="0"/>
          <w:divBdr>
            <w:top w:val="none" w:sz="0" w:space="0" w:color="auto"/>
            <w:left w:val="none" w:sz="0" w:space="0" w:color="auto"/>
            <w:bottom w:val="none" w:sz="0" w:space="0" w:color="auto"/>
            <w:right w:val="none" w:sz="0" w:space="0" w:color="auto"/>
          </w:divBdr>
        </w:div>
      </w:divsChild>
    </w:div>
    <w:div w:id="1139955151">
      <w:bodyDiv w:val="1"/>
      <w:marLeft w:val="0"/>
      <w:marRight w:val="0"/>
      <w:marTop w:val="0"/>
      <w:marBottom w:val="0"/>
      <w:divBdr>
        <w:top w:val="none" w:sz="0" w:space="0" w:color="auto"/>
        <w:left w:val="none" w:sz="0" w:space="0" w:color="auto"/>
        <w:bottom w:val="none" w:sz="0" w:space="0" w:color="auto"/>
        <w:right w:val="none" w:sz="0" w:space="0" w:color="auto"/>
      </w:divBdr>
    </w:div>
    <w:div w:id="1235891261">
      <w:bodyDiv w:val="1"/>
      <w:marLeft w:val="0"/>
      <w:marRight w:val="0"/>
      <w:marTop w:val="0"/>
      <w:marBottom w:val="0"/>
      <w:divBdr>
        <w:top w:val="none" w:sz="0" w:space="0" w:color="auto"/>
        <w:left w:val="none" w:sz="0" w:space="0" w:color="auto"/>
        <w:bottom w:val="none" w:sz="0" w:space="0" w:color="auto"/>
        <w:right w:val="none" w:sz="0" w:space="0" w:color="auto"/>
      </w:divBdr>
    </w:div>
    <w:div w:id="1528710281">
      <w:bodyDiv w:val="1"/>
      <w:marLeft w:val="0"/>
      <w:marRight w:val="0"/>
      <w:marTop w:val="0"/>
      <w:marBottom w:val="0"/>
      <w:divBdr>
        <w:top w:val="none" w:sz="0" w:space="0" w:color="auto"/>
        <w:left w:val="none" w:sz="0" w:space="0" w:color="auto"/>
        <w:bottom w:val="none" w:sz="0" w:space="0" w:color="auto"/>
        <w:right w:val="none" w:sz="0" w:space="0" w:color="auto"/>
      </w:divBdr>
    </w:div>
    <w:div w:id="1737626436">
      <w:bodyDiv w:val="1"/>
      <w:marLeft w:val="0"/>
      <w:marRight w:val="0"/>
      <w:marTop w:val="0"/>
      <w:marBottom w:val="0"/>
      <w:divBdr>
        <w:top w:val="none" w:sz="0" w:space="0" w:color="auto"/>
        <w:left w:val="none" w:sz="0" w:space="0" w:color="auto"/>
        <w:bottom w:val="none" w:sz="0" w:space="0" w:color="auto"/>
        <w:right w:val="none" w:sz="0" w:space="0" w:color="auto"/>
      </w:divBdr>
    </w:div>
    <w:div w:id="1824661906">
      <w:bodyDiv w:val="1"/>
      <w:marLeft w:val="0"/>
      <w:marRight w:val="0"/>
      <w:marTop w:val="0"/>
      <w:marBottom w:val="0"/>
      <w:divBdr>
        <w:top w:val="none" w:sz="0" w:space="0" w:color="auto"/>
        <w:left w:val="none" w:sz="0" w:space="0" w:color="auto"/>
        <w:bottom w:val="none" w:sz="0" w:space="0" w:color="auto"/>
        <w:right w:val="none" w:sz="0" w:space="0" w:color="auto"/>
      </w:divBdr>
    </w:div>
    <w:div w:id="1985694023">
      <w:bodyDiv w:val="1"/>
      <w:marLeft w:val="0"/>
      <w:marRight w:val="0"/>
      <w:marTop w:val="0"/>
      <w:marBottom w:val="0"/>
      <w:divBdr>
        <w:top w:val="none" w:sz="0" w:space="0" w:color="auto"/>
        <w:left w:val="none" w:sz="0" w:space="0" w:color="auto"/>
        <w:bottom w:val="none" w:sz="0" w:space="0" w:color="auto"/>
        <w:right w:val="none" w:sz="0" w:space="0" w:color="auto"/>
      </w:divBdr>
    </w:div>
    <w:div w:id="2003006687">
      <w:bodyDiv w:val="1"/>
      <w:marLeft w:val="0"/>
      <w:marRight w:val="0"/>
      <w:marTop w:val="0"/>
      <w:marBottom w:val="0"/>
      <w:divBdr>
        <w:top w:val="none" w:sz="0" w:space="0" w:color="auto"/>
        <w:left w:val="none" w:sz="0" w:space="0" w:color="auto"/>
        <w:bottom w:val="none" w:sz="0" w:space="0" w:color="auto"/>
        <w:right w:val="none" w:sz="0" w:space="0" w:color="auto"/>
      </w:divBdr>
    </w:div>
    <w:div w:id="2045519578">
      <w:bodyDiv w:val="1"/>
      <w:marLeft w:val="0"/>
      <w:marRight w:val="0"/>
      <w:marTop w:val="0"/>
      <w:marBottom w:val="0"/>
      <w:divBdr>
        <w:top w:val="none" w:sz="0" w:space="0" w:color="auto"/>
        <w:left w:val="none" w:sz="0" w:space="0" w:color="auto"/>
        <w:bottom w:val="none" w:sz="0" w:space="0" w:color="auto"/>
        <w:right w:val="none" w:sz="0" w:space="0" w:color="auto"/>
      </w:divBdr>
    </w:div>
    <w:div w:id="2056392309">
      <w:bodyDiv w:val="1"/>
      <w:marLeft w:val="0"/>
      <w:marRight w:val="0"/>
      <w:marTop w:val="0"/>
      <w:marBottom w:val="0"/>
      <w:divBdr>
        <w:top w:val="none" w:sz="0" w:space="0" w:color="auto"/>
        <w:left w:val="none" w:sz="0" w:space="0" w:color="auto"/>
        <w:bottom w:val="none" w:sz="0" w:space="0" w:color="auto"/>
        <w:right w:val="none" w:sz="0" w:space="0" w:color="auto"/>
      </w:divBdr>
    </w:div>
    <w:div w:id="2137671978">
      <w:bodyDiv w:val="1"/>
      <w:marLeft w:val="0"/>
      <w:marRight w:val="0"/>
      <w:marTop w:val="0"/>
      <w:marBottom w:val="0"/>
      <w:divBdr>
        <w:top w:val="none" w:sz="0" w:space="0" w:color="auto"/>
        <w:left w:val="none" w:sz="0" w:space="0" w:color="auto"/>
        <w:bottom w:val="none" w:sz="0" w:space="0" w:color="auto"/>
        <w:right w:val="none" w:sz="0" w:space="0" w:color="auto"/>
      </w:divBdr>
    </w:div>
    <w:div w:id="214599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dar.com/" TargetMode="External"/><Relationship Id="rId13" Type="http://schemas.openxmlformats.org/officeDocument/2006/relationships/hyperlink" Target="http://www.sedar.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da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ouchstoneexploratio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chstoneexploration.com/investors/shareholder-meetings" TargetMode="External"/><Relationship Id="rId5" Type="http://schemas.openxmlformats.org/officeDocument/2006/relationships/webSettings" Target="webSettings.xml"/><Relationship Id="rId15" Type="http://schemas.openxmlformats.org/officeDocument/2006/relationships/hyperlink" Target="http://www.sedar.com/" TargetMode="External"/><Relationship Id="rId10" Type="http://schemas.openxmlformats.org/officeDocument/2006/relationships/hyperlink" Target="https://web.lumiagm.com/24963985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ouchstoneexploration.com/" TargetMode="External"/><Relationship Id="rId14" Type="http://schemas.openxmlformats.org/officeDocument/2006/relationships/hyperlink" Target="http://www.touchstoneexplorati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C6BC8-0982-4E1E-8D2D-6BB1B0611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2468</Words>
  <Characters>14071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16506</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2014-04-30T01:48:00Z</cp:lastPrinted>
  <dcterms:created xsi:type="dcterms:W3CDTF">2021-11-10T22:24:00Z</dcterms:created>
  <dcterms:modified xsi:type="dcterms:W3CDTF">2022-05-12T01:50:00Z</dcterms:modified>
</cp:coreProperties>
</file>