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1374" w14:textId="77777777" w:rsidR="00A77B3E" w:rsidRDefault="00DE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8" w:lineRule="auto"/>
        <w:outlineLvl w:val="0"/>
        <w:rPr>
          <w:rFonts w:ascii="Trade Gothic" w:eastAsia="Trade Gothic" w:hAnsi="Trade Gothic" w:cs="Trade Gothic"/>
          <w:b/>
        </w:rPr>
      </w:pPr>
      <w:bookmarkStart w:id="0" w:name="Section1"/>
      <w:bookmarkEnd w:id="0"/>
      <w:r>
        <w:rPr>
          <w:rFonts w:ascii="Trade Gothic" w:eastAsia="Trade Gothic" w:hAnsi="Trade Gothic" w:cs="Trade Gothic"/>
          <w:b/>
        </w:rPr>
        <w:t>Sebastián Martí</w:t>
      </w:r>
    </w:p>
    <w:p w14:paraId="3B52EE61" w14:textId="77777777" w:rsidR="00A77B3E" w:rsidRDefault="00DE7269">
      <w:pPr>
        <w:spacing w:line="288" w:lineRule="auto"/>
        <w:rPr>
          <w:rFonts w:ascii="Trade Gothic" w:eastAsia="Trade Gothic" w:hAnsi="Trade Gothic" w:cs="Trade Gothic"/>
          <w:b/>
        </w:rPr>
      </w:pPr>
      <w:r>
        <w:rPr>
          <w:rFonts w:ascii="Trade Gothic" w:eastAsia="Trade Gothic" w:hAnsi="Trade Gothic" w:cs="Trade Gothic"/>
          <w:b/>
        </w:rPr>
        <w:t>Ternium - Investor Relations</w:t>
      </w:r>
    </w:p>
    <w:p w14:paraId="778FE3A4" w14:textId="77777777" w:rsidR="00A77B3E" w:rsidRDefault="00DE7269">
      <w:pPr>
        <w:spacing w:line="288" w:lineRule="auto"/>
        <w:rPr>
          <w:rFonts w:ascii="Trade Gothic" w:eastAsia="Trade Gothic" w:hAnsi="Trade Gothic" w:cs="Trade Gothic"/>
          <w:sz w:val="19"/>
        </w:rPr>
      </w:pPr>
      <w:r>
        <w:rPr>
          <w:rFonts w:ascii="Trade Gothic" w:eastAsia="Trade Gothic" w:hAnsi="Trade Gothic" w:cs="Trade Gothic"/>
          <w:sz w:val="19"/>
        </w:rPr>
        <w:t>+1   (866) 890 0443</w:t>
      </w:r>
    </w:p>
    <w:p w14:paraId="661CF3B3" w14:textId="77777777" w:rsidR="00A77B3E" w:rsidRDefault="00DE7269">
      <w:pPr>
        <w:spacing w:line="288" w:lineRule="auto"/>
        <w:rPr>
          <w:rFonts w:ascii="Trade Gothic" w:eastAsia="Trade Gothic" w:hAnsi="Trade Gothic" w:cs="Trade Gothic"/>
          <w:sz w:val="19"/>
        </w:rPr>
      </w:pPr>
      <w:r>
        <w:rPr>
          <w:rFonts w:ascii="Trade Gothic" w:eastAsia="Trade Gothic" w:hAnsi="Trade Gothic" w:cs="Trade Gothic"/>
          <w:sz w:val="19"/>
        </w:rPr>
        <w:t>+54 (11) 4018 8389</w:t>
      </w:r>
    </w:p>
    <w:p w14:paraId="7FBE143B" w14:textId="77777777" w:rsidR="00A77B3E" w:rsidRDefault="00DE7269">
      <w:pPr>
        <w:spacing w:line="288" w:lineRule="auto"/>
        <w:rPr>
          <w:rFonts w:ascii="Trade Gothic" w:eastAsia="Trade Gothic" w:hAnsi="Trade Gothic" w:cs="Trade Gothic"/>
          <w:sz w:val="19"/>
        </w:rPr>
      </w:pPr>
      <w:r>
        <w:rPr>
          <w:rFonts w:ascii="Trade Gothic" w:eastAsia="Trade Gothic" w:hAnsi="Trade Gothic" w:cs="Trade Gothic"/>
          <w:sz w:val="19"/>
        </w:rPr>
        <w:t>www.ternium.com</w:t>
      </w:r>
    </w:p>
    <w:p w14:paraId="3A1B2574" w14:textId="77777777" w:rsidR="00A77B3E" w:rsidRDefault="00A77B3E">
      <w:pPr>
        <w:spacing w:line="288" w:lineRule="auto"/>
        <w:rPr>
          <w:sz w:val="20"/>
        </w:rPr>
      </w:pPr>
    </w:p>
    <w:p w14:paraId="3E789D18" w14:textId="77777777" w:rsidR="00A77B3E" w:rsidRDefault="00DE7269">
      <w:pPr>
        <w:spacing w:line="269" w:lineRule="auto"/>
        <w:rPr>
          <w:rFonts w:ascii="Calibri" w:eastAsia="Calibri" w:hAnsi="Calibri" w:cs="Calibri"/>
          <w:color w:val="FF3300"/>
          <w:sz w:val="22"/>
          <w:shd w:val="clear" w:color="auto" w:fill="FFFF00"/>
        </w:rPr>
      </w:pPr>
      <w:r>
        <w:rPr>
          <w:rFonts w:ascii="Trade Gothic" w:eastAsia="Trade Gothic" w:hAnsi="Trade Gothic" w:cs="Trade Gothic"/>
          <w:b/>
          <w:color w:val="FF3300"/>
          <w:sz w:val="32"/>
        </w:rPr>
        <w:t xml:space="preserve">Italian Court Dismisses the Case against </w:t>
      </w:r>
      <w:proofErr w:type="spellStart"/>
      <w:r>
        <w:rPr>
          <w:rFonts w:ascii="Trade Gothic" w:eastAsia="Trade Gothic" w:hAnsi="Trade Gothic" w:cs="Trade Gothic"/>
          <w:b/>
          <w:color w:val="FF3300"/>
          <w:sz w:val="32"/>
        </w:rPr>
        <w:t>Ternium’s</w:t>
      </w:r>
      <w:proofErr w:type="spellEnd"/>
      <w:r>
        <w:rPr>
          <w:rFonts w:ascii="Trade Gothic" w:eastAsia="Trade Gothic" w:hAnsi="Trade Gothic" w:cs="Trade Gothic"/>
          <w:b/>
          <w:color w:val="FF3300"/>
          <w:sz w:val="32"/>
        </w:rPr>
        <w:t xml:space="preserve"> Chairman and Two Other Board Members over Alleged Improper Payments</w:t>
      </w:r>
    </w:p>
    <w:p w14:paraId="342F8646" w14:textId="77777777" w:rsidR="00A77B3E" w:rsidRDefault="00A77B3E">
      <w:pPr>
        <w:spacing w:line="247" w:lineRule="auto"/>
        <w:rPr>
          <w:rFonts w:ascii="Sabon MT Pro" w:eastAsia="Sabon MT Pro" w:hAnsi="Sabon MT Pro" w:cs="Sabon MT Pro"/>
          <w:b/>
        </w:rPr>
      </w:pPr>
    </w:p>
    <w:p w14:paraId="1E3EFC21" w14:textId="77777777" w:rsidR="00A77B3E" w:rsidRDefault="00DE7269">
      <w:pPr>
        <w:spacing w:line="269" w:lineRule="auto"/>
        <w:jc w:val="both"/>
        <w:rPr>
          <w:rFonts w:ascii="Sabon MT Pro" w:eastAsia="Sabon MT Pro" w:hAnsi="Sabon MT Pro" w:cs="Sabon MT Pro"/>
        </w:rPr>
      </w:pPr>
      <w:r>
        <w:rPr>
          <w:rFonts w:ascii="Sabon MT Pro" w:eastAsia="Sabon MT Pro" w:hAnsi="Sabon MT Pro" w:cs="Sabon MT Pro"/>
          <w:b/>
        </w:rPr>
        <w:t xml:space="preserve">Luxembourg, May 26, 2022 </w:t>
      </w:r>
      <w:r>
        <w:rPr>
          <w:rFonts w:ascii="Sabon MT Pro" w:eastAsia="Sabon MT Pro" w:hAnsi="Sabon MT Pro" w:cs="Sabon MT Pro"/>
        </w:rPr>
        <w:t xml:space="preserve">– </w:t>
      </w:r>
      <w:r>
        <w:rPr>
          <w:rFonts w:ascii="Sabon MT Pro" w:eastAsia="Sabon MT Pro" w:hAnsi="Sabon MT Pro" w:cs="Sabon MT Pro"/>
        </w:rPr>
        <w:t>Ternium S.A. (NYSE: TX) was advised today that an Italian court of first instance overseeing an investigation into allegedly improper payments made in Brazil prior to 2014 for the supposed benefit of a subsidiary of Tenaris S.A., an affiliate of the Compan</w:t>
      </w:r>
      <w:r>
        <w:rPr>
          <w:rFonts w:ascii="Sabon MT Pro" w:eastAsia="Sabon MT Pro" w:hAnsi="Sabon MT Pro" w:cs="Sabon MT Pro"/>
        </w:rPr>
        <w:t xml:space="preserve">y, dismissed for lack of jurisdiction the case brought by the public prosecutor against </w:t>
      </w:r>
      <w:proofErr w:type="spellStart"/>
      <w:r>
        <w:rPr>
          <w:rFonts w:ascii="Sabon MT Pro" w:eastAsia="Sabon MT Pro" w:hAnsi="Sabon MT Pro" w:cs="Sabon MT Pro"/>
        </w:rPr>
        <w:t>Ternium’s</w:t>
      </w:r>
      <w:proofErr w:type="spellEnd"/>
      <w:r>
        <w:rPr>
          <w:rFonts w:ascii="Sabon MT Pro" w:eastAsia="Sabon MT Pro" w:hAnsi="Sabon MT Pro" w:cs="Sabon MT Pro"/>
        </w:rPr>
        <w:t xml:space="preserve">  Chairman Paolo Rocca, Board members </w:t>
      </w:r>
      <w:proofErr w:type="spellStart"/>
      <w:r>
        <w:rPr>
          <w:rFonts w:ascii="Sabon MT Pro" w:eastAsia="Sabon MT Pro" w:hAnsi="Sabon MT Pro" w:cs="Sabon MT Pro"/>
        </w:rPr>
        <w:t>Gianfelice</w:t>
      </w:r>
      <w:proofErr w:type="spellEnd"/>
      <w:r>
        <w:rPr>
          <w:rFonts w:ascii="Sabon MT Pro" w:eastAsia="Sabon MT Pro" w:hAnsi="Sabon MT Pro" w:cs="Sabon MT Pro"/>
        </w:rPr>
        <w:t xml:space="preserve"> Rocca and Roberto Bonatti, and the Company’s controlling shareholder, San </w:t>
      </w:r>
      <w:proofErr w:type="spellStart"/>
      <w:r>
        <w:rPr>
          <w:rFonts w:ascii="Sabon MT Pro" w:eastAsia="Sabon MT Pro" w:hAnsi="Sabon MT Pro" w:cs="Sabon MT Pro"/>
        </w:rPr>
        <w:t>Faustin</w:t>
      </w:r>
      <w:proofErr w:type="spellEnd"/>
      <w:r>
        <w:rPr>
          <w:rFonts w:ascii="Sabon MT Pro" w:eastAsia="Sabon MT Pro" w:hAnsi="Sabon MT Pro" w:cs="Sabon MT Pro"/>
        </w:rPr>
        <w:t xml:space="preserve"> S.A. Neither Ternium nor any</w:t>
      </w:r>
      <w:r>
        <w:rPr>
          <w:rFonts w:ascii="Sabon MT Pro" w:eastAsia="Sabon MT Pro" w:hAnsi="Sabon MT Pro" w:cs="Sabon MT Pro"/>
        </w:rPr>
        <w:t xml:space="preserve"> of its subsidiaries were involved in these proceedings, which were previously disclosed by Ternium on February 14, 2020. The Italian public prosecutor may appeal the decision.</w:t>
      </w:r>
    </w:p>
    <w:p w14:paraId="715B4983" w14:textId="77777777" w:rsidR="00A77B3E" w:rsidRDefault="00A77B3E">
      <w:pPr>
        <w:spacing w:line="269" w:lineRule="auto"/>
        <w:rPr>
          <w:rFonts w:ascii="Calibri" w:eastAsia="Calibri" w:hAnsi="Calibri" w:cs="Calibri"/>
        </w:rPr>
      </w:pPr>
    </w:p>
    <w:p w14:paraId="56202A63" w14:textId="77777777" w:rsidR="00A77B3E" w:rsidRDefault="00DE7269">
      <w:pPr>
        <w:spacing w:line="228" w:lineRule="auto"/>
        <w:jc w:val="both"/>
        <w:rPr>
          <w:rFonts w:ascii="Sabon MT Pro" w:eastAsia="Sabon MT Pro" w:hAnsi="Sabon MT Pro" w:cs="Sabon MT Pro"/>
          <w:b/>
        </w:rPr>
      </w:pPr>
      <w:r>
        <w:rPr>
          <w:rFonts w:ascii="Trade Gothic" w:eastAsia="Trade Gothic" w:hAnsi="Trade Gothic" w:cs="Trade Gothic"/>
          <w:b/>
        </w:rPr>
        <w:t>Forward Looking Statements</w:t>
      </w:r>
    </w:p>
    <w:p w14:paraId="2B070549" w14:textId="77777777" w:rsidR="00A77B3E" w:rsidRDefault="00A77B3E">
      <w:pPr>
        <w:spacing w:line="288" w:lineRule="auto"/>
        <w:rPr>
          <w:rFonts w:ascii="Sabon MT Pro" w:eastAsia="Sabon MT Pro" w:hAnsi="Sabon MT Pro" w:cs="Sabon MT Pro"/>
          <w:b/>
          <w:sz w:val="22"/>
        </w:rPr>
      </w:pPr>
    </w:p>
    <w:p w14:paraId="47629BE2" w14:textId="77777777" w:rsidR="00A77B3E" w:rsidRDefault="00DE7269">
      <w:pPr>
        <w:spacing w:line="276" w:lineRule="auto"/>
        <w:jc w:val="both"/>
        <w:rPr>
          <w:rFonts w:ascii="Sabon MT Pro" w:eastAsia="Sabon MT Pro" w:hAnsi="Sabon MT Pro" w:cs="Sabon MT Pro"/>
          <w:i/>
          <w:sz w:val="22"/>
        </w:rPr>
      </w:pPr>
      <w:r>
        <w:rPr>
          <w:rFonts w:ascii="Sabon MT Pro" w:eastAsia="Sabon MT Pro" w:hAnsi="Sabon MT Pro" w:cs="Sabon MT Pro"/>
          <w:i/>
          <w:sz w:val="22"/>
        </w:rPr>
        <w:t xml:space="preserve">Some of the statements contained in this </w:t>
      </w:r>
      <w:r>
        <w:rPr>
          <w:rFonts w:ascii="Sabon MT Pro" w:eastAsia="Sabon MT Pro" w:hAnsi="Sabon MT Pro" w:cs="Sabon MT Pro"/>
          <w:i/>
          <w:sz w:val="22"/>
        </w:rPr>
        <w:t>press release are “forward-looking statements”.  Forward-looking statements are based on management’s current views and assumptions and involve known and unknown risks that could cause actual results, performance or events to differ materially from those e</w:t>
      </w:r>
      <w:r>
        <w:rPr>
          <w:rFonts w:ascii="Sabon MT Pro" w:eastAsia="Sabon MT Pro" w:hAnsi="Sabon MT Pro" w:cs="Sabon MT Pro"/>
          <w:i/>
          <w:sz w:val="22"/>
        </w:rPr>
        <w:t>xpressed or implied by those statements.  These risks include but are not limited to risks arising from uncertainties as to gross domestic product, related market demand, global production capacity, tariffs, cyclicality in the industries that purchase stee</w:t>
      </w:r>
      <w:r>
        <w:rPr>
          <w:rFonts w:ascii="Sabon MT Pro" w:eastAsia="Sabon MT Pro" w:hAnsi="Sabon MT Pro" w:cs="Sabon MT Pro"/>
          <w:i/>
          <w:sz w:val="22"/>
        </w:rPr>
        <w:t xml:space="preserve">l products and other factors beyond </w:t>
      </w:r>
      <w:proofErr w:type="spellStart"/>
      <w:r>
        <w:rPr>
          <w:rFonts w:ascii="Sabon MT Pro" w:eastAsia="Sabon MT Pro" w:hAnsi="Sabon MT Pro" w:cs="Sabon MT Pro"/>
          <w:i/>
          <w:sz w:val="22"/>
        </w:rPr>
        <w:t>Ternium’s</w:t>
      </w:r>
      <w:proofErr w:type="spellEnd"/>
      <w:r>
        <w:rPr>
          <w:rFonts w:ascii="Sabon MT Pro" w:eastAsia="Sabon MT Pro" w:hAnsi="Sabon MT Pro" w:cs="Sabon MT Pro"/>
          <w:i/>
          <w:sz w:val="22"/>
        </w:rPr>
        <w:t xml:space="preserve"> control.</w:t>
      </w:r>
    </w:p>
    <w:p w14:paraId="2D030931" w14:textId="77777777" w:rsidR="00A77B3E" w:rsidRDefault="00A77B3E">
      <w:pPr>
        <w:spacing w:line="288" w:lineRule="auto"/>
        <w:jc w:val="both"/>
        <w:rPr>
          <w:rFonts w:ascii="Sabon MT Pro" w:eastAsia="Sabon MT Pro" w:hAnsi="Sabon MT Pro" w:cs="Sabon MT Pro"/>
          <w:b/>
        </w:rPr>
      </w:pPr>
    </w:p>
    <w:p w14:paraId="68845957" w14:textId="77777777" w:rsidR="00A77B3E" w:rsidRDefault="00DE7269">
      <w:pPr>
        <w:spacing w:line="288" w:lineRule="auto"/>
        <w:jc w:val="both"/>
        <w:rPr>
          <w:rFonts w:ascii="Sabon MT Pro" w:eastAsia="Sabon MT Pro" w:hAnsi="Sabon MT Pro" w:cs="Sabon MT Pro"/>
          <w:b/>
        </w:rPr>
      </w:pPr>
      <w:r>
        <w:rPr>
          <w:rFonts w:ascii="Trade Gothic" w:eastAsia="Trade Gothic" w:hAnsi="Trade Gothic" w:cs="Trade Gothic"/>
          <w:b/>
        </w:rPr>
        <w:t>About Ternium</w:t>
      </w:r>
    </w:p>
    <w:p w14:paraId="386455D1" w14:textId="77777777" w:rsidR="00A77B3E" w:rsidRDefault="00A77B3E">
      <w:pPr>
        <w:spacing w:line="288" w:lineRule="auto"/>
        <w:jc w:val="both"/>
        <w:rPr>
          <w:rFonts w:ascii="Sabon MT Pro" w:eastAsia="Sabon MT Pro" w:hAnsi="Sabon MT Pro" w:cs="Sabon MT Pro"/>
          <w:b/>
          <w:sz w:val="22"/>
        </w:rPr>
      </w:pPr>
    </w:p>
    <w:p w14:paraId="7C3D0C63" w14:textId="77777777" w:rsidR="00A77B3E" w:rsidRDefault="00DE7269">
      <w:pPr>
        <w:spacing w:line="288" w:lineRule="auto"/>
        <w:jc w:val="both"/>
        <w:rPr>
          <w:rFonts w:ascii="Sabon MT Pro" w:eastAsia="Sabon MT Pro" w:hAnsi="Sabon MT Pro" w:cs="Sabon MT Pro"/>
          <w:sz w:val="22"/>
        </w:rPr>
      </w:pPr>
      <w:r>
        <w:rPr>
          <w:rFonts w:ascii="Sabon MT Pro" w:eastAsia="Sabon MT Pro" w:hAnsi="Sabon MT Pro" w:cs="Sabon MT Pro"/>
          <w:sz w:val="22"/>
        </w:rPr>
        <w:t>Ternium is Latin America’s leading flat steel producer, with operating facilities in Mexico, Brazil, Argentina, Colombia, the southern United States and Central America. The company off</w:t>
      </w:r>
      <w:r>
        <w:rPr>
          <w:rFonts w:ascii="Sabon MT Pro" w:eastAsia="Sabon MT Pro" w:hAnsi="Sabon MT Pro" w:cs="Sabon MT Pro"/>
          <w:sz w:val="22"/>
        </w:rPr>
        <w:t>ers a broad range of high value-added steel products for customers active in the automotive, home appliances, HVAC, construction, capital goods, container, food and energy industries through its manufacturing facilities, service center and distribution net</w:t>
      </w:r>
      <w:r>
        <w:rPr>
          <w:rFonts w:ascii="Sabon MT Pro" w:eastAsia="Sabon MT Pro" w:hAnsi="Sabon MT Pro" w:cs="Sabon MT Pro"/>
          <w:sz w:val="22"/>
        </w:rPr>
        <w:t>works, and advanced customer integration systems. More information about Ternium is available at www.ternium.com.</w:t>
      </w:r>
    </w:p>
    <w:sectPr w:rsidR="00A77B3E">
      <w:headerReference w:type="default" r:id="rId7"/>
      <w:footerReference w:type="default" r:id="rId8"/>
      <w:headerReference w:type="first" r:id="rId9"/>
      <w:footerReference w:type="first" r:id="rId10"/>
      <w:pgSz w:w="12240" w:h="15840"/>
      <w:pgMar w:top="2160" w:right="1080" w:bottom="1080" w:left="1710" w:header="270" w:footer="2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A531F" w14:textId="77777777" w:rsidR="00DE7269" w:rsidRDefault="00DE7269">
      <w:r>
        <w:separator/>
      </w:r>
    </w:p>
  </w:endnote>
  <w:endnote w:type="continuationSeparator" w:id="0">
    <w:p w14:paraId="34238AC1" w14:textId="77777777" w:rsidR="00DE7269" w:rsidRDefault="00DE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e Goth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abon MT Pr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579B" w14:textId="77777777" w:rsidR="001D27AF" w:rsidRDefault="001D27AF">
    <w:pPr>
      <w:spacing w:line="288" w:lineRule="auto"/>
      <w:ind w:left="-720" w:right="-9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5477" w14:textId="77777777" w:rsidR="001D27AF" w:rsidRDefault="001D27AF">
    <w:pPr>
      <w:tabs>
        <w:tab w:val="center" w:pos="4400"/>
        <w:tab w:val="right" w:pos="8820"/>
      </w:tabs>
      <w:spacing w:line="288" w:lineRule="auto"/>
      <w:ind w:left="-720" w:righ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BC934" w14:textId="77777777" w:rsidR="00DE7269" w:rsidRDefault="00DE7269">
      <w:r>
        <w:separator/>
      </w:r>
    </w:p>
  </w:footnote>
  <w:footnote w:type="continuationSeparator" w:id="0">
    <w:p w14:paraId="5A6FA0F6" w14:textId="77777777" w:rsidR="00DE7269" w:rsidRDefault="00DE7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9EFF" w14:textId="77777777" w:rsidR="001D27AF" w:rsidRDefault="001D27AF">
    <w:pPr>
      <w:tabs>
        <w:tab w:val="center" w:pos="4400"/>
        <w:tab w:val="right" w:pos="8820"/>
      </w:tabs>
      <w:spacing w:line="288" w:lineRule="auto"/>
      <w:ind w:left="90" w:righ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04F3" w14:textId="77777777" w:rsidR="001D27AF" w:rsidRDefault="001D27AF">
    <w:pPr>
      <w:tabs>
        <w:tab w:val="right" w:pos="9360"/>
      </w:tabs>
      <w:spacing w:line="288" w:lineRule="auto"/>
      <w:ind w:left="90" w:right="720" w:hanging="450"/>
      <w:rPr>
        <w:sz w:val="20"/>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3405"/>
      <w:gridCol w:w="3405"/>
    </w:tblGrid>
    <w:tr w:rsidR="001D27AF" w14:paraId="29931C5A" w14:textId="77777777">
      <w:trPr>
        <w:cantSplit/>
        <w:trHeight w:hRule="exact" w:val="735"/>
        <w:jc w:val="center"/>
      </w:trPr>
      <w:tc>
        <w:tcPr>
          <w:tcW w:w="3405" w:type="dxa"/>
          <w:tcBorders>
            <w:top w:val="nil"/>
            <w:left w:val="nil"/>
            <w:bottom w:val="nil"/>
            <w:right w:val="nil"/>
          </w:tcBorders>
          <w:tcMar>
            <w:top w:w="0" w:type="dxa"/>
            <w:left w:w="53" w:type="dxa"/>
            <w:bottom w:w="0" w:type="dxa"/>
            <w:right w:w="53" w:type="dxa"/>
          </w:tcMar>
        </w:tcPr>
        <w:p w14:paraId="4E668BD5" w14:textId="77777777" w:rsidR="001D27AF" w:rsidRDefault="00DE7269">
          <w:pPr>
            <w:spacing w:before="65" w:after="20"/>
            <w:rPr>
              <w:sz w:val="20"/>
            </w:rPr>
          </w:pPr>
          <w:r>
            <w:rPr>
              <w:noProof/>
            </w:rPr>
            <w:drawing>
              <wp:inline distT="0" distB="0" distL="0" distR="0" wp14:anchorId="50676EEB" wp14:editId="2B16FDEC">
                <wp:extent cx="941451" cy="304800"/>
                <wp:effectExtent l="0" t="0" r="0" b="0"/>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941451" cy="304800"/>
                        </a:xfrm>
                        <a:prstGeom prst="rect">
                          <a:avLst/>
                        </a:prstGeom>
                        <a:noFill/>
                        <a:ln>
                          <a:noFill/>
                        </a:ln>
                      </pic:spPr>
                    </pic:pic>
                  </a:graphicData>
                </a:graphic>
              </wp:inline>
            </w:drawing>
          </w:r>
        </w:p>
      </w:tc>
      <w:tc>
        <w:tcPr>
          <w:tcW w:w="3405" w:type="dxa"/>
          <w:tcBorders>
            <w:top w:val="nil"/>
            <w:left w:val="nil"/>
            <w:bottom w:val="nil"/>
            <w:right w:val="nil"/>
          </w:tcBorders>
          <w:tcMar>
            <w:top w:w="0" w:type="dxa"/>
            <w:left w:w="0" w:type="dxa"/>
            <w:bottom w:w="0" w:type="dxa"/>
            <w:right w:w="0" w:type="dxa"/>
          </w:tcMar>
          <w:vAlign w:val="bottom"/>
        </w:tcPr>
        <w:p w14:paraId="4F0F5500" w14:textId="77777777" w:rsidR="001D27AF" w:rsidRDefault="001D27AF"/>
      </w:tc>
      <w:tc>
        <w:tcPr>
          <w:tcW w:w="3405" w:type="dxa"/>
          <w:tcBorders>
            <w:top w:val="nil"/>
            <w:left w:val="nil"/>
            <w:bottom w:val="nil"/>
            <w:right w:val="nil"/>
          </w:tcBorders>
          <w:tcMar>
            <w:top w:w="0" w:type="dxa"/>
            <w:left w:w="53" w:type="dxa"/>
            <w:bottom w:w="0" w:type="dxa"/>
            <w:right w:w="53" w:type="dxa"/>
          </w:tcMar>
          <w:vAlign w:val="bottom"/>
        </w:tcPr>
        <w:p w14:paraId="1A3CCD0D" w14:textId="77777777" w:rsidR="001D27AF" w:rsidRDefault="00DE7269">
          <w:pPr>
            <w:spacing w:before="65" w:after="20"/>
            <w:jc w:val="right"/>
            <w:rPr>
              <w:sz w:val="20"/>
            </w:rPr>
          </w:pPr>
          <w:r>
            <w:rPr>
              <w:noProof/>
            </w:rPr>
            <w:drawing>
              <wp:inline distT="0" distB="0" distL="0" distR="0" wp14:anchorId="2C180454" wp14:editId="306AC9D5">
                <wp:extent cx="1473200" cy="215900"/>
                <wp:effectExtent l="0" t="0" r="0" b="0"/>
                <wp:docPr id="2050" name="Image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Image 205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473200" cy="215900"/>
                        </a:xfrm>
                        <a:prstGeom prst="rect">
                          <a:avLst/>
                        </a:prstGeom>
                        <a:noFill/>
                        <a:ln>
                          <a:noFill/>
                        </a:ln>
                      </pic:spPr>
                    </pic:pic>
                  </a:graphicData>
                </a:graphic>
              </wp:inline>
            </w:drawing>
          </w:r>
        </w:p>
      </w:tc>
    </w:tr>
  </w:tbl>
  <w:p w14:paraId="0BB37E1E" w14:textId="77777777" w:rsidR="001D27AF" w:rsidRDefault="001D27AF">
    <w:pPr>
      <w:tabs>
        <w:tab w:val="right" w:pos="9360"/>
      </w:tabs>
      <w:spacing w:line="288" w:lineRule="auto"/>
      <w:ind w:left="90" w:right="720" w:hanging="450"/>
      <w:jc w:val="center"/>
      <w:rPr>
        <w:sz w:val="20"/>
      </w:rPr>
    </w:pPr>
  </w:p>
  <w:p w14:paraId="7FF9FB11" w14:textId="77777777" w:rsidR="001D27AF" w:rsidRDefault="001D27AF">
    <w:pPr>
      <w:tabs>
        <w:tab w:val="right" w:pos="9360"/>
      </w:tabs>
      <w:spacing w:line="288" w:lineRule="auto"/>
      <w:ind w:left="90" w:right="720" w:hanging="45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D27AF"/>
    <w:rsid w:val="00A77B3E"/>
    <w:rsid w:val="00CA2A55"/>
    <w:rsid w:val="00DE7269"/>
    <w:rsid w:val="00FF30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F9A07"/>
  <w15:docId w15:val="{16CD347F-7EE3-4C5F-9644-78CE9FC6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2022-05-26</dc:title>
  <dc:creator>ETCHEPAREBORDA Guillermo     TERNIUM [AR]</dc:creator>
  <cp:lastModifiedBy>ETCHEPAREBORDA Guillermo     TERNIUM [AR]</cp:lastModifiedBy>
  <cp:revision>2</cp:revision>
  <dcterms:created xsi:type="dcterms:W3CDTF">2022-05-26T20:14:00Z</dcterms:created>
  <dcterms:modified xsi:type="dcterms:W3CDTF">2022-05-26T20:14:00Z</dcterms:modified>
</cp:coreProperties>
</file>