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BEACDE" w14:textId="77777777" w:rsidR="006B2813" w:rsidRPr="00D11A02" w:rsidRDefault="006B2813" w:rsidP="006B2813">
      <w:pPr>
        <w:spacing w:after="0" w:line="240" w:lineRule="auto"/>
        <w:jc w:val="center"/>
        <w:rPr>
          <w:rFonts w:ascii="Arial" w:eastAsia="Arial" w:hAnsi="Arial" w:cs="Arial"/>
          <w:sz w:val="18"/>
          <w:szCs w:val="18"/>
        </w:rPr>
      </w:pPr>
      <w:bookmarkStart w:id="0" w:name="_Hlk109334725"/>
      <w:bookmarkStart w:id="1" w:name="DocsID"/>
      <w:bookmarkEnd w:id="0"/>
      <w:bookmarkEnd w:id="1"/>
      <w:r w:rsidRPr="00687499">
        <w:rPr>
          <w:noProof/>
          <w:sz w:val="16"/>
          <w:lang w:val="en-CA"/>
        </w:rPr>
        <w:drawing>
          <wp:anchor distT="0" distB="0" distL="114300" distR="114300" simplePos="0" relativeHeight="251658752" behindDoc="0" locked="0" layoutInCell="1" allowOverlap="1" wp14:anchorId="1CC1F6A8" wp14:editId="58204EB1">
            <wp:simplePos x="0" y="0"/>
            <wp:positionH relativeFrom="margin">
              <wp:align>left</wp:align>
            </wp:positionH>
            <wp:positionV relativeFrom="paragraph">
              <wp:posOffset>-379095</wp:posOffset>
            </wp:positionV>
            <wp:extent cx="1592580" cy="555361"/>
            <wp:effectExtent l="0" t="0" r="7620" b="0"/>
            <wp:wrapNone/>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92580" cy="5553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ACB91" w14:textId="77777777" w:rsidR="006B2813" w:rsidRPr="00D11A02" w:rsidRDefault="006B2813" w:rsidP="006B2813">
      <w:pPr>
        <w:spacing w:after="0" w:line="240" w:lineRule="auto"/>
        <w:jc w:val="center"/>
        <w:rPr>
          <w:rFonts w:ascii="Arial" w:eastAsia="Arial" w:hAnsi="Arial" w:cs="Arial"/>
          <w:sz w:val="24"/>
          <w:szCs w:val="24"/>
        </w:rPr>
      </w:pPr>
    </w:p>
    <w:p w14:paraId="2E604A86" w14:textId="336B028D" w:rsidR="006B2813" w:rsidRPr="00D11A02" w:rsidRDefault="001C4CAC" w:rsidP="006B2813">
      <w:pPr>
        <w:spacing w:after="0" w:line="240" w:lineRule="auto"/>
        <w:rPr>
          <w:rFonts w:ascii="Arial" w:eastAsia="Arial" w:hAnsi="Arial" w:cs="Arial"/>
          <w:b/>
          <w:sz w:val="32"/>
          <w:szCs w:val="32"/>
        </w:rPr>
      </w:pPr>
      <w:r w:rsidRPr="00D11A02">
        <w:rPr>
          <w:rFonts w:ascii="Arial" w:eastAsia="Arial" w:hAnsi="Arial" w:cs="Arial"/>
          <w:sz w:val="25"/>
          <w:szCs w:val="25"/>
        </w:rPr>
        <w:t xml:space="preserve">July </w:t>
      </w:r>
      <w:r w:rsidR="003B278B">
        <w:rPr>
          <w:rFonts w:ascii="Arial" w:eastAsia="Arial" w:hAnsi="Arial" w:cs="Arial"/>
          <w:sz w:val="25"/>
          <w:szCs w:val="25"/>
        </w:rPr>
        <w:t>28</w:t>
      </w:r>
      <w:r w:rsidRPr="00D11A02">
        <w:rPr>
          <w:rFonts w:ascii="Arial" w:eastAsia="Arial" w:hAnsi="Arial" w:cs="Arial"/>
          <w:sz w:val="25"/>
          <w:szCs w:val="25"/>
        </w:rPr>
        <w:t>, 2022</w:t>
      </w:r>
    </w:p>
    <w:p w14:paraId="3F17D025" w14:textId="77777777" w:rsidR="006B2813" w:rsidRPr="00D11A02" w:rsidRDefault="006B2813" w:rsidP="006B2813">
      <w:pPr>
        <w:pBdr>
          <w:top w:val="nil"/>
          <w:left w:val="nil"/>
          <w:bottom w:val="nil"/>
          <w:right w:val="nil"/>
          <w:between w:val="nil"/>
        </w:pBdr>
        <w:spacing w:after="0" w:line="240" w:lineRule="auto"/>
        <w:jc w:val="center"/>
        <w:rPr>
          <w:rFonts w:ascii="Arial" w:eastAsia="Arial" w:hAnsi="Arial" w:cs="Arial"/>
          <w:b/>
          <w:color w:val="FF0000"/>
        </w:rPr>
      </w:pPr>
    </w:p>
    <w:p w14:paraId="6545C52C" w14:textId="6D9C1178" w:rsidR="000C1FF5" w:rsidRDefault="000C1FF5" w:rsidP="0074666B">
      <w:pPr>
        <w:pBdr>
          <w:top w:val="nil"/>
          <w:left w:val="nil"/>
          <w:bottom w:val="nil"/>
          <w:right w:val="nil"/>
          <w:between w:val="nil"/>
        </w:pBdr>
        <w:spacing w:after="0" w:line="240" w:lineRule="auto"/>
        <w:jc w:val="center"/>
        <w:rPr>
          <w:rFonts w:ascii="Arial" w:eastAsia="Arial" w:hAnsi="Arial" w:cs="Arial"/>
          <w:b/>
          <w:sz w:val="31"/>
          <w:szCs w:val="31"/>
        </w:rPr>
      </w:pPr>
      <w:r>
        <w:rPr>
          <w:rFonts w:ascii="Arial" w:eastAsia="Arial" w:hAnsi="Arial" w:cs="Arial"/>
          <w:b/>
          <w:sz w:val="31"/>
          <w:szCs w:val="31"/>
        </w:rPr>
        <w:t>Ivanhoe Electric updates activities at its flagship Santa Cruz Project in Arizona</w:t>
      </w:r>
    </w:p>
    <w:p w14:paraId="14CF529A" w14:textId="77777777" w:rsidR="000C1FF5" w:rsidRPr="000C1FF5" w:rsidRDefault="000C1FF5" w:rsidP="000C1FF5">
      <w:pPr>
        <w:pStyle w:val="ListParagraph"/>
        <w:numPr>
          <w:ilvl w:val="0"/>
          <w:numId w:val="19"/>
        </w:numPr>
        <w:pBdr>
          <w:top w:val="nil"/>
          <w:left w:val="nil"/>
          <w:bottom w:val="nil"/>
          <w:right w:val="nil"/>
          <w:between w:val="nil"/>
        </w:pBdr>
        <w:spacing w:after="0" w:line="240" w:lineRule="auto"/>
        <w:jc w:val="center"/>
        <w:rPr>
          <w:rFonts w:ascii="Arial" w:eastAsia="Arial" w:hAnsi="Arial" w:cs="Arial"/>
          <w:b/>
          <w:sz w:val="31"/>
          <w:szCs w:val="31"/>
        </w:rPr>
      </w:pPr>
    </w:p>
    <w:p w14:paraId="4CB4B672" w14:textId="5F7CEA00" w:rsidR="00AE2C20" w:rsidRPr="00D11A02" w:rsidRDefault="00E94002" w:rsidP="0074666B">
      <w:pPr>
        <w:pBdr>
          <w:top w:val="nil"/>
          <w:left w:val="nil"/>
          <w:bottom w:val="nil"/>
          <w:right w:val="nil"/>
          <w:between w:val="nil"/>
        </w:pBdr>
        <w:spacing w:after="0" w:line="240" w:lineRule="auto"/>
        <w:jc w:val="center"/>
        <w:rPr>
          <w:rFonts w:ascii="Arial" w:eastAsia="Arial" w:hAnsi="Arial" w:cs="Arial"/>
          <w:b/>
          <w:sz w:val="31"/>
          <w:szCs w:val="31"/>
        </w:rPr>
      </w:pPr>
      <w:r w:rsidRPr="00D11A02">
        <w:rPr>
          <w:rFonts w:ascii="Arial" w:eastAsia="Arial" w:hAnsi="Arial" w:cs="Arial"/>
          <w:b/>
          <w:sz w:val="31"/>
          <w:szCs w:val="31"/>
        </w:rPr>
        <w:t xml:space="preserve">Santa Cruz is the second-largest undeveloped copper </w:t>
      </w:r>
      <w:r w:rsidR="00A5255C">
        <w:rPr>
          <w:rFonts w:ascii="Arial" w:eastAsia="Arial" w:hAnsi="Arial" w:cs="Arial"/>
          <w:b/>
          <w:sz w:val="31"/>
          <w:szCs w:val="31"/>
        </w:rPr>
        <w:t xml:space="preserve">deposit in </w:t>
      </w:r>
      <w:r w:rsidR="00A175E1">
        <w:rPr>
          <w:rFonts w:ascii="Arial" w:eastAsia="Arial" w:hAnsi="Arial" w:cs="Arial"/>
          <w:b/>
          <w:sz w:val="31"/>
          <w:szCs w:val="31"/>
        </w:rPr>
        <w:t xml:space="preserve">the </w:t>
      </w:r>
      <w:r w:rsidR="00A5255C">
        <w:rPr>
          <w:rFonts w:ascii="Arial" w:eastAsia="Arial" w:hAnsi="Arial" w:cs="Arial"/>
          <w:b/>
          <w:sz w:val="31"/>
          <w:szCs w:val="31"/>
        </w:rPr>
        <w:t>Lower 48 States</w:t>
      </w:r>
      <w:r w:rsidR="00204649">
        <w:rPr>
          <w:rFonts w:ascii="Arial" w:eastAsia="Arial" w:hAnsi="Arial" w:cs="Arial"/>
          <w:b/>
          <w:sz w:val="31"/>
          <w:szCs w:val="31"/>
        </w:rPr>
        <w:t xml:space="preserve">, the largest leachable deposit </w:t>
      </w:r>
      <w:r w:rsidRPr="00D11A02">
        <w:rPr>
          <w:rFonts w:ascii="Arial" w:eastAsia="Arial" w:hAnsi="Arial" w:cs="Arial"/>
          <w:b/>
          <w:sz w:val="31"/>
          <w:szCs w:val="31"/>
        </w:rPr>
        <w:t>and the largest</w:t>
      </w:r>
      <w:r w:rsidR="008F0C8A" w:rsidRPr="00D11A02">
        <w:rPr>
          <w:rFonts w:ascii="Arial" w:eastAsia="Arial" w:hAnsi="Arial" w:cs="Arial"/>
          <w:b/>
          <w:sz w:val="31"/>
          <w:szCs w:val="31"/>
        </w:rPr>
        <w:t xml:space="preserve"> </w:t>
      </w:r>
      <w:r w:rsidRPr="00D11A02">
        <w:rPr>
          <w:rFonts w:ascii="Arial" w:eastAsia="Arial" w:hAnsi="Arial" w:cs="Arial"/>
          <w:b/>
          <w:sz w:val="31"/>
          <w:szCs w:val="31"/>
        </w:rPr>
        <w:t>on private land</w:t>
      </w:r>
    </w:p>
    <w:p w14:paraId="7B5AA1BC" w14:textId="77777777" w:rsidR="00E94002" w:rsidRPr="00D11A02" w:rsidRDefault="00E94002" w:rsidP="0074666B">
      <w:pPr>
        <w:pStyle w:val="ListParagraph"/>
        <w:numPr>
          <w:ilvl w:val="0"/>
          <w:numId w:val="16"/>
        </w:numPr>
        <w:pBdr>
          <w:top w:val="nil"/>
          <w:left w:val="nil"/>
          <w:bottom w:val="nil"/>
          <w:right w:val="nil"/>
          <w:between w:val="nil"/>
        </w:pBdr>
        <w:spacing w:after="0" w:line="240" w:lineRule="auto"/>
        <w:jc w:val="center"/>
        <w:rPr>
          <w:rFonts w:ascii="Arial" w:eastAsia="Arial" w:hAnsi="Arial" w:cs="Arial"/>
          <w:b/>
          <w:sz w:val="31"/>
          <w:szCs w:val="31"/>
        </w:rPr>
      </w:pPr>
    </w:p>
    <w:p w14:paraId="227C4DA8" w14:textId="0C807BDC" w:rsidR="00DF403A" w:rsidRDefault="00DF403A" w:rsidP="0074666B">
      <w:pPr>
        <w:pBdr>
          <w:top w:val="nil"/>
          <w:left w:val="nil"/>
          <w:bottom w:val="nil"/>
          <w:right w:val="nil"/>
          <w:between w:val="nil"/>
        </w:pBdr>
        <w:spacing w:after="0" w:line="240" w:lineRule="auto"/>
        <w:jc w:val="center"/>
        <w:rPr>
          <w:rFonts w:ascii="Arial" w:eastAsia="Arial" w:hAnsi="Arial" w:cs="Arial"/>
          <w:b/>
          <w:sz w:val="31"/>
          <w:szCs w:val="31"/>
        </w:rPr>
      </w:pPr>
      <w:r>
        <w:rPr>
          <w:rFonts w:ascii="Arial" w:eastAsia="Arial" w:hAnsi="Arial" w:cs="Arial"/>
          <w:b/>
          <w:sz w:val="31"/>
          <w:szCs w:val="31"/>
        </w:rPr>
        <w:t>85,000</w:t>
      </w:r>
      <w:r w:rsidR="0077755D">
        <w:rPr>
          <w:rFonts w:ascii="Arial" w:eastAsia="Arial" w:hAnsi="Arial" w:cs="Arial"/>
          <w:b/>
          <w:sz w:val="31"/>
          <w:szCs w:val="31"/>
        </w:rPr>
        <w:t>-</w:t>
      </w:r>
      <w:r>
        <w:rPr>
          <w:rFonts w:ascii="Arial" w:eastAsia="Arial" w:hAnsi="Arial" w:cs="Arial"/>
          <w:b/>
          <w:sz w:val="31"/>
          <w:szCs w:val="31"/>
        </w:rPr>
        <w:t>m</w:t>
      </w:r>
      <w:r w:rsidR="0077755D">
        <w:rPr>
          <w:rFonts w:ascii="Arial" w:eastAsia="Arial" w:hAnsi="Arial" w:cs="Arial"/>
          <w:b/>
          <w:sz w:val="31"/>
          <w:szCs w:val="31"/>
        </w:rPr>
        <w:t>eter</w:t>
      </w:r>
      <w:r>
        <w:rPr>
          <w:rFonts w:ascii="Arial" w:eastAsia="Arial" w:hAnsi="Arial" w:cs="Arial"/>
          <w:b/>
          <w:sz w:val="31"/>
          <w:szCs w:val="31"/>
        </w:rPr>
        <w:t xml:space="preserve"> program of resource in-fill, geotechnical, </w:t>
      </w:r>
      <w:proofErr w:type="gramStart"/>
      <w:r>
        <w:rPr>
          <w:rFonts w:ascii="Arial" w:eastAsia="Arial" w:hAnsi="Arial" w:cs="Arial"/>
          <w:b/>
          <w:sz w:val="31"/>
          <w:szCs w:val="31"/>
        </w:rPr>
        <w:t>hydrological</w:t>
      </w:r>
      <w:proofErr w:type="gramEnd"/>
      <w:r>
        <w:rPr>
          <w:rFonts w:ascii="Arial" w:eastAsia="Arial" w:hAnsi="Arial" w:cs="Arial"/>
          <w:b/>
          <w:sz w:val="31"/>
          <w:szCs w:val="31"/>
        </w:rPr>
        <w:t xml:space="preserve"> and metallurgical drilling </w:t>
      </w:r>
      <w:r w:rsidR="00AD3DDC">
        <w:rPr>
          <w:rFonts w:ascii="Arial" w:eastAsia="Arial" w:hAnsi="Arial" w:cs="Arial"/>
          <w:b/>
          <w:sz w:val="31"/>
          <w:szCs w:val="31"/>
        </w:rPr>
        <w:t>well</w:t>
      </w:r>
      <w:r>
        <w:rPr>
          <w:rFonts w:ascii="Arial" w:eastAsia="Arial" w:hAnsi="Arial" w:cs="Arial"/>
          <w:b/>
          <w:sz w:val="31"/>
          <w:szCs w:val="31"/>
        </w:rPr>
        <w:t xml:space="preserve"> underway on the Santa Cruz deposit</w:t>
      </w:r>
    </w:p>
    <w:p w14:paraId="381C5262" w14:textId="77777777" w:rsidR="000C1FF5" w:rsidRPr="000C1FF5" w:rsidRDefault="000C1FF5" w:rsidP="000C1FF5">
      <w:pPr>
        <w:pStyle w:val="ListParagraph"/>
        <w:numPr>
          <w:ilvl w:val="0"/>
          <w:numId w:val="16"/>
        </w:numPr>
        <w:pBdr>
          <w:top w:val="nil"/>
          <w:left w:val="nil"/>
          <w:bottom w:val="nil"/>
          <w:right w:val="nil"/>
          <w:between w:val="nil"/>
        </w:pBdr>
        <w:spacing w:after="0" w:line="240" w:lineRule="auto"/>
        <w:jc w:val="center"/>
        <w:rPr>
          <w:rFonts w:ascii="Arial" w:eastAsia="Arial" w:hAnsi="Arial" w:cs="Arial"/>
          <w:b/>
          <w:sz w:val="31"/>
          <w:szCs w:val="31"/>
        </w:rPr>
      </w:pPr>
    </w:p>
    <w:p w14:paraId="5E5F63B2" w14:textId="77777777" w:rsidR="000C1FF5" w:rsidRPr="00D11A02" w:rsidRDefault="000C1FF5" w:rsidP="000C1FF5">
      <w:pPr>
        <w:pBdr>
          <w:top w:val="nil"/>
          <w:left w:val="nil"/>
          <w:bottom w:val="nil"/>
          <w:right w:val="nil"/>
          <w:between w:val="nil"/>
        </w:pBdr>
        <w:spacing w:after="0" w:line="240" w:lineRule="auto"/>
        <w:jc w:val="center"/>
        <w:rPr>
          <w:rFonts w:ascii="Arial" w:eastAsia="Arial" w:hAnsi="Arial" w:cs="Arial"/>
          <w:b/>
          <w:sz w:val="31"/>
          <w:szCs w:val="31"/>
        </w:rPr>
      </w:pPr>
      <w:r>
        <w:rPr>
          <w:rFonts w:ascii="Arial" w:eastAsia="Arial" w:hAnsi="Arial" w:cs="Arial"/>
          <w:b/>
          <w:sz w:val="31"/>
          <w:szCs w:val="31"/>
        </w:rPr>
        <w:t xml:space="preserve">Seven drill rigs now active </w:t>
      </w:r>
    </w:p>
    <w:p w14:paraId="358D2202" w14:textId="77777777" w:rsidR="00DF403A" w:rsidRPr="00AE1EF6" w:rsidRDefault="00DF403A" w:rsidP="00AE1EF6">
      <w:pPr>
        <w:pStyle w:val="ListParagraph"/>
        <w:numPr>
          <w:ilvl w:val="0"/>
          <w:numId w:val="16"/>
        </w:numPr>
        <w:pBdr>
          <w:top w:val="nil"/>
          <w:left w:val="nil"/>
          <w:bottom w:val="nil"/>
          <w:right w:val="nil"/>
          <w:between w:val="nil"/>
        </w:pBdr>
        <w:spacing w:after="0" w:line="240" w:lineRule="auto"/>
        <w:jc w:val="center"/>
        <w:rPr>
          <w:rFonts w:ascii="Arial" w:eastAsia="Arial" w:hAnsi="Arial" w:cs="Arial"/>
          <w:b/>
          <w:sz w:val="31"/>
          <w:szCs w:val="31"/>
        </w:rPr>
      </w:pPr>
    </w:p>
    <w:p w14:paraId="5EFB9AD0" w14:textId="4EBB3B93" w:rsidR="00E94002" w:rsidRPr="00D11A02" w:rsidRDefault="0004638C" w:rsidP="0074666B">
      <w:pPr>
        <w:pBdr>
          <w:top w:val="nil"/>
          <w:left w:val="nil"/>
          <w:bottom w:val="nil"/>
          <w:right w:val="nil"/>
          <w:between w:val="nil"/>
        </w:pBdr>
        <w:spacing w:after="0" w:line="240" w:lineRule="auto"/>
        <w:jc w:val="center"/>
        <w:rPr>
          <w:rFonts w:ascii="Arial" w:eastAsia="Arial" w:hAnsi="Arial" w:cs="Arial"/>
          <w:b/>
          <w:sz w:val="31"/>
          <w:szCs w:val="31"/>
        </w:rPr>
      </w:pPr>
      <w:r>
        <w:rPr>
          <w:rFonts w:ascii="Arial" w:eastAsia="Arial" w:hAnsi="Arial" w:cs="Arial"/>
          <w:b/>
          <w:sz w:val="31"/>
          <w:szCs w:val="31"/>
        </w:rPr>
        <w:t>P</w:t>
      </w:r>
      <w:r w:rsidR="00E94002" w:rsidRPr="00D11A02">
        <w:rPr>
          <w:rFonts w:ascii="Arial" w:eastAsia="Arial" w:hAnsi="Arial" w:cs="Arial"/>
          <w:b/>
          <w:sz w:val="31"/>
          <w:szCs w:val="31"/>
        </w:rPr>
        <w:t xml:space="preserve">roprietary Typhoon™ </w:t>
      </w:r>
      <w:r>
        <w:rPr>
          <w:rFonts w:ascii="Arial" w:eastAsia="Arial" w:hAnsi="Arial" w:cs="Arial"/>
          <w:b/>
          <w:sz w:val="31"/>
          <w:szCs w:val="31"/>
        </w:rPr>
        <w:t xml:space="preserve">geophysical </w:t>
      </w:r>
      <w:r w:rsidR="00E94002" w:rsidRPr="00D11A02">
        <w:rPr>
          <w:rFonts w:ascii="Arial" w:eastAsia="Arial" w:hAnsi="Arial" w:cs="Arial"/>
          <w:b/>
          <w:sz w:val="31"/>
          <w:szCs w:val="31"/>
        </w:rPr>
        <w:t xml:space="preserve">survey completed to identify </w:t>
      </w:r>
      <w:r w:rsidR="00A5255C">
        <w:rPr>
          <w:rFonts w:ascii="Arial" w:eastAsia="Arial" w:hAnsi="Arial" w:cs="Arial"/>
          <w:b/>
          <w:sz w:val="31"/>
          <w:szCs w:val="31"/>
        </w:rPr>
        <w:t>deposit</w:t>
      </w:r>
      <w:r w:rsidR="00290E89">
        <w:rPr>
          <w:rFonts w:ascii="Arial" w:eastAsia="Arial" w:hAnsi="Arial" w:cs="Arial"/>
          <w:b/>
          <w:sz w:val="31"/>
          <w:szCs w:val="31"/>
        </w:rPr>
        <w:t xml:space="preserve"> extensions </w:t>
      </w:r>
      <w:r w:rsidR="00A5255C">
        <w:rPr>
          <w:rFonts w:ascii="Arial" w:eastAsia="Arial" w:hAnsi="Arial" w:cs="Arial"/>
          <w:b/>
          <w:sz w:val="31"/>
          <w:szCs w:val="31"/>
        </w:rPr>
        <w:t xml:space="preserve">and new zones of </w:t>
      </w:r>
      <w:r w:rsidR="00E94002" w:rsidRPr="00D11A02">
        <w:rPr>
          <w:rFonts w:ascii="Arial" w:eastAsia="Arial" w:hAnsi="Arial" w:cs="Arial"/>
          <w:b/>
          <w:sz w:val="31"/>
          <w:szCs w:val="31"/>
        </w:rPr>
        <w:t>mineralization</w:t>
      </w:r>
    </w:p>
    <w:p w14:paraId="3F9CA10A" w14:textId="77777777" w:rsidR="008F0C8A" w:rsidRPr="00D11A02" w:rsidRDefault="008F0C8A" w:rsidP="0074666B">
      <w:pPr>
        <w:pStyle w:val="ListParagraph"/>
        <w:numPr>
          <w:ilvl w:val="0"/>
          <w:numId w:val="16"/>
        </w:numPr>
        <w:pBdr>
          <w:top w:val="nil"/>
          <w:left w:val="nil"/>
          <w:bottom w:val="nil"/>
          <w:right w:val="nil"/>
          <w:between w:val="nil"/>
        </w:pBdr>
        <w:spacing w:after="0" w:line="240" w:lineRule="auto"/>
        <w:jc w:val="center"/>
        <w:rPr>
          <w:rFonts w:ascii="Arial" w:eastAsia="Arial" w:hAnsi="Arial" w:cs="Arial"/>
          <w:b/>
          <w:sz w:val="31"/>
          <w:szCs w:val="31"/>
        </w:rPr>
      </w:pPr>
    </w:p>
    <w:p w14:paraId="6B349089" w14:textId="292BBB87" w:rsidR="0005772B" w:rsidRPr="00D11A02" w:rsidRDefault="0005772B" w:rsidP="0074666B">
      <w:pPr>
        <w:pBdr>
          <w:top w:val="nil"/>
          <w:left w:val="nil"/>
          <w:bottom w:val="nil"/>
          <w:right w:val="nil"/>
          <w:between w:val="nil"/>
        </w:pBdr>
        <w:spacing w:after="0" w:line="240" w:lineRule="auto"/>
        <w:jc w:val="center"/>
        <w:rPr>
          <w:rFonts w:ascii="Arial" w:eastAsia="Arial" w:hAnsi="Arial" w:cs="Arial"/>
          <w:b/>
          <w:sz w:val="31"/>
          <w:szCs w:val="31"/>
        </w:rPr>
      </w:pPr>
      <w:r>
        <w:rPr>
          <w:rFonts w:ascii="Arial" w:eastAsia="Arial" w:hAnsi="Arial" w:cs="Arial"/>
          <w:b/>
          <w:sz w:val="31"/>
          <w:szCs w:val="31"/>
        </w:rPr>
        <w:t>Ivanhoe Electric</w:t>
      </w:r>
      <w:r w:rsidR="0077755D">
        <w:rPr>
          <w:rFonts w:ascii="Arial" w:eastAsia="Arial" w:hAnsi="Arial" w:cs="Arial"/>
          <w:b/>
          <w:sz w:val="31"/>
          <w:szCs w:val="31"/>
        </w:rPr>
        <w:t>’s</w:t>
      </w:r>
      <w:r>
        <w:rPr>
          <w:rFonts w:ascii="Arial" w:eastAsia="Arial" w:hAnsi="Arial" w:cs="Arial"/>
          <w:b/>
          <w:sz w:val="31"/>
          <w:szCs w:val="31"/>
        </w:rPr>
        <w:t xml:space="preserve"> vision is for a green, low-impact</w:t>
      </w:r>
      <w:r w:rsidR="00AD3DDC">
        <w:rPr>
          <w:rFonts w:ascii="Arial" w:eastAsia="Arial" w:hAnsi="Arial" w:cs="Arial"/>
          <w:b/>
          <w:sz w:val="31"/>
          <w:szCs w:val="31"/>
        </w:rPr>
        <w:t>, solar powered</w:t>
      </w:r>
      <w:r>
        <w:rPr>
          <w:rFonts w:ascii="Arial" w:eastAsia="Arial" w:hAnsi="Arial" w:cs="Arial"/>
          <w:b/>
          <w:sz w:val="31"/>
          <w:szCs w:val="31"/>
        </w:rPr>
        <w:t xml:space="preserve"> underground mine </w:t>
      </w:r>
    </w:p>
    <w:p w14:paraId="057DBC0B" w14:textId="77777777" w:rsidR="00FD3CA7" w:rsidRPr="00D11A02" w:rsidRDefault="00FD3CA7" w:rsidP="00687499">
      <w:pPr>
        <w:spacing w:after="0" w:line="240" w:lineRule="auto"/>
        <w:rPr>
          <w:rFonts w:ascii="Arial" w:eastAsia="Arial" w:hAnsi="Arial" w:cs="Arial"/>
          <w:b/>
          <w:color w:val="FF0000"/>
          <w:sz w:val="31"/>
          <w:szCs w:val="31"/>
        </w:rPr>
      </w:pPr>
    </w:p>
    <w:p w14:paraId="401CDB54" w14:textId="0DC5F234" w:rsidR="000C1FF5" w:rsidRDefault="00DB22DC" w:rsidP="00687499">
      <w:pPr>
        <w:spacing w:after="0" w:line="240" w:lineRule="auto"/>
        <w:rPr>
          <w:rFonts w:ascii="Arial" w:hAnsi="Arial"/>
          <w:b/>
          <w:sz w:val="24"/>
          <w:szCs w:val="24"/>
        </w:rPr>
      </w:pPr>
      <w:r w:rsidRPr="00D11A02">
        <w:rPr>
          <w:rFonts w:ascii="Arial" w:hAnsi="Arial"/>
          <w:b/>
          <w:sz w:val="24"/>
          <w:szCs w:val="24"/>
        </w:rPr>
        <w:t>NEW YORK</w:t>
      </w:r>
      <w:r w:rsidR="00212B49" w:rsidRPr="00D11A02">
        <w:rPr>
          <w:rFonts w:ascii="Arial" w:hAnsi="Arial"/>
          <w:b/>
          <w:sz w:val="24"/>
          <w:szCs w:val="24"/>
        </w:rPr>
        <w:t xml:space="preserve">, </w:t>
      </w:r>
      <w:r w:rsidR="00212B49" w:rsidRPr="00D11A02">
        <w:rPr>
          <w:rFonts w:ascii="Arial" w:hAnsi="Arial"/>
          <w:b/>
          <w:caps/>
          <w:sz w:val="24"/>
          <w:szCs w:val="24"/>
        </w:rPr>
        <w:t>New York</w:t>
      </w:r>
      <w:r w:rsidR="006B2813" w:rsidRPr="00D11A02">
        <w:rPr>
          <w:rFonts w:ascii="Arial" w:hAnsi="Arial"/>
          <w:b/>
          <w:sz w:val="24"/>
          <w:szCs w:val="24"/>
        </w:rPr>
        <w:t xml:space="preserve"> </w:t>
      </w:r>
      <w:r w:rsidR="006B2813" w:rsidRPr="00D11A02">
        <w:rPr>
          <w:rFonts w:ascii="Arial" w:eastAsia="Arial" w:hAnsi="Arial" w:cs="Arial"/>
          <w:b/>
          <w:sz w:val="24"/>
          <w:szCs w:val="24"/>
        </w:rPr>
        <w:t xml:space="preserve">– </w:t>
      </w:r>
      <w:r w:rsidR="0017347D" w:rsidRPr="00D11A02">
        <w:rPr>
          <w:rFonts w:ascii="Arial" w:hAnsi="Arial"/>
          <w:b/>
          <w:sz w:val="24"/>
          <w:szCs w:val="24"/>
        </w:rPr>
        <w:t>Ivanhoe Electric (NYSE American</w:t>
      </w:r>
      <w:r w:rsidR="00C66B22">
        <w:rPr>
          <w:rFonts w:ascii="Arial" w:hAnsi="Arial"/>
          <w:b/>
          <w:sz w:val="24"/>
          <w:szCs w:val="24"/>
        </w:rPr>
        <w:t>: IE;</w:t>
      </w:r>
      <w:r w:rsidR="0017347D" w:rsidRPr="00D11A02">
        <w:rPr>
          <w:rFonts w:ascii="Arial" w:hAnsi="Arial"/>
          <w:b/>
          <w:sz w:val="24"/>
          <w:szCs w:val="24"/>
        </w:rPr>
        <w:t xml:space="preserve"> TSX: IE) Chairman and Chief Executive Officer Robert Friedland </w:t>
      </w:r>
      <w:r w:rsidR="00CB6D62">
        <w:rPr>
          <w:rFonts w:ascii="Arial" w:hAnsi="Arial"/>
          <w:b/>
          <w:sz w:val="24"/>
          <w:szCs w:val="24"/>
        </w:rPr>
        <w:t xml:space="preserve">and President Eric Finlayson </w:t>
      </w:r>
      <w:r w:rsidR="00DF403A">
        <w:rPr>
          <w:rFonts w:ascii="Arial" w:hAnsi="Arial"/>
          <w:b/>
          <w:sz w:val="24"/>
          <w:szCs w:val="24"/>
        </w:rPr>
        <w:t>are</w:t>
      </w:r>
      <w:r w:rsidR="00DF403A" w:rsidRPr="00D11A02">
        <w:rPr>
          <w:rFonts w:ascii="Arial" w:hAnsi="Arial"/>
          <w:b/>
          <w:sz w:val="24"/>
          <w:szCs w:val="24"/>
        </w:rPr>
        <w:t xml:space="preserve"> </w:t>
      </w:r>
      <w:r w:rsidR="0017347D" w:rsidRPr="00D11A02">
        <w:rPr>
          <w:rFonts w:ascii="Arial" w:hAnsi="Arial"/>
          <w:b/>
          <w:sz w:val="24"/>
          <w:szCs w:val="24"/>
        </w:rPr>
        <w:t xml:space="preserve">pleased to provide an update on </w:t>
      </w:r>
      <w:r w:rsidR="000C1FF5">
        <w:rPr>
          <w:rFonts w:ascii="Arial" w:hAnsi="Arial"/>
          <w:b/>
          <w:sz w:val="24"/>
          <w:szCs w:val="24"/>
        </w:rPr>
        <w:t>its</w:t>
      </w:r>
      <w:r w:rsidR="000C1FF5" w:rsidRPr="00D11A02">
        <w:rPr>
          <w:rFonts w:ascii="Arial" w:hAnsi="Arial"/>
          <w:b/>
          <w:sz w:val="24"/>
          <w:szCs w:val="24"/>
        </w:rPr>
        <w:t xml:space="preserve"> </w:t>
      </w:r>
      <w:r w:rsidR="00C66B22">
        <w:rPr>
          <w:rFonts w:ascii="Arial" w:hAnsi="Arial"/>
          <w:b/>
          <w:sz w:val="24"/>
          <w:szCs w:val="24"/>
        </w:rPr>
        <w:t xml:space="preserve">flagship </w:t>
      </w:r>
      <w:r w:rsidR="0017347D" w:rsidRPr="00D11A02">
        <w:rPr>
          <w:rFonts w:ascii="Arial" w:hAnsi="Arial"/>
          <w:b/>
          <w:sz w:val="24"/>
          <w:szCs w:val="24"/>
        </w:rPr>
        <w:t>Santa Cruz Copper Project in Arizona.</w:t>
      </w:r>
      <w:r w:rsidR="00475B1B" w:rsidRPr="00D11A02">
        <w:rPr>
          <w:rFonts w:ascii="Arial" w:hAnsi="Arial"/>
          <w:b/>
          <w:sz w:val="24"/>
          <w:szCs w:val="24"/>
        </w:rPr>
        <w:t xml:space="preserve"> </w:t>
      </w:r>
    </w:p>
    <w:p w14:paraId="42A29F7D" w14:textId="77777777" w:rsidR="000C1FF5" w:rsidRDefault="000C1FF5" w:rsidP="00687499">
      <w:pPr>
        <w:spacing w:after="0" w:line="240" w:lineRule="auto"/>
        <w:rPr>
          <w:rFonts w:ascii="Arial" w:hAnsi="Arial"/>
          <w:b/>
          <w:sz w:val="24"/>
          <w:szCs w:val="24"/>
        </w:rPr>
      </w:pPr>
    </w:p>
    <w:p w14:paraId="21092FC2" w14:textId="7E2C9EF4" w:rsidR="000C1FF5" w:rsidRPr="00D11A02" w:rsidRDefault="00475B1B" w:rsidP="000C1FF5">
      <w:pPr>
        <w:spacing w:after="0" w:line="240" w:lineRule="auto"/>
        <w:rPr>
          <w:rFonts w:ascii="Arial" w:hAnsi="Arial"/>
          <w:b/>
          <w:sz w:val="24"/>
          <w:szCs w:val="24"/>
        </w:rPr>
      </w:pPr>
      <w:r w:rsidRPr="00D11A02">
        <w:rPr>
          <w:rFonts w:ascii="Arial" w:hAnsi="Arial"/>
          <w:b/>
          <w:sz w:val="24"/>
          <w:szCs w:val="24"/>
        </w:rPr>
        <w:t xml:space="preserve">Ivanhoe Electric acquired the Santa Cruz </w:t>
      </w:r>
      <w:r w:rsidR="00204649">
        <w:rPr>
          <w:rFonts w:ascii="Arial" w:hAnsi="Arial"/>
          <w:b/>
          <w:sz w:val="24"/>
          <w:szCs w:val="24"/>
        </w:rPr>
        <w:t>P</w:t>
      </w:r>
      <w:r w:rsidRPr="00D11A02">
        <w:rPr>
          <w:rFonts w:ascii="Arial" w:hAnsi="Arial"/>
          <w:b/>
          <w:sz w:val="24"/>
          <w:szCs w:val="24"/>
        </w:rPr>
        <w:t xml:space="preserve">roject </w:t>
      </w:r>
      <w:r w:rsidR="005678CE" w:rsidRPr="00D11A02">
        <w:rPr>
          <w:rFonts w:ascii="Arial" w:hAnsi="Arial"/>
          <w:b/>
          <w:sz w:val="24"/>
          <w:szCs w:val="24"/>
        </w:rPr>
        <w:t xml:space="preserve">in </w:t>
      </w:r>
      <w:r w:rsidR="008652D8">
        <w:rPr>
          <w:rFonts w:ascii="Arial" w:hAnsi="Arial"/>
          <w:b/>
          <w:sz w:val="24"/>
          <w:szCs w:val="24"/>
        </w:rPr>
        <w:t>mid-</w:t>
      </w:r>
      <w:r w:rsidR="005678CE" w:rsidRPr="00D11A02">
        <w:rPr>
          <w:rFonts w:ascii="Arial" w:hAnsi="Arial"/>
          <w:b/>
          <w:sz w:val="24"/>
          <w:szCs w:val="24"/>
        </w:rPr>
        <w:t xml:space="preserve">2021 </w:t>
      </w:r>
      <w:r w:rsidRPr="00D11A02">
        <w:rPr>
          <w:rFonts w:ascii="Arial" w:hAnsi="Arial"/>
          <w:b/>
          <w:sz w:val="24"/>
          <w:szCs w:val="24"/>
        </w:rPr>
        <w:t xml:space="preserve">after </w:t>
      </w:r>
      <w:r w:rsidR="00204649">
        <w:rPr>
          <w:rFonts w:ascii="Arial" w:hAnsi="Arial"/>
          <w:b/>
          <w:sz w:val="24"/>
          <w:szCs w:val="24"/>
        </w:rPr>
        <w:t>several</w:t>
      </w:r>
      <w:r w:rsidRPr="00D11A02">
        <w:rPr>
          <w:rFonts w:ascii="Arial" w:hAnsi="Arial"/>
          <w:b/>
          <w:sz w:val="24"/>
          <w:szCs w:val="24"/>
        </w:rPr>
        <w:t xml:space="preserve"> years of </w:t>
      </w:r>
      <w:r w:rsidR="008C7D63">
        <w:rPr>
          <w:rFonts w:ascii="Arial" w:hAnsi="Arial"/>
          <w:b/>
          <w:sz w:val="24"/>
          <w:szCs w:val="24"/>
        </w:rPr>
        <w:t>negotiation</w:t>
      </w:r>
      <w:r w:rsidRPr="00D11A02">
        <w:rPr>
          <w:rFonts w:ascii="Arial" w:hAnsi="Arial"/>
          <w:b/>
          <w:sz w:val="24"/>
          <w:szCs w:val="24"/>
        </w:rPr>
        <w:t>.</w:t>
      </w:r>
      <w:r w:rsidR="005678CE" w:rsidRPr="00D11A02">
        <w:rPr>
          <w:rFonts w:ascii="Arial" w:hAnsi="Arial"/>
          <w:b/>
          <w:sz w:val="24"/>
          <w:szCs w:val="24"/>
        </w:rPr>
        <w:t xml:space="preserve"> </w:t>
      </w:r>
      <w:r w:rsidR="000C1FF5">
        <w:rPr>
          <w:rFonts w:ascii="Arial" w:hAnsi="Arial"/>
          <w:b/>
          <w:sz w:val="24"/>
          <w:szCs w:val="24"/>
        </w:rPr>
        <w:t>Copper mineralization on the property</w:t>
      </w:r>
      <w:r w:rsidR="000C1FF5" w:rsidRPr="00D11A02">
        <w:rPr>
          <w:rFonts w:ascii="Arial" w:hAnsi="Arial"/>
          <w:b/>
          <w:sz w:val="24"/>
          <w:szCs w:val="24"/>
        </w:rPr>
        <w:t xml:space="preserve"> was </w:t>
      </w:r>
      <w:r w:rsidR="000C1FF5">
        <w:rPr>
          <w:rFonts w:ascii="Arial" w:hAnsi="Arial"/>
          <w:b/>
          <w:sz w:val="24"/>
          <w:szCs w:val="24"/>
        </w:rPr>
        <w:t xml:space="preserve">originally </w:t>
      </w:r>
      <w:r w:rsidR="000C1FF5" w:rsidRPr="00D11A02">
        <w:rPr>
          <w:rFonts w:ascii="Arial" w:hAnsi="Arial"/>
          <w:b/>
          <w:sz w:val="24"/>
          <w:szCs w:val="24"/>
        </w:rPr>
        <w:t>discovered over 50 years</w:t>
      </w:r>
      <w:r w:rsidR="000C1FF5">
        <w:rPr>
          <w:rFonts w:ascii="Arial" w:hAnsi="Arial"/>
          <w:b/>
          <w:sz w:val="24"/>
          <w:szCs w:val="24"/>
        </w:rPr>
        <w:t xml:space="preserve"> ago, with the Santa Cruz, Texaco and Park Salyer</w:t>
      </w:r>
      <w:r w:rsidR="000C1FF5" w:rsidRPr="00FA4AEA">
        <w:rPr>
          <w:rFonts w:ascii="Arial" w:hAnsi="Arial"/>
          <w:b/>
          <w:sz w:val="24"/>
          <w:szCs w:val="24"/>
        </w:rPr>
        <w:t xml:space="preserve"> </w:t>
      </w:r>
      <w:r w:rsidR="000C1FF5">
        <w:rPr>
          <w:rFonts w:ascii="Arial" w:hAnsi="Arial"/>
          <w:b/>
          <w:sz w:val="24"/>
          <w:szCs w:val="24"/>
        </w:rPr>
        <w:t xml:space="preserve">high-grade copper deposits identified beneath gravel cover. </w:t>
      </w:r>
    </w:p>
    <w:p w14:paraId="0A8B675E" w14:textId="77777777" w:rsidR="000C1FF5" w:rsidRDefault="000C1FF5">
      <w:pPr>
        <w:spacing w:after="0" w:line="240" w:lineRule="auto"/>
        <w:rPr>
          <w:rFonts w:ascii="Arial" w:hAnsi="Arial"/>
          <w:b/>
          <w:sz w:val="24"/>
          <w:szCs w:val="24"/>
        </w:rPr>
      </w:pPr>
    </w:p>
    <w:p w14:paraId="69860B11" w14:textId="2BD36710" w:rsidR="000C1FF5" w:rsidRPr="00D11A02" w:rsidRDefault="005678CE">
      <w:pPr>
        <w:spacing w:after="0" w:line="240" w:lineRule="auto"/>
        <w:rPr>
          <w:rFonts w:ascii="Arial" w:hAnsi="Arial"/>
          <w:b/>
          <w:sz w:val="24"/>
          <w:szCs w:val="24"/>
        </w:rPr>
      </w:pPr>
      <w:r w:rsidRPr="00D11A02">
        <w:rPr>
          <w:rFonts w:ascii="Arial" w:hAnsi="Arial"/>
          <w:b/>
          <w:sz w:val="24"/>
          <w:szCs w:val="24"/>
        </w:rPr>
        <w:t xml:space="preserve">A validation drill program </w:t>
      </w:r>
      <w:r w:rsidR="00C54CE0">
        <w:rPr>
          <w:rFonts w:ascii="Arial" w:hAnsi="Arial"/>
          <w:b/>
          <w:sz w:val="24"/>
          <w:szCs w:val="24"/>
        </w:rPr>
        <w:t xml:space="preserve">completed in </w:t>
      </w:r>
      <w:r w:rsidR="00204649">
        <w:rPr>
          <w:rFonts w:ascii="Arial" w:hAnsi="Arial"/>
          <w:b/>
          <w:sz w:val="24"/>
          <w:szCs w:val="24"/>
        </w:rPr>
        <w:t xml:space="preserve">late </w:t>
      </w:r>
      <w:r w:rsidR="00C54CE0">
        <w:rPr>
          <w:rFonts w:ascii="Arial" w:hAnsi="Arial"/>
          <w:b/>
          <w:sz w:val="24"/>
          <w:szCs w:val="24"/>
        </w:rPr>
        <w:t xml:space="preserve">2021 </w:t>
      </w:r>
      <w:r w:rsidR="00B17732">
        <w:rPr>
          <w:rFonts w:ascii="Arial" w:hAnsi="Arial"/>
          <w:b/>
          <w:sz w:val="24"/>
          <w:szCs w:val="24"/>
        </w:rPr>
        <w:t xml:space="preserve">on the Santa Cruz deposit allowed calculation </w:t>
      </w:r>
      <w:r w:rsidR="000C1FF5">
        <w:rPr>
          <w:rFonts w:ascii="Arial" w:hAnsi="Arial"/>
          <w:b/>
          <w:sz w:val="24"/>
          <w:szCs w:val="24"/>
        </w:rPr>
        <w:t xml:space="preserve">and disclosure </w:t>
      </w:r>
      <w:r w:rsidR="00B17732">
        <w:rPr>
          <w:rFonts w:ascii="Arial" w:hAnsi="Arial"/>
          <w:b/>
          <w:sz w:val="24"/>
          <w:szCs w:val="24"/>
        </w:rPr>
        <w:t>of</w:t>
      </w:r>
      <w:r w:rsidRPr="00D11A02">
        <w:rPr>
          <w:rFonts w:ascii="Arial" w:hAnsi="Arial"/>
          <w:b/>
          <w:sz w:val="24"/>
          <w:szCs w:val="24"/>
        </w:rPr>
        <w:t xml:space="preserve"> a </w:t>
      </w:r>
      <w:r w:rsidR="000C1FF5">
        <w:rPr>
          <w:rFonts w:ascii="Arial" w:hAnsi="Arial"/>
          <w:b/>
          <w:sz w:val="24"/>
          <w:szCs w:val="24"/>
        </w:rPr>
        <w:t xml:space="preserve">current </w:t>
      </w:r>
      <w:r w:rsidRPr="00D11A02">
        <w:rPr>
          <w:rFonts w:ascii="Arial" w:hAnsi="Arial"/>
          <w:b/>
          <w:sz w:val="24"/>
          <w:szCs w:val="24"/>
        </w:rPr>
        <w:t xml:space="preserve">mineral resource estimate in accordance with S-K 1300 and NI 43-101. </w:t>
      </w:r>
      <w:r w:rsidR="00095B87">
        <w:rPr>
          <w:rFonts w:ascii="Arial" w:hAnsi="Arial"/>
          <w:b/>
          <w:sz w:val="24"/>
          <w:szCs w:val="24"/>
        </w:rPr>
        <w:t>With seven drill rigs currently active on the deposit, a</w:t>
      </w:r>
      <w:r w:rsidR="00B17732">
        <w:rPr>
          <w:rFonts w:ascii="Arial" w:hAnsi="Arial"/>
          <w:b/>
          <w:sz w:val="24"/>
          <w:szCs w:val="24"/>
        </w:rPr>
        <w:t>n</w:t>
      </w:r>
      <w:r w:rsidRPr="00D11A02">
        <w:rPr>
          <w:rFonts w:ascii="Arial" w:hAnsi="Arial"/>
          <w:b/>
          <w:sz w:val="24"/>
          <w:szCs w:val="24"/>
        </w:rPr>
        <w:t xml:space="preserve"> 85,000-meter program of resource in-fill, geotechnical, hydrological and metallurgical drilling is </w:t>
      </w:r>
      <w:r w:rsidR="00FA4AEA">
        <w:rPr>
          <w:rFonts w:ascii="Arial" w:hAnsi="Arial"/>
          <w:b/>
          <w:sz w:val="24"/>
          <w:szCs w:val="24"/>
        </w:rPr>
        <w:t xml:space="preserve">now </w:t>
      </w:r>
      <w:r w:rsidR="00D96BCC">
        <w:rPr>
          <w:rFonts w:ascii="Arial" w:hAnsi="Arial"/>
          <w:b/>
          <w:sz w:val="24"/>
          <w:szCs w:val="24"/>
        </w:rPr>
        <w:t xml:space="preserve">well </w:t>
      </w:r>
      <w:r w:rsidRPr="00D11A02">
        <w:rPr>
          <w:rFonts w:ascii="Arial" w:hAnsi="Arial"/>
          <w:b/>
          <w:sz w:val="24"/>
          <w:szCs w:val="24"/>
        </w:rPr>
        <w:t xml:space="preserve">underway to </w:t>
      </w:r>
      <w:r w:rsidR="00131DA0">
        <w:rPr>
          <w:rFonts w:ascii="Arial" w:hAnsi="Arial"/>
          <w:b/>
          <w:sz w:val="24"/>
          <w:szCs w:val="24"/>
        </w:rPr>
        <w:t xml:space="preserve">assess </w:t>
      </w:r>
      <w:r w:rsidR="00FA4AEA">
        <w:rPr>
          <w:rFonts w:ascii="Arial" w:hAnsi="Arial"/>
          <w:b/>
          <w:sz w:val="24"/>
          <w:szCs w:val="24"/>
        </w:rPr>
        <w:t>options for</w:t>
      </w:r>
      <w:r w:rsidRPr="00D11A02">
        <w:rPr>
          <w:rFonts w:ascii="Arial" w:hAnsi="Arial"/>
          <w:b/>
          <w:sz w:val="24"/>
          <w:szCs w:val="24"/>
        </w:rPr>
        <w:t xml:space="preserve"> </w:t>
      </w:r>
      <w:r w:rsidR="00131DA0">
        <w:rPr>
          <w:rFonts w:ascii="Arial" w:hAnsi="Arial"/>
          <w:b/>
          <w:sz w:val="24"/>
          <w:szCs w:val="24"/>
        </w:rPr>
        <w:t>underground mine development</w:t>
      </w:r>
      <w:r w:rsidR="008652D8">
        <w:rPr>
          <w:rFonts w:ascii="Arial" w:hAnsi="Arial"/>
          <w:b/>
          <w:sz w:val="24"/>
          <w:szCs w:val="24"/>
        </w:rPr>
        <w:t>.</w:t>
      </w:r>
      <w:r w:rsidR="00FA4AEA">
        <w:rPr>
          <w:rFonts w:ascii="Arial" w:hAnsi="Arial"/>
          <w:b/>
          <w:sz w:val="24"/>
          <w:szCs w:val="24"/>
        </w:rPr>
        <w:t xml:space="preserve"> </w:t>
      </w:r>
      <w:r w:rsidR="000C1FF5">
        <w:rPr>
          <w:rFonts w:ascii="Arial" w:hAnsi="Arial"/>
          <w:b/>
          <w:sz w:val="24"/>
          <w:szCs w:val="24"/>
        </w:rPr>
        <w:t>These deposits remain open for further expansion</w:t>
      </w:r>
      <w:r w:rsidR="000C1FF5" w:rsidRPr="00D11A02">
        <w:rPr>
          <w:rFonts w:ascii="Arial" w:hAnsi="Arial"/>
          <w:b/>
          <w:sz w:val="24"/>
          <w:szCs w:val="24"/>
        </w:rPr>
        <w:t>.</w:t>
      </w:r>
      <w:r w:rsidR="000C1FF5">
        <w:rPr>
          <w:rFonts w:ascii="Arial" w:hAnsi="Arial"/>
          <w:b/>
          <w:sz w:val="24"/>
          <w:szCs w:val="24"/>
        </w:rPr>
        <w:t xml:space="preserve"> A significant proportion of the copper occurs as readily leachable secondary copper minerals.</w:t>
      </w:r>
    </w:p>
    <w:p w14:paraId="2F75B11E" w14:textId="0CF60153" w:rsidR="006A0695" w:rsidRDefault="006A0695" w:rsidP="00F55868">
      <w:pPr>
        <w:spacing w:after="0" w:line="240" w:lineRule="auto"/>
        <w:rPr>
          <w:rFonts w:ascii="Arial" w:hAnsi="Arial"/>
          <w:b/>
          <w:sz w:val="24"/>
          <w:szCs w:val="24"/>
        </w:rPr>
      </w:pPr>
    </w:p>
    <w:p w14:paraId="31AE7E50" w14:textId="6D47D1C1" w:rsidR="00C704F5" w:rsidRDefault="00D1173E">
      <w:pPr>
        <w:spacing w:after="0" w:line="240" w:lineRule="auto"/>
        <w:rPr>
          <w:rFonts w:ascii="Arial" w:hAnsi="Arial"/>
          <w:b/>
          <w:sz w:val="24"/>
          <w:szCs w:val="24"/>
        </w:rPr>
      </w:pPr>
      <w:r w:rsidRPr="00D11A02">
        <w:rPr>
          <w:rFonts w:ascii="Arial" w:hAnsi="Arial"/>
          <w:b/>
          <w:sz w:val="24"/>
          <w:szCs w:val="24"/>
        </w:rPr>
        <w:t>Mr. Friedland commented: “</w:t>
      </w:r>
      <w:r w:rsidR="008F0C8A" w:rsidRPr="00D11A02">
        <w:rPr>
          <w:rFonts w:ascii="Arial" w:hAnsi="Arial"/>
          <w:b/>
          <w:sz w:val="24"/>
          <w:szCs w:val="24"/>
        </w:rPr>
        <w:t xml:space="preserve">Ivanhoe Electric’s vision is for a green, low-impact, underground mine </w:t>
      </w:r>
      <w:r w:rsidR="00591A7D">
        <w:rPr>
          <w:rFonts w:ascii="Arial" w:hAnsi="Arial"/>
          <w:b/>
          <w:sz w:val="24"/>
          <w:szCs w:val="24"/>
        </w:rPr>
        <w:t xml:space="preserve">with minimal surface expression, powered by </w:t>
      </w:r>
      <w:r w:rsidR="00DF403A">
        <w:rPr>
          <w:rFonts w:ascii="Arial" w:hAnsi="Arial"/>
          <w:b/>
          <w:sz w:val="24"/>
          <w:szCs w:val="24"/>
        </w:rPr>
        <w:t xml:space="preserve">solar energy </w:t>
      </w:r>
      <w:r w:rsidR="00131DA0">
        <w:rPr>
          <w:rFonts w:ascii="Arial" w:hAnsi="Arial"/>
          <w:b/>
          <w:sz w:val="24"/>
          <w:szCs w:val="24"/>
        </w:rPr>
        <w:t xml:space="preserve">and </w:t>
      </w:r>
      <w:r w:rsidR="00D96BCC">
        <w:rPr>
          <w:rFonts w:ascii="Arial" w:hAnsi="Arial"/>
          <w:b/>
          <w:sz w:val="24"/>
          <w:szCs w:val="24"/>
        </w:rPr>
        <w:t xml:space="preserve">with </w:t>
      </w:r>
      <w:r w:rsidR="00D96BCC">
        <w:rPr>
          <w:rFonts w:ascii="Arial" w:hAnsi="Arial"/>
          <w:b/>
          <w:sz w:val="24"/>
          <w:szCs w:val="24"/>
        </w:rPr>
        <w:lastRenderedPageBreak/>
        <w:t>vanadium-redox battery storage</w:t>
      </w:r>
      <w:r w:rsidR="00D96BCC" w:rsidRPr="00D11A02">
        <w:rPr>
          <w:rFonts w:ascii="Arial" w:hAnsi="Arial"/>
          <w:b/>
          <w:sz w:val="24"/>
          <w:szCs w:val="24"/>
        </w:rPr>
        <w:t xml:space="preserve"> provided by Ivanhoe Electric’s 90%-owned private subsidiary</w:t>
      </w:r>
      <w:r w:rsidR="00D96BCC">
        <w:rPr>
          <w:rFonts w:ascii="Arial" w:hAnsi="Arial"/>
          <w:b/>
          <w:sz w:val="24"/>
          <w:szCs w:val="24"/>
        </w:rPr>
        <w:t>,</w:t>
      </w:r>
      <w:r w:rsidR="00D96BCC" w:rsidRPr="00D11A02">
        <w:rPr>
          <w:rFonts w:ascii="Arial" w:hAnsi="Arial"/>
          <w:b/>
          <w:sz w:val="24"/>
          <w:szCs w:val="24"/>
        </w:rPr>
        <w:t xml:space="preserve"> VRB Energy. </w:t>
      </w:r>
      <w:r w:rsidR="00140597">
        <w:rPr>
          <w:rFonts w:ascii="Arial" w:hAnsi="Arial"/>
          <w:b/>
          <w:sz w:val="24"/>
          <w:szCs w:val="24"/>
        </w:rPr>
        <w:t xml:space="preserve">Apart from </w:t>
      </w:r>
      <w:r w:rsidR="008B4785">
        <w:rPr>
          <w:rFonts w:ascii="Arial" w:hAnsi="Arial"/>
          <w:b/>
          <w:sz w:val="24"/>
          <w:szCs w:val="24"/>
        </w:rPr>
        <w:t>producing</w:t>
      </w:r>
      <w:r w:rsidR="00D67CE8" w:rsidRPr="00D11A02">
        <w:rPr>
          <w:rFonts w:ascii="Arial" w:hAnsi="Arial"/>
          <w:b/>
          <w:sz w:val="24"/>
          <w:szCs w:val="24"/>
        </w:rPr>
        <w:t xml:space="preserve"> </w:t>
      </w:r>
      <w:r w:rsidR="00EA4B3C">
        <w:rPr>
          <w:rFonts w:ascii="Arial" w:hAnsi="Arial"/>
          <w:b/>
          <w:sz w:val="24"/>
          <w:szCs w:val="24"/>
        </w:rPr>
        <w:t>ultra-</w:t>
      </w:r>
      <w:r w:rsidR="00961301">
        <w:rPr>
          <w:rFonts w:ascii="Arial" w:hAnsi="Arial"/>
          <w:b/>
          <w:sz w:val="24"/>
          <w:szCs w:val="24"/>
        </w:rPr>
        <w:t xml:space="preserve">low </w:t>
      </w:r>
      <w:r w:rsidR="008F41F2">
        <w:rPr>
          <w:rFonts w:ascii="Arial" w:hAnsi="Arial"/>
          <w:b/>
          <w:sz w:val="24"/>
          <w:szCs w:val="24"/>
        </w:rPr>
        <w:t>emissions</w:t>
      </w:r>
      <w:r w:rsidRPr="00D11A02">
        <w:rPr>
          <w:rFonts w:ascii="Arial" w:hAnsi="Arial"/>
          <w:b/>
          <w:sz w:val="24"/>
          <w:szCs w:val="24"/>
        </w:rPr>
        <w:t xml:space="preserve"> copper</w:t>
      </w:r>
      <w:r w:rsidR="008B4785">
        <w:rPr>
          <w:rFonts w:ascii="Arial" w:hAnsi="Arial"/>
          <w:b/>
          <w:sz w:val="24"/>
          <w:szCs w:val="24"/>
        </w:rPr>
        <w:t xml:space="preserve"> that will contribute to </w:t>
      </w:r>
      <w:r w:rsidR="00095B87">
        <w:rPr>
          <w:rFonts w:ascii="Arial" w:hAnsi="Arial"/>
          <w:b/>
          <w:sz w:val="24"/>
          <w:szCs w:val="24"/>
        </w:rPr>
        <w:t xml:space="preserve">American </w:t>
      </w:r>
      <w:r w:rsidR="008B4785">
        <w:rPr>
          <w:rFonts w:ascii="Arial" w:hAnsi="Arial"/>
          <w:b/>
          <w:sz w:val="24"/>
          <w:szCs w:val="24"/>
        </w:rPr>
        <w:t>supply chain independence</w:t>
      </w:r>
      <w:r w:rsidR="00140597">
        <w:rPr>
          <w:rFonts w:ascii="Arial" w:hAnsi="Arial"/>
          <w:b/>
          <w:sz w:val="24"/>
          <w:szCs w:val="24"/>
        </w:rPr>
        <w:t xml:space="preserve">, we </w:t>
      </w:r>
      <w:r w:rsidR="00131DA0">
        <w:rPr>
          <w:rFonts w:ascii="Arial" w:hAnsi="Arial"/>
          <w:b/>
          <w:sz w:val="24"/>
          <w:szCs w:val="24"/>
        </w:rPr>
        <w:t>also</w:t>
      </w:r>
      <w:r w:rsidR="00916BDD">
        <w:rPr>
          <w:rFonts w:ascii="Arial" w:hAnsi="Arial"/>
          <w:b/>
          <w:sz w:val="24"/>
          <w:szCs w:val="24"/>
        </w:rPr>
        <w:t xml:space="preserve"> can see opportunities for a multi-use project </w:t>
      </w:r>
      <w:r w:rsidR="00140597">
        <w:rPr>
          <w:rFonts w:ascii="Arial" w:hAnsi="Arial"/>
          <w:b/>
          <w:sz w:val="24"/>
          <w:szCs w:val="24"/>
        </w:rPr>
        <w:t xml:space="preserve">hosting </w:t>
      </w:r>
      <w:r w:rsidR="00CF40EC">
        <w:rPr>
          <w:rFonts w:ascii="Arial" w:hAnsi="Arial"/>
          <w:b/>
          <w:sz w:val="24"/>
          <w:szCs w:val="24"/>
        </w:rPr>
        <w:t>other commercial and industrial activity</w:t>
      </w:r>
      <w:r w:rsidR="00916BDD">
        <w:rPr>
          <w:rFonts w:ascii="Arial" w:hAnsi="Arial"/>
          <w:b/>
          <w:sz w:val="24"/>
          <w:szCs w:val="24"/>
        </w:rPr>
        <w:t xml:space="preserve"> together with renewable power generation opportunities</w:t>
      </w:r>
      <w:r w:rsidR="00D96BCC">
        <w:rPr>
          <w:rFonts w:ascii="Arial" w:hAnsi="Arial"/>
          <w:b/>
          <w:sz w:val="24"/>
          <w:szCs w:val="24"/>
        </w:rPr>
        <w:t>.</w:t>
      </w:r>
    </w:p>
    <w:p w14:paraId="29F578C1" w14:textId="77777777" w:rsidR="00CA338A" w:rsidRDefault="00CA338A">
      <w:pPr>
        <w:spacing w:after="0" w:line="240" w:lineRule="auto"/>
        <w:rPr>
          <w:rFonts w:ascii="Arial" w:hAnsi="Arial"/>
          <w:b/>
          <w:sz w:val="24"/>
          <w:szCs w:val="24"/>
        </w:rPr>
      </w:pPr>
    </w:p>
    <w:p w14:paraId="13B693CA" w14:textId="1664A3FD" w:rsidR="00E837F3" w:rsidRPr="00D11A02" w:rsidRDefault="00E837F3" w:rsidP="00F55868">
      <w:pPr>
        <w:spacing w:after="0" w:line="240" w:lineRule="auto"/>
        <w:rPr>
          <w:rFonts w:ascii="Arial" w:hAnsi="Arial"/>
          <w:b/>
          <w:sz w:val="24"/>
          <w:szCs w:val="24"/>
        </w:rPr>
      </w:pPr>
      <w:r w:rsidRPr="00D11A02">
        <w:rPr>
          <w:rFonts w:ascii="Arial" w:hAnsi="Arial"/>
          <w:b/>
          <w:sz w:val="24"/>
          <w:szCs w:val="24"/>
        </w:rPr>
        <w:t>“</w:t>
      </w:r>
      <w:r w:rsidR="00095B87">
        <w:rPr>
          <w:rFonts w:ascii="Arial" w:hAnsi="Arial"/>
          <w:b/>
          <w:sz w:val="24"/>
          <w:szCs w:val="24"/>
        </w:rPr>
        <w:t>While t</w:t>
      </w:r>
      <w:r w:rsidRPr="00D11A02">
        <w:rPr>
          <w:rFonts w:ascii="Arial" w:hAnsi="Arial"/>
          <w:b/>
          <w:sz w:val="24"/>
          <w:szCs w:val="24"/>
        </w:rPr>
        <w:t xml:space="preserve">he Santa Cruz deposit </w:t>
      </w:r>
      <w:r w:rsidR="00840B23">
        <w:rPr>
          <w:rFonts w:ascii="Arial" w:hAnsi="Arial"/>
          <w:b/>
          <w:sz w:val="24"/>
          <w:szCs w:val="24"/>
        </w:rPr>
        <w:t>is already</w:t>
      </w:r>
      <w:r w:rsidRPr="00D11A02">
        <w:rPr>
          <w:rFonts w:ascii="Arial" w:hAnsi="Arial"/>
          <w:b/>
          <w:sz w:val="24"/>
          <w:szCs w:val="24"/>
        </w:rPr>
        <w:t xml:space="preserve"> </w:t>
      </w:r>
      <w:r w:rsidR="00131DA0">
        <w:rPr>
          <w:rFonts w:ascii="Arial" w:hAnsi="Arial"/>
          <w:b/>
          <w:sz w:val="24"/>
          <w:szCs w:val="24"/>
        </w:rPr>
        <w:t xml:space="preserve">the </w:t>
      </w:r>
      <w:r w:rsidRPr="00D11A02">
        <w:rPr>
          <w:rFonts w:ascii="Arial" w:hAnsi="Arial"/>
          <w:b/>
          <w:sz w:val="24"/>
          <w:szCs w:val="24"/>
        </w:rPr>
        <w:t>second</w:t>
      </w:r>
      <w:r w:rsidR="00D41B0B">
        <w:rPr>
          <w:rFonts w:ascii="Arial" w:hAnsi="Arial"/>
          <w:b/>
          <w:sz w:val="24"/>
          <w:szCs w:val="24"/>
        </w:rPr>
        <w:t>-</w:t>
      </w:r>
      <w:r w:rsidRPr="00D11A02">
        <w:rPr>
          <w:rFonts w:ascii="Arial" w:hAnsi="Arial"/>
          <w:b/>
          <w:sz w:val="24"/>
          <w:szCs w:val="24"/>
        </w:rPr>
        <w:t xml:space="preserve">largest undeveloped copper deposit in the </w:t>
      </w:r>
      <w:r w:rsidR="00DE2161">
        <w:rPr>
          <w:rFonts w:ascii="Arial" w:hAnsi="Arial"/>
          <w:b/>
          <w:sz w:val="24"/>
          <w:szCs w:val="24"/>
        </w:rPr>
        <w:t>Lower 48</w:t>
      </w:r>
      <w:r w:rsidRPr="00D11A02">
        <w:rPr>
          <w:rFonts w:ascii="Arial" w:hAnsi="Arial"/>
          <w:b/>
          <w:sz w:val="24"/>
          <w:szCs w:val="24"/>
        </w:rPr>
        <w:t xml:space="preserve">, </w:t>
      </w:r>
      <w:r w:rsidR="00095B87">
        <w:rPr>
          <w:rFonts w:ascii="Arial" w:hAnsi="Arial"/>
          <w:b/>
          <w:sz w:val="24"/>
          <w:szCs w:val="24"/>
        </w:rPr>
        <w:t xml:space="preserve">we believe </w:t>
      </w:r>
      <w:r w:rsidR="002906FF">
        <w:rPr>
          <w:rFonts w:ascii="Arial" w:hAnsi="Arial"/>
          <w:b/>
          <w:sz w:val="24"/>
          <w:szCs w:val="24"/>
        </w:rPr>
        <w:t xml:space="preserve">that </w:t>
      </w:r>
      <w:r w:rsidR="00095B87">
        <w:rPr>
          <w:rFonts w:ascii="Arial" w:hAnsi="Arial"/>
          <w:b/>
          <w:sz w:val="24"/>
          <w:szCs w:val="24"/>
        </w:rPr>
        <w:t xml:space="preserve">there is significant potential to expand the deposit, to </w:t>
      </w:r>
      <w:r w:rsidR="002906FF">
        <w:rPr>
          <w:rFonts w:ascii="Arial" w:hAnsi="Arial"/>
          <w:b/>
          <w:sz w:val="24"/>
          <w:szCs w:val="24"/>
        </w:rPr>
        <w:t xml:space="preserve">add new </w:t>
      </w:r>
      <w:r w:rsidR="001A42A7">
        <w:rPr>
          <w:rFonts w:ascii="Arial" w:hAnsi="Arial"/>
          <w:b/>
          <w:sz w:val="24"/>
          <w:szCs w:val="24"/>
        </w:rPr>
        <w:t>resources at Texaco and Park Salyer</w:t>
      </w:r>
      <w:r w:rsidR="0077755D">
        <w:rPr>
          <w:rFonts w:ascii="Arial" w:hAnsi="Arial"/>
          <w:b/>
          <w:sz w:val="24"/>
          <w:szCs w:val="24"/>
        </w:rPr>
        <w:t>,</w:t>
      </w:r>
      <w:r w:rsidR="001A42A7">
        <w:rPr>
          <w:rFonts w:ascii="Arial" w:hAnsi="Arial"/>
          <w:b/>
          <w:sz w:val="24"/>
          <w:szCs w:val="24"/>
        </w:rPr>
        <w:t xml:space="preserve"> and </w:t>
      </w:r>
      <w:r w:rsidR="00095B87">
        <w:rPr>
          <w:rFonts w:ascii="Arial" w:hAnsi="Arial"/>
          <w:b/>
          <w:sz w:val="24"/>
          <w:szCs w:val="24"/>
        </w:rPr>
        <w:t xml:space="preserve">to </w:t>
      </w:r>
      <w:r w:rsidR="00916BDD">
        <w:rPr>
          <w:rFonts w:ascii="Arial" w:hAnsi="Arial"/>
          <w:b/>
          <w:sz w:val="24"/>
          <w:szCs w:val="24"/>
        </w:rPr>
        <w:t xml:space="preserve">identify </w:t>
      </w:r>
      <w:r w:rsidR="00095B87">
        <w:rPr>
          <w:rFonts w:ascii="Arial" w:hAnsi="Arial"/>
          <w:b/>
          <w:sz w:val="24"/>
          <w:szCs w:val="24"/>
        </w:rPr>
        <w:t xml:space="preserve">new zones of mineralization. </w:t>
      </w:r>
    </w:p>
    <w:p w14:paraId="25198DFD" w14:textId="77777777" w:rsidR="0017347D" w:rsidRPr="00D11A02" w:rsidRDefault="0017347D" w:rsidP="00F55868">
      <w:pPr>
        <w:spacing w:after="0" w:line="240" w:lineRule="auto"/>
        <w:rPr>
          <w:rFonts w:ascii="Arial" w:hAnsi="Arial"/>
          <w:b/>
          <w:sz w:val="24"/>
          <w:szCs w:val="24"/>
        </w:rPr>
      </w:pPr>
    </w:p>
    <w:p w14:paraId="3B829885" w14:textId="2F88DB67" w:rsidR="005568EB" w:rsidRPr="00D11A02" w:rsidRDefault="006534B9" w:rsidP="00F55868">
      <w:pPr>
        <w:spacing w:after="0" w:line="240" w:lineRule="auto"/>
        <w:rPr>
          <w:rFonts w:ascii="Arial" w:hAnsi="Arial"/>
          <w:b/>
          <w:sz w:val="24"/>
          <w:szCs w:val="24"/>
        </w:rPr>
      </w:pPr>
      <w:r w:rsidRPr="00D11A02">
        <w:rPr>
          <w:rFonts w:ascii="Arial" w:hAnsi="Arial"/>
          <w:b/>
          <w:sz w:val="24"/>
          <w:szCs w:val="24"/>
        </w:rPr>
        <w:t>“Very recently</w:t>
      </w:r>
      <w:r w:rsidR="00D823D5">
        <w:rPr>
          <w:rFonts w:ascii="Arial" w:hAnsi="Arial"/>
          <w:b/>
          <w:sz w:val="24"/>
          <w:szCs w:val="24"/>
        </w:rPr>
        <w:t>,</w:t>
      </w:r>
      <w:r w:rsidRPr="00D11A02">
        <w:rPr>
          <w:rFonts w:ascii="Arial" w:hAnsi="Arial"/>
          <w:b/>
          <w:sz w:val="24"/>
          <w:szCs w:val="24"/>
        </w:rPr>
        <w:t xml:space="preserve"> we completed a </w:t>
      </w:r>
      <w:r w:rsidR="0017347D" w:rsidRPr="00D11A02">
        <w:rPr>
          <w:rFonts w:ascii="Arial" w:hAnsi="Arial"/>
          <w:b/>
          <w:sz w:val="24"/>
          <w:szCs w:val="24"/>
        </w:rPr>
        <w:t>proprietary Typhoon</w:t>
      </w:r>
      <w:r w:rsidR="006F195B" w:rsidRPr="00D11A02">
        <w:rPr>
          <w:rFonts w:ascii="Arial" w:hAnsi="Arial"/>
          <w:b/>
          <w:sz w:val="24"/>
          <w:szCs w:val="24"/>
        </w:rPr>
        <w:t>™</w:t>
      </w:r>
      <w:r w:rsidR="0017347D" w:rsidRPr="00D11A02">
        <w:rPr>
          <w:rFonts w:ascii="Arial" w:hAnsi="Arial"/>
          <w:b/>
          <w:sz w:val="24"/>
          <w:szCs w:val="24"/>
        </w:rPr>
        <w:t xml:space="preserve"> deep-penetration induced polarization and resistivity survey </w:t>
      </w:r>
      <w:r w:rsidR="00EA4B3C">
        <w:rPr>
          <w:rFonts w:ascii="Arial" w:hAnsi="Arial"/>
          <w:b/>
          <w:sz w:val="24"/>
          <w:szCs w:val="24"/>
        </w:rPr>
        <w:t xml:space="preserve">over </w:t>
      </w:r>
      <w:r w:rsidR="00065898">
        <w:rPr>
          <w:rFonts w:ascii="Arial" w:hAnsi="Arial"/>
          <w:b/>
          <w:sz w:val="24"/>
          <w:szCs w:val="24"/>
        </w:rPr>
        <w:t xml:space="preserve">a </w:t>
      </w:r>
      <w:r w:rsidR="00065898" w:rsidRPr="00F2119C">
        <w:rPr>
          <w:rFonts w:ascii="Arial" w:hAnsi="Arial"/>
          <w:b/>
          <w:sz w:val="24"/>
          <w:szCs w:val="24"/>
        </w:rPr>
        <w:t>26.5 km</w:t>
      </w:r>
      <w:r w:rsidR="00065898" w:rsidRPr="00F2119C">
        <w:rPr>
          <w:rFonts w:ascii="Arial" w:hAnsi="Arial"/>
          <w:b/>
          <w:sz w:val="24"/>
          <w:szCs w:val="24"/>
          <w:vertAlign w:val="superscript"/>
        </w:rPr>
        <w:t>2</w:t>
      </w:r>
      <w:r w:rsidR="00065898">
        <w:rPr>
          <w:rFonts w:ascii="Arial" w:hAnsi="Arial"/>
          <w:b/>
          <w:sz w:val="24"/>
          <w:szCs w:val="24"/>
          <w:vertAlign w:val="superscript"/>
        </w:rPr>
        <w:t xml:space="preserve"> </w:t>
      </w:r>
      <w:r w:rsidR="00065898">
        <w:rPr>
          <w:rFonts w:ascii="Arial" w:hAnsi="Arial"/>
          <w:b/>
          <w:sz w:val="24"/>
          <w:szCs w:val="24"/>
        </w:rPr>
        <w:t>(6,500</w:t>
      </w:r>
      <w:r w:rsidR="003A1EF3">
        <w:rPr>
          <w:rFonts w:ascii="Arial" w:hAnsi="Arial"/>
          <w:b/>
          <w:sz w:val="24"/>
          <w:szCs w:val="24"/>
        </w:rPr>
        <w:t>-</w:t>
      </w:r>
      <w:r w:rsidR="00065898">
        <w:rPr>
          <w:rFonts w:ascii="Arial" w:hAnsi="Arial"/>
          <w:b/>
          <w:sz w:val="24"/>
          <w:szCs w:val="24"/>
        </w:rPr>
        <w:t>acre) a</w:t>
      </w:r>
      <w:r w:rsidR="00EA4B3C" w:rsidRPr="00065898">
        <w:rPr>
          <w:rFonts w:ascii="Arial" w:hAnsi="Arial"/>
          <w:b/>
          <w:sz w:val="24"/>
          <w:szCs w:val="24"/>
        </w:rPr>
        <w:t>rea</w:t>
      </w:r>
      <w:r w:rsidR="00EA4B3C">
        <w:rPr>
          <w:rFonts w:ascii="Arial" w:hAnsi="Arial"/>
          <w:b/>
          <w:sz w:val="24"/>
          <w:szCs w:val="24"/>
        </w:rPr>
        <w:t xml:space="preserve"> </w:t>
      </w:r>
      <w:r w:rsidRPr="00D11A02">
        <w:rPr>
          <w:rFonts w:ascii="Arial" w:hAnsi="Arial"/>
          <w:b/>
          <w:sz w:val="24"/>
          <w:szCs w:val="24"/>
        </w:rPr>
        <w:t>to identify</w:t>
      </w:r>
      <w:r w:rsidR="0017347D" w:rsidRPr="00D11A02">
        <w:rPr>
          <w:rFonts w:ascii="Arial" w:hAnsi="Arial"/>
          <w:b/>
          <w:sz w:val="24"/>
          <w:szCs w:val="24"/>
        </w:rPr>
        <w:t xml:space="preserve"> extensions to known deposits and new zones of mineralization</w:t>
      </w:r>
      <w:r w:rsidR="005F3995">
        <w:rPr>
          <w:rFonts w:ascii="Arial" w:hAnsi="Arial"/>
          <w:b/>
          <w:sz w:val="24"/>
          <w:szCs w:val="24"/>
        </w:rPr>
        <w:t>. D</w:t>
      </w:r>
      <w:r w:rsidRPr="00D11A02">
        <w:rPr>
          <w:rFonts w:ascii="Arial" w:hAnsi="Arial"/>
          <w:b/>
          <w:sz w:val="24"/>
          <w:szCs w:val="24"/>
        </w:rPr>
        <w:t>ata processing is underway by Ivanhoe Electric’s 94%-owned private subsidiary Computational Geosciences</w:t>
      </w:r>
      <w:r w:rsidR="00EA4B3C">
        <w:rPr>
          <w:rFonts w:ascii="Arial" w:hAnsi="Arial"/>
          <w:b/>
          <w:sz w:val="24"/>
          <w:szCs w:val="24"/>
        </w:rPr>
        <w:t xml:space="preserve"> of Vancouver, Canada,</w:t>
      </w:r>
      <w:r w:rsidR="005F3995">
        <w:rPr>
          <w:rFonts w:ascii="Arial" w:hAnsi="Arial"/>
          <w:b/>
          <w:sz w:val="24"/>
          <w:szCs w:val="24"/>
        </w:rPr>
        <w:t xml:space="preserve"> and results will be announced when available</w:t>
      </w:r>
      <w:r w:rsidRPr="00D11A02">
        <w:rPr>
          <w:rFonts w:ascii="Arial" w:hAnsi="Arial"/>
          <w:b/>
          <w:sz w:val="24"/>
          <w:szCs w:val="24"/>
        </w:rPr>
        <w:t>.</w:t>
      </w:r>
      <w:r w:rsidR="006A3538" w:rsidRPr="00D11A02">
        <w:rPr>
          <w:rFonts w:ascii="Arial" w:hAnsi="Arial"/>
          <w:b/>
          <w:sz w:val="24"/>
          <w:szCs w:val="24"/>
        </w:rPr>
        <w:t xml:space="preserve"> </w:t>
      </w:r>
      <w:r w:rsidR="005F3995">
        <w:rPr>
          <w:rFonts w:ascii="Arial" w:hAnsi="Arial"/>
          <w:b/>
          <w:sz w:val="24"/>
          <w:szCs w:val="24"/>
        </w:rPr>
        <w:t xml:space="preserve">Extensive </w:t>
      </w:r>
      <w:r w:rsidR="006A3538" w:rsidRPr="00D11A02">
        <w:rPr>
          <w:rFonts w:ascii="Arial" w:hAnsi="Arial"/>
          <w:b/>
          <w:sz w:val="24"/>
          <w:szCs w:val="24"/>
        </w:rPr>
        <w:t>exploration drilling will test the anomalies identified by Typhoon™.</w:t>
      </w:r>
    </w:p>
    <w:p w14:paraId="3C7B5FE2" w14:textId="641A28E2" w:rsidR="006A3538" w:rsidRPr="00D11A02" w:rsidRDefault="006A3538" w:rsidP="00F55868">
      <w:pPr>
        <w:spacing w:after="0" w:line="240" w:lineRule="auto"/>
        <w:rPr>
          <w:rFonts w:ascii="Arial" w:hAnsi="Arial"/>
          <w:b/>
          <w:sz w:val="24"/>
          <w:szCs w:val="24"/>
        </w:rPr>
      </w:pPr>
    </w:p>
    <w:p w14:paraId="5A9F4064" w14:textId="4F0B875F" w:rsidR="006A3538" w:rsidRDefault="006A3538" w:rsidP="00F55868">
      <w:pPr>
        <w:spacing w:after="0" w:line="240" w:lineRule="auto"/>
        <w:rPr>
          <w:rFonts w:ascii="Arial" w:hAnsi="Arial"/>
          <w:b/>
          <w:sz w:val="24"/>
          <w:szCs w:val="24"/>
        </w:rPr>
      </w:pPr>
      <w:r w:rsidRPr="00D11A02">
        <w:rPr>
          <w:rFonts w:ascii="Arial" w:hAnsi="Arial"/>
          <w:b/>
          <w:sz w:val="24"/>
          <w:szCs w:val="24"/>
        </w:rPr>
        <w:t xml:space="preserve">“Ivanhoe Electric has </w:t>
      </w:r>
      <w:r w:rsidR="00EA4B3C">
        <w:rPr>
          <w:rFonts w:ascii="Arial" w:hAnsi="Arial"/>
          <w:b/>
          <w:sz w:val="24"/>
          <w:szCs w:val="24"/>
        </w:rPr>
        <w:t>the</w:t>
      </w:r>
      <w:r w:rsidR="00EA4B3C" w:rsidRPr="00D11A02">
        <w:rPr>
          <w:rFonts w:ascii="Arial" w:hAnsi="Arial"/>
          <w:b/>
          <w:sz w:val="24"/>
          <w:szCs w:val="24"/>
        </w:rPr>
        <w:t xml:space="preserve"> </w:t>
      </w:r>
      <w:r w:rsidRPr="00D11A02">
        <w:rPr>
          <w:rFonts w:ascii="Arial" w:hAnsi="Arial"/>
          <w:b/>
          <w:sz w:val="24"/>
          <w:szCs w:val="24"/>
        </w:rPr>
        <w:t>opportunity to re-invent</w:t>
      </w:r>
      <w:r w:rsidR="00EA4B3C">
        <w:rPr>
          <w:rFonts w:ascii="Arial" w:hAnsi="Arial"/>
          <w:b/>
          <w:sz w:val="24"/>
          <w:szCs w:val="24"/>
        </w:rPr>
        <w:t xml:space="preserve"> American</w:t>
      </w:r>
      <w:r w:rsidRPr="00D11A02">
        <w:rPr>
          <w:rFonts w:ascii="Arial" w:hAnsi="Arial"/>
          <w:b/>
          <w:sz w:val="24"/>
          <w:szCs w:val="24"/>
        </w:rPr>
        <w:t xml:space="preserve"> mining with green, clean copper production from a world-scale deposit, located in the heart of Arizona, the Copper State.”</w:t>
      </w:r>
    </w:p>
    <w:p w14:paraId="576B06F4" w14:textId="77777777" w:rsidR="003B278B" w:rsidRDefault="003B278B" w:rsidP="00C923A2">
      <w:pPr>
        <w:spacing w:after="0" w:line="240" w:lineRule="auto"/>
        <w:rPr>
          <w:rFonts w:ascii="Arial" w:hAnsi="Arial"/>
          <w:b/>
          <w:color w:val="E0251B"/>
          <w:sz w:val="26"/>
        </w:rPr>
      </w:pPr>
    </w:p>
    <w:p w14:paraId="629FCA5D" w14:textId="23F17F6C" w:rsidR="00C923A2" w:rsidRPr="003021AC" w:rsidRDefault="00C923A2" w:rsidP="00C923A2">
      <w:pPr>
        <w:spacing w:after="0" w:line="240" w:lineRule="auto"/>
        <w:rPr>
          <w:rFonts w:ascii="Arial" w:hAnsi="Arial"/>
          <w:b/>
          <w:sz w:val="24"/>
          <w:szCs w:val="24"/>
        </w:rPr>
      </w:pPr>
      <w:r w:rsidRPr="003021AC">
        <w:rPr>
          <w:rFonts w:ascii="Arial" w:hAnsi="Arial"/>
          <w:b/>
          <w:color w:val="E0251B"/>
          <w:sz w:val="28"/>
          <w:szCs w:val="28"/>
        </w:rPr>
        <w:t>Located in the heart of the Copper State</w:t>
      </w:r>
    </w:p>
    <w:p w14:paraId="27233571" w14:textId="77777777" w:rsidR="00C923A2" w:rsidRPr="00F2119C" w:rsidRDefault="00C923A2" w:rsidP="00C923A2">
      <w:pPr>
        <w:spacing w:after="0" w:line="240" w:lineRule="auto"/>
        <w:rPr>
          <w:rFonts w:ascii="Arial" w:hAnsi="Arial"/>
          <w:b/>
          <w:sz w:val="24"/>
          <w:szCs w:val="24"/>
        </w:rPr>
      </w:pPr>
    </w:p>
    <w:p w14:paraId="0CC5F9DC" w14:textId="77777777" w:rsidR="00C923A2" w:rsidRDefault="00C923A2" w:rsidP="00C923A2">
      <w:pPr>
        <w:spacing w:after="0" w:line="240" w:lineRule="auto"/>
        <w:rPr>
          <w:rFonts w:ascii="Arial" w:hAnsi="Arial"/>
          <w:b/>
          <w:sz w:val="24"/>
          <w:szCs w:val="24"/>
        </w:rPr>
      </w:pPr>
      <w:r w:rsidRPr="00F2119C">
        <w:rPr>
          <w:rFonts w:ascii="Arial" w:hAnsi="Arial"/>
          <w:b/>
          <w:sz w:val="24"/>
          <w:szCs w:val="24"/>
        </w:rPr>
        <w:t>The Santa Cruz Copper Project is in the prolific copper mining state of Arizona, approximately one-hour’s drive south of Phoenix</w:t>
      </w:r>
      <w:r>
        <w:rPr>
          <w:rFonts w:ascii="Arial" w:hAnsi="Arial"/>
          <w:b/>
          <w:sz w:val="24"/>
          <w:szCs w:val="24"/>
        </w:rPr>
        <w:t>, 11 km west of the city of Casa Grande</w:t>
      </w:r>
      <w:r w:rsidRPr="00F2119C">
        <w:rPr>
          <w:rFonts w:ascii="Arial" w:hAnsi="Arial"/>
          <w:b/>
          <w:sz w:val="24"/>
          <w:szCs w:val="24"/>
        </w:rPr>
        <w:t xml:space="preserve">, </w:t>
      </w:r>
      <w:r>
        <w:rPr>
          <w:rFonts w:ascii="Arial" w:hAnsi="Arial"/>
          <w:b/>
          <w:sz w:val="24"/>
          <w:szCs w:val="24"/>
        </w:rPr>
        <w:t>and in proximity to</w:t>
      </w:r>
      <w:r w:rsidRPr="00F2119C">
        <w:rPr>
          <w:rFonts w:ascii="Arial" w:hAnsi="Arial"/>
          <w:b/>
          <w:sz w:val="24"/>
          <w:szCs w:val="24"/>
        </w:rPr>
        <w:t xml:space="preserve"> numerous major copper mines. Arizona has produced approximately 10% of all copper ever mined and is </w:t>
      </w:r>
      <w:r>
        <w:rPr>
          <w:rFonts w:ascii="Arial" w:hAnsi="Arial"/>
          <w:b/>
          <w:sz w:val="24"/>
          <w:szCs w:val="24"/>
        </w:rPr>
        <w:t>rated within the top-</w:t>
      </w:r>
      <w:r w:rsidRPr="00F2119C">
        <w:rPr>
          <w:rFonts w:ascii="Arial" w:hAnsi="Arial"/>
          <w:b/>
          <w:sz w:val="24"/>
          <w:szCs w:val="24"/>
        </w:rPr>
        <w:t>five best mining jurisdictions in the world according to the Fraser Institute.</w:t>
      </w:r>
      <w:r>
        <w:rPr>
          <w:rFonts w:ascii="Arial" w:hAnsi="Arial"/>
          <w:b/>
          <w:sz w:val="24"/>
          <w:szCs w:val="24"/>
        </w:rPr>
        <w:t xml:space="preserve"> </w:t>
      </w:r>
      <w:r w:rsidRPr="00F2119C">
        <w:rPr>
          <w:rFonts w:ascii="Arial" w:hAnsi="Arial"/>
          <w:b/>
          <w:sz w:val="24"/>
          <w:szCs w:val="24"/>
        </w:rPr>
        <w:t>Since 1980, Arizona has produced more than 35 million tonnes of copper, which is approximately 65% of total United States copper production.</w:t>
      </w:r>
    </w:p>
    <w:p w14:paraId="220F1D2E" w14:textId="77777777" w:rsidR="00C923A2" w:rsidRPr="00F2119C" w:rsidRDefault="00C923A2" w:rsidP="00C923A2">
      <w:pPr>
        <w:spacing w:after="0" w:line="240" w:lineRule="auto"/>
        <w:rPr>
          <w:rFonts w:ascii="Arial" w:hAnsi="Arial"/>
          <w:b/>
          <w:sz w:val="24"/>
          <w:szCs w:val="24"/>
        </w:rPr>
      </w:pPr>
    </w:p>
    <w:p w14:paraId="38DF204A" w14:textId="48FE837A" w:rsidR="00C923A2" w:rsidRDefault="00C923A2" w:rsidP="00C923A2">
      <w:pPr>
        <w:spacing w:after="0" w:line="240" w:lineRule="auto"/>
        <w:rPr>
          <w:rFonts w:ascii="Arial" w:hAnsi="Arial"/>
          <w:b/>
          <w:sz w:val="24"/>
          <w:szCs w:val="24"/>
        </w:rPr>
      </w:pPr>
      <w:r w:rsidRPr="00F2119C">
        <w:rPr>
          <w:rFonts w:ascii="Arial" w:hAnsi="Arial"/>
          <w:b/>
          <w:sz w:val="24"/>
          <w:szCs w:val="24"/>
        </w:rPr>
        <w:t>The Santa Cruz Project is located within a mineral deposit corridor running between the Ajo and Globe Miami copper mines. This is a fundamental geological feature</w:t>
      </w:r>
      <w:r>
        <w:rPr>
          <w:rFonts w:ascii="Arial" w:hAnsi="Arial"/>
          <w:b/>
          <w:sz w:val="24"/>
          <w:szCs w:val="24"/>
        </w:rPr>
        <w:t>,</w:t>
      </w:r>
      <w:r w:rsidRPr="00F2119C">
        <w:rPr>
          <w:rFonts w:ascii="Arial" w:hAnsi="Arial"/>
          <w:b/>
          <w:sz w:val="24"/>
          <w:szCs w:val="24"/>
        </w:rPr>
        <w:t xml:space="preserve"> which is estimated to control approximately 35% of all known copper resources in Arizona.</w:t>
      </w:r>
    </w:p>
    <w:p w14:paraId="6706B317" w14:textId="179C80FB" w:rsidR="001D6112" w:rsidRPr="001D6112" w:rsidRDefault="001D6112" w:rsidP="001D6112">
      <w:pPr>
        <w:rPr>
          <w:rFonts w:ascii="Arial" w:hAnsi="Arial"/>
          <w:sz w:val="24"/>
          <w:szCs w:val="24"/>
        </w:rPr>
      </w:pPr>
    </w:p>
    <w:p w14:paraId="6A0CD348" w14:textId="0912508B" w:rsidR="001D6112" w:rsidRPr="001D6112" w:rsidRDefault="001D6112" w:rsidP="001D6112">
      <w:pPr>
        <w:rPr>
          <w:rFonts w:ascii="Arial" w:hAnsi="Arial"/>
          <w:sz w:val="24"/>
          <w:szCs w:val="24"/>
        </w:rPr>
      </w:pPr>
    </w:p>
    <w:p w14:paraId="1EA8A0BE" w14:textId="462B4DFF" w:rsidR="001D6112" w:rsidRPr="001D6112" w:rsidRDefault="001D6112" w:rsidP="001D6112">
      <w:pPr>
        <w:rPr>
          <w:rFonts w:ascii="Arial" w:hAnsi="Arial"/>
          <w:sz w:val="24"/>
          <w:szCs w:val="24"/>
        </w:rPr>
      </w:pPr>
    </w:p>
    <w:p w14:paraId="065C1997" w14:textId="77777777" w:rsidR="001D6112" w:rsidRPr="001D6112" w:rsidRDefault="001D6112" w:rsidP="001D6112">
      <w:pPr>
        <w:rPr>
          <w:rFonts w:ascii="Arial" w:hAnsi="Arial"/>
          <w:sz w:val="24"/>
          <w:szCs w:val="24"/>
        </w:rPr>
      </w:pPr>
    </w:p>
    <w:p w14:paraId="62E681A9" w14:textId="77777777" w:rsidR="00C923A2" w:rsidRDefault="00C923A2" w:rsidP="00C923A2">
      <w:pPr>
        <w:spacing w:after="0" w:line="240" w:lineRule="auto"/>
        <w:rPr>
          <w:rFonts w:ascii="Arial" w:hAnsi="Arial"/>
          <w:bCs/>
          <w:sz w:val="24"/>
          <w:szCs w:val="24"/>
        </w:rPr>
      </w:pPr>
      <w:r w:rsidRPr="0020460A">
        <w:rPr>
          <w:rFonts w:ascii="Arial" w:hAnsi="Arial"/>
          <w:noProof/>
          <w:sz w:val="24"/>
          <w:lang w:val="en-CA"/>
        </w:rPr>
        <w:lastRenderedPageBreak/>
        <w:drawing>
          <wp:anchor distT="0" distB="0" distL="114300" distR="114300" simplePos="0" relativeHeight="251684352" behindDoc="1" locked="0" layoutInCell="1" allowOverlap="1" wp14:anchorId="3E8B324A" wp14:editId="7D152881">
            <wp:simplePos x="0" y="0"/>
            <wp:positionH relativeFrom="margin">
              <wp:align>right</wp:align>
            </wp:positionH>
            <wp:positionV relativeFrom="paragraph">
              <wp:posOffset>309245</wp:posOffset>
            </wp:positionV>
            <wp:extent cx="6400165" cy="5067300"/>
            <wp:effectExtent l="0" t="0" r="635" b="0"/>
            <wp:wrapTight wrapText="bothSides">
              <wp:wrapPolygon edited="0">
                <wp:start x="0" y="0"/>
                <wp:lineTo x="0" y="21519"/>
                <wp:lineTo x="1993" y="21519"/>
                <wp:lineTo x="4115" y="21519"/>
                <wp:lineTo x="21538" y="21519"/>
                <wp:lineTo x="21538" y="0"/>
                <wp:lineTo x="0" y="0"/>
              </wp:wrapPolygon>
            </wp:wrapTight>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Map&#10;&#10;Description automatically generated"/>
                    <pic:cNvPicPr>
                      <a:picLocks noChangeAspect="1" noChangeArrowheads="1"/>
                    </pic:cNvPicPr>
                  </pic:nvPicPr>
                  <pic:blipFill rotWithShape="1">
                    <a:blip r:embed="rId10">
                      <a:extLst>
                        <a:ext uri="{28A0092B-C50C-407E-A947-70E740481C1C}">
                          <a14:useLocalDpi xmlns:a14="http://schemas.microsoft.com/office/drawing/2010/main" val="0"/>
                        </a:ext>
                      </a:extLst>
                    </a:blip>
                    <a:srcRect b="6338"/>
                    <a:stretch/>
                  </pic:blipFill>
                  <pic:spPr bwMode="auto">
                    <a:xfrm>
                      <a:off x="0" y="0"/>
                      <a:ext cx="6400165" cy="50673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00914E0" w14:textId="77777777" w:rsidR="00C923A2" w:rsidRDefault="00C923A2" w:rsidP="00C923A2">
      <w:pPr>
        <w:spacing w:after="0" w:line="240" w:lineRule="auto"/>
        <w:rPr>
          <w:rFonts w:ascii="Arial" w:hAnsi="Arial"/>
          <w:bCs/>
          <w:sz w:val="24"/>
          <w:szCs w:val="24"/>
        </w:rPr>
      </w:pPr>
    </w:p>
    <w:p w14:paraId="6AF46AF5" w14:textId="77777777" w:rsidR="00A84004" w:rsidRDefault="00A84004" w:rsidP="00C923A2">
      <w:pPr>
        <w:spacing w:after="0" w:line="240" w:lineRule="auto"/>
        <w:rPr>
          <w:rFonts w:ascii="Arial" w:hAnsi="Arial"/>
          <w:b/>
          <w:sz w:val="26"/>
          <w:szCs w:val="26"/>
        </w:rPr>
      </w:pPr>
    </w:p>
    <w:p w14:paraId="5BD1421B" w14:textId="77777777" w:rsidR="00A84004" w:rsidRDefault="00A84004" w:rsidP="00C923A2">
      <w:pPr>
        <w:spacing w:after="0" w:line="240" w:lineRule="auto"/>
        <w:rPr>
          <w:rFonts w:ascii="Arial" w:hAnsi="Arial"/>
          <w:b/>
          <w:sz w:val="26"/>
          <w:szCs w:val="26"/>
        </w:rPr>
      </w:pPr>
    </w:p>
    <w:p w14:paraId="46D1C384" w14:textId="77777777" w:rsidR="00A84004" w:rsidRDefault="00A84004" w:rsidP="00C923A2">
      <w:pPr>
        <w:spacing w:after="0" w:line="240" w:lineRule="auto"/>
        <w:rPr>
          <w:rFonts w:ascii="Arial" w:hAnsi="Arial"/>
          <w:b/>
          <w:sz w:val="26"/>
          <w:szCs w:val="26"/>
        </w:rPr>
      </w:pPr>
    </w:p>
    <w:p w14:paraId="45609537" w14:textId="77777777" w:rsidR="00A84004" w:rsidRDefault="00A84004" w:rsidP="00C923A2">
      <w:pPr>
        <w:spacing w:after="0" w:line="240" w:lineRule="auto"/>
        <w:rPr>
          <w:rFonts w:ascii="Arial" w:hAnsi="Arial"/>
          <w:b/>
          <w:sz w:val="26"/>
          <w:szCs w:val="26"/>
        </w:rPr>
      </w:pPr>
    </w:p>
    <w:p w14:paraId="067A11EE" w14:textId="77777777" w:rsidR="00A84004" w:rsidRDefault="00A84004" w:rsidP="00C923A2">
      <w:pPr>
        <w:spacing w:after="0" w:line="240" w:lineRule="auto"/>
        <w:rPr>
          <w:rFonts w:ascii="Arial" w:hAnsi="Arial"/>
          <w:b/>
          <w:sz w:val="26"/>
          <w:szCs w:val="26"/>
        </w:rPr>
      </w:pPr>
    </w:p>
    <w:p w14:paraId="0B0C40D9" w14:textId="77777777" w:rsidR="00A84004" w:rsidRDefault="00A84004" w:rsidP="00C923A2">
      <w:pPr>
        <w:spacing w:after="0" w:line="240" w:lineRule="auto"/>
        <w:rPr>
          <w:rFonts w:ascii="Arial" w:hAnsi="Arial"/>
          <w:b/>
          <w:sz w:val="26"/>
          <w:szCs w:val="26"/>
        </w:rPr>
      </w:pPr>
    </w:p>
    <w:p w14:paraId="2A242FD2" w14:textId="77777777" w:rsidR="00A84004" w:rsidRDefault="00A84004" w:rsidP="00C923A2">
      <w:pPr>
        <w:spacing w:after="0" w:line="240" w:lineRule="auto"/>
        <w:rPr>
          <w:rFonts w:ascii="Arial" w:hAnsi="Arial"/>
          <w:b/>
          <w:sz w:val="26"/>
          <w:szCs w:val="26"/>
        </w:rPr>
      </w:pPr>
    </w:p>
    <w:p w14:paraId="681826D6" w14:textId="77777777" w:rsidR="00A84004" w:rsidRDefault="00A84004" w:rsidP="00C923A2">
      <w:pPr>
        <w:spacing w:after="0" w:line="240" w:lineRule="auto"/>
        <w:rPr>
          <w:rFonts w:ascii="Arial" w:hAnsi="Arial"/>
          <w:b/>
          <w:sz w:val="26"/>
          <w:szCs w:val="26"/>
        </w:rPr>
      </w:pPr>
    </w:p>
    <w:p w14:paraId="12316E93" w14:textId="77777777" w:rsidR="00A84004" w:rsidRDefault="00A84004" w:rsidP="00C923A2">
      <w:pPr>
        <w:spacing w:after="0" w:line="240" w:lineRule="auto"/>
        <w:rPr>
          <w:rFonts w:ascii="Arial" w:hAnsi="Arial"/>
          <w:b/>
          <w:sz w:val="26"/>
          <w:szCs w:val="26"/>
        </w:rPr>
      </w:pPr>
    </w:p>
    <w:p w14:paraId="78DD745B" w14:textId="77777777" w:rsidR="00A84004" w:rsidRDefault="00A84004" w:rsidP="00C923A2">
      <w:pPr>
        <w:spacing w:after="0" w:line="240" w:lineRule="auto"/>
        <w:rPr>
          <w:rFonts w:ascii="Arial" w:hAnsi="Arial"/>
          <w:b/>
          <w:sz w:val="26"/>
          <w:szCs w:val="26"/>
        </w:rPr>
      </w:pPr>
    </w:p>
    <w:p w14:paraId="564B1047" w14:textId="77777777" w:rsidR="00A84004" w:rsidRDefault="00A84004" w:rsidP="00C923A2">
      <w:pPr>
        <w:spacing w:after="0" w:line="240" w:lineRule="auto"/>
        <w:rPr>
          <w:rFonts w:ascii="Arial" w:hAnsi="Arial"/>
          <w:b/>
          <w:sz w:val="26"/>
          <w:szCs w:val="26"/>
        </w:rPr>
      </w:pPr>
    </w:p>
    <w:p w14:paraId="378FB1F0" w14:textId="62C5B8B0" w:rsidR="00C923A2" w:rsidRPr="00D11A02" w:rsidRDefault="00C923A2" w:rsidP="00C923A2">
      <w:pPr>
        <w:spacing w:after="0" w:line="240" w:lineRule="auto"/>
        <w:rPr>
          <w:rFonts w:ascii="Arial" w:hAnsi="Arial"/>
          <w:b/>
          <w:sz w:val="26"/>
          <w:szCs w:val="26"/>
        </w:rPr>
      </w:pPr>
      <w:r w:rsidRPr="00D11A02">
        <w:rPr>
          <w:rFonts w:ascii="Arial" w:hAnsi="Arial"/>
          <w:b/>
          <w:sz w:val="26"/>
          <w:szCs w:val="26"/>
        </w:rPr>
        <w:lastRenderedPageBreak/>
        <w:t xml:space="preserve">Well-established infrastructure and industry in proximity to the Santa Cruz Project. </w:t>
      </w:r>
    </w:p>
    <w:p w14:paraId="1EAA0C7F" w14:textId="77777777" w:rsidR="00C923A2" w:rsidRDefault="00C923A2" w:rsidP="00C923A2">
      <w:pPr>
        <w:spacing w:after="0" w:line="240" w:lineRule="auto"/>
        <w:rPr>
          <w:rFonts w:ascii="Arial" w:hAnsi="Arial"/>
          <w:b/>
          <w:sz w:val="26"/>
          <w:szCs w:val="26"/>
        </w:rPr>
      </w:pPr>
      <w:r>
        <w:rPr>
          <w:rFonts w:ascii="Arial" w:hAnsi="Arial"/>
          <w:b/>
          <w:noProof/>
          <w:sz w:val="26"/>
          <w:lang w:val="en-CA"/>
        </w:rPr>
        <w:drawing>
          <wp:inline distT="0" distB="0" distL="0" distR="0" wp14:anchorId="2FBFE516" wp14:editId="6FC43928">
            <wp:extent cx="6400800" cy="4945380"/>
            <wp:effectExtent l="0" t="0" r="0" b="762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00800" cy="4945380"/>
                    </a:xfrm>
                    <a:prstGeom prst="rect">
                      <a:avLst/>
                    </a:prstGeom>
                    <a:noFill/>
                    <a:ln>
                      <a:noFill/>
                    </a:ln>
                  </pic:spPr>
                </pic:pic>
              </a:graphicData>
            </a:graphic>
          </wp:inline>
        </w:drawing>
      </w:r>
    </w:p>
    <w:p w14:paraId="7CAE2279" w14:textId="77777777" w:rsidR="00C923A2" w:rsidRDefault="00C923A2" w:rsidP="00C923A2">
      <w:pPr>
        <w:spacing w:after="0" w:line="240" w:lineRule="auto"/>
        <w:rPr>
          <w:rFonts w:ascii="Arial" w:hAnsi="Arial"/>
          <w:b/>
          <w:sz w:val="26"/>
          <w:szCs w:val="26"/>
        </w:rPr>
      </w:pPr>
    </w:p>
    <w:p w14:paraId="3F6D80F5" w14:textId="77777777" w:rsidR="00C923A2" w:rsidRDefault="00C923A2" w:rsidP="00C923A2">
      <w:pPr>
        <w:spacing w:after="0" w:line="240" w:lineRule="auto"/>
        <w:rPr>
          <w:rFonts w:ascii="Arial" w:hAnsi="Arial"/>
          <w:b/>
          <w:sz w:val="26"/>
          <w:szCs w:val="26"/>
        </w:rPr>
      </w:pPr>
    </w:p>
    <w:p w14:paraId="66F8FA5D" w14:textId="77777777" w:rsidR="00C923A2" w:rsidRDefault="00C923A2" w:rsidP="00C923A2">
      <w:pPr>
        <w:spacing w:after="0" w:line="240" w:lineRule="auto"/>
        <w:rPr>
          <w:rFonts w:ascii="Arial" w:hAnsi="Arial"/>
          <w:b/>
          <w:sz w:val="26"/>
          <w:szCs w:val="26"/>
        </w:rPr>
      </w:pPr>
    </w:p>
    <w:p w14:paraId="78A9A6EF" w14:textId="77777777" w:rsidR="00C923A2" w:rsidRDefault="00C923A2" w:rsidP="00C923A2">
      <w:pPr>
        <w:spacing w:after="0" w:line="240" w:lineRule="auto"/>
        <w:rPr>
          <w:rFonts w:ascii="Arial" w:hAnsi="Arial"/>
          <w:b/>
          <w:sz w:val="26"/>
          <w:szCs w:val="26"/>
        </w:rPr>
      </w:pPr>
    </w:p>
    <w:p w14:paraId="1F762745" w14:textId="77777777" w:rsidR="00C923A2" w:rsidRDefault="00C923A2" w:rsidP="00C923A2">
      <w:pPr>
        <w:spacing w:after="0" w:line="240" w:lineRule="auto"/>
        <w:rPr>
          <w:rFonts w:ascii="Arial" w:hAnsi="Arial"/>
          <w:b/>
          <w:sz w:val="26"/>
          <w:szCs w:val="26"/>
        </w:rPr>
      </w:pPr>
    </w:p>
    <w:p w14:paraId="12CD5311" w14:textId="77777777" w:rsidR="00C923A2" w:rsidRDefault="00C923A2" w:rsidP="00C923A2">
      <w:pPr>
        <w:spacing w:after="0" w:line="240" w:lineRule="auto"/>
        <w:rPr>
          <w:rFonts w:ascii="Arial" w:hAnsi="Arial"/>
          <w:b/>
          <w:sz w:val="26"/>
          <w:szCs w:val="26"/>
        </w:rPr>
      </w:pPr>
    </w:p>
    <w:p w14:paraId="69F87436" w14:textId="77777777" w:rsidR="00C923A2" w:rsidRDefault="00C923A2" w:rsidP="00C923A2">
      <w:pPr>
        <w:spacing w:after="0" w:line="240" w:lineRule="auto"/>
        <w:rPr>
          <w:rFonts w:ascii="Arial" w:hAnsi="Arial"/>
          <w:b/>
          <w:sz w:val="26"/>
          <w:szCs w:val="26"/>
        </w:rPr>
      </w:pPr>
    </w:p>
    <w:p w14:paraId="7B8F2EEE" w14:textId="77777777" w:rsidR="00C923A2" w:rsidRDefault="00C923A2" w:rsidP="00C923A2">
      <w:pPr>
        <w:spacing w:after="0" w:line="240" w:lineRule="auto"/>
        <w:rPr>
          <w:rFonts w:ascii="Arial" w:hAnsi="Arial"/>
          <w:b/>
          <w:sz w:val="26"/>
          <w:szCs w:val="26"/>
        </w:rPr>
      </w:pPr>
    </w:p>
    <w:p w14:paraId="3F084F35" w14:textId="77777777" w:rsidR="00C923A2" w:rsidRDefault="00C923A2" w:rsidP="00C923A2">
      <w:pPr>
        <w:spacing w:after="0" w:line="240" w:lineRule="auto"/>
        <w:rPr>
          <w:rFonts w:ascii="Arial" w:hAnsi="Arial"/>
          <w:b/>
          <w:sz w:val="26"/>
          <w:szCs w:val="26"/>
        </w:rPr>
      </w:pPr>
    </w:p>
    <w:p w14:paraId="3CD369B7" w14:textId="77777777" w:rsidR="00C923A2" w:rsidRDefault="00C923A2" w:rsidP="00C923A2">
      <w:pPr>
        <w:spacing w:after="0" w:line="240" w:lineRule="auto"/>
        <w:rPr>
          <w:rFonts w:ascii="Arial" w:hAnsi="Arial"/>
          <w:b/>
          <w:sz w:val="26"/>
          <w:szCs w:val="26"/>
        </w:rPr>
      </w:pPr>
    </w:p>
    <w:p w14:paraId="158B5392" w14:textId="77777777" w:rsidR="00C923A2" w:rsidRDefault="00C923A2" w:rsidP="00C923A2">
      <w:pPr>
        <w:spacing w:after="0" w:line="240" w:lineRule="auto"/>
        <w:rPr>
          <w:rFonts w:ascii="Arial" w:hAnsi="Arial"/>
          <w:b/>
          <w:sz w:val="26"/>
          <w:szCs w:val="26"/>
        </w:rPr>
      </w:pPr>
    </w:p>
    <w:p w14:paraId="1D11C376" w14:textId="77777777" w:rsidR="00C923A2" w:rsidRDefault="00C923A2" w:rsidP="00C923A2">
      <w:pPr>
        <w:spacing w:after="0" w:line="240" w:lineRule="auto"/>
        <w:rPr>
          <w:rFonts w:ascii="Arial" w:hAnsi="Arial"/>
          <w:b/>
          <w:sz w:val="26"/>
          <w:szCs w:val="26"/>
        </w:rPr>
      </w:pPr>
    </w:p>
    <w:p w14:paraId="4D843AEA" w14:textId="77777777" w:rsidR="00C923A2" w:rsidRDefault="00C923A2" w:rsidP="00C923A2">
      <w:pPr>
        <w:spacing w:after="0" w:line="240" w:lineRule="auto"/>
        <w:rPr>
          <w:rFonts w:ascii="Arial" w:hAnsi="Arial"/>
          <w:b/>
          <w:sz w:val="26"/>
          <w:szCs w:val="26"/>
        </w:rPr>
      </w:pPr>
    </w:p>
    <w:p w14:paraId="64D513EC" w14:textId="77777777" w:rsidR="00C923A2" w:rsidRDefault="00C923A2" w:rsidP="00C923A2">
      <w:pPr>
        <w:spacing w:after="0" w:line="240" w:lineRule="auto"/>
        <w:rPr>
          <w:rFonts w:ascii="Arial" w:hAnsi="Arial"/>
          <w:b/>
          <w:sz w:val="26"/>
          <w:szCs w:val="26"/>
        </w:rPr>
      </w:pPr>
      <w:r>
        <w:rPr>
          <w:rFonts w:ascii="Arial" w:hAnsi="Arial"/>
          <w:b/>
          <w:sz w:val="26"/>
          <w:szCs w:val="26"/>
        </w:rPr>
        <w:lastRenderedPageBreak/>
        <w:t>Project site is flat</w:t>
      </w:r>
      <w:r w:rsidRPr="00D11A02">
        <w:rPr>
          <w:rFonts w:ascii="Arial" w:hAnsi="Arial"/>
          <w:b/>
          <w:sz w:val="26"/>
          <w:szCs w:val="26"/>
        </w:rPr>
        <w:t xml:space="preserve"> Sonoran Desert that has been previously impacted by agricultural and other land-use activities.</w:t>
      </w:r>
    </w:p>
    <w:p w14:paraId="5D6A3AAC" w14:textId="77777777" w:rsidR="00C923A2" w:rsidRDefault="00C923A2" w:rsidP="00C923A2">
      <w:pPr>
        <w:spacing w:after="0" w:line="240" w:lineRule="auto"/>
        <w:rPr>
          <w:rFonts w:ascii="Arial" w:hAnsi="Arial"/>
          <w:b/>
          <w:sz w:val="26"/>
          <w:szCs w:val="26"/>
        </w:rPr>
      </w:pPr>
    </w:p>
    <w:p w14:paraId="4F59AE94" w14:textId="77777777" w:rsidR="00C923A2" w:rsidRDefault="00C923A2" w:rsidP="00C923A2">
      <w:pPr>
        <w:spacing w:after="0" w:line="240" w:lineRule="auto"/>
        <w:rPr>
          <w:rFonts w:ascii="Arial" w:hAnsi="Arial" w:cs="Arial"/>
          <w:bCs/>
          <w:sz w:val="24"/>
          <w:szCs w:val="24"/>
        </w:rPr>
      </w:pPr>
      <w:r>
        <w:rPr>
          <w:rFonts w:ascii="Arial" w:hAnsi="Arial"/>
          <w:b/>
          <w:noProof/>
          <w:sz w:val="26"/>
          <w:szCs w:val="26"/>
          <w:lang w:val="en-CA"/>
        </w:rPr>
        <w:drawing>
          <wp:inline distT="0" distB="0" distL="0" distR="0" wp14:anchorId="55D1AE43" wp14:editId="68172E8F">
            <wp:extent cx="6400800" cy="4091940"/>
            <wp:effectExtent l="0" t="0" r="0" b="3810"/>
            <wp:docPr id="12" name="Picture 12" descr="A picture containing outdoor, sky, sandy,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ky, sandy, shor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00800" cy="4091940"/>
                    </a:xfrm>
                    <a:prstGeom prst="rect">
                      <a:avLst/>
                    </a:prstGeom>
                    <a:noFill/>
                    <a:ln>
                      <a:noFill/>
                    </a:ln>
                  </pic:spPr>
                </pic:pic>
              </a:graphicData>
            </a:graphic>
          </wp:inline>
        </w:drawing>
      </w:r>
    </w:p>
    <w:p w14:paraId="61BC08C0" w14:textId="77777777" w:rsidR="00C923A2" w:rsidRPr="00D11A02" w:rsidRDefault="00C923A2" w:rsidP="00F55868">
      <w:pPr>
        <w:spacing w:after="0" w:line="240" w:lineRule="auto"/>
        <w:rPr>
          <w:rFonts w:ascii="Arial" w:hAnsi="Arial"/>
          <w:b/>
          <w:sz w:val="24"/>
          <w:szCs w:val="24"/>
        </w:rPr>
      </w:pPr>
    </w:p>
    <w:p w14:paraId="2B49BF73" w14:textId="41F76E95" w:rsidR="00810970" w:rsidRPr="00C704F5" w:rsidRDefault="00810970" w:rsidP="00F55868">
      <w:pPr>
        <w:spacing w:after="0" w:line="240" w:lineRule="auto"/>
        <w:rPr>
          <w:rFonts w:ascii="Arial" w:hAnsi="Arial"/>
          <w:b/>
          <w:color w:val="E0251B"/>
          <w:sz w:val="28"/>
          <w:szCs w:val="28"/>
        </w:rPr>
      </w:pPr>
      <w:r w:rsidRPr="00C704F5">
        <w:rPr>
          <w:rFonts w:ascii="Arial" w:hAnsi="Arial"/>
          <w:b/>
          <w:color w:val="E0251B"/>
          <w:sz w:val="28"/>
          <w:szCs w:val="28"/>
        </w:rPr>
        <w:t xml:space="preserve">Three </w:t>
      </w:r>
      <w:r w:rsidR="00C51A87" w:rsidRPr="00C704F5">
        <w:rPr>
          <w:rFonts w:ascii="Arial" w:hAnsi="Arial"/>
          <w:b/>
          <w:color w:val="E0251B"/>
          <w:sz w:val="28"/>
          <w:szCs w:val="28"/>
        </w:rPr>
        <w:t xml:space="preserve">identified copper </w:t>
      </w:r>
      <w:r w:rsidRPr="00C704F5">
        <w:rPr>
          <w:rFonts w:ascii="Arial" w:hAnsi="Arial"/>
          <w:b/>
          <w:color w:val="E0251B"/>
          <w:sz w:val="28"/>
          <w:szCs w:val="28"/>
        </w:rPr>
        <w:t xml:space="preserve">mineralized zones </w:t>
      </w:r>
      <w:r w:rsidR="00C51A87" w:rsidRPr="00C704F5">
        <w:rPr>
          <w:rFonts w:ascii="Arial" w:hAnsi="Arial"/>
          <w:b/>
          <w:color w:val="E0251B"/>
          <w:sz w:val="28"/>
          <w:szCs w:val="28"/>
        </w:rPr>
        <w:t xml:space="preserve">located </w:t>
      </w:r>
      <w:r w:rsidRPr="00C704F5">
        <w:rPr>
          <w:rFonts w:ascii="Arial" w:hAnsi="Arial"/>
          <w:b/>
          <w:color w:val="E0251B"/>
          <w:sz w:val="28"/>
          <w:szCs w:val="28"/>
        </w:rPr>
        <w:t>on private land</w:t>
      </w:r>
    </w:p>
    <w:p w14:paraId="4742758B" w14:textId="11CDDEC7" w:rsidR="00810970" w:rsidRPr="00D11A02" w:rsidRDefault="00810970" w:rsidP="00F55868">
      <w:pPr>
        <w:spacing w:after="0" w:line="240" w:lineRule="auto"/>
        <w:rPr>
          <w:rFonts w:ascii="Arial" w:hAnsi="Arial"/>
          <w:b/>
          <w:sz w:val="24"/>
          <w:szCs w:val="24"/>
        </w:rPr>
      </w:pPr>
    </w:p>
    <w:p w14:paraId="46C64EBA" w14:textId="7DAB66E5" w:rsidR="00401ED5" w:rsidRPr="00D11A02" w:rsidRDefault="00137297" w:rsidP="00F55868">
      <w:pPr>
        <w:spacing w:after="0" w:line="240" w:lineRule="auto"/>
        <w:rPr>
          <w:rFonts w:ascii="Arial" w:hAnsi="Arial"/>
          <w:b/>
          <w:sz w:val="24"/>
          <w:szCs w:val="24"/>
        </w:rPr>
      </w:pPr>
      <w:r>
        <w:rPr>
          <w:rFonts w:ascii="Arial" w:hAnsi="Arial"/>
          <w:b/>
          <w:sz w:val="24"/>
          <w:szCs w:val="24"/>
        </w:rPr>
        <w:t>Ivanhoe Electric’s</w:t>
      </w:r>
      <w:r w:rsidRPr="00D11A02">
        <w:rPr>
          <w:rFonts w:ascii="Arial" w:hAnsi="Arial"/>
          <w:b/>
          <w:sz w:val="24"/>
          <w:szCs w:val="24"/>
        </w:rPr>
        <w:t xml:space="preserve"> </w:t>
      </w:r>
      <w:r w:rsidR="00401ED5" w:rsidRPr="00D11A02">
        <w:rPr>
          <w:rFonts w:ascii="Arial" w:hAnsi="Arial"/>
          <w:b/>
          <w:sz w:val="24"/>
          <w:szCs w:val="24"/>
        </w:rPr>
        <w:t>Santa Cruz Project covers 7</w:t>
      </w:r>
      <w:r w:rsidR="006A0695">
        <w:rPr>
          <w:rFonts w:ascii="Arial" w:hAnsi="Arial"/>
          <w:b/>
          <w:sz w:val="24"/>
          <w:szCs w:val="24"/>
        </w:rPr>
        <w:t>8</w:t>
      </w:r>
      <w:r w:rsidR="00401ED5" w:rsidRPr="00D11A02">
        <w:rPr>
          <w:rFonts w:ascii="Arial" w:hAnsi="Arial"/>
          <w:b/>
          <w:sz w:val="24"/>
          <w:szCs w:val="24"/>
        </w:rPr>
        <w:t xml:space="preserve"> km</w:t>
      </w:r>
      <w:r w:rsidR="00401ED5" w:rsidRPr="00D11A02">
        <w:rPr>
          <w:rFonts w:ascii="Arial" w:hAnsi="Arial"/>
          <w:b/>
          <w:sz w:val="24"/>
          <w:szCs w:val="24"/>
          <w:vertAlign w:val="superscript"/>
        </w:rPr>
        <w:t>2</w:t>
      </w:r>
      <w:r w:rsidR="00065898">
        <w:rPr>
          <w:rFonts w:ascii="Arial" w:hAnsi="Arial"/>
          <w:b/>
          <w:sz w:val="24"/>
          <w:szCs w:val="24"/>
        </w:rPr>
        <w:t xml:space="preserve"> (19,300 </w:t>
      </w:r>
      <w:r w:rsidR="00065898" w:rsidRPr="00065898">
        <w:rPr>
          <w:rFonts w:ascii="Arial" w:hAnsi="Arial"/>
          <w:b/>
          <w:sz w:val="24"/>
          <w:szCs w:val="24"/>
        </w:rPr>
        <w:t>acres)</w:t>
      </w:r>
      <w:r w:rsidR="00401ED5" w:rsidRPr="00065898">
        <w:rPr>
          <w:rFonts w:ascii="Arial" w:hAnsi="Arial"/>
          <w:b/>
          <w:sz w:val="24"/>
          <w:szCs w:val="24"/>
        </w:rPr>
        <w:t>,</w:t>
      </w:r>
      <w:r w:rsidR="00401ED5" w:rsidRPr="00D11A02">
        <w:rPr>
          <w:rFonts w:ascii="Arial" w:hAnsi="Arial"/>
          <w:b/>
          <w:sz w:val="24"/>
          <w:szCs w:val="24"/>
        </w:rPr>
        <w:t xml:space="preserve"> including 2</w:t>
      </w:r>
      <w:r w:rsidR="006A0695">
        <w:rPr>
          <w:rFonts w:ascii="Arial" w:hAnsi="Arial"/>
          <w:b/>
          <w:sz w:val="24"/>
          <w:szCs w:val="24"/>
        </w:rPr>
        <w:t>8</w:t>
      </w:r>
      <w:r w:rsidR="00401ED5" w:rsidRPr="00D11A02">
        <w:rPr>
          <w:rFonts w:ascii="Arial" w:hAnsi="Arial"/>
          <w:b/>
          <w:sz w:val="24"/>
          <w:szCs w:val="24"/>
        </w:rPr>
        <w:t xml:space="preserve"> km</w:t>
      </w:r>
      <w:r w:rsidR="00401ED5" w:rsidRPr="00D11A02">
        <w:rPr>
          <w:rFonts w:ascii="Arial" w:hAnsi="Arial"/>
          <w:b/>
          <w:sz w:val="24"/>
          <w:szCs w:val="24"/>
          <w:vertAlign w:val="superscript"/>
        </w:rPr>
        <w:t>2</w:t>
      </w:r>
      <w:r w:rsidR="00401ED5" w:rsidRPr="00D11A02">
        <w:rPr>
          <w:rFonts w:ascii="Arial" w:hAnsi="Arial"/>
          <w:b/>
          <w:sz w:val="24"/>
          <w:szCs w:val="24"/>
        </w:rPr>
        <w:t xml:space="preserve"> </w:t>
      </w:r>
      <w:r w:rsidR="00065898">
        <w:rPr>
          <w:rFonts w:ascii="Arial" w:hAnsi="Arial"/>
          <w:b/>
          <w:sz w:val="24"/>
          <w:szCs w:val="24"/>
        </w:rPr>
        <w:t xml:space="preserve">(6,900 acres) </w:t>
      </w:r>
      <w:r w:rsidR="00401ED5" w:rsidRPr="00D11A02">
        <w:rPr>
          <w:rFonts w:ascii="Arial" w:hAnsi="Arial"/>
          <w:b/>
          <w:sz w:val="24"/>
          <w:szCs w:val="24"/>
        </w:rPr>
        <w:t>of private land, 3</w:t>
      </w:r>
      <w:r w:rsidR="006A0695">
        <w:rPr>
          <w:rFonts w:ascii="Arial" w:hAnsi="Arial"/>
          <w:b/>
          <w:sz w:val="24"/>
          <w:szCs w:val="24"/>
        </w:rPr>
        <w:t>1</w:t>
      </w:r>
      <w:r w:rsidR="00401ED5" w:rsidRPr="00D11A02">
        <w:rPr>
          <w:rFonts w:ascii="Arial" w:hAnsi="Arial"/>
          <w:b/>
          <w:sz w:val="24"/>
          <w:szCs w:val="24"/>
        </w:rPr>
        <w:t xml:space="preserve"> km</w:t>
      </w:r>
      <w:r w:rsidR="00401ED5" w:rsidRPr="00D11A02">
        <w:rPr>
          <w:rFonts w:ascii="Arial" w:hAnsi="Arial"/>
          <w:b/>
          <w:sz w:val="24"/>
          <w:szCs w:val="24"/>
          <w:vertAlign w:val="superscript"/>
        </w:rPr>
        <w:t>2</w:t>
      </w:r>
      <w:r w:rsidR="00401ED5" w:rsidRPr="00D11A02">
        <w:rPr>
          <w:rFonts w:ascii="Arial" w:hAnsi="Arial"/>
          <w:b/>
          <w:sz w:val="24"/>
          <w:szCs w:val="24"/>
        </w:rPr>
        <w:t xml:space="preserve"> </w:t>
      </w:r>
      <w:r w:rsidR="00065898">
        <w:rPr>
          <w:rFonts w:ascii="Arial" w:hAnsi="Arial"/>
          <w:b/>
          <w:sz w:val="24"/>
          <w:szCs w:val="24"/>
        </w:rPr>
        <w:t xml:space="preserve">(7,700 acres) </w:t>
      </w:r>
      <w:r w:rsidR="00401ED5" w:rsidRPr="00D11A02">
        <w:rPr>
          <w:rFonts w:ascii="Arial" w:hAnsi="Arial"/>
          <w:b/>
          <w:sz w:val="24"/>
          <w:szCs w:val="24"/>
        </w:rPr>
        <w:t>of Arizona State Mineral Exploration permits, and 238 unpatented claims</w:t>
      </w:r>
      <w:r w:rsidR="005F3995">
        <w:rPr>
          <w:rFonts w:ascii="Arial" w:hAnsi="Arial"/>
          <w:b/>
          <w:sz w:val="24"/>
          <w:szCs w:val="24"/>
        </w:rPr>
        <w:t xml:space="preserve"> </w:t>
      </w:r>
      <w:r w:rsidR="00137080">
        <w:rPr>
          <w:rFonts w:ascii="Arial" w:hAnsi="Arial"/>
          <w:b/>
          <w:sz w:val="24"/>
          <w:szCs w:val="24"/>
        </w:rPr>
        <w:t>over</w:t>
      </w:r>
      <w:r w:rsidR="00137080" w:rsidRPr="00D11A02">
        <w:rPr>
          <w:rFonts w:ascii="Arial" w:hAnsi="Arial"/>
          <w:b/>
          <w:sz w:val="24"/>
          <w:szCs w:val="24"/>
        </w:rPr>
        <w:t xml:space="preserve"> </w:t>
      </w:r>
      <w:r w:rsidR="00401ED5" w:rsidRPr="00D11A02">
        <w:rPr>
          <w:rFonts w:ascii="Arial" w:hAnsi="Arial"/>
          <w:b/>
          <w:sz w:val="24"/>
          <w:szCs w:val="24"/>
        </w:rPr>
        <w:t>19 km</w:t>
      </w:r>
      <w:r w:rsidR="00401ED5" w:rsidRPr="00D11A02">
        <w:rPr>
          <w:rFonts w:ascii="Arial" w:hAnsi="Arial"/>
          <w:b/>
          <w:sz w:val="24"/>
          <w:szCs w:val="24"/>
          <w:vertAlign w:val="superscript"/>
        </w:rPr>
        <w:t>2</w:t>
      </w:r>
      <w:r w:rsidR="005F3995">
        <w:rPr>
          <w:rFonts w:ascii="Arial" w:hAnsi="Arial"/>
          <w:b/>
          <w:sz w:val="24"/>
          <w:szCs w:val="24"/>
        </w:rPr>
        <w:t xml:space="preserve">. </w:t>
      </w:r>
    </w:p>
    <w:p w14:paraId="6B9B7AE3" w14:textId="77777777" w:rsidR="00401ED5" w:rsidRPr="00D11A02" w:rsidRDefault="00401ED5" w:rsidP="00F55868">
      <w:pPr>
        <w:spacing w:after="0" w:line="240" w:lineRule="auto"/>
        <w:rPr>
          <w:rFonts w:ascii="Arial" w:hAnsi="Arial"/>
          <w:b/>
          <w:sz w:val="24"/>
          <w:szCs w:val="24"/>
        </w:rPr>
      </w:pPr>
    </w:p>
    <w:p w14:paraId="1EAE07FF" w14:textId="0AA557E2" w:rsidR="003230B0" w:rsidRPr="00D11A02" w:rsidRDefault="00C51A87" w:rsidP="00F55868">
      <w:pPr>
        <w:spacing w:after="0" w:line="240" w:lineRule="auto"/>
        <w:rPr>
          <w:rFonts w:ascii="Arial" w:hAnsi="Arial"/>
          <w:b/>
          <w:sz w:val="24"/>
          <w:szCs w:val="24"/>
        </w:rPr>
      </w:pPr>
      <w:r w:rsidRPr="00D11A02">
        <w:rPr>
          <w:rFonts w:ascii="Arial" w:hAnsi="Arial"/>
          <w:b/>
          <w:sz w:val="24"/>
          <w:szCs w:val="24"/>
        </w:rPr>
        <w:t xml:space="preserve">Copper mineralization at the Santa Cruz Project was originally identified </w:t>
      </w:r>
      <w:r w:rsidR="003230B0" w:rsidRPr="00D11A02">
        <w:rPr>
          <w:rFonts w:ascii="Arial" w:hAnsi="Arial"/>
          <w:b/>
          <w:sz w:val="24"/>
          <w:szCs w:val="24"/>
        </w:rPr>
        <w:t>more than</w:t>
      </w:r>
      <w:r w:rsidRPr="00D11A02">
        <w:rPr>
          <w:rFonts w:ascii="Arial" w:hAnsi="Arial"/>
          <w:b/>
          <w:sz w:val="24"/>
          <w:szCs w:val="24"/>
        </w:rPr>
        <w:t xml:space="preserve"> 50 years ago after reports of copper minerals from </w:t>
      </w:r>
      <w:r w:rsidR="008D4BFF">
        <w:rPr>
          <w:rFonts w:ascii="Arial" w:hAnsi="Arial"/>
          <w:b/>
          <w:sz w:val="24"/>
          <w:szCs w:val="24"/>
        </w:rPr>
        <w:t xml:space="preserve">agricultural </w:t>
      </w:r>
      <w:r w:rsidRPr="00D11A02">
        <w:rPr>
          <w:rFonts w:ascii="Arial" w:hAnsi="Arial"/>
          <w:b/>
          <w:sz w:val="24"/>
          <w:szCs w:val="24"/>
        </w:rPr>
        <w:t xml:space="preserve">water wells. Following a staking rush involving several different </w:t>
      </w:r>
      <w:r w:rsidR="008D4BFF">
        <w:rPr>
          <w:rFonts w:ascii="Arial" w:hAnsi="Arial"/>
          <w:b/>
          <w:sz w:val="24"/>
          <w:szCs w:val="24"/>
        </w:rPr>
        <w:t xml:space="preserve">major mining </w:t>
      </w:r>
      <w:r w:rsidRPr="00D11A02">
        <w:rPr>
          <w:rFonts w:ascii="Arial" w:hAnsi="Arial"/>
          <w:b/>
          <w:sz w:val="24"/>
          <w:szCs w:val="24"/>
        </w:rPr>
        <w:t xml:space="preserve">companies, </w:t>
      </w:r>
      <w:r w:rsidR="00C03A23">
        <w:rPr>
          <w:rFonts w:ascii="Arial" w:hAnsi="Arial"/>
          <w:b/>
          <w:sz w:val="24"/>
          <w:szCs w:val="24"/>
        </w:rPr>
        <w:t xml:space="preserve">the </w:t>
      </w:r>
      <w:r w:rsidR="003230B0" w:rsidRPr="00D11A02">
        <w:rPr>
          <w:rFonts w:ascii="Arial" w:hAnsi="Arial"/>
          <w:b/>
          <w:sz w:val="24"/>
          <w:szCs w:val="24"/>
        </w:rPr>
        <w:t>Santa Cruz, Texaco and Park Salyer</w:t>
      </w:r>
      <w:r w:rsidR="00C03A23">
        <w:rPr>
          <w:rFonts w:ascii="Arial" w:hAnsi="Arial"/>
          <w:b/>
          <w:sz w:val="24"/>
          <w:szCs w:val="24"/>
        </w:rPr>
        <w:t xml:space="preserve"> deposits</w:t>
      </w:r>
      <w:r w:rsidRPr="00D11A02">
        <w:rPr>
          <w:rFonts w:ascii="Arial" w:hAnsi="Arial"/>
          <w:b/>
          <w:sz w:val="24"/>
          <w:szCs w:val="24"/>
        </w:rPr>
        <w:t xml:space="preserve"> were </w:t>
      </w:r>
      <w:r w:rsidR="00137080">
        <w:rPr>
          <w:rFonts w:ascii="Arial" w:hAnsi="Arial"/>
          <w:b/>
          <w:sz w:val="24"/>
          <w:szCs w:val="24"/>
        </w:rPr>
        <w:t>discovered</w:t>
      </w:r>
      <w:r w:rsidR="00C03A23" w:rsidRPr="00C03A23">
        <w:rPr>
          <w:rFonts w:ascii="Arial" w:hAnsi="Arial"/>
          <w:b/>
          <w:sz w:val="24"/>
          <w:szCs w:val="24"/>
        </w:rPr>
        <w:t xml:space="preserve"> </w:t>
      </w:r>
      <w:r w:rsidR="00C03A23" w:rsidRPr="00D11A02">
        <w:rPr>
          <w:rFonts w:ascii="Arial" w:hAnsi="Arial"/>
          <w:b/>
          <w:sz w:val="24"/>
          <w:szCs w:val="24"/>
        </w:rPr>
        <w:t>concealed beneath gravel cover</w:t>
      </w:r>
      <w:r w:rsidR="00137080">
        <w:rPr>
          <w:rFonts w:ascii="Arial" w:hAnsi="Arial"/>
          <w:b/>
          <w:sz w:val="24"/>
          <w:szCs w:val="24"/>
        </w:rPr>
        <w:t>,</w:t>
      </w:r>
      <w:r w:rsidR="008D4BFF" w:rsidRPr="00D11A02">
        <w:rPr>
          <w:rFonts w:ascii="Arial" w:hAnsi="Arial"/>
          <w:b/>
          <w:sz w:val="24"/>
          <w:szCs w:val="24"/>
        </w:rPr>
        <w:t xml:space="preserve"> </w:t>
      </w:r>
      <w:r w:rsidRPr="00D11A02">
        <w:rPr>
          <w:rFonts w:ascii="Arial" w:hAnsi="Arial"/>
          <w:b/>
          <w:sz w:val="24"/>
          <w:szCs w:val="24"/>
        </w:rPr>
        <w:t xml:space="preserve">but </w:t>
      </w:r>
      <w:r w:rsidR="00C03A23">
        <w:rPr>
          <w:rFonts w:ascii="Arial" w:hAnsi="Arial"/>
          <w:b/>
          <w:sz w:val="24"/>
          <w:szCs w:val="24"/>
        </w:rPr>
        <w:t xml:space="preserve">were </w:t>
      </w:r>
      <w:r w:rsidRPr="00D11A02">
        <w:rPr>
          <w:rFonts w:ascii="Arial" w:hAnsi="Arial"/>
          <w:b/>
          <w:sz w:val="24"/>
          <w:szCs w:val="24"/>
        </w:rPr>
        <w:t>not closed-off by drilling.</w:t>
      </w:r>
      <w:r w:rsidR="005F3995">
        <w:rPr>
          <w:rFonts w:ascii="Arial" w:hAnsi="Arial"/>
          <w:b/>
          <w:sz w:val="24"/>
          <w:szCs w:val="24"/>
        </w:rPr>
        <w:t xml:space="preserve"> All </w:t>
      </w:r>
      <w:r w:rsidR="00755241">
        <w:rPr>
          <w:rFonts w:ascii="Arial" w:hAnsi="Arial"/>
          <w:b/>
          <w:sz w:val="24"/>
          <w:szCs w:val="24"/>
        </w:rPr>
        <w:t xml:space="preserve">three deposits </w:t>
      </w:r>
      <w:r w:rsidR="005F3995">
        <w:rPr>
          <w:rFonts w:ascii="Arial" w:hAnsi="Arial"/>
          <w:b/>
          <w:sz w:val="24"/>
          <w:szCs w:val="24"/>
        </w:rPr>
        <w:t xml:space="preserve">lie on private land. </w:t>
      </w:r>
    </w:p>
    <w:p w14:paraId="57459DC2" w14:textId="77777777" w:rsidR="003230B0" w:rsidRPr="00D11A02" w:rsidRDefault="003230B0" w:rsidP="00F55868">
      <w:pPr>
        <w:spacing w:after="0" w:line="240" w:lineRule="auto"/>
        <w:rPr>
          <w:rFonts w:ascii="Arial" w:hAnsi="Arial"/>
          <w:b/>
          <w:sz w:val="24"/>
          <w:szCs w:val="24"/>
        </w:rPr>
      </w:pPr>
    </w:p>
    <w:p w14:paraId="25A16F41" w14:textId="6178C5DA" w:rsidR="00C51A87" w:rsidRPr="00D11A02" w:rsidRDefault="00C51A87" w:rsidP="00F55868">
      <w:pPr>
        <w:spacing w:after="0" w:line="240" w:lineRule="auto"/>
        <w:rPr>
          <w:rFonts w:ascii="Arial" w:hAnsi="Arial"/>
          <w:b/>
          <w:sz w:val="24"/>
          <w:szCs w:val="24"/>
        </w:rPr>
      </w:pPr>
      <w:r w:rsidRPr="00D11A02">
        <w:rPr>
          <w:rFonts w:ascii="Arial" w:hAnsi="Arial"/>
          <w:b/>
          <w:sz w:val="24"/>
          <w:szCs w:val="24"/>
        </w:rPr>
        <w:t xml:space="preserve">While the largest of the three bodies of mineralization </w:t>
      </w:r>
      <w:r w:rsidR="005F3995">
        <w:rPr>
          <w:rFonts w:ascii="Arial" w:hAnsi="Arial"/>
          <w:b/>
          <w:sz w:val="24"/>
          <w:szCs w:val="24"/>
        </w:rPr>
        <w:t>is the Santa Cruz deposit, the three</w:t>
      </w:r>
      <w:r w:rsidRPr="00D11A02">
        <w:rPr>
          <w:rFonts w:ascii="Arial" w:hAnsi="Arial"/>
          <w:b/>
          <w:sz w:val="24"/>
          <w:szCs w:val="24"/>
        </w:rPr>
        <w:t xml:space="preserve"> deposits may originally have been part of </w:t>
      </w:r>
      <w:r w:rsidR="00B17732">
        <w:rPr>
          <w:rFonts w:ascii="Arial" w:hAnsi="Arial"/>
          <w:b/>
          <w:sz w:val="24"/>
          <w:szCs w:val="24"/>
        </w:rPr>
        <w:t>one or more</w:t>
      </w:r>
      <w:r w:rsidRPr="00D11A02">
        <w:rPr>
          <w:rFonts w:ascii="Arial" w:hAnsi="Arial"/>
          <w:b/>
          <w:sz w:val="24"/>
          <w:szCs w:val="24"/>
        </w:rPr>
        <w:t xml:space="preserve"> Laramide-age porphyry copper system</w:t>
      </w:r>
      <w:r w:rsidR="00B17732">
        <w:rPr>
          <w:rFonts w:ascii="Arial" w:hAnsi="Arial"/>
          <w:b/>
          <w:sz w:val="24"/>
          <w:szCs w:val="24"/>
        </w:rPr>
        <w:t>s</w:t>
      </w:r>
      <w:r w:rsidRPr="00D11A02">
        <w:rPr>
          <w:rFonts w:ascii="Arial" w:hAnsi="Arial"/>
          <w:b/>
          <w:sz w:val="24"/>
          <w:szCs w:val="24"/>
        </w:rPr>
        <w:t xml:space="preserve"> subsequently dismembered by Basin-and-Range extensional faulting.</w:t>
      </w:r>
    </w:p>
    <w:p w14:paraId="79C72736" w14:textId="780EEE4D" w:rsidR="00FD3CA7" w:rsidRPr="00D11A02" w:rsidRDefault="00FD3CA7">
      <w:pPr>
        <w:spacing w:after="0" w:line="240" w:lineRule="auto"/>
        <w:rPr>
          <w:rFonts w:ascii="Arial" w:hAnsi="Arial"/>
          <w:b/>
          <w:sz w:val="24"/>
          <w:szCs w:val="24"/>
        </w:rPr>
      </w:pPr>
      <w:r w:rsidRPr="00D11A02">
        <w:rPr>
          <w:rFonts w:ascii="Arial" w:hAnsi="Arial"/>
          <w:b/>
          <w:sz w:val="24"/>
          <w:szCs w:val="24"/>
        </w:rPr>
        <w:br w:type="page"/>
      </w:r>
    </w:p>
    <w:p w14:paraId="7DAAD3D6" w14:textId="36247DCF" w:rsidR="00C51A87" w:rsidRDefault="00C51A87" w:rsidP="00137080">
      <w:pPr>
        <w:spacing w:after="0" w:line="240" w:lineRule="auto"/>
        <w:rPr>
          <w:rFonts w:ascii="Arial" w:hAnsi="Arial"/>
          <w:b/>
          <w:sz w:val="24"/>
          <w:szCs w:val="24"/>
        </w:rPr>
      </w:pPr>
      <w:r w:rsidRPr="00D11A02">
        <w:rPr>
          <w:rFonts w:ascii="Arial" w:hAnsi="Arial"/>
          <w:b/>
          <w:sz w:val="26"/>
          <w:szCs w:val="26"/>
        </w:rPr>
        <w:lastRenderedPageBreak/>
        <w:t>Santa Cruz is the largest mineralized zone in the cluster.</w:t>
      </w:r>
      <w:r w:rsidR="00137080" w:rsidRPr="00D11A02" w:rsidDel="00137080">
        <w:rPr>
          <w:rFonts w:ascii="Arial" w:hAnsi="Arial"/>
          <w:b/>
          <w:sz w:val="26"/>
          <w:szCs w:val="26"/>
        </w:rPr>
        <w:t xml:space="preserve"> </w:t>
      </w:r>
    </w:p>
    <w:p w14:paraId="30FB2DF7" w14:textId="77777777" w:rsidR="004D7445" w:rsidRPr="00D11A02" w:rsidRDefault="004D7445" w:rsidP="00137080">
      <w:pPr>
        <w:spacing w:after="0" w:line="240" w:lineRule="auto"/>
        <w:rPr>
          <w:rFonts w:ascii="Arial" w:hAnsi="Arial"/>
          <w:bCs/>
          <w:sz w:val="24"/>
          <w:szCs w:val="24"/>
        </w:rPr>
      </w:pPr>
    </w:p>
    <w:p w14:paraId="1D8DBDBE" w14:textId="49C99BC0" w:rsidR="00C51A87" w:rsidRDefault="009204C9" w:rsidP="00C51A87">
      <w:pPr>
        <w:spacing w:after="0" w:line="240" w:lineRule="auto"/>
        <w:rPr>
          <w:rFonts w:ascii="Arial" w:hAnsi="Arial"/>
          <w:bCs/>
          <w:sz w:val="24"/>
          <w:szCs w:val="24"/>
        </w:rPr>
      </w:pPr>
      <w:r>
        <w:rPr>
          <w:rFonts w:ascii="Arial" w:hAnsi="Arial"/>
          <w:bCs/>
          <w:noProof/>
          <w:sz w:val="24"/>
          <w:szCs w:val="24"/>
        </w:rPr>
        <w:drawing>
          <wp:inline distT="0" distB="0" distL="0" distR="0" wp14:anchorId="79BFBF71" wp14:editId="068F7D61">
            <wp:extent cx="6400800" cy="4076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00800" cy="4076700"/>
                    </a:xfrm>
                    <a:prstGeom prst="rect">
                      <a:avLst/>
                    </a:prstGeom>
                    <a:noFill/>
                    <a:ln>
                      <a:noFill/>
                    </a:ln>
                  </pic:spPr>
                </pic:pic>
              </a:graphicData>
            </a:graphic>
          </wp:inline>
        </w:drawing>
      </w:r>
    </w:p>
    <w:p w14:paraId="67E21421" w14:textId="77777777" w:rsidR="00237ADA" w:rsidRPr="00D11A02" w:rsidRDefault="00237ADA" w:rsidP="00C51A87">
      <w:pPr>
        <w:spacing w:after="0" w:line="240" w:lineRule="auto"/>
        <w:rPr>
          <w:rFonts w:ascii="Arial" w:hAnsi="Arial"/>
          <w:bCs/>
          <w:sz w:val="24"/>
          <w:szCs w:val="24"/>
        </w:rPr>
      </w:pPr>
    </w:p>
    <w:p w14:paraId="432C79B5" w14:textId="04292C65" w:rsidR="00401ED5" w:rsidRPr="00D11A02" w:rsidRDefault="00401ED5" w:rsidP="00F55868">
      <w:pPr>
        <w:spacing w:after="0" w:line="240" w:lineRule="auto"/>
        <w:rPr>
          <w:rFonts w:ascii="Arial" w:hAnsi="Arial"/>
          <w:b/>
          <w:sz w:val="24"/>
          <w:szCs w:val="24"/>
        </w:rPr>
      </w:pPr>
      <w:r w:rsidRPr="00D11A02">
        <w:rPr>
          <w:rFonts w:ascii="Arial" w:hAnsi="Arial"/>
          <w:b/>
          <w:sz w:val="24"/>
          <w:szCs w:val="24"/>
        </w:rPr>
        <w:t xml:space="preserve">During this post-mineral faulting, the Santa Cruz deposit experienced significant supergene copper enrichment. This is a geological process </w:t>
      </w:r>
      <w:r w:rsidR="00C03A23">
        <w:rPr>
          <w:rFonts w:ascii="Arial" w:hAnsi="Arial"/>
          <w:b/>
          <w:sz w:val="24"/>
          <w:szCs w:val="24"/>
        </w:rPr>
        <w:t>in which</w:t>
      </w:r>
      <w:r w:rsidRPr="00D11A02">
        <w:rPr>
          <w:rFonts w:ascii="Arial" w:hAnsi="Arial"/>
          <w:b/>
          <w:sz w:val="24"/>
          <w:szCs w:val="24"/>
        </w:rPr>
        <w:t xml:space="preserve"> copper </w:t>
      </w:r>
      <w:r w:rsidR="00CC0C18">
        <w:rPr>
          <w:rFonts w:ascii="Arial" w:hAnsi="Arial"/>
          <w:b/>
          <w:sz w:val="24"/>
          <w:szCs w:val="24"/>
        </w:rPr>
        <w:t xml:space="preserve">in a deposit </w:t>
      </w:r>
      <w:r w:rsidRPr="00D11A02">
        <w:rPr>
          <w:rFonts w:ascii="Arial" w:hAnsi="Arial"/>
          <w:b/>
          <w:sz w:val="24"/>
          <w:szCs w:val="24"/>
        </w:rPr>
        <w:t xml:space="preserve">is moved </w:t>
      </w:r>
      <w:r w:rsidR="00CC0C18">
        <w:rPr>
          <w:rFonts w:ascii="Arial" w:hAnsi="Arial"/>
          <w:b/>
          <w:sz w:val="24"/>
          <w:szCs w:val="24"/>
        </w:rPr>
        <w:t>by</w:t>
      </w:r>
      <w:r w:rsidRPr="00D11A02">
        <w:rPr>
          <w:rFonts w:ascii="Arial" w:hAnsi="Arial"/>
          <w:b/>
          <w:sz w:val="24"/>
          <w:szCs w:val="24"/>
        </w:rPr>
        <w:t xml:space="preserve"> groundwater from its original site of formation and </w:t>
      </w:r>
      <w:r w:rsidR="00D67266">
        <w:rPr>
          <w:rFonts w:ascii="Arial" w:hAnsi="Arial"/>
          <w:b/>
          <w:sz w:val="24"/>
          <w:szCs w:val="24"/>
        </w:rPr>
        <w:t xml:space="preserve">is </w:t>
      </w:r>
      <w:r w:rsidRPr="00D11A02">
        <w:rPr>
          <w:rFonts w:ascii="Arial" w:hAnsi="Arial"/>
          <w:b/>
          <w:sz w:val="24"/>
          <w:szCs w:val="24"/>
        </w:rPr>
        <w:t>then redeposited into much higher-grade accumulations.</w:t>
      </w:r>
      <w:r w:rsidR="00CC0C18">
        <w:rPr>
          <w:rFonts w:ascii="Arial" w:hAnsi="Arial"/>
          <w:b/>
          <w:sz w:val="24"/>
          <w:szCs w:val="24"/>
        </w:rPr>
        <w:t xml:space="preserve"> </w:t>
      </w:r>
      <w:r w:rsidR="00D67266">
        <w:rPr>
          <w:rFonts w:ascii="Arial" w:hAnsi="Arial"/>
          <w:b/>
          <w:sz w:val="24"/>
          <w:szCs w:val="24"/>
        </w:rPr>
        <w:t xml:space="preserve">At Santa Cruz, these accumulations include the </w:t>
      </w:r>
      <w:r w:rsidRPr="00D11A02">
        <w:rPr>
          <w:rFonts w:ascii="Arial" w:hAnsi="Arial"/>
          <w:b/>
          <w:sz w:val="24"/>
          <w:szCs w:val="24"/>
        </w:rPr>
        <w:t xml:space="preserve">oxide minerals chrysocolla and atacamite, and the copper-rich sulfide mineral chalcocite. In other Arizona copper mines, </w:t>
      </w:r>
      <w:r w:rsidRPr="002A333D">
        <w:rPr>
          <w:rFonts w:ascii="Arial" w:hAnsi="Arial"/>
          <w:b/>
          <w:color w:val="E0251B"/>
          <w:sz w:val="24"/>
          <w:szCs w:val="24"/>
        </w:rPr>
        <w:t>these minerals are amenable to copper recovery using solution extraction and electro-winning methods (SX/EW)</w:t>
      </w:r>
      <w:r w:rsidR="00137297" w:rsidRPr="002A333D">
        <w:rPr>
          <w:rFonts w:ascii="Arial" w:hAnsi="Arial"/>
          <w:b/>
          <w:color w:val="E0251B"/>
          <w:sz w:val="24"/>
          <w:szCs w:val="24"/>
        </w:rPr>
        <w:t xml:space="preserve"> to produce copper cathode on site</w:t>
      </w:r>
      <w:r w:rsidRPr="002A333D">
        <w:rPr>
          <w:rFonts w:ascii="Arial" w:hAnsi="Arial"/>
          <w:b/>
          <w:color w:val="E0251B"/>
          <w:sz w:val="24"/>
          <w:szCs w:val="24"/>
        </w:rPr>
        <w:t>.</w:t>
      </w:r>
    </w:p>
    <w:p w14:paraId="1C45FABC" w14:textId="77777777" w:rsidR="00401ED5" w:rsidRPr="00D11A02" w:rsidRDefault="00401ED5" w:rsidP="00401ED5">
      <w:pPr>
        <w:spacing w:after="0" w:line="240" w:lineRule="auto"/>
        <w:rPr>
          <w:rFonts w:ascii="Arial" w:hAnsi="Arial"/>
          <w:b/>
          <w:sz w:val="24"/>
          <w:szCs w:val="24"/>
        </w:rPr>
      </w:pPr>
    </w:p>
    <w:p w14:paraId="0D9512CB" w14:textId="19A673A9" w:rsidR="003230B0" w:rsidRPr="00D11A02" w:rsidRDefault="00401ED5" w:rsidP="00FD3CA7">
      <w:pPr>
        <w:spacing w:after="0" w:line="240" w:lineRule="auto"/>
        <w:jc w:val="center"/>
        <w:rPr>
          <w:rFonts w:ascii="Arial" w:hAnsi="Arial"/>
          <w:bCs/>
          <w:sz w:val="24"/>
          <w:szCs w:val="24"/>
        </w:rPr>
      </w:pPr>
      <w:r w:rsidRPr="00F55868">
        <w:rPr>
          <w:rFonts w:ascii="Arial" w:hAnsi="Arial"/>
          <w:noProof/>
          <w:sz w:val="24"/>
          <w:lang w:val="en-CA"/>
        </w:rPr>
        <w:lastRenderedPageBreak/>
        <w:drawing>
          <wp:inline distT="0" distB="0" distL="0" distR="0" wp14:anchorId="4F1580F9" wp14:editId="1844AAEE">
            <wp:extent cx="5486400" cy="36591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659182"/>
                    </a:xfrm>
                    <a:prstGeom prst="rect">
                      <a:avLst/>
                    </a:prstGeom>
                    <a:noFill/>
                  </pic:spPr>
                </pic:pic>
              </a:graphicData>
            </a:graphic>
          </wp:inline>
        </w:drawing>
      </w:r>
    </w:p>
    <w:p w14:paraId="21AFD238" w14:textId="77777777" w:rsidR="00FD3CA7" w:rsidRPr="00D11A02" w:rsidRDefault="00FD3CA7" w:rsidP="00FD3CA7">
      <w:pPr>
        <w:spacing w:after="0" w:line="240" w:lineRule="auto"/>
        <w:jc w:val="center"/>
        <w:rPr>
          <w:rFonts w:ascii="Arial" w:hAnsi="Arial"/>
          <w:bCs/>
          <w:sz w:val="24"/>
          <w:szCs w:val="24"/>
        </w:rPr>
      </w:pPr>
    </w:p>
    <w:p w14:paraId="2AFEB6EF" w14:textId="47A2CD04" w:rsidR="003230B0" w:rsidRPr="00D11A02" w:rsidRDefault="00FD3CA7" w:rsidP="00FD3CA7">
      <w:pPr>
        <w:spacing w:after="0" w:line="240" w:lineRule="auto"/>
        <w:jc w:val="center"/>
        <w:rPr>
          <w:rFonts w:ascii="Arial" w:hAnsi="Arial"/>
          <w:bCs/>
          <w:sz w:val="24"/>
          <w:szCs w:val="24"/>
        </w:rPr>
      </w:pPr>
      <w:r w:rsidRPr="00F55868">
        <w:rPr>
          <w:rFonts w:ascii="Arial" w:hAnsi="Arial"/>
          <w:noProof/>
          <w:sz w:val="24"/>
          <w:lang w:val="en-CA"/>
        </w:rPr>
        <w:drawing>
          <wp:inline distT="0" distB="0" distL="0" distR="0" wp14:anchorId="3682F506" wp14:editId="6C7F6F9B">
            <wp:extent cx="5485952" cy="4017819"/>
            <wp:effectExtent l="0" t="0" r="63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4662" cy="4024198"/>
                    </a:xfrm>
                    <a:prstGeom prst="rect">
                      <a:avLst/>
                    </a:prstGeom>
                    <a:noFill/>
                  </pic:spPr>
                </pic:pic>
              </a:graphicData>
            </a:graphic>
          </wp:inline>
        </w:drawing>
      </w:r>
    </w:p>
    <w:p w14:paraId="27F21825" w14:textId="77777777" w:rsidR="003230B0" w:rsidRPr="00D11A02" w:rsidRDefault="003230B0" w:rsidP="00C51A87">
      <w:pPr>
        <w:spacing w:after="0" w:line="240" w:lineRule="auto"/>
        <w:rPr>
          <w:rFonts w:ascii="Arial" w:hAnsi="Arial"/>
          <w:bCs/>
          <w:sz w:val="24"/>
          <w:szCs w:val="24"/>
        </w:rPr>
      </w:pPr>
    </w:p>
    <w:p w14:paraId="78587CF3" w14:textId="6CB66CD8" w:rsidR="00FD3CA7" w:rsidRDefault="00FD3CA7" w:rsidP="00C704F5">
      <w:pPr>
        <w:spacing w:after="0" w:line="240" w:lineRule="auto"/>
        <w:jc w:val="center"/>
        <w:rPr>
          <w:rFonts w:ascii="Arial" w:hAnsi="Arial"/>
          <w:bCs/>
          <w:sz w:val="24"/>
          <w:szCs w:val="24"/>
        </w:rPr>
      </w:pPr>
      <w:r w:rsidRPr="00F55868">
        <w:rPr>
          <w:rFonts w:ascii="Arial" w:hAnsi="Arial"/>
          <w:noProof/>
          <w:sz w:val="24"/>
          <w:lang w:val="en-CA"/>
        </w:rPr>
        <w:drawing>
          <wp:inline distT="0" distB="0" distL="0" distR="0" wp14:anchorId="3FCCA56E" wp14:editId="6A99FD72">
            <wp:extent cx="5485985" cy="4301837"/>
            <wp:effectExtent l="0" t="0" r="63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5985" cy="4301837"/>
                    </a:xfrm>
                    <a:prstGeom prst="rect">
                      <a:avLst/>
                    </a:prstGeom>
                    <a:noFill/>
                  </pic:spPr>
                </pic:pic>
              </a:graphicData>
            </a:graphic>
          </wp:inline>
        </w:drawing>
      </w:r>
    </w:p>
    <w:p w14:paraId="3066205B" w14:textId="77777777" w:rsidR="006A0695" w:rsidRPr="00D11A02" w:rsidRDefault="006A0695" w:rsidP="00810970">
      <w:pPr>
        <w:spacing w:after="0" w:line="240" w:lineRule="auto"/>
        <w:rPr>
          <w:rFonts w:ascii="Arial" w:hAnsi="Arial"/>
          <w:bCs/>
          <w:sz w:val="24"/>
          <w:szCs w:val="24"/>
        </w:rPr>
      </w:pPr>
    </w:p>
    <w:p w14:paraId="560D4317" w14:textId="613DEB4F" w:rsidR="00F52A06" w:rsidRPr="00C704F5" w:rsidRDefault="00F52A06" w:rsidP="00F55868">
      <w:pPr>
        <w:spacing w:after="0" w:line="240" w:lineRule="auto"/>
        <w:rPr>
          <w:rFonts w:ascii="Arial" w:hAnsi="Arial"/>
          <w:b/>
          <w:color w:val="E0251B"/>
          <w:sz w:val="28"/>
          <w:szCs w:val="28"/>
        </w:rPr>
      </w:pPr>
      <w:r w:rsidRPr="00C704F5">
        <w:rPr>
          <w:rFonts w:ascii="Arial" w:hAnsi="Arial"/>
          <w:b/>
          <w:color w:val="E0251B"/>
          <w:sz w:val="28"/>
          <w:szCs w:val="28"/>
        </w:rPr>
        <w:t xml:space="preserve">The Santa Cruz </w:t>
      </w:r>
      <w:r w:rsidR="003A1EF3">
        <w:rPr>
          <w:rFonts w:ascii="Arial" w:hAnsi="Arial"/>
          <w:b/>
          <w:color w:val="E0251B"/>
          <w:sz w:val="28"/>
          <w:szCs w:val="28"/>
        </w:rPr>
        <w:t>d</w:t>
      </w:r>
      <w:r w:rsidRPr="00C704F5">
        <w:rPr>
          <w:rFonts w:ascii="Arial" w:hAnsi="Arial"/>
          <w:b/>
          <w:color w:val="E0251B"/>
          <w:sz w:val="28"/>
          <w:szCs w:val="28"/>
        </w:rPr>
        <w:t xml:space="preserve">eposit is the second-largest undeveloped copper deposit in </w:t>
      </w:r>
      <w:r w:rsidR="006637A6">
        <w:rPr>
          <w:rFonts w:ascii="Arial" w:hAnsi="Arial"/>
          <w:b/>
          <w:color w:val="E0251B"/>
          <w:sz w:val="28"/>
          <w:szCs w:val="28"/>
        </w:rPr>
        <w:t xml:space="preserve">America’s </w:t>
      </w:r>
      <w:r w:rsidRPr="00C704F5">
        <w:rPr>
          <w:rFonts w:ascii="Arial" w:hAnsi="Arial"/>
          <w:b/>
          <w:color w:val="E0251B"/>
          <w:sz w:val="28"/>
          <w:szCs w:val="28"/>
        </w:rPr>
        <w:t>Lower 48</w:t>
      </w:r>
      <w:r w:rsidR="00D11596" w:rsidRPr="00C704F5">
        <w:rPr>
          <w:rFonts w:ascii="Arial" w:hAnsi="Arial"/>
          <w:b/>
          <w:color w:val="E0251B"/>
          <w:sz w:val="28"/>
          <w:szCs w:val="28"/>
        </w:rPr>
        <w:t xml:space="preserve"> States</w:t>
      </w:r>
      <w:r w:rsidRPr="00C704F5">
        <w:rPr>
          <w:rFonts w:ascii="Arial" w:hAnsi="Arial"/>
          <w:b/>
          <w:color w:val="E0251B"/>
          <w:sz w:val="28"/>
          <w:szCs w:val="28"/>
        </w:rPr>
        <w:t xml:space="preserve">, </w:t>
      </w:r>
      <w:r w:rsidR="006637A6">
        <w:rPr>
          <w:rFonts w:ascii="Arial" w:hAnsi="Arial"/>
          <w:b/>
          <w:color w:val="E0251B"/>
          <w:sz w:val="28"/>
          <w:szCs w:val="28"/>
        </w:rPr>
        <w:t xml:space="preserve">and </w:t>
      </w:r>
      <w:r w:rsidRPr="00C704F5">
        <w:rPr>
          <w:rFonts w:ascii="Arial" w:hAnsi="Arial"/>
          <w:b/>
          <w:color w:val="E0251B"/>
          <w:sz w:val="28"/>
          <w:szCs w:val="28"/>
        </w:rPr>
        <w:t>the largest on private land</w:t>
      </w:r>
    </w:p>
    <w:p w14:paraId="74D7DF3B" w14:textId="77777777" w:rsidR="00F52A06" w:rsidRPr="00D11A02" w:rsidRDefault="00F52A06" w:rsidP="00810970">
      <w:pPr>
        <w:spacing w:after="0" w:line="240" w:lineRule="auto"/>
        <w:rPr>
          <w:rFonts w:ascii="Arial" w:hAnsi="Arial"/>
          <w:bCs/>
          <w:sz w:val="24"/>
          <w:szCs w:val="24"/>
        </w:rPr>
      </w:pPr>
    </w:p>
    <w:p w14:paraId="068182C2" w14:textId="6397AB53" w:rsidR="00F52A06" w:rsidRPr="00D11A02" w:rsidRDefault="00F52A06" w:rsidP="00F55868">
      <w:pPr>
        <w:spacing w:after="0" w:line="240" w:lineRule="auto"/>
        <w:rPr>
          <w:rFonts w:ascii="Arial" w:hAnsi="Arial"/>
          <w:b/>
          <w:sz w:val="24"/>
          <w:szCs w:val="24"/>
        </w:rPr>
      </w:pPr>
      <w:r w:rsidRPr="00D11A02">
        <w:rPr>
          <w:rFonts w:ascii="Arial" w:hAnsi="Arial"/>
          <w:b/>
          <w:sz w:val="24"/>
          <w:szCs w:val="24"/>
        </w:rPr>
        <w:t xml:space="preserve">After acquiring the Santa Cruz Project in </w:t>
      </w:r>
      <w:r w:rsidR="005278A5">
        <w:rPr>
          <w:rFonts w:ascii="Arial" w:hAnsi="Arial"/>
          <w:b/>
          <w:sz w:val="24"/>
          <w:szCs w:val="24"/>
        </w:rPr>
        <w:t>mid</w:t>
      </w:r>
      <w:r w:rsidR="005278A5" w:rsidRPr="00D11A02">
        <w:rPr>
          <w:rFonts w:ascii="Arial" w:hAnsi="Arial"/>
          <w:b/>
          <w:sz w:val="24"/>
          <w:szCs w:val="24"/>
        </w:rPr>
        <w:t>-2021</w:t>
      </w:r>
      <w:r w:rsidRPr="00D11A02">
        <w:rPr>
          <w:rFonts w:ascii="Arial" w:hAnsi="Arial"/>
          <w:b/>
          <w:sz w:val="24"/>
          <w:szCs w:val="24"/>
        </w:rPr>
        <w:t>, Ivanhoe Electric completed a four-hole diamond drilling program totaling 3,601 meters on the Santa Cruz deposit to verify widths and grades of mineralization reported in the approximately 100,000 meters of historical drilling.</w:t>
      </w:r>
    </w:p>
    <w:p w14:paraId="36DA7099" w14:textId="30AEA2A2" w:rsidR="00F52A06" w:rsidRPr="00D11A02" w:rsidRDefault="00F52A06" w:rsidP="00F55868">
      <w:pPr>
        <w:spacing w:after="0" w:line="240" w:lineRule="auto"/>
        <w:rPr>
          <w:rFonts w:ascii="Arial" w:hAnsi="Arial"/>
          <w:b/>
          <w:sz w:val="24"/>
          <w:szCs w:val="24"/>
        </w:rPr>
      </w:pPr>
    </w:p>
    <w:p w14:paraId="3253AEC6" w14:textId="072FA626" w:rsidR="00A03CCF" w:rsidRPr="00D11A02" w:rsidRDefault="00A03CCF" w:rsidP="00F55868">
      <w:pPr>
        <w:spacing w:after="0" w:line="240" w:lineRule="auto"/>
        <w:rPr>
          <w:rFonts w:ascii="Arial" w:hAnsi="Arial"/>
          <w:b/>
          <w:sz w:val="24"/>
          <w:szCs w:val="24"/>
        </w:rPr>
      </w:pPr>
      <w:r w:rsidRPr="00D11A02">
        <w:rPr>
          <w:rFonts w:ascii="Arial" w:hAnsi="Arial"/>
          <w:b/>
          <w:sz w:val="24"/>
          <w:szCs w:val="24"/>
        </w:rPr>
        <w:t xml:space="preserve">All verification samples from within the deposit were assayed using sequential copper analysis for total copper, acid soluble </w:t>
      </w:r>
      <w:r w:rsidR="006A0695">
        <w:rPr>
          <w:rFonts w:ascii="Arial" w:hAnsi="Arial"/>
          <w:b/>
          <w:sz w:val="24"/>
          <w:szCs w:val="24"/>
        </w:rPr>
        <w:t xml:space="preserve">copper </w:t>
      </w:r>
      <w:r w:rsidRPr="00D11A02">
        <w:rPr>
          <w:rFonts w:ascii="Arial" w:hAnsi="Arial"/>
          <w:b/>
          <w:sz w:val="24"/>
          <w:szCs w:val="24"/>
        </w:rPr>
        <w:t xml:space="preserve">and cyanide soluble </w:t>
      </w:r>
      <w:r w:rsidR="006A0695">
        <w:rPr>
          <w:rFonts w:ascii="Arial" w:hAnsi="Arial"/>
          <w:b/>
          <w:sz w:val="24"/>
          <w:szCs w:val="24"/>
        </w:rPr>
        <w:t xml:space="preserve">copper, </w:t>
      </w:r>
      <w:r w:rsidRPr="00D11A02">
        <w:rPr>
          <w:rFonts w:ascii="Arial" w:hAnsi="Arial"/>
          <w:b/>
          <w:sz w:val="24"/>
          <w:szCs w:val="24"/>
        </w:rPr>
        <w:t>and were also analyzed for molybdenum</w:t>
      </w:r>
      <w:r w:rsidR="00755241">
        <w:rPr>
          <w:rFonts w:ascii="Arial" w:hAnsi="Arial"/>
          <w:b/>
          <w:sz w:val="24"/>
          <w:szCs w:val="24"/>
        </w:rPr>
        <w:t xml:space="preserve"> and other elements</w:t>
      </w:r>
      <w:r w:rsidRPr="00D11A02">
        <w:rPr>
          <w:rFonts w:ascii="Arial" w:hAnsi="Arial"/>
          <w:b/>
          <w:sz w:val="24"/>
          <w:szCs w:val="24"/>
        </w:rPr>
        <w:t>. Geology and alteration logs were also compared to the historical holes.</w:t>
      </w:r>
    </w:p>
    <w:p w14:paraId="1B605D01" w14:textId="77777777" w:rsidR="00C923A2" w:rsidRDefault="00C923A2" w:rsidP="00F55868">
      <w:pPr>
        <w:spacing w:after="0" w:line="240" w:lineRule="auto"/>
        <w:rPr>
          <w:rFonts w:ascii="Arial" w:hAnsi="Arial"/>
          <w:bCs/>
          <w:sz w:val="24"/>
          <w:szCs w:val="24"/>
        </w:rPr>
      </w:pPr>
    </w:p>
    <w:p w14:paraId="651176EB" w14:textId="07752698" w:rsidR="00A03CCF" w:rsidRPr="00C923A2" w:rsidRDefault="00A03CCF" w:rsidP="00F55868">
      <w:pPr>
        <w:spacing w:after="0" w:line="240" w:lineRule="auto"/>
        <w:rPr>
          <w:rFonts w:ascii="Arial" w:hAnsi="Arial"/>
          <w:bCs/>
          <w:sz w:val="24"/>
          <w:szCs w:val="24"/>
        </w:rPr>
      </w:pPr>
      <w:r w:rsidRPr="00D11A02">
        <w:rPr>
          <w:rFonts w:ascii="Arial" w:hAnsi="Arial"/>
          <w:b/>
          <w:sz w:val="24"/>
          <w:szCs w:val="24"/>
        </w:rPr>
        <w:t xml:space="preserve">Based on the excellent </w:t>
      </w:r>
      <w:r w:rsidR="006A0695">
        <w:rPr>
          <w:rFonts w:ascii="Arial" w:hAnsi="Arial"/>
          <w:b/>
          <w:sz w:val="24"/>
          <w:szCs w:val="24"/>
        </w:rPr>
        <w:t>correlation</w:t>
      </w:r>
      <w:r w:rsidRPr="00D11A02">
        <w:rPr>
          <w:rFonts w:ascii="Arial" w:hAnsi="Arial"/>
          <w:b/>
          <w:sz w:val="24"/>
          <w:szCs w:val="24"/>
        </w:rPr>
        <w:t xml:space="preserve"> between the verification and historical holes, independent consulting engineers Nordmin Engineering completed a </w:t>
      </w:r>
      <w:r w:rsidR="003F6A0B">
        <w:rPr>
          <w:rFonts w:ascii="Arial" w:hAnsi="Arial"/>
          <w:b/>
          <w:sz w:val="24"/>
          <w:szCs w:val="24"/>
        </w:rPr>
        <w:t xml:space="preserve">current </w:t>
      </w:r>
      <w:r w:rsidRPr="00D11A02">
        <w:rPr>
          <w:rFonts w:ascii="Arial" w:hAnsi="Arial"/>
          <w:b/>
          <w:sz w:val="24"/>
          <w:szCs w:val="24"/>
        </w:rPr>
        <w:t>Mineral Resource Estimate for the Santa Cruz deposit in accordance with the definitions for Mineral Resources in S-K 1300 and using the 2014 CIM Definition Standard for Mineral Resources and Mineral Reserves and 2019 CIM Best Practice Guidelines</w:t>
      </w:r>
      <w:r w:rsidR="00C61F40">
        <w:rPr>
          <w:rFonts w:ascii="Arial" w:hAnsi="Arial"/>
          <w:b/>
          <w:sz w:val="24"/>
          <w:szCs w:val="24"/>
        </w:rPr>
        <w:t>.</w:t>
      </w:r>
    </w:p>
    <w:p w14:paraId="0E29BB0E" w14:textId="0CDE416F" w:rsidR="00F0675B" w:rsidRPr="00D11A02" w:rsidRDefault="00F0675B" w:rsidP="00F0675B">
      <w:pPr>
        <w:spacing w:after="0" w:line="240" w:lineRule="auto"/>
        <w:rPr>
          <w:rFonts w:ascii="Arial" w:hAnsi="Arial"/>
          <w:b/>
          <w:sz w:val="26"/>
          <w:szCs w:val="26"/>
        </w:rPr>
      </w:pPr>
      <w:r w:rsidRPr="00D11A02">
        <w:rPr>
          <w:rFonts w:ascii="Arial" w:hAnsi="Arial"/>
          <w:b/>
          <w:sz w:val="26"/>
          <w:szCs w:val="26"/>
        </w:rPr>
        <w:lastRenderedPageBreak/>
        <w:t xml:space="preserve">Table </w:t>
      </w:r>
      <w:r w:rsidR="006A0695">
        <w:rPr>
          <w:rFonts w:ascii="Arial" w:hAnsi="Arial"/>
          <w:b/>
          <w:sz w:val="26"/>
          <w:szCs w:val="26"/>
        </w:rPr>
        <w:t>1</w:t>
      </w:r>
      <w:r w:rsidRPr="00D11A02">
        <w:rPr>
          <w:rFonts w:ascii="Arial" w:hAnsi="Arial"/>
          <w:b/>
          <w:sz w:val="26"/>
          <w:szCs w:val="26"/>
        </w:rPr>
        <w:t xml:space="preserve">: Santa Cruz </w:t>
      </w:r>
      <w:r w:rsidR="006A0695">
        <w:rPr>
          <w:rFonts w:ascii="Arial" w:hAnsi="Arial"/>
          <w:b/>
          <w:sz w:val="26"/>
          <w:szCs w:val="26"/>
        </w:rPr>
        <w:t>Deposit</w:t>
      </w:r>
      <w:r w:rsidRPr="00D11A02">
        <w:rPr>
          <w:rFonts w:ascii="Arial" w:hAnsi="Arial"/>
          <w:b/>
          <w:sz w:val="26"/>
          <w:szCs w:val="26"/>
        </w:rPr>
        <w:t xml:space="preserve"> Mineral Resource Estimate shown with sensitivity to various cut-off grades.</w:t>
      </w:r>
    </w:p>
    <w:tbl>
      <w:tblPr>
        <w:tblW w:w="9953" w:type="dxa"/>
        <w:tblBorders>
          <w:top w:val="single" w:sz="8" w:space="0" w:color="B4C6E7" w:themeColor="accent1" w:themeTint="66"/>
          <w:left w:val="single" w:sz="8" w:space="0" w:color="B4C6E7" w:themeColor="accent1" w:themeTint="66"/>
          <w:bottom w:val="single" w:sz="8" w:space="0" w:color="B4C6E7" w:themeColor="accent1" w:themeTint="66"/>
          <w:right w:val="single" w:sz="8" w:space="0" w:color="B4C6E7" w:themeColor="accent1" w:themeTint="66"/>
          <w:insideH w:val="single" w:sz="8" w:space="0" w:color="B4C6E7" w:themeColor="accent1" w:themeTint="66"/>
          <w:insideV w:val="single" w:sz="8" w:space="0" w:color="B4C6E7" w:themeColor="accent1" w:themeTint="66"/>
        </w:tblBorders>
        <w:tblCellMar>
          <w:left w:w="0" w:type="dxa"/>
          <w:right w:w="0" w:type="dxa"/>
        </w:tblCellMar>
        <w:tblLook w:val="0600" w:firstRow="0" w:lastRow="0" w:firstColumn="0" w:lastColumn="0" w:noHBand="1" w:noVBand="1"/>
      </w:tblPr>
      <w:tblGrid>
        <w:gridCol w:w="1425"/>
        <w:gridCol w:w="1419"/>
        <w:gridCol w:w="1420"/>
        <w:gridCol w:w="1418"/>
        <w:gridCol w:w="1421"/>
        <w:gridCol w:w="1425"/>
        <w:gridCol w:w="1425"/>
      </w:tblGrid>
      <w:tr w:rsidR="00FA20FC" w:rsidRPr="00D11A02" w14:paraId="47E1687F" w14:textId="77777777" w:rsidTr="00F0675B">
        <w:trPr>
          <w:trHeight w:val="730"/>
        </w:trPr>
        <w:tc>
          <w:tcPr>
            <w:tcW w:w="1425" w:type="dxa"/>
            <w:shd w:val="clear" w:color="auto" w:fill="auto"/>
            <w:tcMar>
              <w:top w:w="15" w:type="dxa"/>
              <w:left w:w="15" w:type="dxa"/>
              <w:bottom w:w="144" w:type="dxa"/>
              <w:right w:w="15" w:type="dxa"/>
            </w:tcMar>
            <w:vAlign w:val="bottom"/>
            <w:hideMark/>
          </w:tcPr>
          <w:p w14:paraId="71F9C8BF" w14:textId="77777777" w:rsidR="00F0675B" w:rsidRPr="00D11A02" w:rsidRDefault="00F0675B" w:rsidP="000B5BEE">
            <w:pPr>
              <w:spacing w:after="0" w:line="240" w:lineRule="auto"/>
              <w:rPr>
                <w:rFonts w:ascii="Arial" w:hAnsi="Arial" w:cs="Arial"/>
                <w:bCs/>
                <w:color w:val="E0251B"/>
              </w:rPr>
            </w:pPr>
            <w:r w:rsidRPr="00D11A02">
              <w:rPr>
                <w:rFonts w:ascii="Arial" w:hAnsi="Arial" w:cs="Arial"/>
                <w:b/>
                <w:bCs/>
                <w:color w:val="E0251B"/>
              </w:rPr>
              <w:t>Category</w:t>
            </w:r>
          </w:p>
        </w:tc>
        <w:tc>
          <w:tcPr>
            <w:tcW w:w="1419" w:type="dxa"/>
            <w:shd w:val="clear" w:color="auto" w:fill="auto"/>
            <w:tcMar>
              <w:top w:w="15" w:type="dxa"/>
              <w:left w:w="15" w:type="dxa"/>
              <w:bottom w:w="144" w:type="dxa"/>
              <w:right w:w="15" w:type="dxa"/>
            </w:tcMar>
            <w:vAlign w:val="bottom"/>
            <w:hideMark/>
          </w:tcPr>
          <w:p w14:paraId="16973E3A" w14:textId="585C9B96" w:rsidR="00F0675B" w:rsidRPr="00D11A02" w:rsidRDefault="00FA20FC" w:rsidP="005E7ABF">
            <w:pPr>
              <w:spacing w:after="0" w:line="240" w:lineRule="auto"/>
              <w:jc w:val="center"/>
              <w:rPr>
                <w:rFonts w:ascii="Arial" w:hAnsi="Arial" w:cs="Arial"/>
                <w:bCs/>
                <w:color w:val="E0251B"/>
              </w:rPr>
            </w:pPr>
            <w:r>
              <w:rPr>
                <w:rFonts w:ascii="Arial" w:hAnsi="Arial" w:cs="Arial"/>
                <w:b/>
                <w:bCs/>
                <w:color w:val="E0251B"/>
              </w:rPr>
              <w:t>Copper</w:t>
            </w:r>
            <w:r>
              <w:rPr>
                <w:rFonts w:ascii="Arial" w:hAnsi="Arial" w:cs="Arial"/>
                <w:b/>
                <w:bCs/>
                <w:color w:val="E0251B"/>
              </w:rPr>
              <w:br/>
              <w:t>Cut-Off Grade</w:t>
            </w:r>
            <w:r>
              <w:rPr>
                <w:rFonts w:ascii="Arial" w:hAnsi="Arial" w:cs="Arial"/>
                <w:b/>
                <w:bCs/>
                <w:color w:val="E0251B"/>
              </w:rPr>
              <w:br/>
            </w:r>
            <w:r w:rsidR="00F0675B" w:rsidRPr="00D11A02">
              <w:rPr>
                <w:rFonts w:ascii="Arial" w:hAnsi="Arial" w:cs="Arial"/>
                <w:b/>
                <w:bCs/>
                <w:color w:val="E0251B"/>
              </w:rPr>
              <w:t>(%)</w:t>
            </w:r>
          </w:p>
        </w:tc>
        <w:tc>
          <w:tcPr>
            <w:tcW w:w="1420" w:type="dxa"/>
            <w:shd w:val="clear" w:color="auto" w:fill="auto"/>
            <w:tcMar>
              <w:top w:w="15" w:type="dxa"/>
              <w:left w:w="15" w:type="dxa"/>
              <w:bottom w:w="144" w:type="dxa"/>
              <w:right w:w="15" w:type="dxa"/>
            </w:tcMar>
            <w:vAlign w:val="bottom"/>
            <w:hideMark/>
          </w:tcPr>
          <w:p w14:paraId="433AEDD8" w14:textId="1963875D" w:rsidR="00F0675B" w:rsidRPr="00F55868" w:rsidRDefault="00FA20FC" w:rsidP="005E7ABF">
            <w:pPr>
              <w:spacing w:after="0" w:line="240" w:lineRule="auto"/>
              <w:jc w:val="center"/>
              <w:rPr>
                <w:rFonts w:ascii="Arial" w:hAnsi="Arial" w:cs="Arial"/>
                <w:bCs/>
                <w:color w:val="E0251B"/>
              </w:rPr>
            </w:pPr>
            <w:r>
              <w:rPr>
                <w:rFonts w:ascii="Arial" w:hAnsi="Arial" w:cs="Arial"/>
                <w:b/>
                <w:bCs/>
                <w:color w:val="E0251B"/>
              </w:rPr>
              <w:t>Tonnage</w:t>
            </w:r>
            <w:r w:rsidR="00F0675B" w:rsidRPr="00F55868">
              <w:rPr>
                <w:rFonts w:ascii="Arial" w:hAnsi="Arial" w:cs="Arial"/>
                <w:b/>
                <w:bCs/>
                <w:color w:val="E0251B"/>
              </w:rPr>
              <w:br/>
              <w:t>(</w:t>
            </w:r>
            <w:r>
              <w:rPr>
                <w:rFonts w:ascii="Arial" w:hAnsi="Arial" w:cs="Arial"/>
                <w:b/>
                <w:bCs/>
                <w:color w:val="E0251B"/>
              </w:rPr>
              <w:t>millions of tonnes</w:t>
            </w:r>
            <w:r w:rsidR="00F0675B" w:rsidRPr="00F55868">
              <w:rPr>
                <w:rFonts w:ascii="Arial" w:hAnsi="Arial" w:cs="Arial"/>
                <w:b/>
                <w:bCs/>
                <w:color w:val="E0251B"/>
              </w:rPr>
              <w:t>)</w:t>
            </w:r>
          </w:p>
        </w:tc>
        <w:tc>
          <w:tcPr>
            <w:tcW w:w="1418" w:type="dxa"/>
            <w:shd w:val="clear" w:color="auto" w:fill="auto"/>
            <w:tcMar>
              <w:top w:w="15" w:type="dxa"/>
              <w:left w:w="15" w:type="dxa"/>
              <w:bottom w:w="144" w:type="dxa"/>
              <w:right w:w="15" w:type="dxa"/>
            </w:tcMar>
            <w:vAlign w:val="bottom"/>
            <w:hideMark/>
          </w:tcPr>
          <w:p w14:paraId="46C348D7" w14:textId="1A4CC125" w:rsidR="00F0675B" w:rsidRPr="00D11A02" w:rsidRDefault="00F0675B" w:rsidP="005E7ABF">
            <w:pPr>
              <w:spacing w:after="0" w:line="240" w:lineRule="auto"/>
              <w:jc w:val="center"/>
              <w:rPr>
                <w:rFonts w:ascii="Arial" w:hAnsi="Arial" w:cs="Arial"/>
                <w:bCs/>
                <w:color w:val="E0251B"/>
              </w:rPr>
            </w:pPr>
            <w:r w:rsidRPr="00D11A02">
              <w:rPr>
                <w:rFonts w:ascii="Arial" w:hAnsi="Arial" w:cs="Arial"/>
                <w:b/>
                <w:bCs/>
                <w:color w:val="E0251B"/>
              </w:rPr>
              <w:t>Total</w:t>
            </w:r>
            <w:r w:rsidRPr="00D11A02">
              <w:rPr>
                <w:rFonts w:ascii="Arial" w:hAnsi="Arial" w:cs="Arial"/>
                <w:b/>
                <w:bCs/>
                <w:color w:val="E0251B"/>
              </w:rPr>
              <w:br/>
            </w:r>
            <w:r w:rsidR="00FA20FC">
              <w:rPr>
                <w:rFonts w:ascii="Arial" w:hAnsi="Arial" w:cs="Arial"/>
                <w:b/>
                <w:bCs/>
                <w:color w:val="E0251B"/>
              </w:rPr>
              <w:t>Copper Grade</w:t>
            </w:r>
            <w:r w:rsidR="00FA20FC">
              <w:rPr>
                <w:rFonts w:ascii="Arial" w:hAnsi="Arial" w:cs="Arial"/>
                <w:b/>
                <w:bCs/>
                <w:color w:val="E0251B"/>
              </w:rPr>
              <w:br/>
            </w:r>
            <w:r w:rsidRPr="00D11A02">
              <w:rPr>
                <w:rFonts w:ascii="Arial" w:hAnsi="Arial" w:cs="Arial"/>
                <w:b/>
                <w:bCs/>
                <w:color w:val="E0251B"/>
              </w:rPr>
              <w:t>(%)</w:t>
            </w:r>
          </w:p>
        </w:tc>
        <w:tc>
          <w:tcPr>
            <w:tcW w:w="1421" w:type="dxa"/>
            <w:shd w:val="clear" w:color="auto" w:fill="auto"/>
            <w:tcMar>
              <w:top w:w="15" w:type="dxa"/>
              <w:left w:w="15" w:type="dxa"/>
              <w:bottom w:w="144" w:type="dxa"/>
              <w:right w:w="15" w:type="dxa"/>
            </w:tcMar>
            <w:vAlign w:val="bottom"/>
            <w:hideMark/>
          </w:tcPr>
          <w:p w14:paraId="4CCE43FC" w14:textId="78FE12EC" w:rsidR="00F0675B" w:rsidRPr="00D11A02" w:rsidRDefault="00F0675B" w:rsidP="005E7ABF">
            <w:pPr>
              <w:spacing w:after="0" w:line="240" w:lineRule="auto"/>
              <w:jc w:val="center"/>
              <w:rPr>
                <w:rFonts w:ascii="Arial" w:hAnsi="Arial" w:cs="Arial"/>
                <w:bCs/>
                <w:color w:val="E0251B"/>
              </w:rPr>
            </w:pPr>
            <w:r w:rsidRPr="00D11A02">
              <w:rPr>
                <w:rFonts w:ascii="Arial" w:hAnsi="Arial" w:cs="Arial"/>
                <w:b/>
                <w:bCs/>
                <w:color w:val="E0251B"/>
              </w:rPr>
              <w:t>Acid</w:t>
            </w:r>
            <w:r w:rsidRPr="00D11A02">
              <w:rPr>
                <w:rFonts w:ascii="Arial" w:hAnsi="Arial" w:cs="Arial"/>
                <w:b/>
                <w:bCs/>
                <w:color w:val="E0251B"/>
              </w:rPr>
              <w:br/>
              <w:t>Soluble</w:t>
            </w:r>
            <w:r w:rsidRPr="00D11A02">
              <w:rPr>
                <w:rFonts w:ascii="Arial" w:hAnsi="Arial" w:cs="Arial"/>
                <w:b/>
                <w:bCs/>
                <w:color w:val="E0251B"/>
              </w:rPr>
              <w:br/>
              <w:t>C</w:t>
            </w:r>
            <w:r w:rsidR="00C90B4D">
              <w:rPr>
                <w:rFonts w:ascii="Arial" w:hAnsi="Arial" w:cs="Arial"/>
                <w:b/>
                <w:bCs/>
                <w:color w:val="E0251B"/>
              </w:rPr>
              <w:t>opper Grade</w:t>
            </w:r>
            <w:r w:rsidR="00FA20FC">
              <w:rPr>
                <w:rFonts w:ascii="Arial" w:hAnsi="Arial" w:cs="Arial"/>
                <w:b/>
                <w:bCs/>
                <w:color w:val="E0251B"/>
              </w:rPr>
              <w:br/>
            </w:r>
            <w:r w:rsidRPr="00D11A02">
              <w:rPr>
                <w:rFonts w:ascii="Arial" w:hAnsi="Arial" w:cs="Arial"/>
                <w:b/>
                <w:bCs/>
                <w:color w:val="E0251B"/>
              </w:rPr>
              <w:t>(%)</w:t>
            </w:r>
          </w:p>
        </w:tc>
        <w:tc>
          <w:tcPr>
            <w:tcW w:w="1425" w:type="dxa"/>
            <w:shd w:val="clear" w:color="auto" w:fill="auto"/>
            <w:tcMar>
              <w:top w:w="15" w:type="dxa"/>
              <w:left w:w="15" w:type="dxa"/>
              <w:bottom w:w="144" w:type="dxa"/>
              <w:right w:w="15" w:type="dxa"/>
            </w:tcMar>
            <w:vAlign w:val="bottom"/>
            <w:hideMark/>
          </w:tcPr>
          <w:p w14:paraId="2012F942" w14:textId="2B3F8963" w:rsidR="00F0675B" w:rsidRPr="00D11A02" w:rsidRDefault="00F0675B" w:rsidP="005E7ABF">
            <w:pPr>
              <w:spacing w:after="0" w:line="240" w:lineRule="auto"/>
              <w:jc w:val="center"/>
              <w:rPr>
                <w:rFonts w:ascii="Arial" w:hAnsi="Arial" w:cs="Arial"/>
                <w:bCs/>
                <w:color w:val="E0251B"/>
              </w:rPr>
            </w:pPr>
            <w:r w:rsidRPr="00D11A02">
              <w:rPr>
                <w:rFonts w:ascii="Arial" w:hAnsi="Arial" w:cs="Arial"/>
                <w:b/>
                <w:bCs/>
                <w:color w:val="E0251B"/>
              </w:rPr>
              <w:t>Total</w:t>
            </w:r>
            <w:r w:rsidRPr="00D11A02">
              <w:rPr>
                <w:rFonts w:ascii="Arial" w:hAnsi="Arial" w:cs="Arial"/>
                <w:b/>
                <w:bCs/>
                <w:color w:val="E0251B"/>
              </w:rPr>
              <w:br/>
              <w:t>Contained</w:t>
            </w:r>
            <w:r w:rsidRPr="00D11A02">
              <w:rPr>
                <w:rFonts w:ascii="Arial" w:hAnsi="Arial" w:cs="Arial"/>
                <w:b/>
                <w:bCs/>
                <w:color w:val="E0251B"/>
              </w:rPr>
              <w:br/>
            </w:r>
            <w:r w:rsidR="00FA20FC">
              <w:rPr>
                <w:rFonts w:ascii="Arial" w:hAnsi="Arial" w:cs="Arial"/>
                <w:b/>
                <w:bCs/>
                <w:color w:val="E0251B"/>
              </w:rPr>
              <w:t>Copper</w:t>
            </w:r>
            <w:r w:rsidR="00FA20FC">
              <w:rPr>
                <w:rFonts w:ascii="Arial" w:hAnsi="Arial" w:cs="Arial"/>
                <w:b/>
                <w:bCs/>
                <w:color w:val="E0251B"/>
              </w:rPr>
              <w:br/>
            </w:r>
            <w:r w:rsidRPr="00D11A02">
              <w:rPr>
                <w:rFonts w:ascii="Arial" w:hAnsi="Arial" w:cs="Arial"/>
                <w:b/>
                <w:bCs/>
                <w:color w:val="E0251B"/>
              </w:rPr>
              <w:t>(</w:t>
            </w:r>
            <w:r w:rsidR="00FA20FC">
              <w:rPr>
                <w:rFonts w:ascii="Arial" w:hAnsi="Arial" w:cs="Arial"/>
                <w:b/>
                <w:bCs/>
                <w:color w:val="E0251B"/>
              </w:rPr>
              <w:t>millions of tonnes</w:t>
            </w:r>
            <w:r w:rsidRPr="00D11A02">
              <w:rPr>
                <w:rFonts w:ascii="Arial" w:hAnsi="Arial" w:cs="Arial"/>
                <w:b/>
                <w:bCs/>
                <w:color w:val="E0251B"/>
              </w:rPr>
              <w:t>)</w:t>
            </w:r>
          </w:p>
        </w:tc>
        <w:tc>
          <w:tcPr>
            <w:tcW w:w="1425" w:type="dxa"/>
            <w:shd w:val="clear" w:color="auto" w:fill="auto"/>
            <w:tcMar>
              <w:top w:w="15" w:type="dxa"/>
              <w:left w:w="15" w:type="dxa"/>
              <w:bottom w:w="144" w:type="dxa"/>
              <w:right w:w="15" w:type="dxa"/>
            </w:tcMar>
            <w:vAlign w:val="bottom"/>
            <w:hideMark/>
          </w:tcPr>
          <w:p w14:paraId="12F1233C" w14:textId="2022A3B7" w:rsidR="00F0675B" w:rsidRPr="00D11A02" w:rsidRDefault="00F0675B" w:rsidP="005E7ABF">
            <w:pPr>
              <w:spacing w:after="0" w:line="240" w:lineRule="auto"/>
              <w:jc w:val="center"/>
              <w:rPr>
                <w:rFonts w:ascii="Arial" w:hAnsi="Arial" w:cs="Arial"/>
                <w:bCs/>
                <w:color w:val="E0251B"/>
              </w:rPr>
            </w:pPr>
            <w:r w:rsidRPr="00D11A02">
              <w:rPr>
                <w:rFonts w:ascii="Arial" w:hAnsi="Arial" w:cs="Arial"/>
                <w:b/>
                <w:bCs/>
                <w:color w:val="E0251B"/>
              </w:rPr>
              <w:t>Total</w:t>
            </w:r>
            <w:r w:rsidRPr="00D11A02">
              <w:rPr>
                <w:rFonts w:ascii="Arial" w:hAnsi="Arial" w:cs="Arial"/>
                <w:b/>
                <w:bCs/>
                <w:color w:val="E0251B"/>
              </w:rPr>
              <w:br/>
              <w:t>Contained</w:t>
            </w:r>
            <w:r w:rsidRPr="00D11A02">
              <w:rPr>
                <w:rFonts w:ascii="Arial" w:hAnsi="Arial" w:cs="Arial"/>
                <w:b/>
                <w:bCs/>
                <w:color w:val="E0251B"/>
              </w:rPr>
              <w:br/>
              <w:t>Acid Soluble</w:t>
            </w:r>
            <w:r w:rsidRPr="00D11A02">
              <w:rPr>
                <w:rFonts w:ascii="Arial" w:hAnsi="Arial" w:cs="Arial"/>
                <w:b/>
                <w:bCs/>
                <w:color w:val="E0251B"/>
              </w:rPr>
              <w:br/>
            </w:r>
            <w:r w:rsidR="00FA20FC">
              <w:rPr>
                <w:rFonts w:ascii="Arial" w:hAnsi="Arial" w:cs="Arial"/>
                <w:b/>
                <w:bCs/>
                <w:color w:val="E0251B"/>
              </w:rPr>
              <w:t>Copper</w:t>
            </w:r>
            <w:r w:rsidR="00FA20FC">
              <w:rPr>
                <w:rFonts w:ascii="Arial" w:hAnsi="Arial" w:cs="Arial"/>
                <w:b/>
                <w:bCs/>
                <w:color w:val="E0251B"/>
              </w:rPr>
              <w:br/>
            </w:r>
            <w:r w:rsidRPr="00D11A02">
              <w:rPr>
                <w:rFonts w:ascii="Arial" w:hAnsi="Arial" w:cs="Arial"/>
                <w:b/>
                <w:bCs/>
                <w:color w:val="E0251B"/>
              </w:rPr>
              <w:t>(</w:t>
            </w:r>
            <w:r w:rsidR="00FA20FC">
              <w:rPr>
                <w:rFonts w:ascii="Arial" w:hAnsi="Arial" w:cs="Arial"/>
                <w:b/>
                <w:bCs/>
                <w:color w:val="E0251B"/>
              </w:rPr>
              <w:t>millions of tonnes</w:t>
            </w:r>
            <w:r w:rsidRPr="00D11A02">
              <w:rPr>
                <w:rFonts w:ascii="Arial" w:hAnsi="Arial" w:cs="Arial"/>
                <w:b/>
                <w:bCs/>
                <w:color w:val="E0251B"/>
              </w:rPr>
              <w:t>)</w:t>
            </w:r>
          </w:p>
        </w:tc>
      </w:tr>
      <w:tr w:rsidR="00FA20FC" w:rsidRPr="00D11A02" w14:paraId="563519D7" w14:textId="77777777" w:rsidTr="000B5BEE">
        <w:trPr>
          <w:trHeight w:val="280"/>
        </w:trPr>
        <w:tc>
          <w:tcPr>
            <w:tcW w:w="1425" w:type="dxa"/>
            <w:vMerge w:val="restart"/>
            <w:shd w:val="clear" w:color="auto" w:fill="auto"/>
            <w:tcMar>
              <w:top w:w="15" w:type="dxa"/>
              <w:left w:w="15" w:type="dxa"/>
              <w:bottom w:w="0" w:type="dxa"/>
              <w:right w:w="15" w:type="dxa"/>
            </w:tcMar>
            <w:vAlign w:val="center"/>
            <w:hideMark/>
          </w:tcPr>
          <w:p w14:paraId="2D72B6B7" w14:textId="77777777" w:rsidR="00F0675B" w:rsidRPr="00D11A02" w:rsidRDefault="00F0675B" w:rsidP="000B5BEE">
            <w:pPr>
              <w:spacing w:after="0" w:line="240" w:lineRule="auto"/>
              <w:rPr>
                <w:rFonts w:ascii="Arial" w:hAnsi="Arial" w:cs="Arial"/>
                <w:bCs/>
              </w:rPr>
            </w:pPr>
            <w:r w:rsidRPr="00D11A02">
              <w:rPr>
                <w:rFonts w:ascii="Arial" w:hAnsi="Arial" w:cs="Arial"/>
                <w:b/>
                <w:bCs/>
              </w:rPr>
              <w:t>Indicated</w:t>
            </w:r>
          </w:p>
        </w:tc>
        <w:tc>
          <w:tcPr>
            <w:tcW w:w="1419" w:type="dxa"/>
            <w:shd w:val="clear" w:color="auto" w:fill="auto"/>
            <w:tcMar>
              <w:top w:w="15" w:type="dxa"/>
              <w:left w:w="15" w:type="dxa"/>
              <w:bottom w:w="0" w:type="dxa"/>
              <w:right w:w="15" w:type="dxa"/>
            </w:tcMar>
            <w:vAlign w:val="center"/>
            <w:hideMark/>
          </w:tcPr>
          <w:p w14:paraId="24D85782"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2.0</w:t>
            </w:r>
          </w:p>
        </w:tc>
        <w:tc>
          <w:tcPr>
            <w:tcW w:w="1420" w:type="dxa"/>
            <w:shd w:val="clear" w:color="auto" w:fill="auto"/>
            <w:tcMar>
              <w:top w:w="15" w:type="dxa"/>
              <w:left w:w="15" w:type="dxa"/>
              <w:bottom w:w="0" w:type="dxa"/>
              <w:right w:w="15" w:type="dxa"/>
            </w:tcMar>
            <w:vAlign w:val="center"/>
            <w:hideMark/>
          </w:tcPr>
          <w:p w14:paraId="1AA1E594"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22.9</w:t>
            </w:r>
          </w:p>
        </w:tc>
        <w:tc>
          <w:tcPr>
            <w:tcW w:w="1418" w:type="dxa"/>
            <w:shd w:val="clear" w:color="auto" w:fill="auto"/>
            <w:tcMar>
              <w:top w:w="15" w:type="dxa"/>
              <w:left w:w="15" w:type="dxa"/>
              <w:bottom w:w="0" w:type="dxa"/>
              <w:right w:w="15" w:type="dxa"/>
            </w:tcMar>
            <w:vAlign w:val="center"/>
            <w:hideMark/>
          </w:tcPr>
          <w:p w14:paraId="4FF11FF4"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2.58</w:t>
            </w:r>
          </w:p>
        </w:tc>
        <w:tc>
          <w:tcPr>
            <w:tcW w:w="1421" w:type="dxa"/>
            <w:shd w:val="clear" w:color="auto" w:fill="auto"/>
            <w:tcMar>
              <w:top w:w="15" w:type="dxa"/>
              <w:left w:w="15" w:type="dxa"/>
              <w:bottom w:w="0" w:type="dxa"/>
              <w:right w:w="15" w:type="dxa"/>
            </w:tcMar>
            <w:vAlign w:val="center"/>
            <w:hideMark/>
          </w:tcPr>
          <w:p w14:paraId="7063AE87"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1.37</w:t>
            </w:r>
          </w:p>
        </w:tc>
        <w:tc>
          <w:tcPr>
            <w:tcW w:w="1425" w:type="dxa"/>
            <w:shd w:val="clear" w:color="auto" w:fill="auto"/>
            <w:tcMar>
              <w:top w:w="15" w:type="dxa"/>
              <w:left w:w="15" w:type="dxa"/>
              <w:bottom w:w="0" w:type="dxa"/>
              <w:right w:w="15" w:type="dxa"/>
            </w:tcMar>
            <w:vAlign w:val="center"/>
            <w:hideMark/>
          </w:tcPr>
          <w:p w14:paraId="3B2B578C"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0.6</w:t>
            </w:r>
          </w:p>
        </w:tc>
        <w:tc>
          <w:tcPr>
            <w:tcW w:w="1425" w:type="dxa"/>
            <w:shd w:val="clear" w:color="auto" w:fill="auto"/>
            <w:tcMar>
              <w:top w:w="15" w:type="dxa"/>
              <w:left w:w="15" w:type="dxa"/>
              <w:bottom w:w="0" w:type="dxa"/>
              <w:right w:w="15" w:type="dxa"/>
            </w:tcMar>
            <w:vAlign w:val="center"/>
            <w:hideMark/>
          </w:tcPr>
          <w:p w14:paraId="08CA5BEC"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0.3</w:t>
            </w:r>
          </w:p>
        </w:tc>
      </w:tr>
      <w:tr w:rsidR="00FA20FC" w:rsidRPr="00D11A02" w14:paraId="5D004600" w14:textId="77777777" w:rsidTr="000B5BEE">
        <w:trPr>
          <w:trHeight w:val="280"/>
        </w:trPr>
        <w:tc>
          <w:tcPr>
            <w:tcW w:w="0" w:type="auto"/>
            <w:vMerge/>
            <w:vAlign w:val="center"/>
            <w:hideMark/>
          </w:tcPr>
          <w:p w14:paraId="4E2D3448" w14:textId="77777777" w:rsidR="00F0675B" w:rsidRPr="00D11A02" w:rsidRDefault="00F0675B" w:rsidP="000B5BEE">
            <w:pPr>
              <w:spacing w:after="0" w:line="240" w:lineRule="auto"/>
              <w:rPr>
                <w:rFonts w:ascii="Arial" w:hAnsi="Arial" w:cs="Arial"/>
                <w:bCs/>
              </w:rPr>
            </w:pPr>
          </w:p>
        </w:tc>
        <w:tc>
          <w:tcPr>
            <w:tcW w:w="1419" w:type="dxa"/>
            <w:shd w:val="clear" w:color="auto" w:fill="E7E6E6" w:themeFill="background2"/>
            <w:tcMar>
              <w:top w:w="15" w:type="dxa"/>
              <w:left w:w="15" w:type="dxa"/>
              <w:bottom w:w="0" w:type="dxa"/>
              <w:right w:w="15" w:type="dxa"/>
            </w:tcMar>
            <w:vAlign w:val="center"/>
            <w:hideMark/>
          </w:tcPr>
          <w:p w14:paraId="373B8C91" w14:textId="77777777" w:rsidR="00F0675B" w:rsidRPr="00D11A02" w:rsidRDefault="00F0675B" w:rsidP="005E7ABF">
            <w:pPr>
              <w:spacing w:after="0" w:line="240" w:lineRule="auto"/>
              <w:ind w:right="495"/>
              <w:jc w:val="right"/>
              <w:rPr>
                <w:rFonts w:ascii="Arial" w:hAnsi="Arial" w:cs="Arial"/>
                <w:b/>
                <w:bCs/>
              </w:rPr>
            </w:pPr>
            <w:r w:rsidRPr="00D11A02">
              <w:rPr>
                <w:rFonts w:ascii="Arial" w:hAnsi="Arial" w:cs="Arial"/>
                <w:b/>
                <w:bCs/>
              </w:rPr>
              <w:t>1.0</w:t>
            </w:r>
          </w:p>
        </w:tc>
        <w:tc>
          <w:tcPr>
            <w:tcW w:w="1420" w:type="dxa"/>
            <w:shd w:val="clear" w:color="auto" w:fill="E7E6E6" w:themeFill="background2"/>
            <w:tcMar>
              <w:top w:w="15" w:type="dxa"/>
              <w:left w:w="15" w:type="dxa"/>
              <w:bottom w:w="0" w:type="dxa"/>
              <w:right w:w="15" w:type="dxa"/>
            </w:tcMar>
            <w:vAlign w:val="center"/>
            <w:hideMark/>
          </w:tcPr>
          <w:p w14:paraId="028C6B6C" w14:textId="77777777" w:rsidR="00F0675B" w:rsidRPr="00D11A02" w:rsidRDefault="00F0675B" w:rsidP="005E7ABF">
            <w:pPr>
              <w:spacing w:after="0" w:line="240" w:lineRule="auto"/>
              <w:ind w:right="495"/>
              <w:jc w:val="right"/>
              <w:rPr>
                <w:rFonts w:ascii="Arial" w:hAnsi="Arial" w:cs="Arial"/>
                <w:b/>
                <w:bCs/>
              </w:rPr>
            </w:pPr>
            <w:r w:rsidRPr="00D11A02">
              <w:rPr>
                <w:rFonts w:ascii="Arial" w:hAnsi="Arial" w:cs="Arial"/>
                <w:b/>
                <w:bCs/>
              </w:rPr>
              <w:t>83.4</w:t>
            </w:r>
          </w:p>
        </w:tc>
        <w:tc>
          <w:tcPr>
            <w:tcW w:w="1418" w:type="dxa"/>
            <w:shd w:val="clear" w:color="auto" w:fill="E7E6E6" w:themeFill="background2"/>
            <w:tcMar>
              <w:top w:w="15" w:type="dxa"/>
              <w:left w:w="15" w:type="dxa"/>
              <w:bottom w:w="0" w:type="dxa"/>
              <w:right w:w="15" w:type="dxa"/>
            </w:tcMar>
            <w:vAlign w:val="center"/>
            <w:hideMark/>
          </w:tcPr>
          <w:p w14:paraId="6001D26B" w14:textId="77777777" w:rsidR="00F0675B" w:rsidRPr="00D11A02" w:rsidRDefault="00F0675B" w:rsidP="005E7ABF">
            <w:pPr>
              <w:spacing w:after="0" w:line="240" w:lineRule="auto"/>
              <w:ind w:right="495"/>
              <w:jc w:val="right"/>
              <w:rPr>
                <w:rFonts w:ascii="Arial" w:hAnsi="Arial" w:cs="Arial"/>
                <w:b/>
                <w:bCs/>
              </w:rPr>
            </w:pPr>
            <w:r w:rsidRPr="00D11A02">
              <w:rPr>
                <w:rFonts w:ascii="Arial" w:hAnsi="Arial" w:cs="Arial"/>
                <w:b/>
                <w:bCs/>
              </w:rPr>
              <w:t>1.69</w:t>
            </w:r>
          </w:p>
        </w:tc>
        <w:tc>
          <w:tcPr>
            <w:tcW w:w="1421" w:type="dxa"/>
            <w:shd w:val="clear" w:color="auto" w:fill="E7E6E6" w:themeFill="background2"/>
            <w:tcMar>
              <w:top w:w="15" w:type="dxa"/>
              <w:left w:w="15" w:type="dxa"/>
              <w:bottom w:w="0" w:type="dxa"/>
              <w:right w:w="15" w:type="dxa"/>
            </w:tcMar>
            <w:vAlign w:val="center"/>
            <w:hideMark/>
          </w:tcPr>
          <w:p w14:paraId="40F237F4" w14:textId="77777777" w:rsidR="00F0675B" w:rsidRPr="00D11A02" w:rsidRDefault="00F0675B" w:rsidP="005E7ABF">
            <w:pPr>
              <w:spacing w:after="0" w:line="240" w:lineRule="auto"/>
              <w:ind w:right="495"/>
              <w:jc w:val="right"/>
              <w:rPr>
                <w:rFonts w:ascii="Arial" w:hAnsi="Arial" w:cs="Arial"/>
                <w:b/>
                <w:bCs/>
              </w:rPr>
            </w:pPr>
            <w:r w:rsidRPr="00D11A02">
              <w:rPr>
                <w:rFonts w:ascii="Arial" w:hAnsi="Arial" w:cs="Arial"/>
                <w:b/>
                <w:bCs/>
              </w:rPr>
              <w:t>0.68</w:t>
            </w:r>
          </w:p>
        </w:tc>
        <w:tc>
          <w:tcPr>
            <w:tcW w:w="1425" w:type="dxa"/>
            <w:shd w:val="clear" w:color="auto" w:fill="E7E6E6" w:themeFill="background2"/>
            <w:tcMar>
              <w:top w:w="15" w:type="dxa"/>
              <w:left w:w="15" w:type="dxa"/>
              <w:bottom w:w="0" w:type="dxa"/>
              <w:right w:w="15" w:type="dxa"/>
            </w:tcMar>
            <w:vAlign w:val="center"/>
            <w:hideMark/>
          </w:tcPr>
          <w:p w14:paraId="27595765" w14:textId="77777777" w:rsidR="00F0675B" w:rsidRPr="00D11A02" w:rsidRDefault="00F0675B" w:rsidP="005E7ABF">
            <w:pPr>
              <w:spacing w:after="0" w:line="240" w:lineRule="auto"/>
              <w:ind w:right="495"/>
              <w:jc w:val="right"/>
              <w:rPr>
                <w:rFonts w:ascii="Arial" w:hAnsi="Arial" w:cs="Arial"/>
                <w:b/>
                <w:bCs/>
              </w:rPr>
            </w:pPr>
            <w:r w:rsidRPr="00D11A02">
              <w:rPr>
                <w:rFonts w:ascii="Arial" w:hAnsi="Arial" w:cs="Arial"/>
                <w:b/>
                <w:bCs/>
              </w:rPr>
              <w:t>1.4</w:t>
            </w:r>
          </w:p>
        </w:tc>
        <w:tc>
          <w:tcPr>
            <w:tcW w:w="1425" w:type="dxa"/>
            <w:shd w:val="clear" w:color="auto" w:fill="E7E6E6" w:themeFill="background2"/>
            <w:tcMar>
              <w:top w:w="15" w:type="dxa"/>
              <w:left w:w="15" w:type="dxa"/>
              <w:bottom w:w="0" w:type="dxa"/>
              <w:right w:w="15" w:type="dxa"/>
            </w:tcMar>
            <w:vAlign w:val="center"/>
            <w:hideMark/>
          </w:tcPr>
          <w:p w14:paraId="297A89AC" w14:textId="77777777" w:rsidR="00F0675B" w:rsidRPr="00D11A02" w:rsidRDefault="00F0675B" w:rsidP="005E7ABF">
            <w:pPr>
              <w:spacing w:after="0" w:line="240" w:lineRule="auto"/>
              <w:ind w:right="495"/>
              <w:jc w:val="right"/>
              <w:rPr>
                <w:rFonts w:ascii="Arial" w:hAnsi="Arial" w:cs="Arial"/>
                <w:b/>
                <w:bCs/>
              </w:rPr>
            </w:pPr>
            <w:r w:rsidRPr="00D11A02">
              <w:rPr>
                <w:rFonts w:ascii="Arial" w:hAnsi="Arial" w:cs="Arial"/>
                <w:b/>
                <w:bCs/>
              </w:rPr>
              <w:t>0.6</w:t>
            </w:r>
          </w:p>
        </w:tc>
      </w:tr>
      <w:tr w:rsidR="00FA20FC" w:rsidRPr="00D11A02" w14:paraId="7D399B55" w14:textId="77777777" w:rsidTr="000B5BEE">
        <w:trPr>
          <w:trHeight w:val="280"/>
        </w:trPr>
        <w:tc>
          <w:tcPr>
            <w:tcW w:w="0" w:type="auto"/>
            <w:vMerge/>
            <w:vAlign w:val="center"/>
            <w:hideMark/>
          </w:tcPr>
          <w:p w14:paraId="6E8A68E1" w14:textId="77777777" w:rsidR="00F0675B" w:rsidRPr="00D11A02" w:rsidRDefault="00F0675B" w:rsidP="000B5BEE">
            <w:pPr>
              <w:spacing w:after="0" w:line="240" w:lineRule="auto"/>
              <w:rPr>
                <w:rFonts w:ascii="Arial" w:hAnsi="Arial" w:cs="Arial"/>
                <w:bCs/>
              </w:rPr>
            </w:pPr>
          </w:p>
        </w:tc>
        <w:tc>
          <w:tcPr>
            <w:tcW w:w="1419" w:type="dxa"/>
            <w:shd w:val="clear" w:color="auto" w:fill="auto"/>
            <w:tcMar>
              <w:top w:w="15" w:type="dxa"/>
              <w:left w:w="15" w:type="dxa"/>
              <w:bottom w:w="0" w:type="dxa"/>
              <w:right w:w="15" w:type="dxa"/>
            </w:tcMar>
            <w:vAlign w:val="center"/>
            <w:hideMark/>
          </w:tcPr>
          <w:p w14:paraId="4EE67BBE"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0.8</w:t>
            </w:r>
          </w:p>
        </w:tc>
        <w:tc>
          <w:tcPr>
            <w:tcW w:w="1420" w:type="dxa"/>
            <w:shd w:val="clear" w:color="auto" w:fill="auto"/>
            <w:tcMar>
              <w:top w:w="15" w:type="dxa"/>
              <w:left w:w="15" w:type="dxa"/>
              <w:bottom w:w="0" w:type="dxa"/>
              <w:right w:w="15" w:type="dxa"/>
            </w:tcMar>
            <w:vAlign w:val="center"/>
            <w:hideMark/>
          </w:tcPr>
          <w:p w14:paraId="7B261989"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117.2</w:t>
            </w:r>
          </w:p>
        </w:tc>
        <w:tc>
          <w:tcPr>
            <w:tcW w:w="1418" w:type="dxa"/>
            <w:shd w:val="clear" w:color="auto" w:fill="auto"/>
            <w:tcMar>
              <w:top w:w="15" w:type="dxa"/>
              <w:left w:w="15" w:type="dxa"/>
              <w:bottom w:w="0" w:type="dxa"/>
              <w:right w:w="15" w:type="dxa"/>
            </w:tcMar>
            <w:vAlign w:val="center"/>
            <w:hideMark/>
          </w:tcPr>
          <w:p w14:paraId="7FAEA416"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1.46</w:t>
            </w:r>
          </w:p>
        </w:tc>
        <w:tc>
          <w:tcPr>
            <w:tcW w:w="1421" w:type="dxa"/>
            <w:shd w:val="clear" w:color="auto" w:fill="auto"/>
            <w:tcMar>
              <w:top w:w="15" w:type="dxa"/>
              <w:left w:w="15" w:type="dxa"/>
              <w:bottom w:w="0" w:type="dxa"/>
              <w:right w:w="15" w:type="dxa"/>
            </w:tcMar>
            <w:vAlign w:val="center"/>
            <w:hideMark/>
          </w:tcPr>
          <w:p w14:paraId="69D9E1FE"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0.52</w:t>
            </w:r>
          </w:p>
        </w:tc>
        <w:tc>
          <w:tcPr>
            <w:tcW w:w="1425" w:type="dxa"/>
            <w:shd w:val="clear" w:color="auto" w:fill="auto"/>
            <w:tcMar>
              <w:top w:w="15" w:type="dxa"/>
              <w:left w:w="15" w:type="dxa"/>
              <w:bottom w:w="0" w:type="dxa"/>
              <w:right w:w="15" w:type="dxa"/>
            </w:tcMar>
            <w:vAlign w:val="center"/>
            <w:hideMark/>
          </w:tcPr>
          <w:p w14:paraId="66BFACCE"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1.7</w:t>
            </w:r>
          </w:p>
        </w:tc>
        <w:tc>
          <w:tcPr>
            <w:tcW w:w="1425" w:type="dxa"/>
            <w:shd w:val="clear" w:color="auto" w:fill="auto"/>
            <w:tcMar>
              <w:top w:w="15" w:type="dxa"/>
              <w:left w:w="15" w:type="dxa"/>
              <w:bottom w:w="0" w:type="dxa"/>
              <w:right w:w="15" w:type="dxa"/>
            </w:tcMar>
            <w:vAlign w:val="center"/>
            <w:hideMark/>
          </w:tcPr>
          <w:p w14:paraId="62554B60"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0.6</w:t>
            </w:r>
          </w:p>
        </w:tc>
      </w:tr>
      <w:tr w:rsidR="00FA20FC" w:rsidRPr="00D11A02" w14:paraId="0455C934" w14:textId="77777777" w:rsidTr="000B5BEE">
        <w:trPr>
          <w:trHeight w:val="280"/>
        </w:trPr>
        <w:tc>
          <w:tcPr>
            <w:tcW w:w="0" w:type="auto"/>
            <w:vMerge/>
            <w:vAlign w:val="center"/>
            <w:hideMark/>
          </w:tcPr>
          <w:p w14:paraId="2608F694" w14:textId="77777777" w:rsidR="00F0675B" w:rsidRPr="00D11A02" w:rsidRDefault="00F0675B" w:rsidP="000B5BEE">
            <w:pPr>
              <w:spacing w:after="0" w:line="240" w:lineRule="auto"/>
              <w:rPr>
                <w:rFonts w:ascii="Arial" w:hAnsi="Arial" w:cs="Arial"/>
                <w:bCs/>
              </w:rPr>
            </w:pPr>
          </w:p>
        </w:tc>
        <w:tc>
          <w:tcPr>
            <w:tcW w:w="1419" w:type="dxa"/>
            <w:shd w:val="clear" w:color="auto" w:fill="auto"/>
            <w:tcMar>
              <w:top w:w="15" w:type="dxa"/>
              <w:left w:w="15" w:type="dxa"/>
              <w:bottom w:w="0" w:type="dxa"/>
              <w:right w:w="15" w:type="dxa"/>
            </w:tcMar>
            <w:vAlign w:val="center"/>
            <w:hideMark/>
          </w:tcPr>
          <w:p w14:paraId="40E8586B"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0.5</w:t>
            </w:r>
          </w:p>
        </w:tc>
        <w:tc>
          <w:tcPr>
            <w:tcW w:w="1420" w:type="dxa"/>
            <w:shd w:val="clear" w:color="auto" w:fill="auto"/>
            <w:tcMar>
              <w:top w:w="15" w:type="dxa"/>
              <w:left w:w="15" w:type="dxa"/>
              <w:bottom w:w="0" w:type="dxa"/>
              <w:right w:w="15" w:type="dxa"/>
            </w:tcMar>
            <w:vAlign w:val="center"/>
            <w:hideMark/>
          </w:tcPr>
          <w:p w14:paraId="2C94D3BE"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219.1</w:t>
            </w:r>
          </w:p>
        </w:tc>
        <w:tc>
          <w:tcPr>
            <w:tcW w:w="1418" w:type="dxa"/>
            <w:shd w:val="clear" w:color="auto" w:fill="auto"/>
            <w:tcMar>
              <w:top w:w="15" w:type="dxa"/>
              <w:left w:w="15" w:type="dxa"/>
              <w:bottom w:w="0" w:type="dxa"/>
              <w:right w:w="15" w:type="dxa"/>
            </w:tcMar>
            <w:vAlign w:val="center"/>
            <w:hideMark/>
          </w:tcPr>
          <w:p w14:paraId="648BF5D0"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1.07</w:t>
            </w:r>
          </w:p>
        </w:tc>
        <w:tc>
          <w:tcPr>
            <w:tcW w:w="1421" w:type="dxa"/>
            <w:shd w:val="clear" w:color="auto" w:fill="auto"/>
            <w:tcMar>
              <w:top w:w="15" w:type="dxa"/>
              <w:left w:w="15" w:type="dxa"/>
              <w:bottom w:w="0" w:type="dxa"/>
              <w:right w:w="15" w:type="dxa"/>
            </w:tcMar>
            <w:vAlign w:val="center"/>
            <w:hideMark/>
          </w:tcPr>
          <w:p w14:paraId="68622BF0"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0.30</w:t>
            </w:r>
          </w:p>
        </w:tc>
        <w:tc>
          <w:tcPr>
            <w:tcW w:w="1425" w:type="dxa"/>
            <w:shd w:val="clear" w:color="auto" w:fill="auto"/>
            <w:tcMar>
              <w:top w:w="15" w:type="dxa"/>
              <w:left w:w="15" w:type="dxa"/>
              <w:bottom w:w="0" w:type="dxa"/>
              <w:right w:w="15" w:type="dxa"/>
            </w:tcMar>
            <w:vAlign w:val="center"/>
            <w:hideMark/>
          </w:tcPr>
          <w:p w14:paraId="193C8E4D"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2.4</w:t>
            </w:r>
          </w:p>
        </w:tc>
        <w:tc>
          <w:tcPr>
            <w:tcW w:w="1425" w:type="dxa"/>
            <w:shd w:val="clear" w:color="auto" w:fill="auto"/>
            <w:tcMar>
              <w:top w:w="15" w:type="dxa"/>
              <w:left w:w="15" w:type="dxa"/>
              <w:bottom w:w="0" w:type="dxa"/>
              <w:right w:w="15" w:type="dxa"/>
            </w:tcMar>
            <w:vAlign w:val="center"/>
            <w:hideMark/>
          </w:tcPr>
          <w:p w14:paraId="432BD9F8"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0.7</w:t>
            </w:r>
          </w:p>
        </w:tc>
      </w:tr>
      <w:tr w:rsidR="00FA20FC" w:rsidRPr="00D11A02" w14:paraId="76F45930" w14:textId="77777777" w:rsidTr="000B5BEE">
        <w:trPr>
          <w:trHeight w:val="280"/>
        </w:trPr>
        <w:tc>
          <w:tcPr>
            <w:tcW w:w="0" w:type="auto"/>
            <w:vMerge/>
            <w:vAlign w:val="center"/>
            <w:hideMark/>
          </w:tcPr>
          <w:p w14:paraId="6A1475A7" w14:textId="77777777" w:rsidR="00F0675B" w:rsidRPr="00D11A02" w:rsidRDefault="00F0675B" w:rsidP="000B5BEE">
            <w:pPr>
              <w:spacing w:after="0" w:line="240" w:lineRule="auto"/>
              <w:rPr>
                <w:rFonts w:ascii="Arial" w:hAnsi="Arial" w:cs="Arial"/>
                <w:bCs/>
              </w:rPr>
            </w:pPr>
          </w:p>
        </w:tc>
        <w:tc>
          <w:tcPr>
            <w:tcW w:w="1419" w:type="dxa"/>
            <w:shd w:val="clear" w:color="auto" w:fill="E7E7E7"/>
            <w:tcMar>
              <w:top w:w="15" w:type="dxa"/>
              <w:left w:w="15" w:type="dxa"/>
              <w:bottom w:w="0" w:type="dxa"/>
              <w:right w:w="15" w:type="dxa"/>
            </w:tcMar>
            <w:vAlign w:val="center"/>
            <w:hideMark/>
          </w:tcPr>
          <w:p w14:paraId="2DF2767D" w14:textId="77777777" w:rsidR="00F0675B" w:rsidRPr="00D11A02" w:rsidRDefault="00F0675B" w:rsidP="005E7ABF">
            <w:pPr>
              <w:spacing w:after="0" w:line="240" w:lineRule="auto"/>
              <w:ind w:right="405"/>
              <w:jc w:val="right"/>
              <w:rPr>
                <w:rFonts w:ascii="Arial" w:hAnsi="Arial" w:cs="Arial"/>
                <w:bCs/>
              </w:rPr>
            </w:pPr>
            <w:r w:rsidRPr="00D11A02">
              <w:rPr>
                <w:rFonts w:ascii="Arial" w:hAnsi="Arial" w:cs="Arial"/>
                <w:b/>
                <w:bCs/>
              </w:rPr>
              <w:t>0.39</w:t>
            </w:r>
          </w:p>
        </w:tc>
        <w:tc>
          <w:tcPr>
            <w:tcW w:w="1420" w:type="dxa"/>
            <w:shd w:val="clear" w:color="auto" w:fill="E7E7E7"/>
            <w:tcMar>
              <w:top w:w="15" w:type="dxa"/>
              <w:left w:w="15" w:type="dxa"/>
              <w:bottom w:w="0" w:type="dxa"/>
              <w:right w:w="15" w:type="dxa"/>
            </w:tcMar>
            <w:vAlign w:val="center"/>
            <w:hideMark/>
          </w:tcPr>
          <w:p w14:paraId="49B865B0"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274.0</w:t>
            </w:r>
          </w:p>
        </w:tc>
        <w:tc>
          <w:tcPr>
            <w:tcW w:w="1418" w:type="dxa"/>
            <w:shd w:val="clear" w:color="auto" w:fill="E7E7E7"/>
            <w:tcMar>
              <w:top w:w="15" w:type="dxa"/>
              <w:left w:w="15" w:type="dxa"/>
              <w:bottom w:w="0" w:type="dxa"/>
              <w:right w:w="15" w:type="dxa"/>
            </w:tcMar>
            <w:vAlign w:val="center"/>
            <w:hideMark/>
          </w:tcPr>
          <w:p w14:paraId="4221E754"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0.93</w:t>
            </w:r>
          </w:p>
        </w:tc>
        <w:tc>
          <w:tcPr>
            <w:tcW w:w="1421" w:type="dxa"/>
            <w:shd w:val="clear" w:color="auto" w:fill="E7E7E7"/>
            <w:tcMar>
              <w:top w:w="15" w:type="dxa"/>
              <w:left w:w="15" w:type="dxa"/>
              <w:bottom w:w="0" w:type="dxa"/>
              <w:right w:w="15" w:type="dxa"/>
            </w:tcMar>
            <w:vAlign w:val="center"/>
            <w:hideMark/>
          </w:tcPr>
          <w:p w14:paraId="29B46BEA"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0.25</w:t>
            </w:r>
          </w:p>
        </w:tc>
        <w:tc>
          <w:tcPr>
            <w:tcW w:w="1425" w:type="dxa"/>
            <w:shd w:val="clear" w:color="auto" w:fill="E7E7E7"/>
            <w:tcMar>
              <w:top w:w="15" w:type="dxa"/>
              <w:left w:w="15" w:type="dxa"/>
              <w:bottom w:w="0" w:type="dxa"/>
              <w:right w:w="15" w:type="dxa"/>
            </w:tcMar>
            <w:vAlign w:val="center"/>
            <w:hideMark/>
          </w:tcPr>
          <w:p w14:paraId="099CC727"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2.5</w:t>
            </w:r>
          </w:p>
        </w:tc>
        <w:tc>
          <w:tcPr>
            <w:tcW w:w="1425" w:type="dxa"/>
            <w:shd w:val="clear" w:color="auto" w:fill="E7E7E7"/>
            <w:tcMar>
              <w:top w:w="15" w:type="dxa"/>
              <w:left w:w="15" w:type="dxa"/>
              <w:bottom w:w="0" w:type="dxa"/>
              <w:right w:w="15" w:type="dxa"/>
            </w:tcMar>
            <w:vAlign w:val="center"/>
            <w:hideMark/>
          </w:tcPr>
          <w:p w14:paraId="5E90E028"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0.7</w:t>
            </w:r>
          </w:p>
        </w:tc>
      </w:tr>
      <w:tr w:rsidR="00FA20FC" w:rsidRPr="00D11A02" w14:paraId="162A8B9F" w14:textId="77777777" w:rsidTr="000B5BEE">
        <w:trPr>
          <w:trHeight w:val="280"/>
        </w:trPr>
        <w:tc>
          <w:tcPr>
            <w:tcW w:w="1425" w:type="dxa"/>
            <w:vMerge w:val="restart"/>
            <w:shd w:val="clear" w:color="auto" w:fill="auto"/>
            <w:tcMar>
              <w:top w:w="15" w:type="dxa"/>
              <w:left w:w="15" w:type="dxa"/>
              <w:bottom w:w="0" w:type="dxa"/>
              <w:right w:w="15" w:type="dxa"/>
            </w:tcMar>
            <w:vAlign w:val="center"/>
            <w:hideMark/>
          </w:tcPr>
          <w:p w14:paraId="170E6D8B" w14:textId="77777777" w:rsidR="00F0675B" w:rsidRPr="00D11A02" w:rsidRDefault="00F0675B" w:rsidP="000B5BEE">
            <w:pPr>
              <w:spacing w:after="0" w:line="240" w:lineRule="auto"/>
              <w:rPr>
                <w:rFonts w:ascii="Arial" w:hAnsi="Arial" w:cs="Arial"/>
                <w:bCs/>
              </w:rPr>
            </w:pPr>
            <w:r w:rsidRPr="00D11A02">
              <w:rPr>
                <w:rFonts w:ascii="Arial" w:hAnsi="Arial" w:cs="Arial"/>
                <w:b/>
                <w:bCs/>
              </w:rPr>
              <w:t>Inferred</w:t>
            </w:r>
          </w:p>
        </w:tc>
        <w:tc>
          <w:tcPr>
            <w:tcW w:w="1419" w:type="dxa"/>
            <w:shd w:val="clear" w:color="auto" w:fill="auto"/>
            <w:tcMar>
              <w:top w:w="15" w:type="dxa"/>
              <w:left w:w="15" w:type="dxa"/>
              <w:bottom w:w="0" w:type="dxa"/>
              <w:right w:w="15" w:type="dxa"/>
            </w:tcMar>
            <w:vAlign w:val="center"/>
            <w:hideMark/>
          </w:tcPr>
          <w:p w14:paraId="1F8D1E94"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2.0</w:t>
            </w:r>
          </w:p>
        </w:tc>
        <w:tc>
          <w:tcPr>
            <w:tcW w:w="1420" w:type="dxa"/>
            <w:shd w:val="clear" w:color="auto" w:fill="auto"/>
            <w:tcMar>
              <w:top w:w="15" w:type="dxa"/>
              <w:left w:w="15" w:type="dxa"/>
              <w:bottom w:w="0" w:type="dxa"/>
              <w:right w:w="15" w:type="dxa"/>
            </w:tcMar>
            <w:vAlign w:val="center"/>
            <w:hideMark/>
          </w:tcPr>
          <w:p w14:paraId="03DAC645"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28.1</w:t>
            </w:r>
          </w:p>
        </w:tc>
        <w:tc>
          <w:tcPr>
            <w:tcW w:w="1418" w:type="dxa"/>
            <w:shd w:val="clear" w:color="auto" w:fill="auto"/>
            <w:tcMar>
              <w:top w:w="15" w:type="dxa"/>
              <w:left w:w="15" w:type="dxa"/>
              <w:bottom w:w="0" w:type="dxa"/>
              <w:right w:w="15" w:type="dxa"/>
            </w:tcMar>
            <w:vAlign w:val="center"/>
            <w:hideMark/>
          </w:tcPr>
          <w:p w14:paraId="7AF508E0"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2.66</w:t>
            </w:r>
          </w:p>
        </w:tc>
        <w:tc>
          <w:tcPr>
            <w:tcW w:w="1421" w:type="dxa"/>
            <w:shd w:val="clear" w:color="auto" w:fill="auto"/>
            <w:tcMar>
              <w:top w:w="15" w:type="dxa"/>
              <w:left w:w="15" w:type="dxa"/>
              <w:bottom w:w="0" w:type="dxa"/>
              <w:right w:w="15" w:type="dxa"/>
            </w:tcMar>
            <w:vAlign w:val="center"/>
            <w:hideMark/>
          </w:tcPr>
          <w:p w14:paraId="256261FA"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1.72</w:t>
            </w:r>
          </w:p>
        </w:tc>
        <w:tc>
          <w:tcPr>
            <w:tcW w:w="1425" w:type="dxa"/>
            <w:shd w:val="clear" w:color="auto" w:fill="auto"/>
            <w:tcMar>
              <w:top w:w="15" w:type="dxa"/>
              <w:left w:w="15" w:type="dxa"/>
              <w:bottom w:w="0" w:type="dxa"/>
              <w:right w:w="15" w:type="dxa"/>
            </w:tcMar>
            <w:vAlign w:val="center"/>
            <w:hideMark/>
          </w:tcPr>
          <w:p w14:paraId="4A557D2D"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0.7</w:t>
            </w:r>
          </w:p>
        </w:tc>
        <w:tc>
          <w:tcPr>
            <w:tcW w:w="1425" w:type="dxa"/>
            <w:shd w:val="clear" w:color="auto" w:fill="auto"/>
            <w:tcMar>
              <w:top w:w="15" w:type="dxa"/>
              <w:left w:w="15" w:type="dxa"/>
              <w:bottom w:w="0" w:type="dxa"/>
              <w:right w:w="15" w:type="dxa"/>
            </w:tcMar>
            <w:vAlign w:val="center"/>
            <w:hideMark/>
          </w:tcPr>
          <w:p w14:paraId="4CAFFA85"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0.5</w:t>
            </w:r>
          </w:p>
        </w:tc>
      </w:tr>
      <w:tr w:rsidR="00FA20FC" w:rsidRPr="00D11A02" w14:paraId="0B03272D" w14:textId="77777777" w:rsidTr="000B5BEE">
        <w:trPr>
          <w:trHeight w:val="280"/>
        </w:trPr>
        <w:tc>
          <w:tcPr>
            <w:tcW w:w="0" w:type="auto"/>
            <w:vMerge/>
            <w:vAlign w:val="center"/>
            <w:hideMark/>
          </w:tcPr>
          <w:p w14:paraId="793B1B4A" w14:textId="77777777" w:rsidR="00F0675B" w:rsidRPr="00D11A02" w:rsidRDefault="00F0675B" w:rsidP="000B5BEE">
            <w:pPr>
              <w:spacing w:after="0" w:line="240" w:lineRule="auto"/>
              <w:rPr>
                <w:rFonts w:ascii="Arial" w:hAnsi="Arial" w:cs="Arial"/>
                <w:bCs/>
              </w:rPr>
            </w:pPr>
          </w:p>
        </w:tc>
        <w:tc>
          <w:tcPr>
            <w:tcW w:w="1419" w:type="dxa"/>
            <w:shd w:val="clear" w:color="auto" w:fill="E7E6E6" w:themeFill="background2"/>
            <w:tcMar>
              <w:top w:w="15" w:type="dxa"/>
              <w:left w:w="15" w:type="dxa"/>
              <w:bottom w:w="0" w:type="dxa"/>
              <w:right w:w="15" w:type="dxa"/>
            </w:tcMar>
            <w:vAlign w:val="center"/>
            <w:hideMark/>
          </w:tcPr>
          <w:p w14:paraId="6B92DF7D" w14:textId="77777777" w:rsidR="00F0675B" w:rsidRPr="00D11A02" w:rsidRDefault="00F0675B" w:rsidP="005E7ABF">
            <w:pPr>
              <w:spacing w:after="0" w:line="240" w:lineRule="auto"/>
              <w:ind w:right="495"/>
              <w:jc w:val="right"/>
              <w:rPr>
                <w:rFonts w:ascii="Arial" w:hAnsi="Arial" w:cs="Arial"/>
                <w:b/>
              </w:rPr>
            </w:pPr>
            <w:r w:rsidRPr="00D11A02">
              <w:rPr>
                <w:rFonts w:ascii="Arial" w:hAnsi="Arial" w:cs="Arial"/>
                <w:b/>
              </w:rPr>
              <w:t>1.0</w:t>
            </w:r>
          </w:p>
        </w:tc>
        <w:tc>
          <w:tcPr>
            <w:tcW w:w="1420" w:type="dxa"/>
            <w:shd w:val="clear" w:color="auto" w:fill="E7E6E6" w:themeFill="background2"/>
            <w:tcMar>
              <w:top w:w="15" w:type="dxa"/>
              <w:left w:w="15" w:type="dxa"/>
              <w:bottom w:w="0" w:type="dxa"/>
              <w:right w:w="15" w:type="dxa"/>
            </w:tcMar>
            <w:vAlign w:val="center"/>
            <w:hideMark/>
          </w:tcPr>
          <w:p w14:paraId="7C94B71E" w14:textId="77777777" w:rsidR="00F0675B" w:rsidRPr="00D11A02" w:rsidRDefault="00F0675B" w:rsidP="005E7ABF">
            <w:pPr>
              <w:spacing w:after="0" w:line="240" w:lineRule="auto"/>
              <w:ind w:right="495"/>
              <w:jc w:val="right"/>
              <w:rPr>
                <w:rFonts w:ascii="Arial" w:hAnsi="Arial" w:cs="Arial"/>
                <w:b/>
              </w:rPr>
            </w:pPr>
            <w:r w:rsidRPr="00D11A02">
              <w:rPr>
                <w:rFonts w:ascii="Arial" w:hAnsi="Arial" w:cs="Arial"/>
                <w:b/>
              </w:rPr>
              <w:t>74.1</w:t>
            </w:r>
          </w:p>
        </w:tc>
        <w:tc>
          <w:tcPr>
            <w:tcW w:w="1418" w:type="dxa"/>
            <w:shd w:val="clear" w:color="auto" w:fill="E7E6E6" w:themeFill="background2"/>
            <w:tcMar>
              <w:top w:w="15" w:type="dxa"/>
              <w:left w:w="15" w:type="dxa"/>
              <w:bottom w:w="0" w:type="dxa"/>
              <w:right w:w="15" w:type="dxa"/>
            </w:tcMar>
            <w:vAlign w:val="center"/>
            <w:hideMark/>
          </w:tcPr>
          <w:p w14:paraId="7041EBB6" w14:textId="77777777" w:rsidR="00F0675B" w:rsidRPr="00D11A02" w:rsidRDefault="00F0675B" w:rsidP="005E7ABF">
            <w:pPr>
              <w:spacing w:after="0" w:line="240" w:lineRule="auto"/>
              <w:ind w:right="495"/>
              <w:jc w:val="right"/>
              <w:rPr>
                <w:rFonts w:ascii="Arial" w:hAnsi="Arial" w:cs="Arial"/>
                <w:b/>
              </w:rPr>
            </w:pPr>
            <w:r w:rsidRPr="00D11A02">
              <w:rPr>
                <w:rFonts w:ascii="Arial" w:hAnsi="Arial" w:cs="Arial"/>
                <w:b/>
              </w:rPr>
              <w:t>1.87</w:t>
            </w:r>
          </w:p>
        </w:tc>
        <w:tc>
          <w:tcPr>
            <w:tcW w:w="1421" w:type="dxa"/>
            <w:shd w:val="clear" w:color="auto" w:fill="E7E6E6" w:themeFill="background2"/>
            <w:tcMar>
              <w:top w:w="15" w:type="dxa"/>
              <w:left w:w="15" w:type="dxa"/>
              <w:bottom w:w="0" w:type="dxa"/>
              <w:right w:w="15" w:type="dxa"/>
            </w:tcMar>
            <w:vAlign w:val="center"/>
            <w:hideMark/>
          </w:tcPr>
          <w:p w14:paraId="2BFCA206" w14:textId="77777777" w:rsidR="00F0675B" w:rsidRPr="00D11A02" w:rsidRDefault="00F0675B" w:rsidP="005E7ABF">
            <w:pPr>
              <w:spacing w:after="0" w:line="240" w:lineRule="auto"/>
              <w:ind w:right="495"/>
              <w:jc w:val="right"/>
              <w:rPr>
                <w:rFonts w:ascii="Arial" w:hAnsi="Arial" w:cs="Arial"/>
                <w:b/>
              </w:rPr>
            </w:pPr>
            <w:r w:rsidRPr="00D11A02">
              <w:rPr>
                <w:rFonts w:ascii="Arial" w:hAnsi="Arial" w:cs="Arial"/>
                <w:b/>
              </w:rPr>
              <w:t>1.08</w:t>
            </w:r>
          </w:p>
        </w:tc>
        <w:tc>
          <w:tcPr>
            <w:tcW w:w="1425" w:type="dxa"/>
            <w:shd w:val="clear" w:color="auto" w:fill="E7E6E6" w:themeFill="background2"/>
            <w:tcMar>
              <w:top w:w="15" w:type="dxa"/>
              <w:left w:w="15" w:type="dxa"/>
              <w:bottom w:w="0" w:type="dxa"/>
              <w:right w:w="15" w:type="dxa"/>
            </w:tcMar>
            <w:vAlign w:val="center"/>
            <w:hideMark/>
          </w:tcPr>
          <w:p w14:paraId="15E0923B" w14:textId="77777777" w:rsidR="00F0675B" w:rsidRPr="00D11A02" w:rsidRDefault="00F0675B" w:rsidP="005E7ABF">
            <w:pPr>
              <w:spacing w:after="0" w:line="240" w:lineRule="auto"/>
              <w:ind w:right="495"/>
              <w:jc w:val="right"/>
              <w:rPr>
                <w:rFonts w:ascii="Arial" w:hAnsi="Arial" w:cs="Arial"/>
                <w:b/>
              </w:rPr>
            </w:pPr>
            <w:r w:rsidRPr="00D11A02">
              <w:rPr>
                <w:rFonts w:ascii="Arial" w:hAnsi="Arial" w:cs="Arial"/>
                <w:b/>
              </w:rPr>
              <w:t>1.4</w:t>
            </w:r>
          </w:p>
        </w:tc>
        <w:tc>
          <w:tcPr>
            <w:tcW w:w="1425" w:type="dxa"/>
            <w:shd w:val="clear" w:color="auto" w:fill="E7E6E6" w:themeFill="background2"/>
            <w:tcMar>
              <w:top w:w="15" w:type="dxa"/>
              <w:left w:w="15" w:type="dxa"/>
              <w:bottom w:w="0" w:type="dxa"/>
              <w:right w:w="15" w:type="dxa"/>
            </w:tcMar>
            <w:vAlign w:val="center"/>
            <w:hideMark/>
          </w:tcPr>
          <w:p w14:paraId="635690F0" w14:textId="77777777" w:rsidR="00F0675B" w:rsidRPr="00D11A02" w:rsidRDefault="00F0675B" w:rsidP="005E7ABF">
            <w:pPr>
              <w:spacing w:after="0" w:line="240" w:lineRule="auto"/>
              <w:ind w:right="495"/>
              <w:jc w:val="right"/>
              <w:rPr>
                <w:rFonts w:ascii="Arial" w:hAnsi="Arial" w:cs="Arial"/>
                <w:b/>
              </w:rPr>
            </w:pPr>
            <w:r w:rsidRPr="00D11A02">
              <w:rPr>
                <w:rFonts w:ascii="Arial" w:hAnsi="Arial" w:cs="Arial"/>
                <w:b/>
              </w:rPr>
              <w:t>0.8</w:t>
            </w:r>
          </w:p>
        </w:tc>
      </w:tr>
      <w:tr w:rsidR="00FA20FC" w:rsidRPr="00D11A02" w14:paraId="21110D67" w14:textId="77777777" w:rsidTr="000B5BEE">
        <w:trPr>
          <w:trHeight w:val="280"/>
        </w:trPr>
        <w:tc>
          <w:tcPr>
            <w:tcW w:w="0" w:type="auto"/>
            <w:vMerge/>
            <w:vAlign w:val="center"/>
            <w:hideMark/>
          </w:tcPr>
          <w:p w14:paraId="1302909D" w14:textId="77777777" w:rsidR="00F0675B" w:rsidRPr="00D11A02" w:rsidRDefault="00F0675B" w:rsidP="000B5BEE">
            <w:pPr>
              <w:spacing w:after="0" w:line="240" w:lineRule="auto"/>
              <w:rPr>
                <w:rFonts w:ascii="Arial" w:hAnsi="Arial" w:cs="Arial"/>
                <w:bCs/>
              </w:rPr>
            </w:pPr>
          </w:p>
        </w:tc>
        <w:tc>
          <w:tcPr>
            <w:tcW w:w="1419" w:type="dxa"/>
            <w:shd w:val="clear" w:color="auto" w:fill="auto"/>
            <w:tcMar>
              <w:top w:w="15" w:type="dxa"/>
              <w:left w:w="15" w:type="dxa"/>
              <w:bottom w:w="0" w:type="dxa"/>
              <w:right w:w="15" w:type="dxa"/>
            </w:tcMar>
            <w:vAlign w:val="center"/>
            <w:hideMark/>
          </w:tcPr>
          <w:p w14:paraId="64729167"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0.8</w:t>
            </w:r>
          </w:p>
        </w:tc>
        <w:tc>
          <w:tcPr>
            <w:tcW w:w="1420" w:type="dxa"/>
            <w:shd w:val="clear" w:color="auto" w:fill="auto"/>
            <w:tcMar>
              <w:top w:w="15" w:type="dxa"/>
              <w:left w:w="15" w:type="dxa"/>
              <w:bottom w:w="0" w:type="dxa"/>
              <w:right w:w="15" w:type="dxa"/>
            </w:tcMar>
            <w:vAlign w:val="center"/>
            <w:hideMark/>
          </w:tcPr>
          <w:p w14:paraId="1A41095E"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98.1</w:t>
            </w:r>
          </w:p>
        </w:tc>
        <w:tc>
          <w:tcPr>
            <w:tcW w:w="1418" w:type="dxa"/>
            <w:shd w:val="clear" w:color="auto" w:fill="auto"/>
            <w:tcMar>
              <w:top w:w="15" w:type="dxa"/>
              <w:left w:w="15" w:type="dxa"/>
              <w:bottom w:w="0" w:type="dxa"/>
              <w:right w:w="15" w:type="dxa"/>
            </w:tcMar>
            <w:vAlign w:val="center"/>
            <w:hideMark/>
          </w:tcPr>
          <w:p w14:paraId="4C1112AB"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1.63</w:t>
            </w:r>
          </w:p>
        </w:tc>
        <w:tc>
          <w:tcPr>
            <w:tcW w:w="1421" w:type="dxa"/>
            <w:shd w:val="clear" w:color="auto" w:fill="auto"/>
            <w:tcMar>
              <w:top w:w="15" w:type="dxa"/>
              <w:left w:w="15" w:type="dxa"/>
              <w:bottom w:w="0" w:type="dxa"/>
              <w:right w:w="15" w:type="dxa"/>
            </w:tcMar>
            <w:vAlign w:val="center"/>
            <w:hideMark/>
          </w:tcPr>
          <w:p w14:paraId="46061AD0"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0.90</w:t>
            </w:r>
          </w:p>
        </w:tc>
        <w:tc>
          <w:tcPr>
            <w:tcW w:w="1425" w:type="dxa"/>
            <w:shd w:val="clear" w:color="auto" w:fill="auto"/>
            <w:tcMar>
              <w:top w:w="15" w:type="dxa"/>
              <w:left w:w="15" w:type="dxa"/>
              <w:bottom w:w="0" w:type="dxa"/>
              <w:right w:w="15" w:type="dxa"/>
            </w:tcMar>
            <w:vAlign w:val="center"/>
            <w:hideMark/>
          </w:tcPr>
          <w:p w14:paraId="733F7E98"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1.6</w:t>
            </w:r>
          </w:p>
        </w:tc>
        <w:tc>
          <w:tcPr>
            <w:tcW w:w="1425" w:type="dxa"/>
            <w:shd w:val="clear" w:color="auto" w:fill="auto"/>
            <w:tcMar>
              <w:top w:w="15" w:type="dxa"/>
              <w:left w:w="15" w:type="dxa"/>
              <w:bottom w:w="0" w:type="dxa"/>
              <w:right w:w="15" w:type="dxa"/>
            </w:tcMar>
            <w:vAlign w:val="center"/>
            <w:hideMark/>
          </w:tcPr>
          <w:p w14:paraId="65E86FAC"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0.9</w:t>
            </w:r>
          </w:p>
        </w:tc>
      </w:tr>
      <w:tr w:rsidR="00FA20FC" w:rsidRPr="00D11A02" w14:paraId="4A253545" w14:textId="77777777" w:rsidTr="000B5BEE">
        <w:trPr>
          <w:trHeight w:val="280"/>
        </w:trPr>
        <w:tc>
          <w:tcPr>
            <w:tcW w:w="0" w:type="auto"/>
            <w:vMerge/>
            <w:vAlign w:val="center"/>
            <w:hideMark/>
          </w:tcPr>
          <w:p w14:paraId="263BDBD2" w14:textId="77777777" w:rsidR="00F0675B" w:rsidRPr="00D11A02" w:rsidRDefault="00F0675B" w:rsidP="000B5BEE">
            <w:pPr>
              <w:spacing w:after="0" w:line="240" w:lineRule="auto"/>
              <w:rPr>
                <w:rFonts w:ascii="Arial" w:hAnsi="Arial" w:cs="Arial"/>
                <w:bCs/>
              </w:rPr>
            </w:pPr>
          </w:p>
        </w:tc>
        <w:tc>
          <w:tcPr>
            <w:tcW w:w="1419" w:type="dxa"/>
            <w:shd w:val="clear" w:color="auto" w:fill="auto"/>
            <w:tcMar>
              <w:top w:w="15" w:type="dxa"/>
              <w:left w:w="15" w:type="dxa"/>
              <w:bottom w:w="0" w:type="dxa"/>
              <w:right w:w="15" w:type="dxa"/>
            </w:tcMar>
            <w:vAlign w:val="center"/>
            <w:hideMark/>
          </w:tcPr>
          <w:p w14:paraId="616CD1FE"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0.5</w:t>
            </w:r>
          </w:p>
        </w:tc>
        <w:tc>
          <w:tcPr>
            <w:tcW w:w="1420" w:type="dxa"/>
            <w:shd w:val="clear" w:color="auto" w:fill="auto"/>
            <w:tcMar>
              <w:top w:w="15" w:type="dxa"/>
              <w:left w:w="15" w:type="dxa"/>
              <w:bottom w:w="0" w:type="dxa"/>
              <w:right w:w="15" w:type="dxa"/>
            </w:tcMar>
            <w:vAlign w:val="center"/>
            <w:hideMark/>
          </w:tcPr>
          <w:p w14:paraId="26C0DAC9"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174.9</w:t>
            </w:r>
          </w:p>
        </w:tc>
        <w:tc>
          <w:tcPr>
            <w:tcW w:w="1418" w:type="dxa"/>
            <w:shd w:val="clear" w:color="auto" w:fill="auto"/>
            <w:tcMar>
              <w:top w:w="15" w:type="dxa"/>
              <w:left w:w="15" w:type="dxa"/>
              <w:bottom w:w="0" w:type="dxa"/>
              <w:right w:w="15" w:type="dxa"/>
            </w:tcMar>
            <w:vAlign w:val="center"/>
            <w:hideMark/>
          </w:tcPr>
          <w:p w14:paraId="4F961EDF"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1.19</w:t>
            </w:r>
          </w:p>
        </w:tc>
        <w:tc>
          <w:tcPr>
            <w:tcW w:w="1421" w:type="dxa"/>
            <w:shd w:val="clear" w:color="auto" w:fill="auto"/>
            <w:tcMar>
              <w:top w:w="15" w:type="dxa"/>
              <w:left w:w="15" w:type="dxa"/>
              <w:bottom w:w="0" w:type="dxa"/>
              <w:right w:w="15" w:type="dxa"/>
            </w:tcMar>
            <w:vAlign w:val="center"/>
            <w:hideMark/>
          </w:tcPr>
          <w:p w14:paraId="4D2B2049"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0.60</w:t>
            </w:r>
          </w:p>
        </w:tc>
        <w:tc>
          <w:tcPr>
            <w:tcW w:w="1425" w:type="dxa"/>
            <w:shd w:val="clear" w:color="auto" w:fill="auto"/>
            <w:tcMar>
              <w:top w:w="15" w:type="dxa"/>
              <w:left w:w="15" w:type="dxa"/>
              <w:bottom w:w="0" w:type="dxa"/>
              <w:right w:w="15" w:type="dxa"/>
            </w:tcMar>
            <w:vAlign w:val="center"/>
            <w:hideMark/>
          </w:tcPr>
          <w:p w14:paraId="0A82711B"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2.1</w:t>
            </w:r>
          </w:p>
        </w:tc>
        <w:tc>
          <w:tcPr>
            <w:tcW w:w="1425" w:type="dxa"/>
            <w:shd w:val="clear" w:color="auto" w:fill="auto"/>
            <w:tcMar>
              <w:top w:w="15" w:type="dxa"/>
              <w:left w:w="15" w:type="dxa"/>
              <w:bottom w:w="0" w:type="dxa"/>
              <w:right w:w="15" w:type="dxa"/>
            </w:tcMar>
            <w:vAlign w:val="center"/>
            <w:hideMark/>
          </w:tcPr>
          <w:p w14:paraId="4939D174"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Cs/>
              </w:rPr>
              <w:t>1.1</w:t>
            </w:r>
          </w:p>
        </w:tc>
      </w:tr>
      <w:tr w:rsidR="00FA20FC" w:rsidRPr="00D11A02" w14:paraId="2F1B01CA" w14:textId="77777777" w:rsidTr="000B5BEE">
        <w:trPr>
          <w:trHeight w:val="280"/>
        </w:trPr>
        <w:tc>
          <w:tcPr>
            <w:tcW w:w="0" w:type="auto"/>
            <w:vMerge/>
            <w:vAlign w:val="center"/>
            <w:hideMark/>
          </w:tcPr>
          <w:p w14:paraId="107961A6" w14:textId="77777777" w:rsidR="00F0675B" w:rsidRPr="00D11A02" w:rsidRDefault="00F0675B" w:rsidP="000B5BEE">
            <w:pPr>
              <w:spacing w:after="0" w:line="240" w:lineRule="auto"/>
              <w:rPr>
                <w:rFonts w:ascii="Arial" w:hAnsi="Arial" w:cs="Arial"/>
                <w:bCs/>
              </w:rPr>
            </w:pPr>
          </w:p>
        </w:tc>
        <w:tc>
          <w:tcPr>
            <w:tcW w:w="1419" w:type="dxa"/>
            <w:shd w:val="clear" w:color="auto" w:fill="E7E7E7"/>
            <w:tcMar>
              <w:top w:w="15" w:type="dxa"/>
              <w:left w:w="15" w:type="dxa"/>
              <w:bottom w:w="0" w:type="dxa"/>
              <w:right w:w="15" w:type="dxa"/>
            </w:tcMar>
            <w:vAlign w:val="center"/>
            <w:hideMark/>
          </w:tcPr>
          <w:p w14:paraId="1BA3DF05" w14:textId="77777777" w:rsidR="00F0675B" w:rsidRPr="00D11A02" w:rsidRDefault="00F0675B" w:rsidP="005E7ABF">
            <w:pPr>
              <w:spacing w:after="0" w:line="240" w:lineRule="auto"/>
              <w:ind w:right="405"/>
              <w:jc w:val="right"/>
              <w:rPr>
                <w:rFonts w:ascii="Arial" w:hAnsi="Arial" w:cs="Arial"/>
                <w:bCs/>
              </w:rPr>
            </w:pPr>
            <w:r w:rsidRPr="00D11A02">
              <w:rPr>
                <w:rFonts w:ascii="Arial" w:hAnsi="Arial" w:cs="Arial"/>
                <w:b/>
                <w:bCs/>
              </w:rPr>
              <w:t>0.39</w:t>
            </w:r>
          </w:p>
        </w:tc>
        <w:tc>
          <w:tcPr>
            <w:tcW w:w="1420" w:type="dxa"/>
            <w:shd w:val="clear" w:color="auto" w:fill="E7E7E7"/>
            <w:tcMar>
              <w:top w:w="15" w:type="dxa"/>
              <w:left w:w="15" w:type="dxa"/>
              <w:bottom w:w="0" w:type="dxa"/>
              <w:right w:w="15" w:type="dxa"/>
            </w:tcMar>
            <w:vAlign w:val="center"/>
            <w:hideMark/>
          </w:tcPr>
          <w:p w14:paraId="78AF81C1"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248.8</w:t>
            </w:r>
          </w:p>
        </w:tc>
        <w:tc>
          <w:tcPr>
            <w:tcW w:w="1418" w:type="dxa"/>
            <w:shd w:val="clear" w:color="auto" w:fill="E7E7E7"/>
            <w:tcMar>
              <w:top w:w="15" w:type="dxa"/>
              <w:left w:w="15" w:type="dxa"/>
              <w:bottom w:w="0" w:type="dxa"/>
              <w:right w:w="15" w:type="dxa"/>
            </w:tcMar>
            <w:vAlign w:val="center"/>
            <w:hideMark/>
          </w:tcPr>
          <w:p w14:paraId="0011B923"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0.91</w:t>
            </w:r>
          </w:p>
        </w:tc>
        <w:tc>
          <w:tcPr>
            <w:tcW w:w="1421" w:type="dxa"/>
            <w:shd w:val="clear" w:color="auto" w:fill="E7E7E7"/>
            <w:tcMar>
              <w:top w:w="15" w:type="dxa"/>
              <w:left w:w="15" w:type="dxa"/>
              <w:bottom w:w="0" w:type="dxa"/>
              <w:right w:w="15" w:type="dxa"/>
            </w:tcMar>
            <w:vAlign w:val="center"/>
            <w:hideMark/>
          </w:tcPr>
          <w:p w14:paraId="42F8161B"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0.44</w:t>
            </w:r>
          </w:p>
        </w:tc>
        <w:tc>
          <w:tcPr>
            <w:tcW w:w="1425" w:type="dxa"/>
            <w:shd w:val="clear" w:color="auto" w:fill="E7E7E7"/>
            <w:tcMar>
              <w:top w:w="15" w:type="dxa"/>
              <w:left w:w="15" w:type="dxa"/>
              <w:bottom w:w="0" w:type="dxa"/>
              <w:right w:w="15" w:type="dxa"/>
            </w:tcMar>
            <w:vAlign w:val="center"/>
            <w:hideMark/>
          </w:tcPr>
          <w:p w14:paraId="4274F1F6"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2.3</w:t>
            </w:r>
          </w:p>
        </w:tc>
        <w:tc>
          <w:tcPr>
            <w:tcW w:w="1425" w:type="dxa"/>
            <w:shd w:val="clear" w:color="auto" w:fill="E7E7E7"/>
            <w:tcMar>
              <w:top w:w="15" w:type="dxa"/>
              <w:left w:w="15" w:type="dxa"/>
              <w:bottom w:w="0" w:type="dxa"/>
              <w:right w:w="15" w:type="dxa"/>
            </w:tcMar>
            <w:vAlign w:val="center"/>
            <w:hideMark/>
          </w:tcPr>
          <w:p w14:paraId="1B733DEA" w14:textId="77777777" w:rsidR="00F0675B" w:rsidRPr="00D11A02" w:rsidRDefault="00F0675B" w:rsidP="005E7ABF">
            <w:pPr>
              <w:spacing w:after="0" w:line="240" w:lineRule="auto"/>
              <w:ind w:right="495"/>
              <w:jc w:val="right"/>
              <w:rPr>
                <w:rFonts w:ascii="Arial" w:hAnsi="Arial" w:cs="Arial"/>
                <w:bCs/>
              </w:rPr>
            </w:pPr>
            <w:r w:rsidRPr="00D11A02">
              <w:rPr>
                <w:rFonts w:ascii="Arial" w:hAnsi="Arial" w:cs="Arial"/>
                <w:b/>
                <w:bCs/>
              </w:rPr>
              <w:t>1.1</w:t>
            </w:r>
          </w:p>
        </w:tc>
      </w:tr>
    </w:tbl>
    <w:p w14:paraId="4B99E643" w14:textId="6E67EF21" w:rsidR="00A03CCF" w:rsidRPr="00D11A02" w:rsidRDefault="006D21F8" w:rsidP="00A03CCF">
      <w:pPr>
        <w:spacing w:after="0" w:line="240" w:lineRule="auto"/>
        <w:rPr>
          <w:rFonts w:ascii="Arial" w:hAnsi="Arial"/>
          <w:bCs/>
          <w:sz w:val="20"/>
          <w:szCs w:val="20"/>
        </w:rPr>
      </w:pPr>
      <w:r>
        <w:rPr>
          <w:rFonts w:ascii="Arial" w:hAnsi="Arial"/>
          <w:bCs/>
          <w:sz w:val="20"/>
          <w:szCs w:val="20"/>
        </w:rPr>
        <w:br/>
      </w:r>
      <w:r w:rsidR="00A03CCF" w:rsidRPr="00D11A02">
        <w:rPr>
          <w:rFonts w:ascii="Arial" w:hAnsi="Arial"/>
          <w:bCs/>
          <w:sz w:val="20"/>
          <w:szCs w:val="20"/>
        </w:rPr>
        <w:t>Notes on Mineral Resources:</w:t>
      </w:r>
    </w:p>
    <w:p w14:paraId="6A236A3C" w14:textId="5E150606" w:rsidR="00A03CCF" w:rsidRPr="00D11A02"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t>The Mineral Resources in this estimate were independently prepared by Nordmin Engineering Ltd and the Mineral Resources were prepared in accordance with the definitions for Mineral Resources in S-K 1300 and with NI 43-101 and with the CIM Definition Standards for Mineral Resources and Mineral Reserves (2014) and the CIM Estimation of Mineral Resources and Mineral Reserves Best Practice Guidelines (2019).</w:t>
      </w:r>
      <w:r w:rsidR="0049331B">
        <w:rPr>
          <w:rFonts w:ascii="Arial" w:hAnsi="Arial"/>
          <w:bCs/>
          <w:sz w:val="20"/>
          <w:szCs w:val="20"/>
        </w:rPr>
        <w:t xml:space="preserve"> </w:t>
      </w:r>
      <w:r w:rsidRPr="00D11A02">
        <w:rPr>
          <w:rFonts w:ascii="Arial" w:hAnsi="Arial"/>
          <w:bCs/>
          <w:sz w:val="20"/>
          <w:szCs w:val="20"/>
        </w:rPr>
        <w:t>Mineral Resources that are not Mineral Reserves do not have demonstrated economic viability. No environmental, permitting, legal, title, taxation, sociopolitical, marketing, or other relevant issues are known that may affect this estimate of Mineral Resources.</w:t>
      </w:r>
    </w:p>
    <w:p w14:paraId="6BAF6E17" w14:textId="77777777" w:rsidR="00A03CCF" w:rsidRPr="00D11A02"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t>Verification included multiple site visits to inspect drilling, logging, density measurement procedures and sampling procedures, and a review of the control sample results used to assess laboratory assay quality. In addition, a random selection of the drill hole database results was compared with original records.</w:t>
      </w:r>
    </w:p>
    <w:p w14:paraId="441F5095" w14:textId="77777777" w:rsidR="00A03CCF" w:rsidRPr="00D11A02"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t>The Mineral Resources in this estimate for the Santa Cruz Deposit used Datamine Studio RMTM software to create the block models.</w:t>
      </w:r>
    </w:p>
    <w:p w14:paraId="00633116" w14:textId="77777777" w:rsidR="00A03CCF" w:rsidRPr="00D11A02"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t>The Mineral Resources have an effective date of December 8, 2021.</w:t>
      </w:r>
    </w:p>
    <w:p w14:paraId="785EBB02" w14:textId="77777777" w:rsidR="00A03CCF" w:rsidRPr="00D11A02"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t>Underground Mineral Resources are reported at a CoG of 0.39% Total Cu, which is based upon a Cu price of US$3.70/lb and a Cu recovery factor of 80%.</w:t>
      </w:r>
    </w:p>
    <w:p w14:paraId="65392766" w14:textId="77777777" w:rsidR="00A03CCF" w:rsidRPr="00D11A02"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t>Specific gravity was applied using weighted averages by lithology.</w:t>
      </w:r>
    </w:p>
    <w:p w14:paraId="5CA95D07" w14:textId="77777777" w:rsidR="00A03CCF" w:rsidRPr="00D11A02"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t>All figures are rounded to reflect the relative accuracy of the estimates, and totals may not add correctly.</w:t>
      </w:r>
    </w:p>
    <w:p w14:paraId="6862C1BD" w14:textId="77777777" w:rsidR="00A03CCF" w:rsidRPr="00D11A02"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t>Excludes unclassified mineralization located along edges of the Santa Cruz deposit where drill density is poor.</w:t>
      </w:r>
    </w:p>
    <w:p w14:paraId="2FAF5497" w14:textId="77777777" w:rsidR="00A03CCF" w:rsidRPr="00D11A02"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t>Report from within a mineralization envelope accounting for mineral continuity.</w:t>
      </w:r>
    </w:p>
    <w:p w14:paraId="505C058E" w14:textId="49560AF9" w:rsidR="006A0695" w:rsidRPr="00C704F5" w:rsidRDefault="00A03CCF" w:rsidP="00C704F5">
      <w:pPr>
        <w:numPr>
          <w:ilvl w:val="0"/>
          <w:numId w:val="2"/>
        </w:numPr>
        <w:spacing w:after="0" w:line="240" w:lineRule="auto"/>
        <w:ind w:left="360"/>
        <w:rPr>
          <w:rFonts w:ascii="Arial" w:hAnsi="Arial"/>
          <w:bCs/>
          <w:sz w:val="20"/>
          <w:szCs w:val="20"/>
        </w:rPr>
      </w:pPr>
      <w:r w:rsidRPr="00C704F5">
        <w:rPr>
          <w:rFonts w:ascii="Arial" w:hAnsi="Arial"/>
          <w:bCs/>
          <w:sz w:val="20"/>
          <w:szCs w:val="20"/>
        </w:rPr>
        <w:t>Acid soluble Cu and cyanide soluble Cu are not reported for the Primary Domain.</w:t>
      </w:r>
      <w:r w:rsidR="006A0695" w:rsidRPr="00C704F5">
        <w:rPr>
          <w:rFonts w:ascii="Arial" w:hAnsi="Arial"/>
          <w:bCs/>
          <w:sz w:val="20"/>
          <w:szCs w:val="20"/>
        </w:rPr>
        <w:br w:type="page"/>
      </w:r>
    </w:p>
    <w:p w14:paraId="46EDFA31" w14:textId="00173E75" w:rsidR="00A03CCF" w:rsidRDefault="00A03CCF" w:rsidP="00F55868">
      <w:pPr>
        <w:numPr>
          <w:ilvl w:val="0"/>
          <w:numId w:val="2"/>
        </w:numPr>
        <w:spacing w:after="0" w:line="240" w:lineRule="auto"/>
        <w:ind w:left="360"/>
        <w:rPr>
          <w:rFonts w:ascii="Arial" w:hAnsi="Arial"/>
          <w:bCs/>
          <w:sz w:val="20"/>
          <w:szCs w:val="20"/>
        </w:rPr>
      </w:pPr>
      <w:r w:rsidRPr="00D11A02">
        <w:rPr>
          <w:rFonts w:ascii="Arial" w:hAnsi="Arial"/>
          <w:bCs/>
          <w:sz w:val="20"/>
          <w:szCs w:val="20"/>
        </w:rPr>
        <w:lastRenderedPageBreak/>
        <w:t>Mineral Resources were classified into Indicated and Inferred categories based on geological and grade continuity, in conjunction with data quality, spatial continuity based on variography, estimation pass, data density, and block model representativeness, specifically assay spacing and abundance, kriging variance, and search volume block estimation assignment. The Mineral Resource Estimate has been defined based on an applied percentage (%) CuT CoG to reflect processing methodology and assumed revenue stream from Cu. The Mineral Resource Estimate is based on an underground bulk mining methodology and surface float and leach process to recover cathode Cu or a mixture of cathode Cu and Cu saleable concentrates.</w:t>
      </w:r>
    </w:p>
    <w:p w14:paraId="16C3CD12" w14:textId="77777777" w:rsidR="006A0695" w:rsidRPr="00D11A02" w:rsidRDefault="006A0695" w:rsidP="006A0695">
      <w:pPr>
        <w:spacing w:after="0" w:line="240" w:lineRule="auto"/>
        <w:rPr>
          <w:rFonts w:ascii="Arial" w:hAnsi="Arial"/>
          <w:bCs/>
          <w:sz w:val="20"/>
          <w:szCs w:val="20"/>
        </w:rPr>
      </w:pPr>
    </w:p>
    <w:p w14:paraId="60FFFCD9" w14:textId="12CDC85A" w:rsidR="00A03CCF" w:rsidRPr="00F55868" w:rsidRDefault="00A03CCF" w:rsidP="00F55868">
      <w:pPr>
        <w:spacing w:after="0" w:line="240" w:lineRule="auto"/>
        <w:rPr>
          <w:rFonts w:ascii="Arial" w:hAnsi="Arial"/>
          <w:b/>
          <w:sz w:val="24"/>
        </w:rPr>
      </w:pPr>
      <w:r w:rsidRPr="002A333D">
        <w:rPr>
          <w:rFonts w:ascii="Arial" w:hAnsi="Arial"/>
          <w:b/>
          <w:color w:val="E0251B"/>
          <w:sz w:val="24"/>
          <w:szCs w:val="24"/>
        </w:rPr>
        <w:t>A</w:t>
      </w:r>
      <w:r w:rsidR="009A3F0E">
        <w:rPr>
          <w:rFonts w:ascii="Arial" w:hAnsi="Arial"/>
          <w:b/>
          <w:color w:val="E0251B"/>
          <w:sz w:val="24"/>
          <w:szCs w:val="24"/>
        </w:rPr>
        <w:t xml:space="preserve">n attractive </w:t>
      </w:r>
      <w:r w:rsidR="00C90B4D">
        <w:rPr>
          <w:rFonts w:ascii="Arial" w:hAnsi="Arial"/>
          <w:b/>
          <w:color w:val="E0251B"/>
          <w:sz w:val="24"/>
          <w:szCs w:val="24"/>
        </w:rPr>
        <w:t xml:space="preserve">feature </w:t>
      </w:r>
      <w:r w:rsidRPr="002A333D">
        <w:rPr>
          <w:rFonts w:ascii="Arial" w:hAnsi="Arial"/>
          <w:b/>
          <w:color w:val="E0251B"/>
          <w:sz w:val="24"/>
          <w:szCs w:val="24"/>
        </w:rPr>
        <w:t>of the</w:t>
      </w:r>
      <w:r w:rsidR="006A0695" w:rsidRPr="002A333D">
        <w:rPr>
          <w:rFonts w:ascii="Arial" w:hAnsi="Arial"/>
          <w:b/>
          <w:color w:val="E0251B"/>
          <w:sz w:val="24"/>
          <w:szCs w:val="24"/>
        </w:rPr>
        <w:t xml:space="preserve"> Santa Cruz</w:t>
      </w:r>
      <w:r w:rsidRPr="002A333D">
        <w:rPr>
          <w:rFonts w:ascii="Arial" w:hAnsi="Arial"/>
          <w:b/>
          <w:color w:val="E0251B"/>
          <w:sz w:val="24"/>
          <w:szCs w:val="24"/>
        </w:rPr>
        <w:t xml:space="preserve"> Mineral Resource Estimate is the amount of metal at higher cut-off grades. </w:t>
      </w:r>
      <w:r w:rsidR="00755241" w:rsidRPr="002A333D">
        <w:rPr>
          <w:rFonts w:ascii="Arial" w:hAnsi="Arial"/>
          <w:b/>
          <w:color w:val="E0251B"/>
          <w:sz w:val="24"/>
        </w:rPr>
        <w:t>This higher-grade material tends to be in the acid</w:t>
      </w:r>
      <w:r w:rsidR="00862D6A">
        <w:rPr>
          <w:rFonts w:ascii="Arial" w:hAnsi="Arial"/>
          <w:b/>
          <w:color w:val="E0251B"/>
          <w:sz w:val="24"/>
        </w:rPr>
        <w:t xml:space="preserve">- </w:t>
      </w:r>
      <w:r w:rsidR="00755241" w:rsidRPr="002A333D">
        <w:rPr>
          <w:rFonts w:ascii="Arial" w:hAnsi="Arial"/>
          <w:b/>
          <w:color w:val="E0251B"/>
          <w:sz w:val="24"/>
        </w:rPr>
        <w:t>and cyanide</w:t>
      </w:r>
      <w:r w:rsidR="00862D6A">
        <w:rPr>
          <w:rFonts w:ascii="Arial" w:hAnsi="Arial"/>
          <w:b/>
          <w:color w:val="E0251B"/>
          <w:sz w:val="24"/>
        </w:rPr>
        <w:t>-</w:t>
      </w:r>
      <w:r w:rsidR="00755241" w:rsidRPr="002A333D">
        <w:rPr>
          <w:rFonts w:ascii="Arial" w:hAnsi="Arial"/>
          <w:b/>
          <w:color w:val="E0251B"/>
          <w:sz w:val="24"/>
        </w:rPr>
        <w:t xml:space="preserve">soluble categories, potentially allowing for lower cost, lower </w:t>
      </w:r>
      <w:proofErr w:type="gramStart"/>
      <w:r w:rsidR="00755241" w:rsidRPr="002A333D">
        <w:rPr>
          <w:rFonts w:ascii="Arial" w:hAnsi="Arial"/>
          <w:b/>
          <w:color w:val="E0251B"/>
          <w:sz w:val="24"/>
        </w:rPr>
        <w:t>energy</w:t>
      </w:r>
      <w:proofErr w:type="gramEnd"/>
      <w:r w:rsidR="00755241" w:rsidRPr="002A333D">
        <w:rPr>
          <w:rFonts w:ascii="Arial" w:hAnsi="Arial"/>
          <w:b/>
          <w:color w:val="E0251B"/>
          <w:sz w:val="24"/>
        </w:rPr>
        <w:t xml:space="preserve"> and lower water-consuming processing methods. </w:t>
      </w:r>
      <w:r w:rsidRPr="00D11A02">
        <w:rPr>
          <w:rFonts w:ascii="Arial" w:hAnsi="Arial"/>
          <w:b/>
          <w:sz w:val="24"/>
          <w:szCs w:val="24"/>
        </w:rPr>
        <w:t xml:space="preserve">At a 0.39% </w:t>
      </w:r>
      <w:r w:rsidR="006A0695">
        <w:rPr>
          <w:rFonts w:ascii="Arial" w:hAnsi="Arial"/>
          <w:b/>
          <w:sz w:val="24"/>
          <w:szCs w:val="24"/>
        </w:rPr>
        <w:t>copper</w:t>
      </w:r>
      <w:r w:rsidRPr="00D11A02">
        <w:rPr>
          <w:rFonts w:ascii="Arial" w:hAnsi="Arial"/>
          <w:b/>
          <w:sz w:val="24"/>
          <w:szCs w:val="24"/>
        </w:rPr>
        <w:t xml:space="preserve"> cut-off grade, the resource contains 2.5</w:t>
      </w:r>
      <w:r w:rsidR="006A0695">
        <w:rPr>
          <w:rFonts w:ascii="Arial" w:hAnsi="Arial"/>
          <w:b/>
          <w:sz w:val="24"/>
          <w:szCs w:val="24"/>
        </w:rPr>
        <w:t xml:space="preserve"> million tonnes</w:t>
      </w:r>
      <w:r w:rsidRPr="00D11A02">
        <w:rPr>
          <w:rFonts w:ascii="Arial" w:hAnsi="Arial"/>
          <w:b/>
          <w:sz w:val="24"/>
          <w:szCs w:val="24"/>
        </w:rPr>
        <w:t xml:space="preserve"> of </w:t>
      </w:r>
      <w:r w:rsidR="006A0695">
        <w:rPr>
          <w:rFonts w:ascii="Arial" w:hAnsi="Arial"/>
          <w:b/>
          <w:sz w:val="24"/>
          <w:szCs w:val="24"/>
        </w:rPr>
        <w:t xml:space="preserve">copper </w:t>
      </w:r>
      <w:r w:rsidRPr="00D11A02">
        <w:rPr>
          <w:rFonts w:ascii="Arial" w:hAnsi="Arial"/>
          <w:b/>
          <w:sz w:val="24"/>
          <w:szCs w:val="24"/>
        </w:rPr>
        <w:t xml:space="preserve">in the Indicated category with an average grade of 0.9% </w:t>
      </w:r>
      <w:r w:rsidR="006A0695">
        <w:rPr>
          <w:rFonts w:ascii="Arial" w:hAnsi="Arial"/>
          <w:b/>
          <w:sz w:val="24"/>
          <w:szCs w:val="24"/>
        </w:rPr>
        <w:t>copper</w:t>
      </w:r>
      <w:r w:rsidR="00862D6A">
        <w:rPr>
          <w:rFonts w:ascii="Arial" w:hAnsi="Arial"/>
          <w:b/>
          <w:sz w:val="24"/>
          <w:szCs w:val="24"/>
        </w:rPr>
        <w:t>,</w:t>
      </w:r>
      <w:r w:rsidR="006A0695">
        <w:rPr>
          <w:rFonts w:ascii="Arial" w:hAnsi="Arial"/>
          <w:b/>
          <w:sz w:val="24"/>
          <w:szCs w:val="24"/>
        </w:rPr>
        <w:t xml:space="preserve"> </w:t>
      </w:r>
      <w:r w:rsidRPr="00D11A02">
        <w:rPr>
          <w:rFonts w:ascii="Arial" w:hAnsi="Arial"/>
          <w:b/>
          <w:sz w:val="24"/>
          <w:szCs w:val="24"/>
        </w:rPr>
        <w:t>and 2.</w:t>
      </w:r>
      <w:r w:rsidR="006A0695">
        <w:rPr>
          <w:rFonts w:ascii="Arial" w:hAnsi="Arial"/>
          <w:b/>
          <w:sz w:val="24"/>
          <w:szCs w:val="24"/>
        </w:rPr>
        <w:t>3 million tonnes</w:t>
      </w:r>
      <w:r w:rsidRPr="00D11A02">
        <w:rPr>
          <w:rFonts w:ascii="Arial" w:hAnsi="Arial"/>
          <w:b/>
          <w:sz w:val="24"/>
          <w:szCs w:val="24"/>
        </w:rPr>
        <w:t xml:space="preserve"> </w:t>
      </w:r>
      <w:r w:rsidR="00755241">
        <w:rPr>
          <w:rFonts w:ascii="Arial" w:hAnsi="Arial"/>
          <w:b/>
          <w:sz w:val="24"/>
          <w:szCs w:val="24"/>
        </w:rPr>
        <w:t>of copper</w:t>
      </w:r>
      <w:r w:rsidRPr="00D11A02">
        <w:rPr>
          <w:rFonts w:ascii="Arial" w:hAnsi="Arial"/>
          <w:b/>
          <w:sz w:val="24"/>
          <w:szCs w:val="24"/>
        </w:rPr>
        <w:t xml:space="preserve"> in the Inferred category with an average grade of 0.9% </w:t>
      </w:r>
      <w:r w:rsidR="00755241">
        <w:rPr>
          <w:rFonts w:ascii="Arial" w:hAnsi="Arial"/>
          <w:b/>
          <w:sz w:val="24"/>
          <w:szCs w:val="24"/>
        </w:rPr>
        <w:t>copper</w:t>
      </w:r>
      <w:r w:rsidRPr="00D11A02">
        <w:rPr>
          <w:rFonts w:ascii="Arial" w:hAnsi="Arial"/>
          <w:b/>
          <w:sz w:val="24"/>
          <w:szCs w:val="24"/>
        </w:rPr>
        <w:t>.</w:t>
      </w:r>
      <w:r w:rsidR="00333AE0">
        <w:rPr>
          <w:rFonts w:ascii="Arial" w:hAnsi="Arial"/>
          <w:bCs/>
          <w:sz w:val="24"/>
          <w:szCs w:val="24"/>
        </w:rPr>
        <w:t xml:space="preserve"> </w:t>
      </w:r>
      <w:r w:rsidRPr="00D11A02">
        <w:rPr>
          <w:rFonts w:ascii="Arial" w:hAnsi="Arial"/>
          <w:b/>
          <w:sz w:val="24"/>
          <w:szCs w:val="24"/>
        </w:rPr>
        <w:t xml:space="preserve">However, when a 1% </w:t>
      </w:r>
      <w:r w:rsidR="00333AE0">
        <w:rPr>
          <w:rFonts w:ascii="Arial" w:hAnsi="Arial"/>
          <w:b/>
          <w:sz w:val="24"/>
          <w:szCs w:val="24"/>
        </w:rPr>
        <w:t>copper</w:t>
      </w:r>
      <w:r w:rsidRPr="00D11A02">
        <w:rPr>
          <w:rFonts w:ascii="Arial" w:hAnsi="Arial"/>
          <w:b/>
          <w:sz w:val="24"/>
          <w:szCs w:val="24"/>
        </w:rPr>
        <w:t xml:space="preserve"> cut-off grade is applied, Santa Cruz maintains nearly 60% of its contained metal, with 1.4</w:t>
      </w:r>
      <w:r w:rsidR="006A0695">
        <w:rPr>
          <w:rFonts w:ascii="Arial" w:hAnsi="Arial"/>
          <w:b/>
          <w:sz w:val="24"/>
          <w:szCs w:val="24"/>
        </w:rPr>
        <w:t xml:space="preserve"> million tonnes of copper </w:t>
      </w:r>
      <w:r w:rsidRPr="00D11A02">
        <w:rPr>
          <w:rFonts w:ascii="Arial" w:hAnsi="Arial"/>
          <w:b/>
          <w:sz w:val="24"/>
          <w:szCs w:val="24"/>
        </w:rPr>
        <w:t xml:space="preserve">in the Indicated category </w:t>
      </w:r>
      <w:r w:rsidR="00862D6A">
        <w:rPr>
          <w:rFonts w:ascii="Arial" w:hAnsi="Arial"/>
          <w:b/>
          <w:sz w:val="24"/>
          <w:szCs w:val="24"/>
        </w:rPr>
        <w:t>at</w:t>
      </w:r>
      <w:r w:rsidR="00862D6A" w:rsidRPr="00D11A02">
        <w:rPr>
          <w:rFonts w:ascii="Arial" w:hAnsi="Arial"/>
          <w:b/>
          <w:sz w:val="24"/>
          <w:szCs w:val="24"/>
        </w:rPr>
        <w:t xml:space="preserve"> </w:t>
      </w:r>
      <w:r w:rsidRPr="00D11A02">
        <w:rPr>
          <w:rFonts w:ascii="Arial" w:hAnsi="Arial"/>
          <w:b/>
          <w:sz w:val="24"/>
          <w:szCs w:val="24"/>
        </w:rPr>
        <w:t>an average grade of 1.</w:t>
      </w:r>
      <w:r w:rsidR="006A0695">
        <w:rPr>
          <w:rFonts w:ascii="Arial" w:hAnsi="Arial"/>
          <w:b/>
          <w:sz w:val="24"/>
          <w:szCs w:val="24"/>
        </w:rPr>
        <w:t>7</w:t>
      </w:r>
      <w:r w:rsidRPr="00D11A02">
        <w:rPr>
          <w:rFonts w:ascii="Arial" w:hAnsi="Arial"/>
          <w:b/>
          <w:sz w:val="24"/>
          <w:szCs w:val="24"/>
        </w:rPr>
        <w:t xml:space="preserve">% </w:t>
      </w:r>
      <w:r w:rsidR="006A0695">
        <w:rPr>
          <w:rFonts w:ascii="Arial" w:hAnsi="Arial"/>
          <w:b/>
          <w:sz w:val="24"/>
          <w:szCs w:val="24"/>
        </w:rPr>
        <w:t xml:space="preserve">copper </w:t>
      </w:r>
      <w:r w:rsidRPr="00D11A02">
        <w:rPr>
          <w:rFonts w:ascii="Arial" w:hAnsi="Arial"/>
          <w:b/>
          <w:sz w:val="24"/>
          <w:szCs w:val="24"/>
        </w:rPr>
        <w:t>and 1.</w:t>
      </w:r>
      <w:r w:rsidR="006A0695">
        <w:rPr>
          <w:rFonts w:ascii="Arial" w:hAnsi="Arial"/>
          <w:b/>
          <w:sz w:val="24"/>
          <w:szCs w:val="24"/>
        </w:rPr>
        <w:t xml:space="preserve">4 million tonnes of copper </w:t>
      </w:r>
      <w:r w:rsidRPr="00D11A02">
        <w:rPr>
          <w:rFonts w:ascii="Arial" w:hAnsi="Arial"/>
          <w:b/>
          <w:sz w:val="24"/>
          <w:szCs w:val="24"/>
        </w:rPr>
        <w:t xml:space="preserve">in the Inferred category </w:t>
      </w:r>
      <w:r w:rsidR="00862D6A">
        <w:rPr>
          <w:rFonts w:ascii="Arial" w:hAnsi="Arial"/>
          <w:b/>
          <w:sz w:val="24"/>
          <w:szCs w:val="24"/>
        </w:rPr>
        <w:t>at</w:t>
      </w:r>
      <w:r w:rsidR="00862D6A" w:rsidRPr="00D11A02">
        <w:rPr>
          <w:rFonts w:ascii="Arial" w:hAnsi="Arial"/>
          <w:b/>
          <w:sz w:val="24"/>
          <w:szCs w:val="24"/>
        </w:rPr>
        <w:t xml:space="preserve"> </w:t>
      </w:r>
      <w:r w:rsidRPr="00D11A02">
        <w:rPr>
          <w:rFonts w:ascii="Arial" w:hAnsi="Arial"/>
          <w:b/>
          <w:sz w:val="24"/>
          <w:szCs w:val="24"/>
        </w:rPr>
        <w:t xml:space="preserve">an average grade </w:t>
      </w:r>
      <w:r w:rsidR="00862D6A">
        <w:rPr>
          <w:rFonts w:ascii="Arial" w:hAnsi="Arial"/>
          <w:b/>
          <w:sz w:val="24"/>
          <w:szCs w:val="24"/>
        </w:rPr>
        <w:t>of</w:t>
      </w:r>
      <w:r w:rsidR="00862D6A" w:rsidRPr="00D11A02">
        <w:rPr>
          <w:rFonts w:ascii="Arial" w:hAnsi="Arial"/>
          <w:b/>
          <w:sz w:val="24"/>
          <w:szCs w:val="24"/>
        </w:rPr>
        <w:t xml:space="preserve"> </w:t>
      </w:r>
      <w:r w:rsidRPr="00D11A02">
        <w:rPr>
          <w:rFonts w:ascii="Arial" w:hAnsi="Arial"/>
          <w:b/>
          <w:sz w:val="24"/>
          <w:szCs w:val="24"/>
        </w:rPr>
        <w:t>1.</w:t>
      </w:r>
      <w:r w:rsidR="006A0695">
        <w:rPr>
          <w:rFonts w:ascii="Arial" w:hAnsi="Arial"/>
          <w:b/>
          <w:sz w:val="24"/>
          <w:szCs w:val="24"/>
        </w:rPr>
        <w:t>9</w:t>
      </w:r>
      <w:r w:rsidRPr="00D11A02">
        <w:rPr>
          <w:rFonts w:ascii="Arial" w:hAnsi="Arial"/>
          <w:b/>
          <w:sz w:val="24"/>
          <w:szCs w:val="24"/>
        </w:rPr>
        <w:t xml:space="preserve">% </w:t>
      </w:r>
      <w:r w:rsidR="006A0695">
        <w:rPr>
          <w:rFonts w:ascii="Arial" w:hAnsi="Arial"/>
          <w:b/>
          <w:sz w:val="24"/>
          <w:szCs w:val="24"/>
        </w:rPr>
        <w:t>copper</w:t>
      </w:r>
      <w:r w:rsidRPr="00D11A02">
        <w:rPr>
          <w:rFonts w:ascii="Arial" w:hAnsi="Arial"/>
          <w:b/>
          <w:sz w:val="24"/>
          <w:szCs w:val="24"/>
        </w:rPr>
        <w:t>.</w:t>
      </w:r>
      <w:r w:rsidR="00755241">
        <w:rPr>
          <w:rFonts w:ascii="Arial" w:hAnsi="Arial"/>
          <w:b/>
          <w:sz w:val="24"/>
          <w:szCs w:val="24"/>
        </w:rPr>
        <w:t xml:space="preserve"> </w:t>
      </w:r>
    </w:p>
    <w:p w14:paraId="57940725" w14:textId="77777777" w:rsidR="00A03CCF" w:rsidRPr="00D11A02" w:rsidRDefault="00A03CCF" w:rsidP="00F55868">
      <w:pPr>
        <w:spacing w:after="0" w:line="240" w:lineRule="auto"/>
        <w:rPr>
          <w:rFonts w:ascii="Arial" w:hAnsi="Arial"/>
          <w:b/>
          <w:sz w:val="24"/>
          <w:szCs w:val="24"/>
        </w:rPr>
      </w:pPr>
    </w:p>
    <w:p w14:paraId="5A0132AE" w14:textId="35B4D0A5" w:rsidR="00A03CCF" w:rsidRPr="00D11A02" w:rsidRDefault="00A03CCF" w:rsidP="00F55868">
      <w:pPr>
        <w:spacing w:after="0" w:line="240" w:lineRule="auto"/>
        <w:rPr>
          <w:rFonts w:ascii="Arial" w:hAnsi="Arial"/>
          <w:bCs/>
          <w:sz w:val="24"/>
          <w:szCs w:val="24"/>
        </w:rPr>
      </w:pPr>
    </w:p>
    <w:p w14:paraId="52702D2B" w14:textId="21324E7B" w:rsidR="00D11A02" w:rsidRPr="00D11A02" w:rsidRDefault="00D11A02" w:rsidP="00F55868">
      <w:pPr>
        <w:spacing w:after="0" w:line="240" w:lineRule="auto"/>
        <w:rPr>
          <w:rFonts w:ascii="Arial" w:hAnsi="Arial"/>
          <w:bCs/>
          <w:sz w:val="24"/>
          <w:szCs w:val="24"/>
        </w:rPr>
      </w:pPr>
      <w:r w:rsidRPr="00D11A02">
        <w:rPr>
          <w:rFonts w:ascii="Arial" w:hAnsi="Arial"/>
          <w:b/>
          <w:sz w:val="26"/>
          <w:szCs w:val="26"/>
        </w:rPr>
        <w:t xml:space="preserve">The Santa Cruz Deposit compares favorably </w:t>
      </w:r>
      <w:r>
        <w:rPr>
          <w:rFonts w:ascii="Arial" w:hAnsi="Arial"/>
          <w:b/>
          <w:sz w:val="26"/>
          <w:szCs w:val="26"/>
        </w:rPr>
        <w:t xml:space="preserve">to other </w:t>
      </w:r>
      <w:r w:rsidRPr="00D11A02">
        <w:rPr>
          <w:rFonts w:ascii="Arial" w:hAnsi="Arial"/>
          <w:b/>
          <w:sz w:val="26"/>
          <w:szCs w:val="26"/>
        </w:rPr>
        <w:t xml:space="preserve">large-scale United States </w:t>
      </w:r>
      <w:r>
        <w:rPr>
          <w:rFonts w:ascii="Arial" w:hAnsi="Arial"/>
          <w:b/>
          <w:sz w:val="26"/>
          <w:szCs w:val="26"/>
        </w:rPr>
        <w:t xml:space="preserve">copper </w:t>
      </w:r>
      <w:r w:rsidRPr="00D11A02">
        <w:rPr>
          <w:rFonts w:ascii="Arial" w:hAnsi="Arial"/>
          <w:b/>
          <w:sz w:val="26"/>
          <w:szCs w:val="26"/>
        </w:rPr>
        <w:t>projects </w:t>
      </w:r>
      <w:r w:rsidR="005278A5" w:rsidRPr="00D11A02">
        <w:rPr>
          <w:rFonts w:ascii="Arial" w:hAnsi="Arial"/>
          <w:b/>
          <w:sz w:val="26"/>
          <w:szCs w:val="26"/>
        </w:rPr>
        <w:t>(</w:t>
      </w:r>
      <w:r w:rsidR="005278A5">
        <w:rPr>
          <w:rFonts w:ascii="Arial" w:hAnsi="Arial"/>
          <w:b/>
          <w:sz w:val="26"/>
          <w:szCs w:val="26"/>
        </w:rPr>
        <w:t>contained</w:t>
      </w:r>
      <w:r w:rsidRPr="00D11A02">
        <w:rPr>
          <w:rFonts w:ascii="Arial" w:hAnsi="Arial"/>
          <w:b/>
          <w:sz w:val="26"/>
          <w:szCs w:val="26"/>
        </w:rPr>
        <w:t xml:space="preserve"> copper </w:t>
      </w:r>
      <w:r>
        <w:rPr>
          <w:rFonts w:ascii="Arial" w:hAnsi="Arial"/>
          <w:b/>
          <w:sz w:val="26"/>
          <w:szCs w:val="26"/>
        </w:rPr>
        <w:t xml:space="preserve">in </w:t>
      </w:r>
      <w:r w:rsidRPr="00D11A02">
        <w:rPr>
          <w:rFonts w:ascii="Arial" w:hAnsi="Arial"/>
          <w:b/>
          <w:sz w:val="26"/>
          <w:szCs w:val="26"/>
        </w:rPr>
        <w:t>million</w:t>
      </w:r>
      <w:r>
        <w:rPr>
          <w:rFonts w:ascii="Arial" w:hAnsi="Arial"/>
          <w:b/>
          <w:sz w:val="26"/>
          <w:szCs w:val="26"/>
        </w:rPr>
        <w:t>s</w:t>
      </w:r>
      <w:r w:rsidRPr="00D11A02">
        <w:rPr>
          <w:rFonts w:ascii="Arial" w:hAnsi="Arial"/>
          <w:b/>
          <w:sz w:val="26"/>
          <w:szCs w:val="26"/>
        </w:rPr>
        <w:t xml:space="preserve"> </w:t>
      </w:r>
      <w:r>
        <w:rPr>
          <w:rFonts w:ascii="Arial" w:hAnsi="Arial"/>
          <w:b/>
          <w:sz w:val="26"/>
          <w:szCs w:val="26"/>
        </w:rPr>
        <w:t xml:space="preserve">of </w:t>
      </w:r>
      <w:r w:rsidRPr="00D11A02">
        <w:rPr>
          <w:rFonts w:ascii="Arial" w:hAnsi="Arial"/>
          <w:b/>
          <w:sz w:val="26"/>
          <w:szCs w:val="26"/>
        </w:rPr>
        <w:t>tonnes).</w:t>
      </w:r>
    </w:p>
    <w:p w14:paraId="3481BBB0" w14:textId="77777777" w:rsidR="00D11A02" w:rsidRPr="00C47D7B" w:rsidRDefault="00D11A02" w:rsidP="00D11A02">
      <w:pPr>
        <w:spacing w:after="0" w:line="240" w:lineRule="auto"/>
        <w:rPr>
          <w:rFonts w:ascii="Arial" w:hAnsi="Arial"/>
          <w:b/>
          <w:sz w:val="24"/>
          <w:szCs w:val="24"/>
        </w:rPr>
      </w:pPr>
      <w:r w:rsidRPr="00F55868">
        <w:rPr>
          <w:noProof/>
          <w:lang w:val="en-CA"/>
        </w:rPr>
        <w:drawing>
          <wp:anchor distT="0" distB="0" distL="114300" distR="114300" simplePos="0" relativeHeight="251674112" behindDoc="1" locked="0" layoutInCell="1" allowOverlap="1" wp14:anchorId="515805A1" wp14:editId="38DCC0D7">
            <wp:simplePos x="0" y="0"/>
            <wp:positionH relativeFrom="margin">
              <wp:align>right</wp:align>
            </wp:positionH>
            <wp:positionV relativeFrom="paragraph">
              <wp:posOffset>171450</wp:posOffset>
            </wp:positionV>
            <wp:extent cx="6400800" cy="2251710"/>
            <wp:effectExtent l="0" t="0" r="0" b="0"/>
            <wp:wrapTight wrapText="bothSides">
              <wp:wrapPolygon edited="0">
                <wp:start x="0" y="0"/>
                <wp:lineTo x="0" y="21381"/>
                <wp:lineTo x="21536" y="21381"/>
                <wp:lineTo x="21536" y="0"/>
                <wp:lineTo x="0" y="0"/>
              </wp:wrapPolygon>
            </wp:wrapTight>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0800" cy="2251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2125B6" w14:textId="10AEF652" w:rsidR="00B62ADE" w:rsidRPr="00C47D7B" w:rsidRDefault="00C47D7B" w:rsidP="00B62ADE">
      <w:pPr>
        <w:spacing w:after="0" w:line="240" w:lineRule="auto"/>
        <w:rPr>
          <w:rFonts w:ascii="Arial" w:hAnsi="Arial" w:cs="Arial"/>
          <w:b/>
          <w:sz w:val="24"/>
          <w:szCs w:val="24"/>
          <w:lang w:eastAsia="en-US"/>
        </w:rPr>
      </w:pPr>
      <w:r>
        <w:rPr>
          <w:rFonts w:ascii="Arial" w:hAnsi="Arial" w:cs="Arial"/>
          <w:b/>
          <w:sz w:val="24"/>
          <w:szCs w:val="24"/>
          <w:lang w:eastAsia="en-US"/>
        </w:rPr>
        <w:t>M</w:t>
      </w:r>
      <w:r w:rsidR="00B62ADE" w:rsidRPr="00C47D7B">
        <w:rPr>
          <w:rFonts w:ascii="Arial" w:hAnsi="Arial" w:cs="Arial"/>
          <w:b/>
          <w:sz w:val="24"/>
          <w:szCs w:val="24"/>
          <w:lang w:eastAsia="en-US"/>
        </w:rPr>
        <w:t xml:space="preserve">ineralization at the Santa Cruz deposit can be divided into three main domains: </w:t>
      </w:r>
    </w:p>
    <w:p w14:paraId="6DB08710" w14:textId="77777777" w:rsidR="00B62ADE" w:rsidRPr="00C47D7B" w:rsidRDefault="00B62ADE" w:rsidP="00B62ADE">
      <w:pPr>
        <w:spacing w:after="0" w:line="240" w:lineRule="auto"/>
        <w:rPr>
          <w:rFonts w:ascii="Arial" w:hAnsi="Arial" w:cs="Arial"/>
          <w:b/>
          <w:sz w:val="24"/>
          <w:szCs w:val="24"/>
          <w:lang w:eastAsia="en-US"/>
        </w:rPr>
      </w:pPr>
    </w:p>
    <w:p w14:paraId="20E9D303" w14:textId="0969F818" w:rsidR="006A0695" w:rsidRPr="006A0695" w:rsidRDefault="00B62ADE" w:rsidP="00F55868">
      <w:pPr>
        <w:numPr>
          <w:ilvl w:val="0"/>
          <w:numId w:val="8"/>
        </w:numPr>
        <w:spacing w:after="0" w:line="240" w:lineRule="auto"/>
        <w:ind w:left="708" w:hanging="578"/>
        <w:rPr>
          <w:rFonts w:ascii="Arial" w:eastAsia="Times New Roman" w:hAnsi="Arial" w:cs="Arial"/>
          <w:b/>
          <w:sz w:val="24"/>
          <w:szCs w:val="24"/>
          <w:lang w:eastAsia="en-US"/>
        </w:rPr>
      </w:pPr>
      <w:r w:rsidRPr="006A0695">
        <w:rPr>
          <w:rFonts w:ascii="Arial" w:eastAsia="Times New Roman" w:hAnsi="Arial" w:cs="Arial"/>
          <w:b/>
          <w:color w:val="E0251B"/>
          <w:sz w:val="24"/>
          <w:szCs w:val="24"/>
          <w:lang w:eastAsia="en-US"/>
        </w:rPr>
        <w:t xml:space="preserve">Supergene oxide mineralization </w:t>
      </w:r>
      <w:r w:rsidRPr="006A0695">
        <w:rPr>
          <w:rFonts w:ascii="Arial" w:eastAsia="Times New Roman" w:hAnsi="Arial" w:cs="Arial"/>
          <w:b/>
          <w:sz w:val="24"/>
          <w:szCs w:val="24"/>
          <w:lang w:eastAsia="en-US"/>
        </w:rPr>
        <w:t>forms the uppermost zone of mineralization and is dominated by chrysocolla (a copper oxide that is 34% copper by weight) and atacamite (a copper chloride that is 60% copper by weight).</w:t>
      </w:r>
      <w:r w:rsidR="006A0695" w:rsidRPr="006A0695">
        <w:rPr>
          <w:rFonts w:ascii="Arial" w:eastAsia="Times New Roman" w:hAnsi="Arial" w:cs="Arial"/>
          <w:b/>
          <w:sz w:val="24"/>
          <w:szCs w:val="24"/>
          <w:lang w:eastAsia="en-US"/>
        </w:rPr>
        <w:br w:type="page"/>
      </w:r>
    </w:p>
    <w:p w14:paraId="2DD9BB97" w14:textId="1068B928" w:rsidR="006A0695" w:rsidRPr="006A0695" w:rsidRDefault="00333AE0" w:rsidP="00F55868">
      <w:pPr>
        <w:numPr>
          <w:ilvl w:val="0"/>
          <w:numId w:val="8"/>
        </w:numPr>
        <w:spacing w:after="120" w:line="240" w:lineRule="auto"/>
        <w:ind w:left="708" w:hanging="578"/>
        <w:rPr>
          <w:rFonts w:ascii="Arial" w:eastAsia="Times New Roman" w:hAnsi="Arial" w:cs="Arial"/>
          <w:b/>
          <w:sz w:val="24"/>
          <w:szCs w:val="24"/>
          <w:lang w:eastAsia="en-US"/>
        </w:rPr>
      </w:pPr>
      <w:r>
        <w:rPr>
          <w:rFonts w:ascii="Arial" w:eastAsia="Times New Roman" w:hAnsi="Arial" w:cs="Arial"/>
          <w:b/>
          <w:color w:val="E0251B"/>
          <w:sz w:val="24"/>
          <w:szCs w:val="24"/>
          <w:lang w:eastAsia="en-US"/>
        </w:rPr>
        <w:lastRenderedPageBreak/>
        <w:t xml:space="preserve">Supergene </w:t>
      </w:r>
      <w:r w:rsidR="00B62ADE" w:rsidRPr="006A0695">
        <w:rPr>
          <w:rFonts w:ascii="Arial" w:eastAsia="Times New Roman" w:hAnsi="Arial" w:cs="Arial"/>
          <w:b/>
          <w:color w:val="E0251B"/>
          <w:sz w:val="24"/>
          <w:szCs w:val="24"/>
          <w:lang w:eastAsia="en-US"/>
        </w:rPr>
        <w:t xml:space="preserve">sulfide mineralization </w:t>
      </w:r>
      <w:r w:rsidR="00B62ADE" w:rsidRPr="006A0695">
        <w:rPr>
          <w:rFonts w:ascii="Arial" w:eastAsia="Times New Roman" w:hAnsi="Arial" w:cs="Arial"/>
          <w:b/>
          <w:sz w:val="24"/>
          <w:szCs w:val="24"/>
          <w:lang w:eastAsia="en-US"/>
        </w:rPr>
        <w:t xml:space="preserve">underlies the supergene oxide zone and is comprised </w:t>
      </w:r>
      <w:r>
        <w:rPr>
          <w:rFonts w:ascii="Arial" w:eastAsia="Times New Roman" w:hAnsi="Arial" w:cs="Arial"/>
          <w:b/>
          <w:sz w:val="24"/>
          <w:szCs w:val="24"/>
          <w:lang w:eastAsia="en-US"/>
        </w:rPr>
        <w:t xml:space="preserve">primarily </w:t>
      </w:r>
      <w:r w:rsidR="00B62ADE" w:rsidRPr="006A0695">
        <w:rPr>
          <w:rFonts w:ascii="Arial" w:eastAsia="Times New Roman" w:hAnsi="Arial" w:cs="Arial"/>
          <w:b/>
          <w:sz w:val="24"/>
          <w:szCs w:val="24"/>
          <w:lang w:eastAsia="en-US"/>
        </w:rPr>
        <w:t>of chalcocite (80% copper by weight), with accessory chalcopyrite and pyrite that was incompletely replaced by chalcocite.</w:t>
      </w:r>
    </w:p>
    <w:p w14:paraId="2E7ADD5D" w14:textId="50E0B865" w:rsidR="00B62ADE" w:rsidRPr="00C47D7B" w:rsidRDefault="00B62ADE" w:rsidP="00F55868">
      <w:pPr>
        <w:numPr>
          <w:ilvl w:val="0"/>
          <w:numId w:val="8"/>
        </w:numPr>
        <w:spacing w:after="0" w:line="240" w:lineRule="auto"/>
        <w:ind w:left="709" w:hanging="578"/>
        <w:rPr>
          <w:rFonts w:ascii="Arial" w:eastAsia="Times New Roman" w:hAnsi="Arial" w:cs="Arial"/>
          <w:b/>
          <w:sz w:val="24"/>
          <w:szCs w:val="24"/>
          <w:lang w:eastAsia="en-US"/>
        </w:rPr>
      </w:pPr>
      <w:r w:rsidRPr="00C47D7B">
        <w:rPr>
          <w:rFonts w:ascii="Arial" w:eastAsia="Times New Roman" w:hAnsi="Arial" w:cs="Arial"/>
          <w:b/>
          <w:color w:val="E0251B"/>
          <w:sz w:val="24"/>
          <w:szCs w:val="24"/>
          <w:lang w:eastAsia="en-US"/>
        </w:rPr>
        <w:t>Hypogene sulfide mineralization</w:t>
      </w:r>
      <w:r w:rsidRPr="00C47D7B">
        <w:rPr>
          <w:rFonts w:ascii="Arial" w:eastAsia="Times New Roman" w:hAnsi="Arial" w:cs="Arial"/>
          <w:b/>
          <w:sz w:val="24"/>
          <w:szCs w:val="24"/>
          <w:lang w:eastAsia="en-US"/>
        </w:rPr>
        <w:t xml:space="preserve"> underlies the supergene sulfide zone and consists of chalcopyrite (35% copper by weight), pyrite, molybdenite, </w:t>
      </w:r>
      <w:r w:rsidR="00333AE0">
        <w:rPr>
          <w:rFonts w:ascii="Arial" w:eastAsia="Times New Roman" w:hAnsi="Arial" w:cs="Arial"/>
          <w:b/>
          <w:sz w:val="24"/>
          <w:szCs w:val="24"/>
          <w:lang w:eastAsia="en-US"/>
        </w:rPr>
        <w:t xml:space="preserve">and </w:t>
      </w:r>
      <w:r w:rsidRPr="00C47D7B">
        <w:rPr>
          <w:rFonts w:ascii="Arial" w:eastAsia="Times New Roman" w:hAnsi="Arial" w:cs="Arial"/>
          <w:b/>
          <w:sz w:val="24"/>
          <w:szCs w:val="24"/>
          <w:lang w:eastAsia="en-US"/>
        </w:rPr>
        <w:t>minor bornite and covellite</w:t>
      </w:r>
      <w:r w:rsidR="00333AE0">
        <w:rPr>
          <w:rFonts w:ascii="Arial" w:eastAsia="Times New Roman" w:hAnsi="Arial" w:cs="Arial"/>
          <w:b/>
          <w:sz w:val="24"/>
          <w:szCs w:val="24"/>
          <w:lang w:eastAsia="en-US"/>
        </w:rPr>
        <w:t>,</w:t>
      </w:r>
      <w:r w:rsidRPr="00C47D7B">
        <w:rPr>
          <w:rFonts w:ascii="Arial" w:eastAsia="Times New Roman" w:hAnsi="Arial" w:cs="Arial"/>
          <w:b/>
          <w:sz w:val="24"/>
          <w:szCs w:val="24"/>
          <w:lang w:eastAsia="en-US"/>
        </w:rPr>
        <w:t xml:space="preserve"> hosted within porphyry-style </w:t>
      </w:r>
      <w:r w:rsidR="00333AE0">
        <w:rPr>
          <w:rFonts w:ascii="Arial" w:eastAsia="Times New Roman" w:hAnsi="Arial" w:cs="Arial"/>
          <w:b/>
          <w:sz w:val="24"/>
          <w:szCs w:val="24"/>
          <w:lang w:eastAsia="en-US"/>
        </w:rPr>
        <w:t xml:space="preserve">phyllic </w:t>
      </w:r>
      <w:r w:rsidRPr="00C47D7B">
        <w:rPr>
          <w:rFonts w:ascii="Arial" w:eastAsia="Times New Roman" w:hAnsi="Arial" w:cs="Arial"/>
          <w:b/>
          <w:sz w:val="24"/>
          <w:szCs w:val="24"/>
          <w:lang w:eastAsia="en-US"/>
        </w:rPr>
        <w:t xml:space="preserve">alteration. Intensity of mineralization is highest around Laramide-age dyke intrusions that cut the </w:t>
      </w:r>
      <w:r w:rsidR="00333AE0">
        <w:rPr>
          <w:rFonts w:ascii="Arial" w:eastAsia="Times New Roman" w:hAnsi="Arial" w:cs="Arial"/>
          <w:b/>
          <w:sz w:val="24"/>
          <w:szCs w:val="24"/>
          <w:lang w:eastAsia="en-US"/>
        </w:rPr>
        <w:t xml:space="preserve">mineralized </w:t>
      </w:r>
      <w:r w:rsidRPr="00C47D7B">
        <w:rPr>
          <w:rFonts w:ascii="Arial" w:eastAsia="Times New Roman" w:hAnsi="Arial" w:cs="Arial"/>
          <w:b/>
          <w:sz w:val="24"/>
          <w:szCs w:val="24"/>
          <w:lang w:eastAsia="en-US"/>
        </w:rPr>
        <w:t xml:space="preserve">Proterozoic-age Oracle Granite </w:t>
      </w:r>
      <w:r w:rsidR="00333AE0">
        <w:rPr>
          <w:rFonts w:ascii="Arial" w:eastAsia="Times New Roman" w:hAnsi="Arial" w:cs="Arial"/>
          <w:b/>
          <w:sz w:val="24"/>
          <w:szCs w:val="24"/>
          <w:lang w:eastAsia="en-US"/>
        </w:rPr>
        <w:t>country</w:t>
      </w:r>
      <w:r w:rsidRPr="00C47D7B">
        <w:rPr>
          <w:rFonts w:ascii="Arial" w:eastAsia="Times New Roman" w:hAnsi="Arial" w:cs="Arial"/>
          <w:b/>
          <w:sz w:val="24"/>
          <w:szCs w:val="24"/>
          <w:lang w:eastAsia="en-US"/>
        </w:rPr>
        <w:t xml:space="preserve"> rock. </w:t>
      </w:r>
    </w:p>
    <w:p w14:paraId="3A8B00CB" w14:textId="77777777" w:rsidR="00B62ADE" w:rsidRPr="00C47D7B" w:rsidRDefault="00B62ADE" w:rsidP="00F55868">
      <w:pPr>
        <w:spacing w:after="0" w:line="240" w:lineRule="auto"/>
        <w:rPr>
          <w:rFonts w:ascii="Arial" w:hAnsi="Arial" w:cs="Arial"/>
          <w:b/>
          <w:sz w:val="24"/>
          <w:szCs w:val="24"/>
          <w:lang w:eastAsia="en-US"/>
        </w:rPr>
      </w:pPr>
    </w:p>
    <w:p w14:paraId="01AA3495" w14:textId="68DD3B4E" w:rsidR="00B62ADE" w:rsidRPr="00C47D7B" w:rsidRDefault="00B62ADE" w:rsidP="00F55868">
      <w:pPr>
        <w:spacing w:after="0" w:line="240" w:lineRule="auto"/>
        <w:rPr>
          <w:rFonts w:ascii="Arial" w:hAnsi="Arial" w:cs="Arial"/>
          <w:b/>
          <w:sz w:val="24"/>
          <w:szCs w:val="24"/>
          <w:lang w:eastAsia="en-US"/>
        </w:rPr>
      </w:pPr>
      <w:r w:rsidRPr="00C47D7B">
        <w:rPr>
          <w:rFonts w:ascii="Arial" w:hAnsi="Arial" w:cs="Arial"/>
          <w:b/>
          <w:sz w:val="24"/>
          <w:szCs w:val="24"/>
          <w:lang w:eastAsia="en-US"/>
        </w:rPr>
        <w:t xml:space="preserve">A fourth mineralization domain, </w:t>
      </w:r>
      <w:r w:rsidRPr="00C47D7B">
        <w:rPr>
          <w:rFonts w:ascii="Arial" w:hAnsi="Arial" w:cs="Arial"/>
          <w:b/>
          <w:color w:val="E0251B"/>
          <w:sz w:val="24"/>
          <w:szCs w:val="24"/>
          <w:lang w:eastAsia="en-US"/>
        </w:rPr>
        <w:t>exotic oxide mineralization</w:t>
      </w:r>
      <w:r w:rsidRPr="00C47D7B">
        <w:rPr>
          <w:rFonts w:ascii="Arial" w:hAnsi="Arial" w:cs="Arial"/>
          <w:b/>
          <w:sz w:val="24"/>
          <w:szCs w:val="24"/>
          <w:lang w:eastAsia="en-US"/>
        </w:rPr>
        <w:t xml:space="preserve">, is of more limited </w:t>
      </w:r>
      <w:r w:rsidR="001179FD">
        <w:rPr>
          <w:rFonts w:ascii="Arial" w:hAnsi="Arial" w:cs="Arial"/>
          <w:b/>
          <w:sz w:val="24"/>
          <w:szCs w:val="24"/>
          <w:lang w:eastAsia="en-US"/>
        </w:rPr>
        <w:t xml:space="preserve">known </w:t>
      </w:r>
      <w:r w:rsidRPr="00C47D7B">
        <w:rPr>
          <w:rFonts w:ascii="Arial" w:hAnsi="Arial" w:cs="Arial"/>
          <w:b/>
          <w:sz w:val="24"/>
          <w:szCs w:val="24"/>
          <w:lang w:eastAsia="en-US"/>
        </w:rPr>
        <w:t xml:space="preserve">occurrence and forms very </w:t>
      </w:r>
      <w:r w:rsidR="005278A5" w:rsidRPr="00C47D7B">
        <w:rPr>
          <w:rFonts w:ascii="Arial" w:hAnsi="Arial" w:cs="Arial"/>
          <w:b/>
          <w:sz w:val="24"/>
          <w:szCs w:val="24"/>
          <w:lang w:eastAsia="en-US"/>
        </w:rPr>
        <w:t>high-grade</w:t>
      </w:r>
      <w:r w:rsidRPr="00C47D7B">
        <w:rPr>
          <w:rFonts w:ascii="Arial" w:hAnsi="Arial" w:cs="Arial"/>
          <w:b/>
          <w:sz w:val="24"/>
          <w:szCs w:val="24"/>
          <w:lang w:eastAsia="en-US"/>
        </w:rPr>
        <w:t xml:space="preserve"> mineralization in paleo-valleys at the contact of the mineralized bedrock and the overlying gravel cover. This mineralization formed in basal gravels through precipitation of copper dissolved in migrating groundwater. These zones represent important </w:t>
      </w:r>
      <w:r w:rsidR="00206409">
        <w:rPr>
          <w:rFonts w:ascii="Arial" w:hAnsi="Arial" w:cs="Arial"/>
          <w:b/>
          <w:sz w:val="24"/>
          <w:szCs w:val="24"/>
          <w:lang w:eastAsia="en-US"/>
        </w:rPr>
        <w:t xml:space="preserve">areas for </w:t>
      </w:r>
      <w:r w:rsidRPr="00C47D7B">
        <w:rPr>
          <w:rFonts w:ascii="Arial" w:hAnsi="Arial" w:cs="Arial"/>
          <w:b/>
          <w:sz w:val="24"/>
          <w:szCs w:val="24"/>
          <w:lang w:eastAsia="en-US"/>
        </w:rPr>
        <w:t xml:space="preserve">exploration as they can be spectacularly high grade, </w:t>
      </w:r>
      <w:r w:rsidR="00C47D7B" w:rsidRPr="00C47D7B">
        <w:rPr>
          <w:rFonts w:ascii="Arial" w:hAnsi="Arial" w:cs="Arial"/>
          <w:b/>
          <w:sz w:val="24"/>
          <w:szCs w:val="24"/>
          <w:lang w:eastAsia="en-US"/>
        </w:rPr>
        <w:t xml:space="preserve">as </w:t>
      </w:r>
      <w:r w:rsidRPr="00C47D7B">
        <w:rPr>
          <w:rFonts w:ascii="Arial" w:hAnsi="Arial" w:cs="Arial"/>
          <w:b/>
          <w:sz w:val="24"/>
          <w:szCs w:val="24"/>
          <w:lang w:eastAsia="en-US"/>
        </w:rPr>
        <w:t xml:space="preserve">demonstrated by </w:t>
      </w:r>
      <w:r w:rsidR="001179FD">
        <w:rPr>
          <w:rFonts w:ascii="Arial" w:hAnsi="Arial" w:cs="Arial"/>
          <w:b/>
          <w:sz w:val="24"/>
          <w:szCs w:val="24"/>
          <w:lang w:eastAsia="en-US"/>
        </w:rPr>
        <w:t xml:space="preserve">Ivanhoe Electric drill hole </w:t>
      </w:r>
      <w:r w:rsidRPr="00C47D7B">
        <w:rPr>
          <w:rFonts w:ascii="Arial" w:hAnsi="Arial" w:cs="Arial"/>
          <w:b/>
          <w:sz w:val="24"/>
          <w:szCs w:val="24"/>
          <w:lang w:eastAsia="en-US"/>
        </w:rPr>
        <w:t>SCC-005 which intersected 24</w:t>
      </w:r>
      <w:r w:rsidR="00F0675B">
        <w:rPr>
          <w:rFonts w:ascii="Arial" w:hAnsi="Arial" w:cs="Arial"/>
          <w:b/>
          <w:sz w:val="24"/>
          <w:szCs w:val="24"/>
          <w:lang w:eastAsia="en-US"/>
        </w:rPr>
        <w:t xml:space="preserve"> </w:t>
      </w:r>
      <w:r w:rsidRPr="00C47D7B">
        <w:rPr>
          <w:rFonts w:ascii="Arial" w:hAnsi="Arial" w:cs="Arial"/>
          <w:b/>
          <w:sz w:val="24"/>
          <w:szCs w:val="24"/>
          <w:lang w:eastAsia="en-US"/>
        </w:rPr>
        <w:t>m</w:t>
      </w:r>
      <w:r w:rsidR="00F0675B">
        <w:rPr>
          <w:rFonts w:ascii="Arial" w:hAnsi="Arial" w:cs="Arial"/>
          <w:b/>
          <w:sz w:val="24"/>
          <w:szCs w:val="24"/>
          <w:lang w:eastAsia="en-US"/>
        </w:rPr>
        <w:t>eters</w:t>
      </w:r>
      <w:r w:rsidRPr="00C47D7B">
        <w:rPr>
          <w:rFonts w:ascii="Arial" w:hAnsi="Arial" w:cs="Arial"/>
          <w:b/>
          <w:sz w:val="24"/>
          <w:szCs w:val="24"/>
          <w:lang w:eastAsia="en-US"/>
        </w:rPr>
        <w:t xml:space="preserve"> @ 7</w:t>
      </w:r>
      <w:r w:rsidR="00F0675B">
        <w:rPr>
          <w:rFonts w:ascii="Arial" w:hAnsi="Arial" w:cs="Arial"/>
          <w:b/>
          <w:sz w:val="24"/>
          <w:szCs w:val="24"/>
          <w:lang w:eastAsia="en-US"/>
        </w:rPr>
        <w:t>.0</w:t>
      </w:r>
      <w:r w:rsidR="00F0675B" w:rsidRPr="00C47D7B">
        <w:rPr>
          <w:rFonts w:ascii="Arial" w:hAnsi="Arial" w:cs="Arial"/>
          <w:b/>
          <w:sz w:val="24"/>
          <w:szCs w:val="24"/>
          <w:lang w:eastAsia="en-US"/>
        </w:rPr>
        <w:t xml:space="preserve"> </w:t>
      </w:r>
      <w:r w:rsidRPr="00C47D7B">
        <w:rPr>
          <w:rFonts w:ascii="Arial" w:hAnsi="Arial" w:cs="Arial"/>
          <w:b/>
          <w:sz w:val="24"/>
          <w:szCs w:val="24"/>
          <w:lang w:eastAsia="en-US"/>
        </w:rPr>
        <w:t xml:space="preserve">% </w:t>
      </w:r>
      <w:proofErr w:type="gramStart"/>
      <w:r w:rsidR="00F0675B">
        <w:rPr>
          <w:rFonts w:ascii="Arial" w:hAnsi="Arial" w:cs="Arial"/>
          <w:b/>
          <w:sz w:val="24"/>
          <w:szCs w:val="24"/>
          <w:lang w:eastAsia="en-US"/>
        </w:rPr>
        <w:t>copper</w:t>
      </w:r>
      <w:proofErr w:type="gramEnd"/>
      <w:r w:rsidRPr="00C47D7B">
        <w:rPr>
          <w:rFonts w:ascii="Arial" w:hAnsi="Arial" w:cs="Arial"/>
          <w:b/>
          <w:sz w:val="24"/>
          <w:szCs w:val="24"/>
          <w:lang w:eastAsia="en-US"/>
        </w:rPr>
        <w:t>, as part of a larger intercept of 57</w:t>
      </w:r>
      <w:r w:rsidR="00F0675B">
        <w:rPr>
          <w:rFonts w:ascii="Arial" w:hAnsi="Arial" w:cs="Arial"/>
          <w:b/>
          <w:sz w:val="24"/>
          <w:szCs w:val="24"/>
          <w:lang w:eastAsia="en-US"/>
        </w:rPr>
        <w:t xml:space="preserve"> </w:t>
      </w:r>
      <w:r w:rsidRPr="00C47D7B">
        <w:rPr>
          <w:rFonts w:ascii="Arial" w:hAnsi="Arial" w:cs="Arial"/>
          <w:b/>
          <w:sz w:val="24"/>
          <w:szCs w:val="24"/>
          <w:lang w:eastAsia="en-US"/>
        </w:rPr>
        <w:t>m</w:t>
      </w:r>
      <w:r w:rsidR="00F0675B">
        <w:rPr>
          <w:rFonts w:ascii="Arial" w:hAnsi="Arial" w:cs="Arial"/>
          <w:b/>
          <w:sz w:val="24"/>
          <w:szCs w:val="24"/>
          <w:lang w:eastAsia="en-US"/>
        </w:rPr>
        <w:t>eters</w:t>
      </w:r>
      <w:r w:rsidRPr="00C47D7B">
        <w:rPr>
          <w:rFonts w:ascii="Arial" w:hAnsi="Arial" w:cs="Arial"/>
          <w:b/>
          <w:sz w:val="24"/>
          <w:szCs w:val="24"/>
          <w:lang w:eastAsia="en-US"/>
        </w:rPr>
        <w:t xml:space="preserve"> @ 3.5%</w:t>
      </w:r>
      <w:r w:rsidR="00F0675B">
        <w:rPr>
          <w:rFonts w:ascii="Arial" w:hAnsi="Arial" w:cs="Arial"/>
          <w:b/>
          <w:sz w:val="24"/>
          <w:szCs w:val="24"/>
          <w:lang w:eastAsia="en-US"/>
        </w:rPr>
        <w:t xml:space="preserve"> copper.</w:t>
      </w:r>
      <w:r w:rsidR="001D6112">
        <w:rPr>
          <w:rFonts w:ascii="Arial" w:hAnsi="Arial" w:cs="Arial"/>
          <w:b/>
          <w:sz w:val="24"/>
          <w:szCs w:val="24"/>
          <w:lang w:eastAsia="en-US"/>
        </w:rPr>
        <w:t xml:space="preserve"> Full drill results can be found at the Ivanhoe Electric website at </w:t>
      </w:r>
      <w:hyperlink r:id="rId18" w:history="1">
        <w:r w:rsidR="001D6112" w:rsidRPr="00FB4A2F">
          <w:rPr>
            <w:rStyle w:val="Hyperlink"/>
            <w:rFonts w:ascii="Arial" w:hAnsi="Arial" w:cs="Arial"/>
            <w:b/>
            <w:sz w:val="24"/>
            <w:szCs w:val="24"/>
            <w:lang w:eastAsia="en-US"/>
          </w:rPr>
          <w:t>https://ivanhoeelectric.com/investors/technical-reports/</w:t>
        </w:r>
      </w:hyperlink>
      <w:r w:rsidR="001D6112">
        <w:rPr>
          <w:rFonts w:ascii="Arial" w:hAnsi="Arial" w:cs="Arial"/>
          <w:b/>
          <w:sz w:val="24"/>
          <w:szCs w:val="24"/>
          <w:lang w:eastAsia="en-US"/>
        </w:rPr>
        <w:t xml:space="preserve">. </w:t>
      </w:r>
    </w:p>
    <w:p w14:paraId="79AFDA85" w14:textId="5AAA180E" w:rsidR="00B62ADE" w:rsidRDefault="00B62ADE" w:rsidP="00B62ADE">
      <w:pPr>
        <w:spacing w:after="0" w:line="240" w:lineRule="auto"/>
        <w:rPr>
          <w:rFonts w:ascii="Arial" w:eastAsiaTheme="minorHAnsi" w:hAnsi="Arial" w:cs="Arial"/>
          <w:sz w:val="24"/>
          <w:szCs w:val="24"/>
          <w:lang w:eastAsia="en-US"/>
        </w:rPr>
      </w:pPr>
    </w:p>
    <w:p w14:paraId="2F1C8CA8" w14:textId="7D7438E3" w:rsidR="00CB64DD" w:rsidRDefault="004D7445" w:rsidP="00F0675B">
      <w:pPr>
        <w:spacing w:after="0" w:line="240" w:lineRule="auto"/>
        <w:rPr>
          <w:rFonts w:ascii="Arial" w:hAnsi="Arial"/>
          <w:b/>
          <w:sz w:val="26"/>
          <w:szCs w:val="26"/>
        </w:rPr>
      </w:pPr>
      <w:r>
        <w:rPr>
          <w:rFonts w:ascii="Arial" w:hAnsi="Arial"/>
          <w:b/>
          <w:sz w:val="26"/>
          <w:szCs w:val="26"/>
        </w:rPr>
        <w:t>Santa Cruz mineralized domains shown at 0.39% copper cut</w:t>
      </w:r>
      <w:r w:rsidR="00971BD6">
        <w:rPr>
          <w:rFonts w:ascii="Arial" w:hAnsi="Arial"/>
          <w:b/>
          <w:sz w:val="26"/>
          <w:szCs w:val="26"/>
        </w:rPr>
        <w:t>-</w:t>
      </w:r>
      <w:r>
        <w:rPr>
          <w:rFonts w:ascii="Arial" w:hAnsi="Arial"/>
          <w:b/>
          <w:sz w:val="26"/>
          <w:szCs w:val="26"/>
        </w:rPr>
        <w:t>off.</w:t>
      </w:r>
    </w:p>
    <w:p w14:paraId="43EBD186" w14:textId="48D1CA49" w:rsidR="000305D2" w:rsidRDefault="000305D2" w:rsidP="00F0675B">
      <w:pPr>
        <w:spacing w:after="0" w:line="240" w:lineRule="auto"/>
        <w:rPr>
          <w:rFonts w:ascii="Arial" w:hAnsi="Arial"/>
          <w:b/>
          <w:sz w:val="26"/>
          <w:szCs w:val="26"/>
        </w:rPr>
      </w:pPr>
    </w:p>
    <w:p w14:paraId="334A2CBC" w14:textId="0BDDE77C" w:rsidR="000305D2" w:rsidRDefault="000305D2" w:rsidP="00F0675B">
      <w:pPr>
        <w:spacing w:after="0" w:line="240" w:lineRule="auto"/>
        <w:rPr>
          <w:rFonts w:ascii="Arial" w:hAnsi="Arial"/>
          <w:b/>
          <w:sz w:val="26"/>
          <w:szCs w:val="26"/>
        </w:rPr>
      </w:pPr>
      <w:r w:rsidRPr="000305D2">
        <w:rPr>
          <w:rFonts w:ascii="Arial" w:hAnsi="Arial"/>
          <w:b/>
          <w:noProof/>
          <w:sz w:val="26"/>
          <w:szCs w:val="26"/>
        </w:rPr>
        <w:drawing>
          <wp:inline distT="0" distB="0" distL="0" distR="0" wp14:anchorId="2CCB8D9A" wp14:editId="621BF336">
            <wp:extent cx="6400800" cy="3916045"/>
            <wp:effectExtent l="0" t="0" r="0" b="8255"/>
            <wp:docPr id="29" name="Picture 28">
              <a:extLst xmlns:a="http://schemas.openxmlformats.org/drawingml/2006/main">
                <a:ext uri="{FF2B5EF4-FFF2-40B4-BE49-F238E27FC236}">
                  <a16:creationId xmlns:a16="http://schemas.microsoft.com/office/drawing/2014/main" id="{CF30C6C3-89DF-EBAF-3AB0-A3B6369F6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CF30C6C3-89DF-EBAF-3AB0-A3B6369F6B1C}"/>
                        </a:ext>
                      </a:extLst>
                    </pic:cNvPr>
                    <pic:cNvPicPr>
                      <a:picLocks noChangeAspect="1"/>
                    </pic:cNvPicPr>
                  </pic:nvPicPr>
                  <pic:blipFill>
                    <a:blip r:embed="rId19"/>
                    <a:stretch>
                      <a:fillRect/>
                    </a:stretch>
                  </pic:blipFill>
                  <pic:spPr>
                    <a:xfrm>
                      <a:off x="0" y="0"/>
                      <a:ext cx="6400800" cy="3916045"/>
                    </a:xfrm>
                    <a:prstGeom prst="rect">
                      <a:avLst/>
                    </a:prstGeom>
                  </pic:spPr>
                </pic:pic>
              </a:graphicData>
            </a:graphic>
          </wp:inline>
        </w:drawing>
      </w:r>
    </w:p>
    <w:p w14:paraId="5B062A3B" w14:textId="40438C08" w:rsidR="000305D2" w:rsidRDefault="000305D2" w:rsidP="00F0675B">
      <w:pPr>
        <w:spacing w:after="0" w:line="240" w:lineRule="auto"/>
        <w:rPr>
          <w:rFonts w:ascii="Arial" w:hAnsi="Arial"/>
          <w:b/>
          <w:sz w:val="26"/>
          <w:szCs w:val="26"/>
        </w:rPr>
      </w:pPr>
    </w:p>
    <w:p w14:paraId="7A5FF76E" w14:textId="3A8644AA" w:rsidR="004D7445" w:rsidRDefault="004D7445" w:rsidP="00F0675B">
      <w:pPr>
        <w:spacing w:after="0" w:line="240" w:lineRule="auto"/>
        <w:rPr>
          <w:rFonts w:ascii="Arial" w:hAnsi="Arial"/>
          <w:b/>
          <w:sz w:val="26"/>
          <w:szCs w:val="26"/>
        </w:rPr>
      </w:pPr>
      <w:r>
        <w:rPr>
          <w:rFonts w:ascii="Arial" w:hAnsi="Arial"/>
          <w:b/>
          <w:sz w:val="26"/>
          <w:szCs w:val="26"/>
        </w:rPr>
        <w:lastRenderedPageBreak/>
        <w:t xml:space="preserve">Santa Cruz resource at 1% copper cut-off. </w:t>
      </w:r>
    </w:p>
    <w:p w14:paraId="4C050952" w14:textId="77777777" w:rsidR="00FF5E7D" w:rsidRDefault="00FF5E7D" w:rsidP="00F0675B">
      <w:pPr>
        <w:spacing w:after="0" w:line="240" w:lineRule="auto"/>
        <w:rPr>
          <w:rFonts w:ascii="Arial" w:hAnsi="Arial"/>
          <w:b/>
          <w:sz w:val="26"/>
          <w:szCs w:val="26"/>
        </w:rPr>
      </w:pPr>
    </w:p>
    <w:p w14:paraId="7CF6F756" w14:textId="68AAF09B" w:rsidR="000305D2" w:rsidRDefault="000305D2" w:rsidP="00F0675B">
      <w:pPr>
        <w:spacing w:after="0" w:line="240" w:lineRule="auto"/>
        <w:rPr>
          <w:rFonts w:ascii="Arial" w:hAnsi="Arial"/>
          <w:b/>
          <w:sz w:val="26"/>
          <w:szCs w:val="26"/>
        </w:rPr>
      </w:pPr>
      <w:r w:rsidRPr="000305D2">
        <w:rPr>
          <w:rFonts w:ascii="Arial" w:hAnsi="Arial"/>
          <w:b/>
          <w:noProof/>
          <w:sz w:val="26"/>
          <w:szCs w:val="26"/>
        </w:rPr>
        <w:drawing>
          <wp:inline distT="0" distB="0" distL="0" distR="0" wp14:anchorId="00DD5D1A" wp14:editId="69E0F4E3">
            <wp:extent cx="6400800" cy="3920490"/>
            <wp:effectExtent l="0" t="0" r="0" b="3810"/>
            <wp:docPr id="70" name="Picture 69">
              <a:extLst xmlns:a="http://schemas.openxmlformats.org/drawingml/2006/main">
                <a:ext uri="{FF2B5EF4-FFF2-40B4-BE49-F238E27FC236}">
                  <a16:creationId xmlns:a16="http://schemas.microsoft.com/office/drawing/2014/main" id="{3650EC37-2EB3-F739-DC76-9D70301F45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9">
                      <a:extLst>
                        <a:ext uri="{FF2B5EF4-FFF2-40B4-BE49-F238E27FC236}">
                          <a16:creationId xmlns:a16="http://schemas.microsoft.com/office/drawing/2014/main" id="{3650EC37-2EB3-F739-DC76-9D70301F4567}"/>
                        </a:ext>
                      </a:extLst>
                    </pic:cNvPr>
                    <pic:cNvPicPr>
                      <a:picLocks noChangeAspect="1"/>
                    </pic:cNvPicPr>
                  </pic:nvPicPr>
                  <pic:blipFill>
                    <a:blip r:embed="rId20"/>
                    <a:stretch>
                      <a:fillRect/>
                    </a:stretch>
                  </pic:blipFill>
                  <pic:spPr>
                    <a:xfrm>
                      <a:off x="0" y="0"/>
                      <a:ext cx="6400800" cy="3920490"/>
                    </a:xfrm>
                    <a:prstGeom prst="rect">
                      <a:avLst/>
                    </a:prstGeom>
                  </pic:spPr>
                </pic:pic>
              </a:graphicData>
            </a:graphic>
          </wp:inline>
        </w:drawing>
      </w:r>
    </w:p>
    <w:p w14:paraId="1D5E4817" w14:textId="77777777" w:rsidR="00CB64DD" w:rsidRDefault="00CB64DD" w:rsidP="00F0675B">
      <w:pPr>
        <w:spacing w:after="0" w:line="240" w:lineRule="auto"/>
        <w:rPr>
          <w:rFonts w:ascii="Arial" w:hAnsi="Arial"/>
          <w:b/>
          <w:sz w:val="26"/>
          <w:szCs w:val="26"/>
        </w:rPr>
      </w:pPr>
    </w:p>
    <w:p w14:paraId="4A5AE6D6" w14:textId="77777777" w:rsidR="00237ADA" w:rsidRDefault="00237ADA" w:rsidP="00F0675B">
      <w:pPr>
        <w:spacing w:after="0" w:line="240" w:lineRule="auto"/>
        <w:rPr>
          <w:rFonts w:ascii="Arial" w:hAnsi="Arial"/>
          <w:b/>
          <w:sz w:val="26"/>
          <w:szCs w:val="26"/>
        </w:rPr>
      </w:pPr>
    </w:p>
    <w:p w14:paraId="3A751278" w14:textId="77777777" w:rsidR="00237ADA" w:rsidRDefault="00237ADA" w:rsidP="00F0675B">
      <w:pPr>
        <w:spacing w:after="0" w:line="240" w:lineRule="auto"/>
        <w:rPr>
          <w:rFonts w:ascii="Arial" w:hAnsi="Arial"/>
          <w:b/>
          <w:sz w:val="26"/>
          <w:szCs w:val="26"/>
        </w:rPr>
      </w:pPr>
    </w:p>
    <w:p w14:paraId="491BAE67" w14:textId="77777777" w:rsidR="00237ADA" w:rsidRDefault="00237ADA" w:rsidP="00F0675B">
      <w:pPr>
        <w:spacing w:after="0" w:line="240" w:lineRule="auto"/>
        <w:rPr>
          <w:rFonts w:ascii="Arial" w:hAnsi="Arial"/>
          <w:b/>
          <w:sz w:val="26"/>
          <w:szCs w:val="26"/>
        </w:rPr>
      </w:pPr>
    </w:p>
    <w:p w14:paraId="51E01C11" w14:textId="77777777" w:rsidR="00237ADA" w:rsidRDefault="00237ADA" w:rsidP="00F0675B">
      <w:pPr>
        <w:spacing w:after="0" w:line="240" w:lineRule="auto"/>
        <w:rPr>
          <w:rFonts w:ascii="Arial" w:hAnsi="Arial"/>
          <w:b/>
          <w:sz w:val="26"/>
          <w:szCs w:val="26"/>
        </w:rPr>
      </w:pPr>
    </w:p>
    <w:p w14:paraId="5BD884B3" w14:textId="77777777" w:rsidR="00237ADA" w:rsidRDefault="00237ADA" w:rsidP="00F0675B">
      <w:pPr>
        <w:spacing w:after="0" w:line="240" w:lineRule="auto"/>
        <w:rPr>
          <w:rFonts w:ascii="Arial" w:hAnsi="Arial"/>
          <w:b/>
          <w:sz w:val="26"/>
          <w:szCs w:val="26"/>
        </w:rPr>
      </w:pPr>
    </w:p>
    <w:p w14:paraId="508FFF6E" w14:textId="77777777" w:rsidR="00237ADA" w:rsidRDefault="00237ADA" w:rsidP="00F0675B">
      <w:pPr>
        <w:spacing w:after="0" w:line="240" w:lineRule="auto"/>
        <w:rPr>
          <w:rFonts w:ascii="Arial" w:hAnsi="Arial"/>
          <w:b/>
          <w:sz w:val="26"/>
          <w:szCs w:val="26"/>
        </w:rPr>
      </w:pPr>
    </w:p>
    <w:p w14:paraId="209E43D4" w14:textId="77777777" w:rsidR="00237ADA" w:rsidRDefault="00237ADA" w:rsidP="00F0675B">
      <w:pPr>
        <w:spacing w:after="0" w:line="240" w:lineRule="auto"/>
        <w:rPr>
          <w:rFonts w:ascii="Arial" w:hAnsi="Arial"/>
          <w:b/>
          <w:sz w:val="26"/>
          <w:szCs w:val="26"/>
        </w:rPr>
      </w:pPr>
    </w:p>
    <w:p w14:paraId="07072CF9" w14:textId="77777777" w:rsidR="00237ADA" w:rsidRDefault="00237ADA" w:rsidP="00F0675B">
      <w:pPr>
        <w:spacing w:after="0" w:line="240" w:lineRule="auto"/>
        <w:rPr>
          <w:rFonts w:ascii="Arial" w:hAnsi="Arial"/>
          <w:b/>
          <w:sz w:val="26"/>
          <w:szCs w:val="26"/>
        </w:rPr>
      </w:pPr>
    </w:p>
    <w:p w14:paraId="0BEE50E1" w14:textId="77777777" w:rsidR="00237ADA" w:rsidRDefault="00237ADA" w:rsidP="00F0675B">
      <w:pPr>
        <w:spacing w:after="0" w:line="240" w:lineRule="auto"/>
        <w:rPr>
          <w:rFonts w:ascii="Arial" w:hAnsi="Arial"/>
          <w:b/>
          <w:sz w:val="26"/>
          <w:szCs w:val="26"/>
        </w:rPr>
      </w:pPr>
    </w:p>
    <w:p w14:paraId="608A616C" w14:textId="77777777" w:rsidR="00237ADA" w:rsidRDefault="00237ADA" w:rsidP="00F0675B">
      <w:pPr>
        <w:spacing w:after="0" w:line="240" w:lineRule="auto"/>
        <w:rPr>
          <w:rFonts w:ascii="Arial" w:hAnsi="Arial"/>
          <w:b/>
          <w:sz w:val="26"/>
          <w:szCs w:val="26"/>
        </w:rPr>
      </w:pPr>
    </w:p>
    <w:p w14:paraId="1D4B6981" w14:textId="77777777" w:rsidR="00237ADA" w:rsidRDefault="00237ADA" w:rsidP="00F0675B">
      <w:pPr>
        <w:spacing w:after="0" w:line="240" w:lineRule="auto"/>
        <w:rPr>
          <w:rFonts w:ascii="Arial" w:hAnsi="Arial"/>
          <w:b/>
          <w:sz w:val="26"/>
          <w:szCs w:val="26"/>
        </w:rPr>
      </w:pPr>
    </w:p>
    <w:p w14:paraId="3A007BC7" w14:textId="77777777" w:rsidR="00237ADA" w:rsidRDefault="00237ADA" w:rsidP="00F0675B">
      <w:pPr>
        <w:spacing w:after="0" w:line="240" w:lineRule="auto"/>
        <w:rPr>
          <w:rFonts w:ascii="Arial" w:hAnsi="Arial"/>
          <w:b/>
          <w:sz w:val="26"/>
          <w:szCs w:val="26"/>
        </w:rPr>
      </w:pPr>
    </w:p>
    <w:p w14:paraId="7A8BEA89" w14:textId="77777777" w:rsidR="00237ADA" w:rsidRDefault="00237ADA" w:rsidP="00F0675B">
      <w:pPr>
        <w:spacing w:after="0" w:line="240" w:lineRule="auto"/>
        <w:rPr>
          <w:rFonts w:ascii="Arial" w:hAnsi="Arial"/>
          <w:b/>
          <w:sz w:val="26"/>
          <w:szCs w:val="26"/>
        </w:rPr>
      </w:pPr>
    </w:p>
    <w:p w14:paraId="09C7AA0D" w14:textId="77777777" w:rsidR="00237ADA" w:rsidRDefault="00237ADA" w:rsidP="00F0675B">
      <w:pPr>
        <w:spacing w:after="0" w:line="240" w:lineRule="auto"/>
        <w:rPr>
          <w:rFonts w:ascii="Arial" w:hAnsi="Arial"/>
          <w:b/>
          <w:sz w:val="26"/>
          <w:szCs w:val="26"/>
        </w:rPr>
      </w:pPr>
    </w:p>
    <w:p w14:paraId="0B61FAE6" w14:textId="77777777" w:rsidR="00237ADA" w:rsidRDefault="00237ADA" w:rsidP="00F0675B">
      <w:pPr>
        <w:spacing w:after="0" w:line="240" w:lineRule="auto"/>
        <w:rPr>
          <w:rFonts w:ascii="Arial" w:hAnsi="Arial"/>
          <w:b/>
          <w:sz w:val="26"/>
          <w:szCs w:val="26"/>
        </w:rPr>
      </w:pPr>
    </w:p>
    <w:p w14:paraId="4520A3F4" w14:textId="77777777" w:rsidR="00237ADA" w:rsidRDefault="00237ADA" w:rsidP="00F0675B">
      <w:pPr>
        <w:spacing w:after="0" w:line="240" w:lineRule="auto"/>
        <w:rPr>
          <w:rFonts w:ascii="Arial" w:hAnsi="Arial"/>
          <w:b/>
          <w:sz w:val="26"/>
          <w:szCs w:val="26"/>
        </w:rPr>
      </w:pPr>
    </w:p>
    <w:p w14:paraId="4B5039AD" w14:textId="77777777" w:rsidR="00237ADA" w:rsidRDefault="00237ADA" w:rsidP="00F0675B">
      <w:pPr>
        <w:spacing w:after="0" w:line="240" w:lineRule="auto"/>
        <w:rPr>
          <w:rFonts w:ascii="Arial" w:hAnsi="Arial"/>
          <w:b/>
          <w:sz w:val="26"/>
          <w:szCs w:val="26"/>
        </w:rPr>
      </w:pPr>
    </w:p>
    <w:p w14:paraId="1FA6DE99" w14:textId="77777777" w:rsidR="00237ADA" w:rsidRDefault="00237ADA" w:rsidP="00F0675B">
      <w:pPr>
        <w:spacing w:after="0" w:line="240" w:lineRule="auto"/>
        <w:rPr>
          <w:rFonts w:ascii="Arial" w:hAnsi="Arial"/>
          <w:b/>
          <w:sz w:val="26"/>
          <w:szCs w:val="26"/>
        </w:rPr>
      </w:pPr>
    </w:p>
    <w:p w14:paraId="4E9C5E8F" w14:textId="5FC18F64" w:rsidR="00F0675B" w:rsidRPr="00D11A02" w:rsidRDefault="00F0675B" w:rsidP="00F0675B">
      <w:pPr>
        <w:spacing w:after="0" w:line="240" w:lineRule="auto"/>
        <w:rPr>
          <w:rFonts w:ascii="Arial" w:hAnsi="Arial"/>
          <w:bCs/>
          <w:sz w:val="24"/>
          <w:szCs w:val="24"/>
        </w:rPr>
      </w:pPr>
      <w:r w:rsidRPr="00D11A02">
        <w:rPr>
          <w:rFonts w:ascii="Arial" w:hAnsi="Arial"/>
          <w:b/>
          <w:sz w:val="26"/>
          <w:szCs w:val="26"/>
        </w:rPr>
        <w:lastRenderedPageBreak/>
        <w:t xml:space="preserve">Table </w:t>
      </w:r>
      <w:r w:rsidR="005B31EA">
        <w:rPr>
          <w:rFonts w:ascii="Arial" w:hAnsi="Arial"/>
          <w:b/>
          <w:sz w:val="26"/>
          <w:szCs w:val="26"/>
        </w:rPr>
        <w:t>2</w:t>
      </w:r>
      <w:r w:rsidRPr="00D11A02">
        <w:rPr>
          <w:rFonts w:ascii="Arial" w:hAnsi="Arial"/>
          <w:b/>
          <w:sz w:val="26"/>
          <w:szCs w:val="26"/>
        </w:rPr>
        <w:t xml:space="preserve">: Santa Cruz </w:t>
      </w:r>
      <w:r w:rsidR="005B31EA">
        <w:rPr>
          <w:rFonts w:ascii="Arial" w:hAnsi="Arial"/>
          <w:b/>
          <w:sz w:val="26"/>
          <w:szCs w:val="26"/>
        </w:rPr>
        <w:t>Deposit</w:t>
      </w:r>
      <w:r w:rsidRPr="00D11A02">
        <w:rPr>
          <w:rFonts w:ascii="Arial" w:hAnsi="Arial"/>
          <w:b/>
          <w:sz w:val="26"/>
          <w:szCs w:val="26"/>
        </w:rPr>
        <w:t xml:space="preserve"> Mineral Resource Estimate at 0.39% total copper cut-off grade</w:t>
      </w:r>
      <w:r>
        <w:rPr>
          <w:rFonts w:ascii="Arial" w:hAnsi="Arial"/>
          <w:b/>
          <w:sz w:val="26"/>
          <w:szCs w:val="26"/>
        </w:rPr>
        <w:t xml:space="preserve"> divided into the four distinct mineralization domains.</w:t>
      </w:r>
    </w:p>
    <w:tbl>
      <w:tblPr>
        <w:tblW w:w="5000" w:type="pct"/>
        <w:tblCellMar>
          <w:left w:w="0" w:type="dxa"/>
          <w:right w:w="0" w:type="dxa"/>
        </w:tblCellMar>
        <w:tblLook w:val="0600" w:firstRow="0" w:lastRow="0" w:firstColumn="0" w:lastColumn="0" w:noHBand="1" w:noVBand="1"/>
      </w:tblPr>
      <w:tblGrid>
        <w:gridCol w:w="1701"/>
        <w:gridCol w:w="1584"/>
        <w:gridCol w:w="1357"/>
        <w:gridCol w:w="1357"/>
        <w:gridCol w:w="1357"/>
        <w:gridCol w:w="1357"/>
        <w:gridCol w:w="1357"/>
      </w:tblGrid>
      <w:tr w:rsidR="00712870" w:rsidRPr="00D11A02" w14:paraId="1CCD2BF0" w14:textId="77777777" w:rsidTr="00712870">
        <w:trPr>
          <w:trHeight w:val="1154"/>
        </w:trPr>
        <w:tc>
          <w:tcPr>
            <w:tcW w:w="84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bottom"/>
            <w:hideMark/>
          </w:tcPr>
          <w:p w14:paraId="5FE460D3" w14:textId="77777777" w:rsidR="00A263A6" w:rsidRPr="00D11A02" w:rsidRDefault="00A263A6" w:rsidP="000B5BEE">
            <w:pPr>
              <w:spacing w:after="0" w:line="240" w:lineRule="auto"/>
              <w:rPr>
                <w:rFonts w:ascii="Arial" w:hAnsi="Arial" w:cs="Arial"/>
                <w:bCs/>
                <w:color w:val="E0251B"/>
              </w:rPr>
            </w:pPr>
            <w:r w:rsidRPr="00D11A02">
              <w:rPr>
                <w:rFonts w:ascii="Arial" w:hAnsi="Arial" w:cs="Arial"/>
                <w:b/>
                <w:bCs/>
                <w:color w:val="E0251B"/>
              </w:rPr>
              <w:t>Domain</w:t>
            </w: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bottom"/>
            <w:hideMark/>
          </w:tcPr>
          <w:p w14:paraId="5763666D" w14:textId="77777777" w:rsidR="00A263A6" w:rsidRPr="00D11A02" w:rsidRDefault="00A263A6" w:rsidP="000B5BEE">
            <w:pPr>
              <w:spacing w:after="0" w:line="240" w:lineRule="auto"/>
              <w:rPr>
                <w:rFonts w:ascii="Arial" w:hAnsi="Arial" w:cs="Arial"/>
                <w:bCs/>
                <w:color w:val="E0251B"/>
              </w:rPr>
            </w:pPr>
            <w:r w:rsidRPr="00D11A02">
              <w:rPr>
                <w:rFonts w:ascii="Arial" w:hAnsi="Arial" w:cs="Arial"/>
                <w:b/>
                <w:bCs/>
                <w:color w:val="E0251B"/>
              </w:rPr>
              <w:t>Resource</w:t>
            </w:r>
            <w:r w:rsidRPr="00D11A02">
              <w:rPr>
                <w:rFonts w:ascii="Arial" w:hAnsi="Arial" w:cs="Arial"/>
                <w:b/>
                <w:bCs/>
                <w:color w:val="E0251B"/>
              </w:rPr>
              <w:br/>
              <w:t>Category</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bottom"/>
            <w:hideMark/>
          </w:tcPr>
          <w:p w14:paraId="1B5D5365" w14:textId="590A199D" w:rsidR="00A263A6" w:rsidRPr="00D11A02" w:rsidRDefault="00A263A6" w:rsidP="005E7ABF">
            <w:pPr>
              <w:spacing w:after="0" w:line="240" w:lineRule="auto"/>
              <w:jc w:val="center"/>
              <w:rPr>
                <w:rFonts w:ascii="Arial" w:hAnsi="Arial" w:cs="Arial"/>
                <w:bCs/>
                <w:color w:val="E0251B"/>
              </w:rPr>
            </w:pPr>
            <w:r>
              <w:rPr>
                <w:rFonts w:ascii="Arial" w:hAnsi="Arial" w:cs="Arial"/>
                <w:b/>
                <w:bCs/>
                <w:color w:val="E0251B"/>
              </w:rPr>
              <w:t>Tonnage (millions of tonnes)</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bottom"/>
            <w:hideMark/>
          </w:tcPr>
          <w:p w14:paraId="6654FD77" w14:textId="73857B44" w:rsidR="00A263A6" w:rsidRPr="00D11A02" w:rsidRDefault="00A263A6" w:rsidP="005E7ABF">
            <w:pPr>
              <w:spacing w:after="0" w:line="240" w:lineRule="auto"/>
              <w:jc w:val="center"/>
              <w:rPr>
                <w:rFonts w:ascii="Arial" w:hAnsi="Arial" w:cs="Arial"/>
                <w:bCs/>
                <w:color w:val="E0251B"/>
              </w:rPr>
            </w:pPr>
            <w:r w:rsidRPr="00D11A02">
              <w:rPr>
                <w:rFonts w:ascii="Arial" w:hAnsi="Arial" w:cs="Arial"/>
                <w:b/>
                <w:bCs/>
                <w:color w:val="E0251B"/>
              </w:rPr>
              <w:t>Total</w:t>
            </w:r>
            <w:r w:rsidRPr="00D11A02">
              <w:rPr>
                <w:rFonts w:ascii="Arial" w:hAnsi="Arial" w:cs="Arial"/>
                <w:b/>
                <w:bCs/>
                <w:color w:val="E0251B"/>
              </w:rPr>
              <w:br/>
            </w:r>
            <w:r>
              <w:rPr>
                <w:rFonts w:ascii="Arial" w:hAnsi="Arial" w:cs="Arial"/>
                <w:b/>
                <w:bCs/>
                <w:color w:val="E0251B"/>
              </w:rPr>
              <w:t>Copper Grade</w:t>
            </w:r>
            <w:r>
              <w:rPr>
                <w:rFonts w:ascii="Arial" w:hAnsi="Arial" w:cs="Arial"/>
                <w:b/>
                <w:bCs/>
                <w:color w:val="E0251B"/>
              </w:rPr>
              <w:br/>
              <w:t>(</w:t>
            </w:r>
            <w:r w:rsidRPr="00D11A02">
              <w:rPr>
                <w:rFonts w:ascii="Arial" w:hAnsi="Arial" w:cs="Arial"/>
                <w:b/>
                <w:bCs/>
                <w:color w:val="E0251B"/>
              </w:rPr>
              <w:t>%</w:t>
            </w:r>
            <w:r>
              <w:rPr>
                <w:rFonts w:ascii="Arial" w:hAnsi="Arial" w:cs="Arial"/>
                <w:b/>
                <w:bCs/>
                <w:color w:val="E0251B"/>
              </w:rPr>
              <w:t>)</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bottom"/>
            <w:hideMark/>
          </w:tcPr>
          <w:p w14:paraId="658CABC6" w14:textId="62D6DABC" w:rsidR="00A263A6" w:rsidRPr="00D11A02" w:rsidRDefault="00A263A6" w:rsidP="005E7ABF">
            <w:pPr>
              <w:spacing w:after="0" w:line="240" w:lineRule="auto"/>
              <w:jc w:val="center"/>
              <w:rPr>
                <w:rFonts w:ascii="Arial" w:hAnsi="Arial" w:cs="Arial"/>
                <w:bCs/>
                <w:color w:val="E0251B"/>
              </w:rPr>
            </w:pPr>
            <w:r w:rsidRPr="00D11A02">
              <w:rPr>
                <w:rFonts w:ascii="Arial" w:hAnsi="Arial" w:cs="Arial"/>
                <w:b/>
                <w:bCs/>
                <w:color w:val="E0251B"/>
              </w:rPr>
              <w:t>Total</w:t>
            </w:r>
            <w:r w:rsidRPr="00D11A02">
              <w:rPr>
                <w:rFonts w:ascii="Arial" w:hAnsi="Arial" w:cs="Arial"/>
                <w:b/>
                <w:bCs/>
                <w:color w:val="E0251B"/>
              </w:rPr>
              <w:br/>
              <w:t>Soluble</w:t>
            </w:r>
            <w:r w:rsidRPr="00D11A02">
              <w:rPr>
                <w:rFonts w:ascii="Arial" w:hAnsi="Arial" w:cs="Arial"/>
                <w:b/>
                <w:bCs/>
                <w:color w:val="E0251B"/>
              </w:rPr>
              <w:br/>
            </w:r>
            <w:r>
              <w:rPr>
                <w:rFonts w:ascii="Arial" w:hAnsi="Arial" w:cs="Arial"/>
                <w:b/>
                <w:bCs/>
                <w:color w:val="E0251B"/>
              </w:rPr>
              <w:t>Copper Grade</w:t>
            </w:r>
            <w:r>
              <w:rPr>
                <w:rFonts w:ascii="Arial" w:hAnsi="Arial" w:cs="Arial"/>
                <w:b/>
                <w:bCs/>
                <w:color w:val="E0251B"/>
              </w:rPr>
              <w:br/>
              <w:t>(</w:t>
            </w:r>
            <w:r w:rsidRPr="00D11A02">
              <w:rPr>
                <w:rFonts w:ascii="Arial" w:hAnsi="Arial" w:cs="Arial"/>
                <w:b/>
                <w:bCs/>
                <w:color w:val="E0251B"/>
              </w:rPr>
              <w:t>%</w:t>
            </w:r>
            <w:r>
              <w:rPr>
                <w:rFonts w:ascii="Arial" w:hAnsi="Arial" w:cs="Arial"/>
                <w:b/>
                <w:bCs/>
                <w:color w:val="E0251B"/>
              </w:rPr>
              <w:t>)</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bottom"/>
            <w:hideMark/>
          </w:tcPr>
          <w:p w14:paraId="3AF6A948" w14:textId="67924206" w:rsidR="00A263A6" w:rsidRPr="00D11A02" w:rsidRDefault="00A263A6" w:rsidP="005E7ABF">
            <w:pPr>
              <w:spacing w:after="0" w:line="240" w:lineRule="auto"/>
              <w:jc w:val="center"/>
              <w:rPr>
                <w:rFonts w:ascii="Arial" w:hAnsi="Arial" w:cs="Arial"/>
                <w:bCs/>
                <w:color w:val="E0251B"/>
              </w:rPr>
            </w:pPr>
            <w:r w:rsidRPr="00D11A02">
              <w:rPr>
                <w:rFonts w:ascii="Arial" w:hAnsi="Arial" w:cs="Arial"/>
                <w:b/>
                <w:bCs/>
                <w:color w:val="E0251B"/>
              </w:rPr>
              <w:t>Total</w:t>
            </w:r>
            <w:r w:rsidRPr="00D11A02">
              <w:rPr>
                <w:rFonts w:ascii="Arial" w:hAnsi="Arial" w:cs="Arial"/>
                <w:b/>
                <w:bCs/>
                <w:color w:val="E0251B"/>
              </w:rPr>
              <w:br/>
            </w:r>
            <w:r>
              <w:rPr>
                <w:rFonts w:ascii="Arial" w:hAnsi="Arial" w:cs="Arial"/>
                <w:b/>
                <w:bCs/>
                <w:color w:val="E0251B"/>
              </w:rPr>
              <w:t>Contained Copper</w:t>
            </w:r>
            <w:r>
              <w:rPr>
                <w:rFonts w:ascii="Arial" w:hAnsi="Arial" w:cs="Arial"/>
                <w:b/>
                <w:bCs/>
                <w:color w:val="E0251B"/>
              </w:rPr>
              <w:br/>
              <w:t>(millions of tonnes)</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bottom"/>
            <w:hideMark/>
          </w:tcPr>
          <w:p w14:paraId="23C8F584" w14:textId="70FBD750" w:rsidR="00A263A6" w:rsidRPr="00D11A02" w:rsidRDefault="00A263A6" w:rsidP="005E7ABF">
            <w:pPr>
              <w:spacing w:after="0" w:line="240" w:lineRule="auto"/>
              <w:jc w:val="center"/>
              <w:rPr>
                <w:rFonts w:ascii="Arial" w:hAnsi="Arial" w:cs="Arial"/>
                <w:bCs/>
                <w:color w:val="E0251B"/>
              </w:rPr>
            </w:pPr>
            <w:r w:rsidRPr="00D11A02">
              <w:rPr>
                <w:rFonts w:ascii="Arial" w:hAnsi="Arial" w:cs="Arial"/>
                <w:b/>
                <w:bCs/>
                <w:color w:val="E0251B"/>
              </w:rPr>
              <w:t>Total</w:t>
            </w:r>
            <w:r w:rsidRPr="00D11A02">
              <w:rPr>
                <w:rFonts w:ascii="Arial" w:hAnsi="Arial" w:cs="Arial"/>
                <w:b/>
                <w:bCs/>
                <w:color w:val="E0251B"/>
              </w:rPr>
              <w:br/>
              <w:t>Soluble</w:t>
            </w:r>
            <w:r>
              <w:rPr>
                <w:rFonts w:ascii="Arial" w:hAnsi="Arial" w:cs="Arial"/>
                <w:b/>
                <w:bCs/>
                <w:color w:val="E0251B"/>
              </w:rPr>
              <w:t xml:space="preserve"> Contained Copper</w:t>
            </w:r>
            <w:r w:rsidRPr="00D11A02">
              <w:rPr>
                <w:rFonts w:ascii="Arial" w:hAnsi="Arial" w:cs="Arial"/>
                <w:b/>
                <w:bCs/>
                <w:color w:val="E0251B"/>
              </w:rPr>
              <w:br/>
            </w:r>
            <w:r>
              <w:rPr>
                <w:rFonts w:ascii="Arial" w:hAnsi="Arial" w:cs="Arial"/>
                <w:b/>
                <w:bCs/>
                <w:color w:val="E0251B"/>
              </w:rPr>
              <w:t>(millions of tonnes)</w:t>
            </w:r>
          </w:p>
        </w:tc>
      </w:tr>
      <w:tr w:rsidR="00712870" w:rsidRPr="00D11A02" w14:paraId="521A9196" w14:textId="77777777" w:rsidTr="00712870">
        <w:trPr>
          <w:trHeight w:val="384"/>
        </w:trPr>
        <w:tc>
          <w:tcPr>
            <w:tcW w:w="844" w:type="pct"/>
            <w:vMerge w:val="restar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800EB0F" w14:textId="77777777" w:rsidR="00A263A6" w:rsidRDefault="00A263A6" w:rsidP="000B5BEE">
            <w:pPr>
              <w:spacing w:after="0" w:line="240" w:lineRule="auto"/>
              <w:rPr>
                <w:rFonts w:ascii="Arial" w:hAnsi="Arial" w:cs="Arial"/>
                <w:bCs/>
              </w:rPr>
            </w:pPr>
            <w:r w:rsidRPr="00D11A02">
              <w:rPr>
                <w:rFonts w:ascii="Arial" w:hAnsi="Arial" w:cs="Arial"/>
                <w:bCs/>
              </w:rPr>
              <w:t>Exotic</w:t>
            </w:r>
          </w:p>
          <w:p w14:paraId="061B63D1" w14:textId="44AF59E5" w:rsidR="00A263A6" w:rsidRPr="00D11A02" w:rsidRDefault="00A263A6" w:rsidP="000B5BEE">
            <w:pPr>
              <w:spacing w:after="0" w:line="240" w:lineRule="auto"/>
              <w:rPr>
                <w:rFonts w:ascii="Arial" w:hAnsi="Arial" w:cs="Arial"/>
                <w:bCs/>
              </w:rPr>
            </w:pPr>
            <w:r>
              <w:rPr>
                <w:rFonts w:ascii="Arial" w:hAnsi="Arial" w:cs="Arial"/>
                <w:bCs/>
              </w:rPr>
              <w:t>Oxide</w:t>
            </w: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3D1034B" w14:textId="77777777" w:rsidR="00A263A6" w:rsidRPr="00D11A02" w:rsidRDefault="00A263A6" w:rsidP="000B5BEE">
            <w:pPr>
              <w:spacing w:after="0" w:line="240" w:lineRule="auto"/>
              <w:rPr>
                <w:rFonts w:ascii="Arial" w:hAnsi="Arial" w:cs="Arial"/>
                <w:bCs/>
              </w:rPr>
            </w:pPr>
            <w:r w:rsidRPr="00D11A02">
              <w:rPr>
                <w:rFonts w:ascii="Arial" w:hAnsi="Arial" w:cs="Arial"/>
                <w:bCs/>
              </w:rPr>
              <w:t>Indicated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4784131" w14:textId="088010ED"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7.0</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469D2AF"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1.05</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1AC47445"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0.80</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29476CAA" w14:textId="34160720"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0.0</w:t>
            </w:r>
            <w:r w:rsidRPr="00D11A02">
              <w:rPr>
                <w:rFonts w:ascii="Arial" w:hAnsi="Arial" w:cs="Arial"/>
                <w:bCs/>
              </w:rPr>
              <w:t>7</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4208F99" w14:textId="4C1C24DA"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0.06</w:t>
            </w:r>
          </w:p>
        </w:tc>
      </w:tr>
      <w:tr w:rsidR="00712870" w:rsidRPr="00D11A02" w14:paraId="46F1D43B" w14:textId="77777777" w:rsidTr="00712870">
        <w:trPr>
          <w:trHeight w:val="384"/>
        </w:trPr>
        <w:tc>
          <w:tcPr>
            <w:tcW w:w="844" w:type="pct"/>
            <w:vMerge/>
            <w:tcBorders>
              <w:top w:val="single" w:sz="4" w:space="0" w:color="B8C7D0"/>
              <w:left w:val="single" w:sz="4" w:space="0" w:color="B8C7D0"/>
              <w:bottom w:val="single" w:sz="4" w:space="0" w:color="B8C7D0"/>
              <w:right w:val="single" w:sz="4" w:space="0" w:color="B8C7D0"/>
            </w:tcBorders>
            <w:vAlign w:val="center"/>
            <w:hideMark/>
          </w:tcPr>
          <w:p w14:paraId="6050199B" w14:textId="77777777" w:rsidR="00A263A6" w:rsidRPr="00D11A02" w:rsidRDefault="00A263A6" w:rsidP="000B5BEE">
            <w:pPr>
              <w:spacing w:after="0" w:line="240" w:lineRule="auto"/>
              <w:rPr>
                <w:rFonts w:ascii="Arial" w:hAnsi="Arial" w:cs="Arial"/>
                <w:bCs/>
              </w:rPr>
            </w:pP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BF341A5" w14:textId="77777777" w:rsidR="00A263A6" w:rsidRPr="00D11A02" w:rsidRDefault="00A263A6" w:rsidP="000B5BEE">
            <w:pPr>
              <w:spacing w:after="0" w:line="240" w:lineRule="auto"/>
              <w:rPr>
                <w:rFonts w:ascii="Arial" w:hAnsi="Arial" w:cs="Arial"/>
                <w:bCs/>
              </w:rPr>
            </w:pPr>
            <w:r w:rsidRPr="00D11A02">
              <w:rPr>
                <w:rFonts w:ascii="Arial" w:hAnsi="Arial" w:cs="Arial"/>
                <w:bCs/>
              </w:rPr>
              <w:t>Inferred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E2A5E30" w14:textId="6EBE8AF2"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11</w:t>
            </w:r>
            <w:r>
              <w:rPr>
                <w:rFonts w:ascii="Arial" w:hAnsi="Arial" w:cs="Arial"/>
                <w:bCs/>
              </w:rPr>
              <w:t>.7</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A6C2C07"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1.28</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22E20B85"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1.00</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EE136D5" w14:textId="1EE55842"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w:t>
            </w:r>
            <w:r w:rsidRPr="00D11A02">
              <w:rPr>
                <w:rFonts w:ascii="Arial" w:hAnsi="Arial" w:cs="Arial"/>
                <w:bCs/>
              </w:rPr>
              <w:t>1</w:t>
            </w:r>
            <w:r>
              <w:rPr>
                <w:rFonts w:ascii="Arial" w:hAnsi="Arial" w:cs="Arial"/>
                <w:bCs/>
              </w:rPr>
              <w:t>5</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1016C48" w14:textId="5F7796A5"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w:t>
            </w:r>
            <w:r w:rsidRPr="00D11A02">
              <w:rPr>
                <w:rFonts w:ascii="Arial" w:hAnsi="Arial" w:cs="Arial"/>
                <w:bCs/>
              </w:rPr>
              <w:t>1</w:t>
            </w:r>
            <w:r>
              <w:rPr>
                <w:rFonts w:ascii="Arial" w:hAnsi="Arial" w:cs="Arial"/>
                <w:bCs/>
              </w:rPr>
              <w:t>2</w:t>
            </w:r>
          </w:p>
        </w:tc>
      </w:tr>
      <w:tr w:rsidR="00712870" w:rsidRPr="00D11A02" w14:paraId="3C80E750" w14:textId="77777777" w:rsidTr="00712870">
        <w:trPr>
          <w:trHeight w:val="384"/>
        </w:trPr>
        <w:tc>
          <w:tcPr>
            <w:tcW w:w="844" w:type="pct"/>
            <w:vMerge w:val="restar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54F34784" w14:textId="77777777" w:rsidR="00A263A6" w:rsidRDefault="00A263A6" w:rsidP="000B5BEE">
            <w:pPr>
              <w:spacing w:after="0" w:line="240" w:lineRule="auto"/>
              <w:rPr>
                <w:rFonts w:ascii="Arial" w:hAnsi="Arial" w:cs="Arial"/>
                <w:bCs/>
              </w:rPr>
            </w:pPr>
            <w:r>
              <w:rPr>
                <w:rFonts w:ascii="Arial" w:hAnsi="Arial" w:cs="Arial"/>
                <w:bCs/>
              </w:rPr>
              <w:t>Supergene</w:t>
            </w:r>
          </w:p>
          <w:p w14:paraId="4667A311" w14:textId="56534E64" w:rsidR="00A263A6" w:rsidRPr="00D11A02" w:rsidRDefault="00A263A6" w:rsidP="000B5BEE">
            <w:pPr>
              <w:spacing w:after="0" w:line="240" w:lineRule="auto"/>
              <w:rPr>
                <w:rFonts w:ascii="Arial" w:hAnsi="Arial" w:cs="Arial"/>
                <w:bCs/>
              </w:rPr>
            </w:pPr>
            <w:r w:rsidRPr="00D11A02">
              <w:rPr>
                <w:rFonts w:ascii="Arial" w:hAnsi="Arial" w:cs="Arial"/>
                <w:bCs/>
              </w:rPr>
              <w:t>Oxide</w:t>
            </w: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10E78F88" w14:textId="77777777" w:rsidR="00A263A6" w:rsidRPr="00D11A02" w:rsidRDefault="00A263A6" w:rsidP="000B5BEE">
            <w:pPr>
              <w:spacing w:after="0" w:line="240" w:lineRule="auto"/>
              <w:rPr>
                <w:rFonts w:ascii="Arial" w:hAnsi="Arial" w:cs="Arial"/>
                <w:bCs/>
              </w:rPr>
            </w:pPr>
            <w:r w:rsidRPr="00D11A02">
              <w:rPr>
                <w:rFonts w:ascii="Arial" w:hAnsi="Arial" w:cs="Arial"/>
                <w:bCs/>
              </w:rPr>
              <w:t>Indicated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1E7A0B68" w14:textId="09DB1A6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5</w:t>
            </w:r>
            <w:r>
              <w:rPr>
                <w:rFonts w:ascii="Arial" w:hAnsi="Arial" w:cs="Arial"/>
                <w:bCs/>
              </w:rPr>
              <w:t>3.0</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4B1454B2"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1.34</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602082E"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1.27</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A8181FC" w14:textId="35908875"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w:t>
            </w:r>
            <w:r w:rsidRPr="00D11A02">
              <w:rPr>
                <w:rFonts w:ascii="Arial" w:hAnsi="Arial" w:cs="Arial"/>
                <w:bCs/>
              </w:rPr>
              <w:t>7</w:t>
            </w:r>
            <w:r>
              <w:rPr>
                <w:rFonts w:ascii="Arial" w:hAnsi="Arial" w:cs="Arial"/>
                <w:bCs/>
              </w:rPr>
              <w:t>1</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15647465" w14:textId="04CFBC56"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w:t>
            </w:r>
            <w:r w:rsidRPr="00D11A02">
              <w:rPr>
                <w:rFonts w:ascii="Arial" w:hAnsi="Arial" w:cs="Arial"/>
                <w:bCs/>
              </w:rPr>
              <w:t>6</w:t>
            </w:r>
            <w:r>
              <w:rPr>
                <w:rFonts w:ascii="Arial" w:hAnsi="Arial" w:cs="Arial"/>
                <w:bCs/>
              </w:rPr>
              <w:t>7</w:t>
            </w:r>
          </w:p>
        </w:tc>
      </w:tr>
      <w:tr w:rsidR="00712870" w:rsidRPr="00D11A02" w14:paraId="45E5BEEE" w14:textId="77777777" w:rsidTr="00712870">
        <w:trPr>
          <w:trHeight w:val="384"/>
        </w:trPr>
        <w:tc>
          <w:tcPr>
            <w:tcW w:w="844" w:type="pct"/>
            <w:vMerge/>
            <w:tcBorders>
              <w:top w:val="single" w:sz="4" w:space="0" w:color="B8C7D0"/>
              <w:left w:val="single" w:sz="4" w:space="0" w:color="B8C7D0"/>
              <w:bottom w:val="single" w:sz="4" w:space="0" w:color="B8C7D0"/>
              <w:right w:val="single" w:sz="4" w:space="0" w:color="B8C7D0"/>
            </w:tcBorders>
            <w:vAlign w:val="center"/>
            <w:hideMark/>
          </w:tcPr>
          <w:p w14:paraId="3836C101" w14:textId="77777777" w:rsidR="00A263A6" w:rsidRPr="00D11A02" w:rsidRDefault="00A263A6" w:rsidP="000B5BEE">
            <w:pPr>
              <w:spacing w:after="0" w:line="240" w:lineRule="auto"/>
              <w:rPr>
                <w:rFonts w:ascii="Arial" w:hAnsi="Arial" w:cs="Arial"/>
                <w:bCs/>
              </w:rPr>
            </w:pP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27970E25" w14:textId="77777777" w:rsidR="00A263A6" w:rsidRPr="00D11A02" w:rsidRDefault="00A263A6" w:rsidP="000B5BEE">
            <w:pPr>
              <w:spacing w:after="0" w:line="240" w:lineRule="auto"/>
              <w:rPr>
                <w:rFonts w:ascii="Arial" w:hAnsi="Arial" w:cs="Arial"/>
                <w:bCs/>
              </w:rPr>
            </w:pPr>
            <w:r w:rsidRPr="00D11A02">
              <w:rPr>
                <w:rFonts w:ascii="Arial" w:hAnsi="Arial" w:cs="Arial"/>
                <w:bCs/>
              </w:rPr>
              <w:t>Inferred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9065F8E" w14:textId="3078DBD3"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126</w:t>
            </w:r>
            <w:r>
              <w:rPr>
                <w:rFonts w:ascii="Arial" w:hAnsi="Arial" w:cs="Arial"/>
                <w:bCs/>
              </w:rPr>
              <w:t>.1</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48CBAAE"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1.06</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15E274DD"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1.00</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4A084347" w14:textId="421A596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w:t>
            </w:r>
            <w:r>
              <w:rPr>
                <w:rFonts w:ascii="Arial" w:hAnsi="Arial" w:cs="Arial"/>
                <w:bCs/>
              </w:rPr>
              <w:t>.</w:t>
            </w:r>
            <w:r w:rsidRPr="00D11A02">
              <w:rPr>
                <w:rFonts w:ascii="Arial" w:hAnsi="Arial" w:cs="Arial"/>
                <w:bCs/>
              </w:rPr>
              <w:t>3</w:t>
            </w:r>
            <w:r>
              <w:rPr>
                <w:rFonts w:ascii="Arial" w:hAnsi="Arial" w:cs="Arial"/>
                <w:bCs/>
              </w:rPr>
              <w:t>4</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A09D921" w14:textId="677008F8"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w:t>
            </w:r>
            <w:r>
              <w:rPr>
                <w:rFonts w:ascii="Arial" w:hAnsi="Arial" w:cs="Arial"/>
                <w:bCs/>
              </w:rPr>
              <w:t>.</w:t>
            </w:r>
            <w:r w:rsidRPr="00D11A02">
              <w:rPr>
                <w:rFonts w:ascii="Arial" w:hAnsi="Arial" w:cs="Arial"/>
                <w:bCs/>
              </w:rPr>
              <w:t>25</w:t>
            </w:r>
          </w:p>
        </w:tc>
      </w:tr>
      <w:tr w:rsidR="00712870" w:rsidRPr="00D11A02" w14:paraId="3414C576" w14:textId="77777777" w:rsidTr="00712870">
        <w:trPr>
          <w:trHeight w:val="384"/>
        </w:trPr>
        <w:tc>
          <w:tcPr>
            <w:tcW w:w="844" w:type="pct"/>
            <w:vMerge w:val="restar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082F54EA" w14:textId="56208B78" w:rsidR="00A263A6" w:rsidRDefault="00A263A6" w:rsidP="000B5BEE">
            <w:pPr>
              <w:spacing w:after="0" w:line="240" w:lineRule="auto"/>
              <w:rPr>
                <w:rFonts w:ascii="Arial" w:hAnsi="Arial" w:cs="Arial"/>
                <w:bCs/>
              </w:rPr>
            </w:pPr>
            <w:r>
              <w:rPr>
                <w:rFonts w:ascii="Arial" w:hAnsi="Arial" w:cs="Arial"/>
                <w:bCs/>
              </w:rPr>
              <w:t>Supergene</w:t>
            </w:r>
          </w:p>
          <w:p w14:paraId="19DA8F19" w14:textId="0B71084E" w:rsidR="00A263A6" w:rsidRPr="00D11A02" w:rsidRDefault="00A263A6" w:rsidP="000B5BEE">
            <w:pPr>
              <w:spacing w:after="0" w:line="240" w:lineRule="auto"/>
              <w:rPr>
                <w:rFonts w:ascii="Arial" w:hAnsi="Arial" w:cs="Arial"/>
                <w:bCs/>
              </w:rPr>
            </w:pPr>
            <w:r>
              <w:rPr>
                <w:rFonts w:ascii="Arial" w:hAnsi="Arial" w:cs="Arial"/>
                <w:bCs/>
              </w:rPr>
              <w:t>Sulfide</w:t>
            </w: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0B0755D" w14:textId="77777777" w:rsidR="00A263A6" w:rsidRPr="00D11A02" w:rsidRDefault="00A263A6" w:rsidP="000B5BEE">
            <w:pPr>
              <w:spacing w:after="0" w:line="240" w:lineRule="auto"/>
              <w:rPr>
                <w:rFonts w:ascii="Arial" w:hAnsi="Arial" w:cs="Arial"/>
                <w:bCs/>
              </w:rPr>
            </w:pPr>
            <w:r w:rsidRPr="00D11A02">
              <w:rPr>
                <w:rFonts w:ascii="Arial" w:hAnsi="Arial" w:cs="Arial"/>
                <w:bCs/>
              </w:rPr>
              <w:t>Indicated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C937555" w14:textId="5014EDF5"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29</w:t>
            </w:r>
            <w:r>
              <w:rPr>
                <w:rFonts w:ascii="Arial" w:hAnsi="Arial" w:cs="Arial"/>
                <w:bCs/>
              </w:rPr>
              <w:t>.1</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00092429"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1.25</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9BCEA0B"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1.13</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1A56381" w14:textId="4DF99E01"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w:t>
            </w:r>
            <w:r w:rsidRPr="00D11A02">
              <w:rPr>
                <w:rFonts w:ascii="Arial" w:hAnsi="Arial" w:cs="Arial"/>
                <w:bCs/>
              </w:rPr>
              <w:t>36</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0E71ECF" w14:textId="7C2F6992"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w:t>
            </w:r>
            <w:r w:rsidRPr="00D11A02">
              <w:rPr>
                <w:rFonts w:ascii="Arial" w:hAnsi="Arial" w:cs="Arial"/>
                <w:bCs/>
              </w:rPr>
              <w:t>3</w:t>
            </w:r>
            <w:r>
              <w:rPr>
                <w:rFonts w:ascii="Arial" w:hAnsi="Arial" w:cs="Arial"/>
                <w:bCs/>
              </w:rPr>
              <w:t>3</w:t>
            </w:r>
          </w:p>
        </w:tc>
      </w:tr>
      <w:tr w:rsidR="00712870" w:rsidRPr="00D11A02" w14:paraId="40D21DF1" w14:textId="77777777" w:rsidTr="00712870">
        <w:trPr>
          <w:trHeight w:val="384"/>
        </w:trPr>
        <w:tc>
          <w:tcPr>
            <w:tcW w:w="844" w:type="pct"/>
            <w:vMerge/>
            <w:tcBorders>
              <w:top w:val="single" w:sz="4" w:space="0" w:color="B8C7D0"/>
              <w:left w:val="single" w:sz="4" w:space="0" w:color="B8C7D0"/>
              <w:bottom w:val="single" w:sz="4" w:space="0" w:color="B8C7D0"/>
              <w:right w:val="single" w:sz="4" w:space="0" w:color="B8C7D0"/>
            </w:tcBorders>
            <w:vAlign w:val="center"/>
            <w:hideMark/>
          </w:tcPr>
          <w:p w14:paraId="1BE81CB5" w14:textId="77777777" w:rsidR="00A263A6" w:rsidRPr="00D11A02" w:rsidRDefault="00A263A6" w:rsidP="000B5BEE">
            <w:pPr>
              <w:spacing w:after="0" w:line="240" w:lineRule="auto"/>
              <w:rPr>
                <w:rFonts w:ascii="Arial" w:hAnsi="Arial" w:cs="Arial"/>
                <w:bCs/>
              </w:rPr>
            </w:pP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2A20141" w14:textId="77777777" w:rsidR="00A263A6" w:rsidRPr="00D11A02" w:rsidRDefault="00A263A6" w:rsidP="000B5BEE">
            <w:pPr>
              <w:spacing w:after="0" w:line="240" w:lineRule="auto"/>
              <w:rPr>
                <w:rFonts w:ascii="Arial" w:hAnsi="Arial" w:cs="Arial"/>
                <w:bCs/>
              </w:rPr>
            </w:pPr>
            <w:r w:rsidRPr="00D11A02">
              <w:rPr>
                <w:rFonts w:ascii="Arial" w:hAnsi="Arial" w:cs="Arial"/>
                <w:bCs/>
              </w:rPr>
              <w:t>Inferred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0C16E89E" w14:textId="41F204BE"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14</w:t>
            </w:r>
            <w:r>
              <w:rPr>
                <w:rFonts w:ascii="Arial" w:hAnsi="Arial" w:cs="Arial"/>
                <w:bCs/>
              </w:rPr>
              <w:t>.8</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5E6AC3E"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1.36</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5D6AC53A"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1.28</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55DC292D" w14:textId="7CACCCDA"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w:t>
            </w:r>
            <w:r w:rsidRPr="00D11A02">
              <w:rPr>
                <w:rFonts w:ascii="Arial" w:hAnsi="Arial" w:cs="Arial"/>
                <w:bCs/>
              </w:rPr>
              <w:t>20</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A248F2B" w14:textId="0C3BD39D"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w:t>
            </w:r>
            <w:r w:rsidRPr="00D11A02">
              <w:rPr>
                <w:rFonts w:ascii="Arial" w:hAnsi="Arial" w:cs="Arial"/>
                <w:bCs/>
              </w:rPr>
              <w:t>19</w:t>
            </w:r>
          </w:p>
        </w:tc>
      </w:tr>
      <w:tr w:rsidR="00712870" w:rsidRPr="00D11A02" w14:paraId="32934C78" w14:textId="77777777" w:rsidTr="00712870">
        <w:trPr>
          <w:trHeight w:val="384"/>
        </w:trPr>
        <w:tc>
          <w:tcPr>
            <w:tcW w:w="844" w:type="pct"/>
            <w:vMerge w:val="restar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57D38F39" w14:textId="2C76DEC2" w:rsidR="00A263A6" w:rsidRPr="00D11A02" w:rsidRDefault="00A263A6" w:rsidP="000B5BEE">
            <w:pPr>
              <w:spacing w:after="0" w:line="240" w:lineRule="auto"/>
              <w:rPr>
                <w:rFonts w:ascii="Arial" w:hAnsi="Arial" w:cs="Arial"/>
                <w:bCs/>
              </w:rPr>
            </w:pPr>
            <w:r>
              <w:rPr>
                <w:rFonts w:ascii="Arial" w:hAnsi="Arial" w:cs="Arial"/>
                <w:bCs/>
              </w:rPr>
              <w:t>Hypogene</w:t>
            </w: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A2A7464" w14:textId="77777777" w:rsidR="00A263A6" w:rsidRPr="00D11A02" w:rsidRDefault="00A263A6" w:rsidP="000B5BEE">
            <w:pPr>
              <w:spacing w:after="0" w:line="240" w:lineRule="auto"/>
              <w:rPr>
                <w:rFonts w:ascii="Arial" w:hAnsi="Arial" w:cs="Arial"/>
                <w:bCs/>
              </w:rPr>
            </w:pPr>
            <w:r w:rsidRPr="00D11A02">
              <w:rPr>
                <w:rFonts w:ascii="Arial" w:hAnsi="Arial" w:cs="Arial"/>
                <w:bCs/>
              </w:rPr>
              <w:t>Indicated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9C015BD" w14:textId="6E31F0CB"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184</w:t>
            </w:r>
            <w:r>
              <w:rPr>
                <w:rFonts w:ascii="Arial" w:hAnsi="Arial" w:cs="Arial"/>
                <w:bCs/>
              </w:rPr>
              <w:t>.9</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590EE5B3"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0.75</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2B8EEF8D"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n/a</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1DA0F0CB" w14:textId="5E55B593"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1</w:t>
            </w:r>
            <w:r>
              <w:rPr>
                <w:rFonts w:ascii="Arial" w:hAnsi="Arial" w:cs="Arial"/>
                <w:bCs/>
              </w:rPr>
              <w:t>.</w:t>
            </w:r>
            <w:r w:rsidRPr="00D11A02">
              <w:rPr>
                <w:rFonts w:ascii="Arial" w:hAnsi="Arial" w:cs="Arial"/>
                <w:bCs/>
              </w:rPr>
              <w:t>39</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42424E06"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n/a</w:t>
            </w:r>
          </w:p>
        </w:tc>
      </w:tr>
      <w:tr w:rsidR="00712870" w:rsidRPr="00D11A02" w14:paraId="77888FB4" w14:textId="77777777" w:rsidTr="00712870">
        <w:trPr>
          <w:trHeight w:val="384"/>
        </w:trPr>
        <w:tc>
          <w:tcPr>
            <w:tcW w:w="844" w:type="pct"/>
            <w:vMerge/>
            <w:tcBorders>
              <w:top w:val="single" w:sz="4" w:space="0" w:color="B8C7D0"/>
              <w:left w:val="single" w:sz="4" w:space="0" w:color="B8C7D0"/>
              <w:bottom w:val="single" w:sz="4" w:space="0" w:color="B8C7D0"/>
              <w:right w:val="single" w:sz="4" w:space="0" w:color="B8C7D0"/>
            </w:tcBorders>
            <w:vAlign w:val="center"/>
            <w:hideMark/>
          </w:tcPr>
          <w:p w14:paraId="57E97554" w14:textId="77777777" w:rsidR="00A263A6" w:rsidRPr="00D11A02" w:rsidRDefault="00A263A6" w:rsidP="000B5BEE">
            <w:pPr>
              <w:spacing w:after="0" w:line="240" w:lineRule="auto"/>
              <w:rPr>
                <w:rFonts w:ascii="Arial" w:hAnsi="Arial" w:cs="Arial"/>
                <w:bCs/>
              </w:rPr>
            </w:pP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246FA46" w14:textId="77777777" w:rsidR="00A263A6" w:rsidRPr="00D11A02" w:rsidRDefault="00A263A6" w:rsidP="000B5BEE">
            <w:pPr>
              <w:spacing w:after="0" w:line="240" w:lineRule="auto"/>
              <w:rPr>
                <w:rFonts w:ascii="Arial" w:hAnsi="Arial" w:cs="Arial"/>
                <w:bCs/>
              </w:rPr>
            </w:pPr>
            <w:r w:rsidRPr="00D11A02">
              <w:rPr>
                <w:rFonts w:ascii="Arial" w:hAnsi="Arial" w:cs="Arial"/>
                <w:bCs/>
              </w:rPr>
              <w:t>Inferred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7FC1257" w14:textId="1923A444"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96</w:t>
            </w:r>
            <w:r>
              <w:rPr>
                <w:rFonts w:ascii="Arial" w:hAnsi="Arial" w:cs="Arial"/>
                <w:bCs/>
              </w:rPr>
              <w:t>.1</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4C587550"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0.59</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8995281"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n/a</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57CC9C41" w14:textId="076192B5" w:rsidR="00A263A6" w:rsidRPr="00D11A02" w:rsidRDefault="00A263A6" w:rsidP="005E7ABF">
            <w:pPr>
              <w:spacing w:after="0" w:line="240" w:lineRule="auto"/>
              <w:ind w:left="-59" w:right="315" w:firstLine="59"/>
              <w:jc w:val="right"/>
              <w:rPr>
                <w:rFonts w:ascii="Arial" w:hAnsi="Arial" w:cs="Arial"/>
                <w:bCs/>
              </w:rPr>
            </w:pPr>
            <w:r>
              <w:rPr>
                <w:rFonts w:ascii="Arial" w:hAnsi="Arial" w:cs="Arial"/>
                <w:bCs/>
              </w:rPr>
              <w:t>0.</w:t>
            </w:r>
            <w:r w:rsidRPr="00D11A02">
              <w:rPr>
                <w:rFonts w:ascii="Arial" w:hAnsi="Arial" w:cs="Arial"/>
                <w:bCs/>
              </w:rPr>
              <w:t>5</w:t>
            </w:r>
            <w:r>
              <w:rPr>
                <w:rFonts w:ascii="Arial" w:hAnsi="Arial" w:cs="Arial"/>
                <w:bCs/>
              </w:rPr>
              <w:t>7</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5F934480" w14:textId="77777777" w:rsidR="00A263A6" w:rsidRPr="00D11A02" w:rsidRDefault="00A263A6" w:rsidP="005E7ABF">
            <w:pPr>
              <w:spacing w:after="0" w:line="240" w:lineRule="auto"/>
              <w:ind w:left="-59" w:right="315" w:firstLine="59"/>
              <w:jc w:val="right"/>
              <w:rPr>
                <w:rFonts w:ascii="Arial" w:hAnsi="Arial" w:cs="Arial"/>
                <w:bCs/>
              </w:rPr>
            </w:pPr>
            <w:r w:rsidRPr="00D11A02">
              <w:rPr>
                <w:rFonts w:ascii="Arial" w:hAnsi="Arial" w:cs="Arial"/>
                <w:bCs/>
              </w:rPr>
              <w:t>n/a</w:t>
            </w:r>
          </w:p>
        </w:tc>
      </w:tr>
      <w:tr w:rsidR="00F0675B" w:rsidRPr="00D11A02" w14:paraId="40AA4029" w14:textId="77777777" w:rsidTr="005E7ABF">
        <w:trPr>
          <w:trHeight w:val="384"/>
        </w:trPr>
        <w:tc>
          <w:tcPr>
            <w:tcW w:w="5000" w:type="pct"/>
            <w:gridSpan w:val="7"/>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4CFDD391" w14:textId="77777777" w:rsidR="00F0675B" w:rsidRPr="00D11A02" w:rsidRDefault="00F0675B" w:rsidP="005E7ABF">
            <w:pPr>
              <w:spacing w:after="0" w:line="240" w:lineRule="auto"/>
              <w:ind w:right="315"/>
              <w:jc w:val="center"/>
              <w:rPr>
                <w:rFonts w:ascii="Arial" w:hAnsi="Arial" w:cs="Arial"/>
                <w:bCs/>
              </w:rPr>
            </w:pPr>
            <w:r w:rsidRPr="00D11A02">
              <w:rPr>
                <w:rFonts w:ascii="Arial" w:hAnsi="Arial" w:cs="Arial"/>
                <w:b/>
                <w:bCs/>
              </w:rPr>
              <w:t>TOTAL</w:t>
            </w:r>
          </w:p>
        </w:tc>
      </w:tr>
      <w:tr w:rsidR="00712870" w:rsidRPr="00D11A02" w14:paraId="32F1150D" w14:textId="77777777" w:rsidTr="00712870">
        <w:trPr>
          <w:trHeight w:val="384"/>
        </w:trPr>
        <w:tc>
          <w:tcPr>
            <w:tcW w:w="844" w:type="pct"/>
            <w:vMerge w:val="restar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5E6C409B" w14:textId="77777777" w:rsidR="00A263A6" w:rsidRPr="00D11A02" w:rsidRDefault="00A263A6" w:rsidP="000B5BEE">
            <w:pPr>
              <w:spacing w:after="0" w:line="240" w:lineRule="auto"/>
              <w:rPr>
                <w:rFonts w:ascii="Arial" w:hAnsi="Arial" w:cs="Arial"/>
                <w:bCs/>
              </w:rPr>
            </w:pPr>
            <w:r w:rsidRPr="00D11A02">
              <w:rPr>
                <w:rFonts w:ascii="Arial" w:hAnsi="Arial" w:cs="Arial"/>
                <w:bCs/>
              </w:rPr>
              <w:t> </w:t>
            </w: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79F760BB" w14:textId="77777777" w:rsidR="00A263A6" w:rsidRPr="00D11A02" w:rsidRDefault="00A263A6" w:rsidP="000B5BEE">
            <w:pPr>
              <w:spacing w:after="0" w:line="240" w:lineRule="auto"/>
              <w:rPr>
                <w:rFonts w:ascii="Arial" w:hAnsi="Arial" w:cs="Arial"/>
                <w:bCs/>
                <w:color w:val="E0251B"/>
              </w:rPr>
            </w:pPr>
            <w:r w:rsidRPr="00D11A02">
              <w:rPr>
                <w:rFonts w:ascii="Arial" w:hAnsi="Arial" w:cs="Arial"/>
                <w:b/>
                <w:bCs/>
                <w:color w:val="E0251B"/>
              </w:rPr>
              <w:t>Indicated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2246F1C0" w14:textId="4545E09A"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274</w:t>
            </w:r>
            <w:r>
              <w:rPr>
                <w:rFonts w:ascii="Arial" w:hAnsi="Arial" w:cs="Arial"/>
                <w:b/>
                <w:bCs/>
              </w:rPr>
              <w:t>.0</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16B52A7E" w14:textId="77777777"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0.93</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3F2BF226" w14:textId="77777777"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0.38</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5BF6E8A4" w14:textId="66696C47"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2</w:t>
            </w:r>
            <w:r w:rsidR="00712870">
              <w:rPr>
                <w:rFonts w:ascii="Arial" w:hAnsi="Arial" w:cs="Arial"/>
                <w:b/>
                <w:bCs/>
              </w:rPr>
              <w:t>.</w:t>
            </w:r>
            <w:r w:rsidR="00712870" w:rsidRPr="00D11A02">
              <w:rPr>
                <w:rFonts w:ascii="Arial" w:hAnsi="Arial" w:cs="Arial"/>
                <w:b/>
                <w:bCs/>
              </w:rPr>
              <w:t>5</w:t>
            </w:r>
            <w:r w:rsidR="00712870">
              <w:rPr>
                <w:rFonts w:ascii="Arial" w:hAnsi="Arial" w:cs="Arial"/>
                <w:b/>
                <w:bCs/>
              </w:rPr>
              <w:t>4</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2A47CF6B" w14:textId="41868479"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1</w:t>
            </w:r>
            <w:r w:rsidR="00712870">
              <w:rPr>
                <w:rFonts w:ascii="Arial" w:hAnsi="Arial" w:cs="Arial"/>
                <w:b/>
                <w:bCs/>
              </w:rPr>
              <w:t>.</w:t>
            </w:r>
            <w:r w:rsidRPr="00D11A02">
              <w:rPr>
                <w:rFonts w:ascii="Arial" w:hAnsi="Arial" w:cs="Arial"/>
                <w:b/>
                <w:bCs/>
              </w:rPr>
              <w:t>05</w:t>
            </w:r>
          </w:p>
        </w:tc>
      </w:tr>
      <w:tr w:rsidR="00712870" w:rsidRPr="00D11A02" w14:paraId="090B3451" w14:textId="77777777" w:rsidTr="00712870">
        <w:trPr>
          <w:trHeight w:val="384"/>
        </w:trPr>
        <w:tc>
          <w:tcPr>
            <w:tcW w:w="844" w:type="pct"/>
            <w:vMerge/>
            <w:tcBorders>
              <w:top w:val="single" w:sz="4" w:space="0" w:color="B8C7D0"/>
              <w:left w:val="single" w:sz="4" w:space="0" w:color="B8C7D0"/>
              <w:bottom w:val="single" w:sz="4" w:space="0" w:color="B8C7D0"/>
              <w:right w:val="single" w:sz="4" w:space="0" w:color="B8C7D0"/>
            </w:tcBorders>
            <w:vAlign w:val="center"/>
            <w:hideMark/>
          </w:tcPr>
          <w:p w14:paraId="65C16518" w14:textId="77777777" w:rsidR="00A263A6" w:rsidRPr="00D11A02" w:rsidRDefault="00A263A6" w:rsidP="000B5BEE">
            <w:pPr>
              <w:spacing w:after="0" w:line="240" w:lineRule="auto"/>
              <w:rPr>
                <w:rFonts w:ascii="Arial" w:hAnsi="Arial" w:cs="Arial"/>
                <w:bCs/>
              </w:rPr>
            </w:pPr>
          </w:p>
        </w:tc>
        <w:tc>
          <w:tcPr>
            <w:tcW w:w="786"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47502D99" w14:textId="77777777" w:rsidR="00A263A6" w:rsidRPr="00D11A02" w:rsidRDefault="00A263A6" w:rsidP="000B5BEE">
            <w:pPr>
              <w:spacing w:after="0" w:line="240" w:lineRule="auto"/>
              <w:rPr>
                <w:rFonts w:ascii="Arial" w:hAnsi="Arial" w:cs="Arial"/>
                <w:bCs/>
                <w:color w:val="E0251B"/>
              </w:rPr>
            </w:pPr>
            <w:r w:rsidRPr="00D11A02">
              <w:rPr>
                <w:rFonts w:ascii="Arial" w:hAnsi="Arial" w:cs="Arial"/>
                <w:b/>
                <w:bCs/>
                <w:color w:val="E0251B"/>
              </w:rPr>
              <w:t>Inferred</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9F2254A" w14:textId="6094DB6A"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248</w:t>
            </w:r>
            <w:r>
              <w:rPr>
                <w:rFonts w:ascii="Arial" w:hAnsi="Arial" w:cs="Arial"/>
                <w:b/>
                <w:bCs/>
              </w:rPr>
              <w:t>.8</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098D7881" w14:textId="77777777"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0.91</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1354A091" w14:textId="77777777"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0.63</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19B245E9" w14:textId="5A31EDC9"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2</w:t>
            </w:r>
            <w:r w:rsidR="00712870">
              <w:rPr>
                <w:rFonts w:ascii="Arial" w:hAnsi="Arial" w:cs="Arial"/>
                <w:b/>
                <w:bCs/>
              </w:rPr>
              <w:t>.</w:t>
            </w:r>
            <w:r w:rsidRPr="00D11A02">
              <w:rPr>
                <w:rFonts w:ascii="Arial" w:hAnsi="Arial" w:cs="Arial"/>
                <w:b/>
                <w:bCs/>
              </w:rPr>
              <w:t>2</w:t>
            </w:r>
            <w:r w:rsidR="00712870">
              <w:rPr>
                <w:rFonts w:ascii="Arial" w:hAnsi="Arial" w:cs="Arial"/>
                <w:b/>
                <w:bCs/>
              </w:rPr>
              <w:t>6</w:t>
            </w:r>
          </w:p>
        </w:tc>
        <w:tc>
          <w:tcPr>
            <w:tcW w:w="674" w:type="pct"/>
            <w:tcBorders>
              <w:top w:val="single" w:sz="4" w:space="0" w:color="B8C7D0"/>
              <w:left w:val="single" w:sz="4" w:space="0" w:color="B8C7D0"/>
              <w:bottom w:val="single" w:sz="4" w:space="0" w:color="B8C7D0"/>
              <w:right w:val="single" w:sz="4" w:space="0" w:color="B8C7D0"/>
            </w:tcBorders>
            <w:shd w:val="clear" w:color="auto" w:fill="auto"/>
            <w:tcMar>
              <w:top w:w="15" w:type="dxa"/>
              <w:left w:w="15" w:type="dxa"/>
              <w:bottom w:w="0" w:type="dxa"/>
              <w:right w:w="15" w:type="dxa"/>
            </w:tcMar>
            <w:vAlign w:val="center"/>
            <w:hideMark/>
          </w:tcPr>
          <w:p w14:paraId="6730BCD5" w14:textId="5B0253E0" w:rsidR="00A263A6" w:rsidRPr="00D11A02" w:rsidRDefault="00A263A6" w:rsidP="005E7ABF">
            <w:pPr>
              <w:spacing w:after="0" w:line="240" w:lineRule="auto"/>
              <w:ind w:right="315"/>
              <w:jc w:val="right"/>
              <w:rPr>
                <w:rFonts w:ascii="Arial" w:hAnsi="Arial" w:cs="Arial"/>
                <w:bCs/>
              </w:rPr>
            </w:pPr>
            <w:r w:rsidRPr="00D11A02">
              <w:rPr>
                <w:rFonts w:ascii="Arial" w:hAnsi="Arial" w:cs="Arial"/>
                <w:b/>
                <w:bCs/>
              </w:rPr>
              <w:t>1</w:t>
            </w:r>
            <w:r w:rsidR="00712870">
              <w:rPr>
                <w:rFonts w:ascii="Arial" w:hAnsi="Arial" w:cs="Arial"/>
                <w:b/>
                <w:bCs/>
              </w:rPr>
              <w:t>.</w:t>
            </w:r>
            <w:r w:rsidRPr="00D11A02">
              <w:rPr>
                <w:rFonts w:ascii="Arial" w:hAnsi="Arial" w:cs="Arial"/>
                <w:b/>
                <w:bCs/>
              </w:rPr>
              <w:t>56</w:t>
            </w:r>
          </w:p>
        </w:tc>
      </w:tr>
    </w:tbl>
    <w:p w14:paraId="0088CD01" w14:textId="55338420" w:rsidR="00712870" w:rsidRDefault="00712870">
      <w:pPr>
        <w:spacing w:after="0" w:line="240" w:lineRule="auto"/>
        <w:rPr>
          <w:rFonts w:ascii="Arial" w:hAnsi="Arial"/>
          <w:b/>
          <w:sz w:val="24"/>
          <w:szCs w:val="24"/>
        </w:rPr>
      </w:pPr>
    </w:p>
    <w:p w14:paraId="0BE387E9" w14:textId="77777777" w:rsidR="00C04255" w:rsidRDefault="00C04255" w:rsidP="00F55868">
      <w:pPr>
        <w:spacing w:after="0" w:line="240" w:lineRule="auto"/>
        <w:rPr>
          <w:rFonts w:ascii="Arial" w:hAnsi="Arial"/>
          <w:b/>
          <w:sz w:val="24"/>
          <w:szCs w:val="24"/>
        </w:rPr>
      </w:pPr>
    </w:p>
    <w:p w14:paraId="1648AA31" w14:textId="77777777" w:rsidR="00C04255" w:rsidRDefault="00C04255" w:rsidP="00F55868">
      <w:pPr>
        <w:spacing w:after="0" w:line="240" w:lineRule="auto"/>
        <w:rPr>
          <w:rFonts w:ascii="Arial" w:hAnsi="Arial"/>
          <w:b/>
          <w:sz w:val="24"/>
          <w:szCs w:val="24"/>
        </w:rPr>
      </w:pPr>
    </w:p>
    <w:p w14:paraId="579B576A" w14:textId="32E1AA22" w:rsidR="00C47D7B" w:rsidRDefault="00C47D7B" w:rsidP="00F55868">
      <w:pPr>
        <w:spacing w:after="0" w:line="240" w:lineRule="auto"/>
        <w:rPr>
          <w:rFonts w:ascii="Arial" w:hAnsi="Arial"/>
          <w:b/>
          <w:sz w:val="24"/>
          <w:szCs w:val="24"/>
        </w:rPr>
      </w:pPr>
      <w:r w:rsidRPr="00D11A02">
        <w:rPr>
          <w:rFonts w:ascii="Arial" w:hAnsi="Arial"/>
          <w:b/>
          <w:sz w:val="24"/>
          <w:szCs w:val="24"/>
        </w:rPr>
        <w:t xml:space="preserve">Seven drills are currently operating to in-fill </w:t>
      </w:r>
      <w:r w:rsidR="003B73B3">
        <w:rPr>
          <w:rFonts w:ascii="Arial" w:hAnsi="Arial"/>
          <w:b/>
          <w:sz w:val="24"/>
          <w:szCs w:val="24"/>
        </w:rPr>
        <w:t xml:space="preserve">and expand </w:t>
      </w:r>
      <w:r w:rsidRPr="00D11A02">
        <w:rPr>
          <w:rFonts w:ascii="Arial" w:hAnsi="Arial"/>
          <w:b/>
          <w:sz w:val="24"/>
          <w:szCs w:val="24"/>
        </w:rPr>
        <w:t>the Santa Cruz deposit. The 75,000</w:t>
      </w:r>
      <w:r w:rsidR="00822A9D">
        <w:rPr>
          <w:rFonts w:ascii="Arial" w:hAnsi="Arial"/>
          <w:b/>
          <w:sz w:val="24"/>
          <w:szCs w:val="24"/>
        </w:rPr>
        <w:t>-</w:t>
      </w:r>
      <w:r w:rsidRPr="00D11A02">
        <w:rPr>
          <w:rFonts w:ascii="Arial" w:hAnsi="Arial"/>
          <w:b/>
          <w:sz w:val="24"/>
          <w:szCs w:val="24"/>
        </w:rPr>
        <w:t>m</w:t>
      </w:r>
      <w:r>
        <w:rPr>
          <w:rFonts w:ascii="Arial" w:hAnsi="Arial"/>
          <w:b/>
          <w:sz w:val="24"/>
          <w:szCs w:val="24"/>
        </w:rPr>
        <w:t>eter</w:t>
      </w:r>
      <w:r w:rsidRPr="00D11A02">
        <w:rPr>
          <w:rFonts w:ascii="Arial" w:hAnsi="Arial"/>
          <w:b/>
          <w:sz w:val="24"/>
          <w:szCs w:val="24"/>
        </w:rPr>
        <w:t xml:space="preserve"> in-fill drilling progr</w:t>
      </w:r>
      <w:r w:rsidR="0079493F">
        <w:rPr>
          <w:rFonts w:ascii="Arial" w:hAnsi="Arial"/>
          <w:b/>
          <w:sz w:val="24"/>
          <w:szCs w:val="24"/>
        </w:rPr>
        <w:t xml:space="preserve">am is </w:t>
      </w:r>
      <w:r w:rsidR="00C90B4D">
        <w:rPr>
          <w:rFonts w:ascii="Arial" w:hAnsi="Arial"/>
          <w:b/>
          <w:sz w:val="24"/>
          <w:szCs w:val="24"/>
        </w:rPr>
        <w:t xml:space="preserve">more than </w:t>
      </w:r>
      <w:r w:rsidR="0094653D">
        <w:rPr>
          <w:rFonts w:ascii="Arial" w:hAnsi="Arial"/>
          <w:b/>
          <w:sz w:val="24"/>
          <w:szCs w:val="24"/>
        </w:rPr>
        <w:t xml:space="preserve">50% </w:t>
      </w:r>
      <w:r w:rsidR="00C90B4D">
        <w:rPr>
          <w:rFonts w:ascii="Arial" w:hAnsi="Arial"/>
          <w:b/>
          <w:sz w:val="24"/>
          <w:szCs w:val="24"/>
        </w:rPr>
        <w:t>complete</w:t>
      </w:r>
      <w:r w:rsidR="0079493F">
        <w:rPr>
          <w:rFonts w:ascii="Arial" w:hAnsi="Arial"/>
          <w:b/>
          <w:sz w:val="24"/>
          <w:szCs w:val="24"/>
        </w:rPr>
        <w:t>, with 36,637</w:t>
      </w:r>
      <w:r>
        <w:rPr>
          <w:rFonts w:ascii="Arial" w:hAnsi="Arial"/>
          <w:b/>
          <w:sz w:val="24"/>
          <w:szCs w:val="24"/>
        </w:rPr>
        <w:t xml:space="preserve"> </w:t>
      </w:r>
      <w:r w:rsidRPr="00D11A02">
        <w:rPr>
          <w:rFonts w:ascii="Arial" w:hAnsi="Arial"/>
          <w:b/>
          <w:sz w:val="24"/>
          <w:szCs w:val="24"/>
        </w:rPr>
        <w:t>m</w:t>
      </w:r>
      <w:r>
        <w:rPr>
          <w:rFonts w:ascii="Arial" w:hAnsi="Arial"/>
          <w:b/>
          <w:sz w:val="24"/>
          <w:szCs w:val="24"/>
        </w:rPr>
        <w:t>eters</w:t>
      </w:r>
      <w:r w:rsidRPr="00D11A02">
        <w:rPr>
          <w:rFonts w:ascii="Arial" w:hAnsi="Arial"/>
          <w:b/>
          <w:sz w:val="24"/>
          <w:szCs w:val="24"/>
        </w:rPr>
        <w:t xml:space="preserve"> completed by the end of June 2022.</w:t>
      </w:r>
      <w:r w:rsidR="00C90B4D">
        <w:rPr>
          <w:rFonts w:ascii="Arial" w:hAnsi="Arial"/>
          <w:b/>
          <w:sz w:val="24"/>
          <w:szCs w:val="24"/>
        </w:rPr>
        <w:t xml:space="preserve"> Ivanhoe Electric will seek and provide </w:t>
      </w:r>
      <w:r w:rsidR="00D2678E">
        <w:rPr>
          <w:rFonts w:ascii="Arial" w:hAnsi="Arial"/>
          <w:b/>
          <w:sz w:val="24"/>
          <w:szCs w:val="24"/>
        </w:rPr>
        <w:t xml:space="preserve">updated </w:t>
      </w:r>
      <w:r w:rsidR="00C90B4D">
        <w:rPr>
          <w:rFonts w:ascii="Arial" w:hAnsi="Arial"/>
          <w:b/>
          <w:sz w:val="24"/>
          <w:szCs w:val="24"/>
        </w:rPr>
        <w:t xml:space="preserve">independent </w:t>
      </w:r>
      <w:r w:rsidR="00306CEE">
        <w:rPr>
          <w:rFonts w:ascii="Arial" w:hAnsi="Arial"/>
          <w:b/>
          <w:sz w:val="24"/>
          <w:szCs w:val="24"/>
        </w:rPr>
        <w:t>mineral</w:t>
      </w:r>
      <w:r w:rsidR="00C90B4D">
        <w:rPr>
          <w:rFonts w:ascii="Arial" w:hAnsi="Arial"/>
          <w:b/>
          <w:sz w:val="24"/>
          <w:szCs w:val="24"/>
        </w:rPr>
        <w:t xml:space="preserve"> resource </w:t>
      </w:r>
      <w:r w:rsidR="00D2678E">
        <w:rPr>
          <w:rFonts w:ascii="Arial" w:hAnsi="Arial"/>
          <w:b/>
          <w:sz w:val="24"/>
          <w:szCs w:val="24"/>
        </w:rPr>
        <w:t xml:space="preserve">estimate </w:t>
      </w:r>
      <w:r w:rsidR="00C90B4D">
        <w:rPr>
          <w:rFonts w:ascii="Arial" w:hAnsi="Arial"/>
          <w:b/>
          <w:sz w:val="24"/>
          <w:szCs w:val="24"/>
        </w:rPr>
        <w:t xml:space="preserve">calculations after the </w:t>
      </w:r>
      <w:r w:rsidR="00306CEE">
        <w:rPr>
          <w:rFonts w:ascii="Arial" w:hAnsi="Arial"/>
          <w:b/>
          <w:sz w:val="24"/>
          <w:szCs w:val="24"/>
        </w:rPr>
        <w:t>completion</w:t>
      </w:r>
      <w:r w:rsidR="00C90B4D">
        <w:rPr>
          <w:rFonts w:ascii="Arial" w:hAnsi="Arial"/>
          <w:b/>
          <w:sz w:val="24"/>
          <w:szCs w:val="24"/>
        </w:rPr>
        <w:t xml:space="preserve"> </w:t>
      </w:r>
      <w:r w:rsidR="00306CEE">
        <w:rPr>
          <w:rFonts w:ascii="Arial" w:hAnsi="Arial"/>
          <w:b/>
          <w:sz w:val="24"/>
          <w:szCs w:val="24"/>
        </w:rPr>
        <w:t xml:space="preserve">of the </w:t>
      </w:r>
      <w:r w:rsidR="00C90B4D">
        <w:rPr>
          <w:rFonts w:ascii="Arial" w:hAnsi="Arial"/>
          <w:b/>
          <w:sz w:val="24"/>
          <w:szCs w:val="24"/>
        </w:rPr>
        <w:t xml:space="preserve">current </w:t>
      </w:r>
      <w:r w:rsidR="00D2678E">
        <w:rPr>
          <w:rFonts w:ascii="Arial" w:hAnsi="Arial"/>
          <w:b/>
          <w:sz w:val="24"/>
          <w:szCs w:val="24"/>
        </w:rPr>
        <w:t xml:space="preserve">drilling </w:t>
      </w:r>
      <w:r w:rsidR="00306CEE">
        <w:rPr>
          <w:rFonts w:ascii="Arial" w:hAnsi="Arial"/>
          <w:b/>
          <w:sz w:val="24"/>
          <w:szCs w:val="24"/>
        </w:rPr>
        <w:t>program.</w:t>
      </w:r>
    </w:p>
    <w:p w14:paraId="1051ECF8" w14:textId="5AB25849" w:rsidR="00C47D7B" w:rsidRDefault="00C47D7B" w:rsidP="00F55868">
      <w:pPr>
        <w:spacing w:after="0" w:line="240" w:lineRule="auto"/>
        <w:rPr>
          <w:rFonts w:ascii="Arial" w:hAnsi="Arial"/>
          <w:b/>
          <w:sz w:val="24"/>
          <w:szCs w:val="24"/>
        </w:rPr>
      </w:pPr>
    </w:p>
    <w:p w14:paraId="31FC91B4" w14:textId="02DAD62D" w:rsidR="00C47D7B" w:rsidRPr="00D11A02" w:rsidRDefault="00C47D7B" w:rsidP="0020460A">
      <w:pPr>
        <w:spacing w:after="0" w:line="240" w:lineRule="auto"/>
        <w:rPr>
          <w:rFonts w:ascii="Arial" w:hAnsi="Arial"/>
          <w:b/>
          <w:sz w:val="24"/>
          <w:szCs w:val="24"/>
        </w:rPr>
      </w:pPr>
      <w:r w:rsidRPr="00D11A02">
        <w:rPr>
          <w:rFonts w:ascii="Arial" w:hAnsi="Arial"/>
          <w:b/>
          <w:sz w:val="24"/>
          <w:szCs w:val="24"/>
        </w:rPr>
        <w:t>Program emphasis is on the larger</w:t>
      </w:r>
      <w:r w:rsidR="0079493F">
        <w:rPr>
          <w:rFonts w:ascii="Arial" w:hAnsi="Arial"/>
          <w:b/>
          <w:sz w:val="24"/>
          <w:szCs w:val="24"/>
        </w:rPr>
        <w:t>,</w:t>
      </w:r>
      <w:r w:rsidRPr="00D11A02">
        <w:rPr>
          <w:rFonts w:ascii="Arial" w:hAnsi="Arial"/>
          <w:b/>
          <w:sz w:val="24"/>
          <w:szCs w:val="24"/>
        </w:rPr>
        <w:t xml:space="preserve"> higher-grade portions of the deposit</w:t>
      </w:r>
      <w:r w:rsidR="00F57E55">
        <w:rPr>
          <w:rFonts w:ascii="Arial" w:hAnsi="Arial"/>
          <w:b/>
          <w:sz w:val="24"/>
          <w:szCs w:val="24"/>
        </w:rPr>
        <w:t>,</w:t>
      </w:r>
      <w:r w:rsidRPr="00D11A02">
        <w:rPr>
          <w:rFonts w:ascii="Arial" w:hAnsi="Arial"/>
          <w:b/>
          <w:sz w:val="24"/>
          <w:szCs w:val="24"/>
        </w:rPr>
        <w:t xml:space="preserve"> which appear to have sufficient dimensions to support various bulk underground mining methods. While many sample assays are </w:t>
      </w:r>
      <w:r w:rsidR="0079493F">
        <w:rPr>
          <w:rFonts w:ascii="Arial" w:hAnsi="Arial"/>
          <w:b/>
          <w:sz w:val="24"/>
          <w:szCs w:val="24"/>
        </w:rPr>
        <w:t xml:space="preserve">still </w:t>
      </w:r>
      <w:r w:rsidR="005E2D4F">
        <w:rPr>
          <w:rFonts w:ascii="Arial" w:hAnsi="Arial"/>
          <w:b/>
          <w:sz w:val="24"/>
          <w:szCs w:val="24"/>
        </w:rPr>
        <w:t>pending</w:t>
      </w:r>
      <w:r w:rsidRPr="00D11A02">
        <w:rPr>
          <w:rFonts w:ascii="Arial" w:hAnsi="Arial"/>
          <w:b/>
          <w:sz w:val="24"/>
          <w:szCs w:val="24"/>
        </w:rPr>
        <w:t xml:space="preserve">, mineralization encountered to date is consistent with </w:t>
      </w:r>
      <w:r w:rsidR="00844FFB">
        <w:rPr>
          <w:rFonts w:ascii="Arial" w:hAnsi="Arial"/>
          <w:b/>
          <w:sz w:val="24"/>
          <w:szCs w:val="24"/>
        </w:rPr>
        <w:t xml:space="preserve">Ivanhoe Electric’s </w:t>
      </w:r>
      <w:r w:rsidRPr="00D11A02">
        <w:rPr>
          <w:rFonts w:ascii="Arial" w:hAnsi="Arial"/>
          <w:b/>
          <w:sz w:val="24"/>
          <w:szCs w:val="24"/>
        </w:rPr>
        <w:t xml:space="preserve">expectations. </w:t>
      </w:r>
    </w:p>
    <w:p w14:paraId="416E754A" w14:textId="77777777" w:rsidR="00C47D7B" w:rsidRPr="00D11A02" w:rsidRDefault="00C47D7B" w:rsidP="0020460A">
      <w:pPr>
        <w:spacing w:after="0" w:line="240" w:lineRule="auto"/>
        <w:rPr>
          <w:rFonts w:ascii="Arial" w:hAnsi="Arial"/>
          <w:bCs/>
          <w:sz w:val="24"/>
          <w:szCs w:val="24"/>
        </w:rPr>
      </w:pPr>
    </w:p>
    <w:p w14:paraId="45967BFD" w14:textId="20572B8E" w:rsidR="00C47D7B" w:rsidRDefault="00C47D7B" w:rsidP="0020460A">
      <w:pPr>
        <w:spacing w:after="0" w:line="240" w:lineRule="auto"/>
        <w:rPr>
          <w:rFonts w:ascii="Arial" w:hAnsi="Arial"/>
          <w:b/>
          <w:sz w:val="24"/>
          <w:szCs w:val="24"/>
        </w:rPr>
      </w:pPr>
      <w:r w:rsidRPr="00DB3116">
        <w:rPr>
          <w:rFonts w:ascii="Arial" w:hAnsi="Arial"/>
          <w:b/>
          <w:sz w:val="24"/>
          <w:szCs w:val="24"/>
        </w:rPr>
        <w:t xml:space="preserve">Additional program objectives </w:t>
      </w:r>
      <w:r w:rsidR="008351AA" w:rsidRPr="00DB3116">
        <w:rPr>
          <w:rFonts w:ascii="Arial" w:hAnsi="Arial"/>
          <w:b/>
          <w:sz w:val="24"/>
          <w:szCs w:val="24"/>
        </w:rPr>
        <w:t>include</w:t>
      </w:r>
      <w:r w:rsidRPr="00DB3116">
        <w:rPr>
          <w:rFonts w:ascii="Arial" w:hAnsi="Arial"/>
          <w:b/>
          <w:sz w:val="24"/>
          <w:szCs w:val="24"/>
        </w:rPr>
        <w:t xml:space="preserve"> step-out out drilling outside of the current </w:t>
      </w:r>
      <w:r>
        <w:rPr>
          <w:rFonts w:ascii="Arial" w:hAnsi="Arial"/>
          <w:b/>
          <w:sz w:val="24"/>
          <w:szCs w:val="24"/>
        </w:rPr>
        <w:t>resource</w:t>
      </w:r>
      <w:r w:rsidRPr="00DB3116">
        <w:rPr>
          <w:rFonts w:ascii="Arial" w:hAnsi="Arial"/>
          <w:b/>
          <w:sz w:val="24"/>
          <w:szCs w:val="24"/>
        </w:rPr>
        <w:t xml:space="preserve"> footprint to test areas where mineralization remains open</w:t>
      </w:r>
      <w:r w:rsidR="0079493F">
        <w:rPr>
          <w:rFonts w:ascii="Arial" w:hAnsi="Arial"/>
          <w:b/>
          <w:sz w:val="24"/>
          <w:szCs w:val="24"/>
        </w:rPr>
        <w:t>;</w:t>
      </w:r>
      <w:r>
        <w:rPr>
          <w:rFonts w:ascii="Arial" w:hAnsi="Arial"/>
          <w:b/>
          <w:sz w:val="24"/>
          <w:szCs w:val="24"/>
        </w:rPr>
        <w:t xml:space="preserve"> o</w:t>
      </w:r>
      <w:r w:rsidRPr="00DB3116">
        <w:rPr>
          <w:rFonts w:ascii="Arial" w:hAnsi="Arial"/>
          <w:b/>
          <w:sz w:val="24"/>
          <w:szCs w:val="24"/>
        </w:rPr>
        <w:t>btaining large-diameter drill core for geotechnical and metallurgical test work, including material for the ongoing environmental and hydrogeological work programs</w:t>
      </w:r>
      <w:r w:rsidR="0079493F">
        <w:rPr>
          <w:rFonts w:ascii="Arial" w:hAnsi="Arial"/>
          <w:b/>
          <w:sz w:val="24"/>
          <w:szCs w:val="24"/>
        </w:rPr>
        <w:t>;</w:t>
      </w:r>
      <w:r>
        <w:rPr>
          <w:rFonts w:ascii="Arial" w:hAnsi="Arial"/>
          <w:b/>
          <w:sz w:val="24"/>
          <w:szCs w:val="24"/>
        </w:rPr>
        <w:t xml:space="preserve"> and g</w:t>
      </w:r>
      <w:r w:rsidRPr="00DB3116">
        <w:rPr>
          <w:rFonts w:ascii="Arial" w:hAnsi="Arial"/>
          <w:b/>
          <w:sz w:val="24"/>
          <w:szCs w:val="24"/>
        </w:rPr>
        <w:t>eotechnical drilling on potential ramp and shaft access locations.</w:t>
      </w:r>
    </w:p>
    <w:p w14:paraId="391F6629" w14:textId="77777777" w:rsidR="00C47D7B" w:rsidRDefault="00C47D7B" w:rsidP="00C47D7B">
      <w:pPr>
        <w:spacing w:after="0" w:line="240" w:lineRule="auto"/>
        <w:rPr>
          <w:rFonts w:ascii="Arial" w:hAnsi="Arial"/>
          <w:b/>
          <w:sz w:val="24"/>
          <w:szCs w:val="24"/>
        </w:rPr>
      </w:pPr>
    </w:p>
    <w:p w14:paraId="5AD4B50A" w14:textId="73453AB0" w:rsidR="00B62ADE" w:rsidRPr="00C704F5" w:rsidRDefault="00372C2B" w:rsidP="0020460A">
      <w:pPr>
        <w:spacing w:after="0" w:line="240" w:lineRule="auto"/>
        <w:rPr>
          <w:rFonts w:ascii="Arial" w:hAnsi="Arial"/>
          <w:b/>
          <w:color w:val="E0251B"/>
          <w:sz w:val="28"/>
          <w:szCs w:val="24"/>
        </w:rPr>
      </w:pPr>
      <w:r w:rsidRPr="00C704F5">
        <w:rPr>
          <w:rFonts w:ascii="Arial" w:hAnsi="Arial"/>
          <w:b/>
          <w:color w:val="E0251B"/>
          <w:sz w:val="28"/>
          <w:szCs w:val="24"/>
        </w:rPr>
        <w:lastRenderedPageBreak/>
        <w:t xml:space="preserve">The Texaco </w:t>
      </w:r>
      <w:r w:rsidR="00306CEE" w:rsidRPr="00C704F5">
        <w:rPr>
          <w:rFonts w:ascii="Arial" w:hAnsi="Arial"/>
          <w:b/>
          <w:color w:val="E0251B"/>
          <w:sz w:val="28"/>
          <w:szCs w:val="28"/>
        </w:rPr>
        <w:t>copper discovery</w:t>
      </w:r>
      <w:r w:rsidR="00306CEE" w:rsidRPr="00C704F5">
        <w:rPr>
          <w:rFonts w:ascii="Arial" w:hAnsi="Arial"/>
          <w:b/>
          <w:color w:val="E0251B"/>
          <w:sz w:val="28"/>
          <w:szCs w:val="24"/>
        </w:rPr>
        <w:t xml:space="preserve"> </w:t>
      </w:r>
      <w:r w:rsidRPr="00C704F5">
        <w:rPr>
          <w:rFonts w:ascii="Arial" w:hAnsi="Arial"/>
          <w:b/>
          <w:color w:val="E0251B"/>
          <w:sz w:val="28"/>
          <w:szCs w:val="24"/>
        </w:rPr>
        <w:t xml:space="preserve">is the second-largest body of mineralization </w:t>
      </w:r>
      <w:r w:rsidR="00306CEE" w:rsidRPr="00C704F5">
        <w:rPr>
          <w:rFonts w:ascii="Arial" w:hAnsi="Arial"/>
          <w:b/>
          <w:color w:val="E0251B"/>
          <w:sz w:val="28"/>
          <w:szCs w:val="24"/>
        </w:rPr>
        <w:t xml:space="preserve">known </w:t>
      </w:r>
      <w:r w:rsidRPr="00C704F5">
        <w:rPr>
          <w:rFonts w:ascii="Arial" w:hAnsi="Arial"/>
          <w:b/>
          <w:color w:val="E0251B"/>
          <w:sz w:val="28"/>
          <w:szCs w:val="24"/>
        </w:rPr>
        <w:t>at the Santa Cruz Project</w:t>
      </w:r>
    </w:p>
    <w:p w14:paraId="2D322B7B" w14:textId="77777777" w:rsidR="00B62ADE" w:rsidRPr="00372C2B" w:rsidRDefault="00B62ADE" w:rsidP="00B62ADE">
      <w:pPr>
        <w:spacing w:after="0" w:line="240" w:lineRule="auto"/>
        <w:rPr>
          <w:rFonts w:ascii="Arial" w:hAnsi="Arial"/>
          <w:b/>
          <w:sz w:val="24"/>
          <w:szCs w:val="24"/>
        </w:rPr>
      </w:pPr>
    </w:p>
    <w:p w14:paraId="0DD8CF50" w14:textId="585763C7" w:rsidR="00372C2B" w:rsidRPr="00372C2B" w:rsidRDefault="00306CEE" w:rsidP="0020460A">
      <w:pPr>
        <w:spacing w:after="0" w:line="240" w:lineRule="auto"/>
        <w:rPr>
          <w:rFonts w:ascii="Arial" w:hAnsi="Arial"/>
          <w:b/>
          <w:sz w:val="24"/>
          <w:szCs w:val="24"/>
        </w:rPr>
      </w:pPr>
      <w:r>
        <w:rPr>
          <w:rFonts w:ascii="Arial" w:hAnsi="Arial"/>
          <w:b/>
          <w:sz w:val="24"/>
          <w:szCs w:val="24"/>
        </w:rPr>
        <w:t xml:space="preserve">The </w:t>
      </w:r>
      <w:r w:rsidR="00372C2B" w:rsidRPr="00372C2B">
        <w:rPr>
          <w:rFonts w:ascii="Arial" w:hAnsi="Arial"/>
          <w:b/>
          <w:sz w:val="24"/>
          <w:szCs w:val="24"/>
        </w:rPr>
        <w:t xml:space="preserve">Texaco </w:t>
      </w:r>
      <w:r>
        <w:rPr>
          <w:rFonts w:ascii="Arial" w:hAnsi="Arial"/>
          <w:b/>
          <w:sz w:val="24"/>
          <w:szCs w:val="24"/>
        </w:rPr>
        <w:t xml:space="preserve">copper discovery </w:t>
      </w:r>
      <w:r w:rsidR="00372C2B" w:rsidRPr="00372C2B">
        <w:rPr>
          <w:rFonts w:ascii="Arial" w:hAnsi="Arial"/>
          <w:b/>
          <w:sz w:val="24"/>
          <w:szCs w:val="24"/>
        </w:rPr>
        <w:t>is</w:t>
      </w:r>
      <w:r w:rsidR="00B62ADE" w:rsidRPr="00372C2B">
        <w:rPr>
          <w:rFonts w:ascii="Arial" w:hAnsi="Arial"/>
          <w:b/>
          <w:sz w:val="24"/>
          <w:szCs w:val="24"/>
        </w:rPr>
        <w:t xml:space="preserve"> located 3.5</w:t>
      </w:r>
      <w:r w:rsidR="00F21A8B">
        <w:rPr>
          <w:rFonts w:ascii="Arial" w:hAnsi="Arial"/>
          <w:b/>
          <w:sz w:val="24"/>
          <w:szCs w:val="24"/>
        </w:rPr>
        <w:t xml:space="preserve"> </w:t>
      </w:r>
      <w:r w:rsidR="00B62ADE" w:rsidRPr="00372C2B">
        <w:rPr>
          <w:rFonts w:ascii="Arial" w:hAnsi="Arial"/>
          <w:b/>
          <w:sz w:val="24"/>
          <w:szCs w:val="24"/>
        </w:rPr>
        <w:t xml:space="preserve">km northeast of the Santa Cruz </w:t>
      </w:r>
      <w:r w:rsidR="0079493F">
        <w:rPr>
          <w:rFonts w:ascii="Arial" w:hAnsi="Arial"/>
          <w:b/>
          <w:sz w:val="24"/>
          <w:szCs w:val="24"/>
        </w:rPr>
        <w:t>d</w:t>
      </w:r>
      <w:r w:rsidR="00B62ADE" w:rsidRPr="00372C2B">
        <w:rPr>
          <w:rFonts w:ascii="Arial" w:hAnsi="Arial"/>
          <w:b/>
          <w:sz w:val="24"/>
          <w:szCs w:val="24"/>
        </w:rPr>
        <w:t>eposit. Historical</w:t>
      </w:r>
      <w:r w:rsidR="00F21A8B">
        <w:rPr>
          <w:rFonts w:ascii="Arial" w:hAnsi="Arial"/>
          <w:b/>
          <w:sz w:val="24"/>
          <w:szCs w:val="24"/>
        </w:rPr>
        <w:t xml:space="preserve"> </w:t>
      </w:r>
      <w:r w:rsidR="00B62ADE" w:rsidRPr="00372C2B">
        <w:rPr>
          <w:rFonts w:ascii="Arial" w:hAnsi="Arial"/>
          <w:b/>
          <w:sz w:val="24"/>
          <w:szCs w:val="24"/>
        </w:rPr>
        <w:t xml:space="preserve">and Ivanhoe Electric drilling </w:t>
      </w:r>
      <w:r w:rsidR="006E71E2" w:rsidRPr="00372C2B">
        <w:rPr>
          <w:rFonts w:ascii="Arial" w:hAnsi="Arial"/>
          <w:b/>
          <w:sz w:val="24"/>
          <w:szCs w:val="24"/>
        </w:rPr>
        <w:t>have</w:t>
      </w:r>
      <w:r w:rsidR="00B62ADE" w:rsidRPr="00372C2B">
        <w:rPr>
          <w:rFonts w:ascii="Arial" w:hAnsi="Arial"/>
          <w:b/>
          <w:sz w:val="24"/>
          <w:szCs w:val="24"/>
        </w:rPr>
        <w:t xml:space="preserve"> confirmed that the deposit remains open, that supergene copper mineralization is sulfide-dominated</w:t>
      </w:r>
      <w:r w:rsidR="00F21A8B">
        <w:rPr>
          <w:rFonts w:ascii="Arial" w:hAnsi="Arial"/>
          <w:b/>
          <w:sz w:val="24"/>
          <w:szCs w:val="24"/>
        </w:rPr>
        <w:t>,</w:t>
      </w:r>
      <w:r w:rsidR="00B62ADE" w:rsidRPr="00372C2B">
        <w:rPr>
          <w:rFonts w:ascii="Arial" w:hAnsi="Arial"/>
          <w:b/>
          <w:sz w:val="24"/>
          <w:szCs w:val="24"/>
        </w:rPr>
        <w:t xml:space="preserve"> and that there are indications of underlying high</w:t>
      </w:r>
      <w:r w:rsidR="00F21A8B">
        <w:rPr>
          <w:rFonts w:ascii="Arial" w:hAnsi="Arial"/>
          <w:b/>
          <w:sz w:val="24"/>
          <w:szCs w:val="24"/>
        </w:rPr>
        <w:t>-</w:t>
      </w:r>
      <w:r w:rsidR="00B62ADE" w:rsidRPr="00372C2B">
        <w:rPr>
          <w:rFonts w:ascii="Arial" w:hAnsi="Arial"/>
          <w:b/>
          <w:sz w:val="24"/>
          <w:szCs w:val="24"/>
        </w:rPr>
        <w:t>grade hypogene mineralization.</w:t>
      </w:r>
    </w:p>
    <w:p w14:paraId="7F102DC0" w14:textId="77777777" w:rsidR="00372C2B" w:rsidRPr="00372C2B" w:rsidRDefault="00372C2B" w:rsidP="0020460A">
      <w:pPr>
        <w:spacing w:after="0" w:line="240" w:lineRule="auto"/>
        <w:rPr>
          <w:rFonts w:ascii="Arial" w:hAnsi="Arial"/>
          <w:b/>
          <w:sz w:val="24"/>
          <w:szCs w:val="24"/>
        </w:rPr>
      </w:pPr>
    </w:p>
    <w:p w14:paraId="78BAE845" w14:textId="63F0EEE6" w:rsidR="00B62ADE" w:rsidRPr="00372C2B" w:rsidRDefault="00B62ADE" w:rsidP="0020460A">
      <w:pPr>
        <w:spacing w:after="0" w:line="240" w:lineRule="auto"/>
        <w:rPr>
          <w:rFonts w:ascii="Arial" w:hAnsi="Arial"/>
          <w:b/>
          <w:sz w:val="24"/>
          <w:szCs w:val="24"/>
        </w:rPr>
      </w:pPr>
      <w:r w:rsidRPr="00372C2B">
        <w:rPr>
          <w:rFonts w:ascii="Arial" w:hAnsi="Arial"/>
          <w:b/>
          <w:sz w:val="24"/>
          <w:szCs w:val="24"/>
        </w:rPr>
        <w:t>High</w:t>
      </w:r>
      <w:r w:rsidR="00F21A8B">
        <w:rPr>
          <w:rFonts w:ascii="Arial" w:hAnsi="Arial"/>
          <w:b/>
          <w:sz w:val="24"/>
          <w:szCs w:val="24"/>
        </w:rPr>
        <w:t>-</w:t>
      </w:r>
      <w:r w:rsidRPr="00372C2B">
        <w:rPr>
          <w:rFonts w:ascii="Arial" w:hAnsi="Arial"/>
          <w:b/>
          <w:sz w:val="24"/>
          <w:szCs w:val="24"/>
        </w:rPr>
        <w:t>grade Ivanhoe Electric drill intercepts include 73</w:t>
      </w:r>
      <w:r w:rsidR="00372C2B">
        <w:rPr>
          <w:rFonts w:ascii="Arial" w:hAnsi="Arial"/>
          <w:b/>
          <w:sz w:val="24"/>
          <w:szCs w:val="24"/>
        </w:rPr>
        <w:t xml:space="preserve"> </w:t>
      </w:r>
      <w:r w:rsidRPr="00372C2B">
        <w:rPr>
          <w:rFonts w:ascii="Arial" w:hAnsi="Arial"/>
          <w:b/>
          <w:sz w:val="24"/>
          <w:szCs w:val="24"/>
        </w:rPr>
        <w:t>m</w:t>
      </w:r>
      <w:r w:rsidR="00372C2B">
        <w:rPr>
          <w:rFonts w:ascii="Arial" w:hAnsi="Arial"/>
          <w:b/>
          <w:sz w:val="24"/>
          <w:szCs w:val="24"/>
        </w:rPr>
        <w:t>eters</w:t>
      </w:r>
      <w:r w:rsidRPr="00372C2B">
        <w:rPr>
          <w:rFonts w:ascii="Arial" w:hAnsi="Arial"/>
          <w:b/>
          <w:sz w:val="24"/>
          <w:szCs w:val="24"/>
        </w:rPr>
        <w:t xml:space="preserve"> </w:t>
      </w:r>
      <w:r w:rsidR="00372C2B">
        <w:rPr>
          <w:rFonts w:ascii="Arial" w:hAnsi="Arial"/>
          <w:b/>
          <w:sz w:val="24"/>
          <w:szCs w:val="24"/>
        </w:rPr>
        <w:t>@</w:t>
      </w:r>
      <w:r w:rsidRPr="00372C2B">
        <w:rPr>
          <w:rFonts w:ascii="Arial" w:hAnsi="Arial"/>
          <w:b/>
          <w:sz w:val="24"/>
          <w:szCs w:val="24"/>
        </w:rPr>
        <w:t xml:space="preserve"> 2.2% </w:t>
      </w:r>
      <w:proofErr w:type="gramStart"/>
      <w:r w:rsidR="00372C2B">
        <w:rPr>
          <w:rFonts w:ascii="Arial" w:hAnsi="Arial"/>
          <w:b/>
          <w:sz w:val="24"/>
          <w:szCs w:val="24"/>
        </w:rPr>
        <w:t>copper</w:t>
      </w:r>
      <w:proofErr w:type="gramEnd"/>
      <w:r w:rsidR="00F21A8B">
        <w:rPr>
          <w:rFonts w:ascii="Arial" w:hAnsi="Arial"/>
          <w:b/>
          <w:sz w:val="24"/>
          <w:szCs w:val="24"/>
        </w:rPr>
        <w:t>,</w:t>
      </w:r>
      <w:r w:rsidR="00372C2B">
        <w:rPr>
          <w:rFonts w:ascii="Arial" w:hAnsi="Arial"/>
          <w:b/>
          <w:sz w:val="24"/>
          <w:szCs w:val="24"/>
        </w:rPr>
        <w:t xml:space="preserve"> </w:t>
      </w:r>
      <w:r w:rsidRPr="00372C2B">
        <w:rPr>
          <w:rFonts w:ascii="Arial" w:hAnsi="Arial"/>
          <w:b/>
          <w:sz w:val="24"/>
          <w:szCs w:val="24"/>
        </w:rPr>
        <w:t>within 100</w:t>
      </w:r>
      <w:r w:rsidR="00372C2B">
        <w:rPr>
          <w:rFonts w:ascii="Arial" w:hAnsi="Arial"/>
          <w:b/>
          <w:sz w:val="24"/>
          <w:szCs w:val="24"/>
        </w:rPr>
        <w:t xml:space="preserve"> </w:t>
      </w:r>
      <w:r w:rsidRPr="00372C2B">
        <w:rPr>
          <w:rFonts w:ascii="Arial" w:hAnsi="Arial"/>
          <w:b/>
          <w:sz w:val="24"/>
          <w:szCs w:val="24"/>
        </w:rPr>
        <w:t>m</w:t>
      </w:r>
      <w:r w:rsidR="00372C2B">
        <w:rPr>
          <w:rFonts w:ascii="Arial" w:hAnsi="Arial"/>
          <w:b/>
          <w:sz w:val="24"/>
          <w:szCs w:val="24"/>
        </w:rPr>
        <w:t>eters</w:t>
      </w:r>
      <w:r w:rsidRPr="00372C2B">
        <w:rPr>
          <w:rFonts w:ascii="Arial" w:hAnsi="Arial"/>
          <w:b/>
          <w:sz w:val="24"/>
          <w:szCs w:val="24"/>
        </w:rPr>
        <w:t xml:space="preserve"> </w:t>
      </w:r>
      <w:r w:rsidR="00372C2B">
        <w:rPr>
          <w:rFonts w:ascii="Arial" w:hAnsi="Arial"/>
          <w:b/>
          <w:sz w:val="24"/>
          <w:szCs w:val="24"/>
        </w:rPr>
        <w:t>@</w:t>
      </w:r>
      <w:r w:rsidRPr="00372C2B">
        <w:rPr>
          <w:rFonts w:ascii="Arial" w:hAnsi="Arial"/>
          <w:b/>
          <w:sz w:val="24"/>
          <w:szCs w:val="24"/>
        </w:rPr>
        <w:t xml:space="preserve"> 1.7% </w:t>
      </w:r>
      <w:r w:rsidR="00372C2B">
        <w:rPr>
          <w:rFonts w:ascii="Arial" w:hAnsi="Arial"/>
          <w:b/>
          <w:sz w:val="24"/>
          <w:szCs w:val="24"/>
        </w:rPr>
        <w:t xml:space="preserve">copper </w:t>
      </w:r>
      <w:r w:rsidRPr="00372C2B">
        <w:rPr>
          <w:rFonts w:ascii="Arial" w:hAnsi="Arial"/>
          <w:b/>
          <w:sz w:val="24"/>
          <w:szCs w:val="24"/>
        </w:rPr>
        <w:t>from drill hole SCC-019</w:t>
      </w:r>
      <w:r w:rsidR="0079493F">
        <w:rPr>
          <w:rFonts w:ascii="Arial" w:hAnsi="Arial"/>
          <w:b/>
          <w:sz w:val="24"/>
          <w:szCs w:val="24"/>
        </w:rPr>
        <w:t>;</w:t>
      </w:r>
      <w:r w:rsidRPr="00372C2B">
        <w:rPr>
          <w:rFonts w:ascii="Arial" w:hAnsi="Arial"/>
          <w:b/>
          <w:sz w:val="24"/>
          <w:szCs w:val="24"/>
        </w:rPr>
        <w:t xml:space="preserve"> and 43</w:t>
      </w:r>
      <w:r w:rsidR="009C10AB">
        <w:rPr>
          <w:rFonts w:ascii="Arial" w:hAnsi="Arial"/>
          <w:b/>
          <w:sz w:val="24"/>
          <w:szCs w:val="24"/>
        </w:rPr>
        <w:t xml:space="preserve"> </w:t>
      </w:r>
      <w:r w:rsidRPr="00372C2B">
        <w:rPr>
          <w:rFonts w:ascii="Arial" w:hAnsi="Arial"/>
          <w:b/>
          <w:sz w:val="24"/>
          <w:szCs w:val="24"/>
        </w:rPr>
        <w:t>m</w:t>
      </w:r>
      <w:r w:rsidR="009C10AB">
        <w:rPr>
          <w:rFonts w:ascii="Arial" w:hAnsi="Arial"/>
          <w:b/>
          <w:sz w:val="24"/>
          <w:szCs w:val="24"/>
        </w:rPr>
        <w:t>eters</w:t>
      </w:r>
      <w:r w:rsidRPr="00372C2B">
        <w:rPr>
          <w:rFonts w:ascii="Arial" w:hAnsi="Arial"/>
          <w:b/>
          <w:sz w:val="24"/>
          <w:szCs w:val="24"/>
        </w:rPr>
        <w:t xml:space="preserve"> </w:t>
      </w:r>
      <w:r w:rsidR="00822A9D">
        <w:rPr>
          <w:rFonts w:ascii="Arial" w:hAnsi="Arial"/>
          <w:b/>
          <w:sz w:val="24"/>
          <w:szCs w:val="24"/>
        </w:rPr>
        <w:t>@</w:t>
      </w:r>
      <w:r w:rsidR="00822A9D" w:rsidRPr="00372C2B">
        <w:rPr>
          <w:rFonts w:ascii="Arial" w:hAnsi="Arial"/>
          <w:b/>
          <w:sz w:val="24"/>
          <w:szCs w:val="24"/>
        </w:rPr>
        <w:t xml:space="preserve"> </w:t>
      </w:r>
      <w:r w:rsidRPr="00372C2B">
        <w:rPr>
          <w:rFonts w:ascii="Arial" w:hAnsi="Arial"/>
          <w:b/>
          <w:sz w:val="24"/>
          <w:szCs w:val="24"/>
        </w:rPr>
        <w:t>1.</w:t>
      </w:r>
      <w:r w:rsidR="009C10AB">
        <w:rPr>
          <w:rFonts w:ascii="Arial" w:hAnsi="Arial"/>
          <w:b/>
          <w:sz w:val="24"/>
          <w:szCs w:val="24"/>
        </w:rPr>
        <w:t>3</w:t>
      </w:r>
      <w:r w:rsidRPr="00372C2B">
        <w:rPr>
          <w:rFonts w:ascii="Arial" w:hAnsi="Arial"/>
          <w:b/>
          <w:sz w:val="24"/>
          <w:szCs w:val="24"/>
        </w:rPr>
        <w:t xml:space="preserve">% </w:t>
      </w:r>
      <w:r w:rsidR="009C10AB">
        <w:rPr>
          <w:rFonts w:ascii="Arial" w:hAnsi="Arial"/>
          <w:b/>
          <w:sz w:val="24"/>
          <w:szCs w:val="24"/>
        </w:rPr>
        <w:t>copper</w:t>
      </w:r>
      <w:r w:rsidR="00F21A8B">
        <w:rPr>
          <w:rFonts w:ascii="Arial" w:hAnsi="Arial"/>
          <w:b/>
          <w:sz w:val="24"/>
          <w:szCs w:val="24"/>
        </w:rPr>
        <w:t>,</w:t>
      </w:r>
      <w:r w:rsidR="009C10AB">
        <w:rPr>
          <w:rFonts w:ascii="Arial" w:hAnsi="Arial"/>
          <w:b/>
          <w:sz w:val="24"/>
          <w:szCs w:val="24"/>
        </w:rPr>
        <w:t xml:space="preserve"> </w:t>
      </w:r>
      <w:r w:rsidRPr="00372C2B">
        <w:rPr>
          <w:rFonts w:ascii="Arial" w:hAnsi="Arial"/>
          <w:b/>
          <w:sz w:val="24"/>
          <w:szCs w:val="24"/>
        </w:rPr>
        <w:t>within 318</w:t>
      </w:r>
      <w:r w:rsidR="009C10AB">
        <w:rPr>
          <w:rFonts w:ascii="Arial" w:hAnsi="Arial"/>
          <w:b/>
          <w:sz w:val="24"/>
          <w:szCs w:val="24"/>
        </w:rPr>
        <w:t xml:space="preserve"> </w:t>
      </w:r>
      <w:r w:rsidRPr="00372C2B">
        <w:rPr>
          <w:rFonts w:ascii="Arial" w:hAnsi="Arial"/>
          <w:b/>
          <w:sz w:val="24"/>
          <w:szCs w:val="24"/>
        </w:rPr>
        <w:t>m</w:t>
      </w:r>
      <w:r w:rsidR="009C10AB">
        <w:rPr>
          <w:rFonts w:ascii="Arial" w:hAnsi="Arial"/>
          <w:b/>
          <w:sz w:val="24"/>
          <w:szCs w:val="24"/>
        </w:rPr>
        <w:t>eters</w:t>
      </w:r>
      <w:r w:rsidRPr="00372C2B">
        <w:rPr>
          <w:rFonts w:ascii="Arial" w:hAnsi="Arial"/>
          <w:b/>
          <w:sz w:val="24"/>
          <w:szCs w:val="24"/>
        </w:rPr>
        <w:t xml:space="preserve"> </w:t>
      </w:r>
      <w:r w:rsidR="00822A9D">
        <w:rPr>
          <w:rFonts w:ascii="Arial" w:hAnsi="Arial"/>
          <w:b/>
          <w:sz w:val="24"/>
          <w:szCs w:val="24"/>
        </w:rPr>
        <w:t>@</w:t>
      </w:r>
      <w:r w:rsidR="00822A9D" w:rsidRPr="00372C2B">
        <w:rPr>
          <w:rFonts w:ascii="Arial" w:hAnsi="Arial"/>
          <w:b/>
          <w:sz w:val="24"/>
          <w:szCs w:val="24"/>
        </w:rPr>
        <w:t xml:space="preserve"> </w:t>
      </w:r>
      <w:r w:rsidRPr="00372C2B">
        <w:rPr>
          <w:rFonts w:ascii="Arial" w:hAnsi="Arial"/>
          <w:b/>
          <w:sz w:val="24"/>
          <w:szCs w:val="24"/>
        </w:rPr>
        <w:t>0.</w:t>
      </w:r>
      <w:r w:rsidR="009C10AB">
        <w:rPr>
          <w:rFonts w:ascii="Arial" w:hAnsi="Arial"/>
          <w:b/>
          <w:sz w:val="24"/>
          <w:szCs w:val="24"/>
        </w:rPr>
        <w:t>9</w:t>
      </w:r>
      <w:r w:rsidRPr="00372C2B">
        <w:rPr>
          <w:rFonts w:ascii="Arial" w:hAnsi="Arial"/>
          <w:b/>
          <w:sz w:val="24"/>
          <w:szCs w:val="24"/>
        </w:rPr>
        <w:t xml:space="preserve">% </w:t>
      </w:r>
      <w:r w:rsidR="009C10AB">
        <w:rPr>
          <w:rFonts w:ascii="Arial" w:hAnsi="Arial"/>
          <w:b/>
          <w:sz w:val="24"/>
          <w:szCs w:val="24"/>
        </w:rPr>
        <w:t xml:space="preserve">copper </w:t>
      </w:r>
      <w:r w:rsidRPr="00372C2B">
        <w:rPr>
          <w:rFonts w:ascii="Arial" w:hAnsi="Arial"/>
          <w:b/>
          <w:sz w:val="24"/>
          <w:szCs w:val="24"/>
        </w:rPr>
        <w:t>from drill hole SCC-017</w:t>
      </w:r>
      <w:r w:rsidR="00372C2B">
        <w:rPr>
          <w:rFonts w:ascii="Arial" w:hAnsi="Arial"/>
          <w:b/>
          <w:sz w:val="24"/>
          <w:szCs w:val="24"/>
        </w:rPr>
        <w:t>.</w:t>
      </w:r>
      <w:r w:rsidR="003E2A14">
        <w:rPr>
          <w:rFonts w:ascii="Arial" w:hAnsi="Arial"/>
          <w:b/>
          <w:sz w:val="24"/>
          <w:szCs w:val="24"/>
        </w:rPr>
        <w:t xml:space="preserve"> </w:t>
      </w:r>
      <w:r w:rsidR="001D6112">
        <w:rPr>
          <w:rFonts w:ascii="Arial" w:hAnsi="Arial" w:cs="Arial"/>
          <w:b/>
          <w:sz w:val="24"/>
          <w:szCs w:val="24"/>
          <w:lang w:eastAsia="en-US"/>
        </w:rPr>
        <w:t xml:space="preserve">Full drill results can be found at the Ivanhoe Electric website at </w:t>
      </w:r>
      <w:hyperlink r:id="rId21" w:history="1">
        <w:r w:rsidR="001D6112" w:rsidRPr="00FB4A2F">
          <w:rPr>
            <w:rStyle w:val="Hyperlink"/>
            <w:rFonts w:ascii="Arial" w:hAnsi="Arial" w:cs="Arial"/>
            <w:b/>
            <w:sz w:val="24"/>
            <w:szCs w:val="24"/>
            <w:lang w:eastAsia="en-US"/>
          </w:rPr>
          <w:t>https://ivanhoeelectric.com/investors/technical-reports/</w:t>
        </w:r>
      </w:hyperlink>
      <w:r w:rsidR="001D6112">
        <w:rPr>
          <w:rFonts w:ascii="Arial" w:hAnsi="Arial" w:cs="Arial"/>
          <w:b/>
          <w:sz w:val="24"/>
          <w:szCs w:val="24"/>
          <w:lang w:eastAsia="en-US"/>
        </w:rPr>
        <w:t>.</w:t>
      </w:r>
    </w:p>
    <w:p w14:paraId="356D900F" w14:textId="77777777" w:rsidR="00B62ADE" w:rsidRPr="00372C2B" w:rsidRDefault="00B62ADE" w:rsidP="0020460A">
      <w:pPr>
        <w:spacing w:after="0" w:line="240" w:lineRule="auto"/>
        <w:rPr>
          <w:rFonts w:ascii="Arial" w:hAnsi="Arial"/>
          <w:b/>
          <w:sz w:val="24"/>
          <w:szCs w:val="24"/>
        </w:rPr>
      </w:pPr>
    </w:p>
    <w:p w14:paraId="473C65FE" w14:textId="4C9D1676" w:rsidR="00B62ADE" w:rsidRPr="00372C2B" w:rsidRDefault="00B62ADE" w:rsidP="0020460A">
      <w:pPr>
        <w:spacing w:after="0" w:line="240" w:lineRule="auto"/>
        <w:rPr>
          <w:rFonts w:ascii="Arial" w:hAnsi="Arial"/>
          <w:b/>
          <w:sz w:val="24"/>
          <w:szCs w:val="24"/>
        </w:rPr>
      </w:pPr>
      <w:r w:rsidRPr="00372C2B">
        <w:rPr>
          <w:rFonts w:ascii="Arial" w:hAnsi="Arial"/>
          <w:b/>
          <w:sz w:val="24"/>
          <w:szCs w:val="24"/>
        </w:rPr>
        <w:t xml:space="preserve">The Texaco zone is sparsely drilled relative to the Santa Cruz </w:t>
      </w:r>
      <w:r w:rsidR="00BE1F5E">
        <w:rPr>
          <w:rFonts w:ascii="Arial" w:hAnsi="Arial"/>
          <w:b/>
          <w:sz w:val="24"/>
          <w:szCs w:val="24"/>
        </w:rPr>
        <w:t>d</w:t>
      </w:r>
      <w:r w:rsidR="003E2A14">
        <w:rPr>
          <w:rFonts w:ascii="Arial" w:hAnsi="Arial"/>
          <w:b/>
          <w:sz w:val="24"/>
          <w:szCs w:val="24"/>
        </w:rPr>
        <w:t>eposit</w:t>
      </w:r>
      <w:r w:rsidR="00306CEE">
        <w:rPr>
          <w:rFonts w:ascii="Arial" w:hAnsi="Arial"/>
          <w:b/>
          <w:sz w:val="24"/>
          <w:szCs w:val="24"/>
        </w:rPr>
        <w:t>.</w:t>
      </w:r>
      <w:r w:rsidR="003E2A14">
        <w:rPr>
          <w:rFonts w:ascii="Arial" w:hAnsi="Arial"/>
          <w:b/>
          <w:sz w:val="24"/>
          <w:szCs w:val="24"/>
        </w:rPr>
        <w:t xml:space="preserve"> </w:t>
      </w:r>
      <w:r w:rsidR="00306CEE">
        <w:rPr>
          <w:rFonts w:ascii="Arial" w:hAnsi="Arial"/>
          <w:b/>
          <w:sz w:val="24"/>
          <w:szCs w:val="24"/>
        </w:rPr>
        <w:t>S</w:t>
      </w:r>
      <w:r w:rsidRPr="00372C2B">
        <w:rPr>
          <w:rFonts w:ascii="Arial" w:hAnsi="Arial"/>
          <w:b/>
          <w:sz w:val="24"/>
          <w:szCs w:val="24"/>
        </w:rPr>
        <w:t>ignificant</w:t>
      </w:r>
      <w:r w:rsidR="00306CEE">
        <w:rPr>
          <w:rFonts w:ascii="Arial" w:hAnsi="Arial"/>
          <w:b/>
          <w:sz w:val="24"/>
          <w:szCs w:val="24"/>
        </w:rPr>
        <w:t xml:space="preserve"> additional</w:t>
      </w:r>
      <w:r w:rsidRPr="00372C2B">
        <w:rPr>
          <w:rFonts w:ascii="Arial" w:hAnsi="Arial"/>
          <w:b/>
          <w:sz w:val="24"/>
          <w:szCs w:val="24"/>
        </w:rPr>
        <w:t xml:space="preserve"> drilling is required to better understand the potential of this large </w:t>
      </w:r>
      <w:r w:rsidR="00306CEE">
        <w:rPr>
          <w:rFonts w:ascii="Arial" w:hAnsi="Arial"/>
          <w:b/>
          <w:sz w:val="24"/>
          <w:szCs w:val="24"/>
        </w:rPr>
        <w:t xml:space="preserve">discovery </w:t>
      </w:r>
      <w:r w:rsidRPr="00372C2B">
        <w:rPr>
          <w:rFonts w:ascii="Arial" w:hAnsi="Arial"/>
          <w:b/>
          <w:sz w:val="24"/>
          <w:szCs w:val="24"/>
        </w:rPr>
        <w:t>area. A program of validation and expansion drilling to support a</w:t>
      </w:r>
      <w:r w:rsidR="009C10AB">
        <w:rPr>
          <w:rFonts w:ascii="Arial" w:hAnsi="Arial"/>
          <w:b/>
          <w:sz w:val="24"/>
          <w:szCs w:val="24"/>
        </w:rPr>
        <w:t xml:space="preserve">n initial </w:t>
      </w:r>
      <w:r w:rsidRPr="00372C2B">
        <w:rPr>
          <w:rFonts w:ascii="Arial" w:hAnsi="Arial"/>
          <w:b/>
          <w:sz w:val="24"/>
          <w:szCs w:val="24"/>
        </w:rPr>
        <w:t xml:space="preserve">Mineral Resource Estimate </w:t>
      </w:r>
      <w:r w:rsidR="009C10AB">
        <w:rPr>
          <w:rFonts w:ascii="Arial" w:hAnsi="Arial"/>
          <w:b/>
          <w:sz w:val="24"/>
          <w:szCs w:val="24"/>
        </w:rPr>
        <w:t xml:space="preserve">for </w:t>
      </w:r>
      <w:r w:rsidR="006E71E2">
        <w:rPr>
          <w:rFonts w:ascii="Arial" w:hAnsi="Arial"/>
          <w:b/>
          <w:sz w:val="24"/>
          <w:szCs w:val="24"/>
        </w:rPr>
        <w:t>Texaco</w:t>
      </w:r>
      <w:r w:rsidR="009C10AB">
        <w:rPr>
          <w:rFonts w:ascii="Arial" w:hAnsi="Arial"/>
          <w:b/>
          <w:sz w:val="24"/>
          <w:szCs w:val="24"/>
        </w:rPr>
        <w:t xml:space="preserve"> </w:t>
      </w:r>
      <w:r w:rsidRPr="00372C2B">
        <w:rPr>
          <w:rFonts w:ascii="Arial" w:hAnsi="Arial"/>
          <w:b/>
          <w:sz w:val="24"/>
          <w:szCs w:val="24"/>
        </w:rPr>
        <w:t>is planned for later this year.</w:t>
      </w:r>
    </w:p>
    <w:p w14:paraId="6A1AA6C9" w14:textId="77777777" w:rsidR="00B62ADE" w:rsidRPr="00372C2B" w:rsidRDefault="00B62ADE" w:rsidP="00B62ADE">
      <w:pPr>
        <w:spacing w:after="0" w:line="240" w:lineRule="auto"/>
        <w:rPr>
          <w:rFonts w:ascii="Arial" w:hAnsi="Arial"/>
          <w:b/>
          <w:sz w:val="24"/>
          <w:szCs w:val="24"/>
        </w:rPr>
      </w:pPr>
    </w:p>
    <w:p w14:paraId="31A0E5BF" w14:textId="3314A154" w:rsidR="00B62ADE" w:rsidRPr="00C704F5" w:rsidRDefault="009C10AB" w:rsidP="00B62ADE">
      <w:pPr>
        <w:spacing w:after="0" w:line="240" w:lineRule="auto"/>
        <w:rPr>
          <w:rFonts w:ascii="Arial" w:hAnsi="Arial"/>
          <w:b/>
          <w:color w:val="E0251B"/>
          <w:sz w:val="28"/>
          <w:szCs w:val="24"/>
        </w:rPr>
      </w:pPr>
      <w:r w:rsidRPr="00C704F5">
        <w:rPr>
          <w:rFonts w:ascii="Arial" w:hAnsi="Arial"/>
          <w:b/>
          <w:color w:val="E0251B"/>
          <w:sz w:val="28"/>
          <w:szCs w:val="24"/>
        </w:rPr>
        <w:t xml:space="preserve">Park Salyer </w:t>
      </w:r>
      <w:r w:rsidR="002721C0">
        <w:rPr>
          <w:rFonts w:ascii="Arial" w:hAnsi="Arial"/>
          <w:b/>
          <w:color w:val="E0251B"/>
          <w:sz w:val="28"/>
          <w:szCs w:val="24"/>
        </w:rPr>
        <w:t xml:space="preserve">discovery is </w:t>
      </w:r>
      <w:r w:rsidR="002721C0" w:rsidRPr="002721C0">
        <w:rPr>
          <w:rFonts w:ascii="Arial" w:hAnsi="Arial"/>
          <w:b/>
          <w:color w:val="E0251B"/>
          <w:sz w:val="28"/>
          <w:szCs w:val="24"/>
        </w:rPr>
        <w:t xml:space="preserve">2.5 km southwest of the </w:t>
      </w:r>
      <w:proofErr w:type="gramStart"/>
      <w:r w:rsidR="002721C0" w:rsidRPr="002721C0">
        <w:rPr>
          <w:rFonts w:ascii="Arial" w:hAnsi="Arial"/>
          <w:b/>
          <w:color w:val="E0251B"/>
          <w:sz w:val="28"/>
          <w:szCs w:val="24"/>
        </w:rPr>
        <w:t>past-producing</w:t>
      </w:r>
      <w:proofErr w:type="gramEnd"/>
      <w:r w:rsidR="002721C0" w:rsidRPr="002721C0">
        <w:rPr>
          <w:rFonts w:ascii="Arial" w:hAnsi="Arial"/>
          <w:b/>
          <w:color w:val="E0251B"/>
          <w:sz w:val="28"/>
          <w:szCs w:val="24"/>
        </w:rPr>
        <w:t xml:space="preserve"> Sacaton copper mine</w:t>
      </w:r>
    </w:p>
    <w:p w14:paraId="0B5B3E44" w14:textId="77777777" w:rsidR="009C10AB" w:rsidRPr="00D11A02" w:rsidRDefault="009C10AB" w:rsidP="00B62ADE">
      <w:pPr>
        <w:spacing w:after="0" w:line="240" w:lineRule="auto"/>
        <w:rPr>
          <w:rFonts w:ascii="Arial" w:hAnsi="Arial"/>
          <w:bCs/>
          <w:sz w:val="24"/>
          <w:szCs w:val="24"/>
        </w:rPr>
      </w:pPr>
    </w:p>
    <w:p w14:paraId="3CFF737D" w14:textId="77777777" w:rsidR="00237ADA" w:rsidRDefault="002721C0" w:rsidP="00B62ADE">
      <w:pPr>
        <w:spacing w:after="0" w:line="240" w:lineRule="auto"/>
        <w:rPr>
          <w:rFonts w:ascii="Arial" w:hAnsi="Arial"/>
          <w:b/>
          <w:sz w:val="24"/>
          <w:szCs w:val="24"/>
        </w:rPr>
      </w:pPr>
      <w:r>
        <w:rPr>
          <w:rFonts w:ascii="Arial" w:hAnsi="Arial"/>
          <w:b/>
          <w:sz w:val="24"/>
          <w:szCs w:val="24"/>
        </w:rPr>
        <w:t xml:space="preserve">The </w:t>
      </w:r>
      <w:r w:rsidR="00B62ADE" w:rsidRPr="009C10AB">
        <w:rPr>
          <w:rFonts w:ascii="Arial" w:hAnsi="Arial"/>
          <w:b/>
          <w:sz w:val="24"/>
          <w:szCs w:val="24"/>
        </w:rPr>
        <w:t>Park Salyer</w:t>
      </w:r>
      <w:r w:rsidR="00306CEE">
        <w:rPr>
          <w:rFonts w:ascii="Arial" w:hAnsi="Arial"/>
          <w:b/>
          <w:sz w:val="24"/>
          <w:szCs w:val="24"/>
        </w:rPr>
        <w:t xml:space="preserve"> copper discovery</w:t>
      </w:r>
      <w:r w:rsidR="00B62ADE" w:rsidRPr="009C10AB">
        <w:rPr>
          <w:rFonts w:ascii="Arial" w:hAnsi="Arial"/>
          <w:b/>
          <w:sz w:val="24"/>
          <w:szCs w:val="24"/>
        </w:rPr>
        <w:t xml:space="preserve"> is located 2.5</w:t>
      </w:r>
      <w:r w:rsidR="00822A9D">
        <w:rPr>
          <w:rFonts w:ascii="Arial" w:hAnsi="Arial"/>
          <w:b/>
          <w:sz w:val="24"/>
          <w:szCs w:val="24"/>
        </w:rPr>
        <w:t xml:space="preserve"> </w:t>
      </w:r>
      <w:r w:rsidR="00B62ADE" w:rsidRPr="009C10AB">
        <w:rPr>
          <w:rFonts w:ascii="Arial" w:hAnsi="Arial"/>
          <w:b/>
          <w:sz w:val="24"/>
          <w:szCs w:val="24"/>
        </w:rPr>
        <w:t>km northeast of the</w:t>
      </w:r>
      <w:r>
        <w:rPr>
          <w:rFonts w:ascii="Arial" w:hAnsi="Arial"/>
          <w:b/>
          <w:sz w:val="24"/>
          <w:szCs w:val="24"/>
        </w:rPr>
        <w:t xml:space="preserve"> </w:t>
      </w:r>
      <w:r w:rsidR="00B62ADE" w:rsidRPr="009C10AB">
        <w:rPr>
          <w:rFonts w:ascii="Arial" w:hAnsi="Arial"/>
          <w:b/>
          <w:sz w:val="24"/>
          <w:szCs w:val="24"/>
        </w:rPr>
        <w:t xml:space="preserve">Texaco </w:t>
      </w:r>
      <w:r w:rsidR="00306CEE">
        <w:rPr>
          <w:rFonts w:ascii="Arial" w:hAnsi="Arial"/>
          <w:b/>
          <w:sz w:val="24"/>
          <w:szCs w:val="24"/>
        </w:rPr>
        <w:t xml:space="preserve">copper discovery </w:t>
      </w:r>
      <w:r w:rsidR="00B62ADE" w:rsidRPr="009C10AB">
        <w:rPr>
          <w:rFonts w:ascii="Arial" w:hAnsi="Arial"/>
          <w:b/>
          <w:sz w:val="24"/>
          <w:szCs w:val="24"/>
        </w:rPr>
        <w:t>and 2</w:t>
      </w:r>
      <w:r w:rsidR="003E2A14">
        <w:rPr>
          <w:rFonts w:ascii="Arial" w:hAnsi="Arial"/>
          <w:b/>
          <w:sz w:val="24"/>
          <w:szCs w:val="24"/>
        </w:rPr>
        <w:t>.5</w:t>
      </w:r>
      <w:r>
        <w:rPr>
          <w:rFonts w:ascii="Arial" w:hAnsi="Arial"/>
          <w:b/>
          <w:sz w:val="24"/>
          <w:szCs w:val="24"/>
        </w:rPr>
        <w:t xml:space="preserve"> </w:t>
      </w:r>
      <w:r w:rsidR="003E2A14">
        <w:rPr>
          <w:rFonts w:ascii="Arial" w:hAnsi="Arial"/>
          <w:b/>
          <w:sz w:val="24"/>
          <w:szCs w:val="24"/>
        </w:rPr>
        <w:t xml:space="preserve">km southwest of the </w:t>
      </w:r>
      <w:proofErr w:type="gramStart"/>
      <w:r w:rsidR="005278A5">
        <w:rPr>
          <w:rFonts w:ascii="Arial" w:hAnsi="Arial"/>
          <w:b/>
          <w:sz w:val="24"/>
          <w:szCs w:val="24"/>
        </w:rPr>
        <w:t>past</w:t>
      </w:r>
      <w:r w:rsidR="00503CBA">
        <w:rPr>
          <w:rFonts w:ascii="Arial" w:hAnsi="Arial"/>
          <w:b/>
          <w:sz w:val="24"/>
          <w:szCs w:val="24"/>
        </w:rPr>
        <w:t>-</w:t>
      </w:r>
      <w:r w:rsidR="005278A5">
        <w:rPr>
          <w:rFonts w:ascii="Arial" w:hAnsi="Arial"/>
          <w:b/>
          <w:sz w:val="24"/>
          <w:szCs w:val="24"/>
        </w:rPr>
        <w:t>producing</w:t>
      </w:r>
      <w:proofErr w:type="gramEnd"/>
      <w:r w:rsidR="00B62ADE" w:rsidRPr="009C10AB">
        <w:rPr>
          <w:rFonts w:ascii="Arial" w:hAnsi="Arial"/>
          <w:b/>
          <w:sz w:val="24"/>
          <w:szCs w:val="24"/>
        </w:rPr>
        <w:t xml:space="preserve"> Sacaton</w:t>
      </w:r>
      <w:r w:rsidR="00306CEE">
        <w:rPr>
          <w:rFonts w:ascii="Arial" w:hAnsi="Arial"/>
          <w:b/>
          <w:sz w:val="24"/>
          <w:szCs w:val="24"/>
        </w:rPr>
        <w:t xml:space="preserve"> copper</w:t>
      </w:r>
      <w:r w:rsidR="00B62ADE" w:rsidRPr="009C10AB">
        <w:rPr>
          <w:rFonts w:ascii="Arial" w:hAnsi="Arial"/>
          <w:b/>
          <w:sz w:val="24"/>
          <w:szCs w:val="24"/>
        </w:rPr>
        <w:t xml:space="preserve"> mine. Ivanhoe Electric drilling conducted to date has confirmed the presence of mixed oxide and sulfide supergene mineralization at shallow depth and the presence of underlying pyrite-dominated breccia-hosted hypogene </w:t>
      </w:r>
      <w:r w:rsidR="00306CEE">
        <w:rPr>
          <w:rFonts w:ascii="Arial" w:hAnsi="Arial"/>
          <w:b/>
          <w:sz w:val="24"/>
          <w:szCs w:val="24"/>
        </w:rPr>
        <w:t xml:space="preserve">copper </w:t>
      </w:r>
      <w:r w:rsidR="00B62ADE" w:rsidRPr="009C10AB">
        <w:rPr>
          <w:rFonts w:ascii="Arial" w:hAnsi="Arial"/>
          <w:b/>
          <w:sz w:val="24"/>
          <w:szCs w:val="24"/>
        </w:rPr>
        <w:t xml:space="preserve">mineralization. </w:t>
      </w:r>
    </w:p>
    <w:p w14:paraId="6BA21D66" w14:textId="77777777" w:rsidR="00237ADA" w:rsidRDefault="00237ADA" w:rsidP="00B62ADE">
      <w:pPr>
        <w:spacing w:after="0" w:line="240" w:lineRule="auto"/>
        <w:rPr>
          <w:rFonts w:ascii="Arial" w:hAnsi="Arial"/>
          <w:b/>
          <w:sz w:val="24"/>
          <w:szCs w:val="24"/>
        </w:rPr>
      </w:pPr>
    </w:p>
    <w:p w14:paraId="5D082FC4" w14:textId="2EFE44CC" w:rsidR="00B62ADE" w:rsidRPr="00237ADA" w:rsidRDefault="00B62ADE" w:rsidP="00B62ADE">
      <w:pPr>
        <w:spacing w:after="0" w:line="240" w:lineRule="auto"/>
        <w:rPr>
          <w:rFonts w:ascii="Arial" w:hAnsi="Arial"/>
          <w:b/>
          <w:sz w:val="24"/>
          <w:szCs w:val="24"/>
        </w:rPr>
      </w:pPr>
      <w:r w:rsidRPr="00C704F5">
        <w:rPr>
          <w:rFonts w:ascii="Arial" w:hAnsi="Arial"/>
          <w:b/>
          <w:color w:val="E0251B"/>
          <w:sz w:val="28"/>
          <w:szCs w:val="24"/>
        </w:rPr>
        <w:t xml:space="preserve">Opportunities for </w:t>
      </w:r>
      <w:r w:rsidR="003E2A14" w:rsidRPr="00C704F5">
        <w:rPr>
          <w:rFonts w:ascii="Arial" w:hAnsi="Arial"/>
          <w:b/>
          <w:color w:val="E0251B"/>
          <w:sz w:val="28"/>
          <w:szCs w:val="28"/>
        </w:rPr>
        <w:t>resource e</w:t>
      </w:r>
      <w:r w:rsidRPr="00C704F5">
        <w:rPr>
          <w:rFonts w:ascii="Arial" w:hAnsi="Arial"/>
          <w:b/>
          <w:color w:val="E0251B"/>
          <w:sz w:val="28"/>
          <w:szCs w:val="28"/>
        </w:rPr>
        <w:t>xpansion</w:t>
      </w:r>
    </w:p>
    <w:p w14:paraId="1E1D490C" w14:textId="77777777" w:rsidR="00B62ADE" w:rsidRPr="00D11A02" w:rsidRDefault="00B62ADE" w:rsidP="00B62ADE">
      <w:pPr>
        <w:spacing w:after="0" w:line="240" w:lineRule="auto"/>
        <w:rPr>
          <w:rFonts w:ascii="Arial" w:hAnsi="Arial"/>
          <w:bCs/>
          <w:sz w:val="24"/>
          <w:szCs w:val="24"/>
        </w:rPr>
      </w:pPr>
    </w:p>
    <w:p w14:paraId="76BCABE6" w14:textId="1F97E0AB" w:rsidR="00F2119C" w:rsidRDefault="00B62ADE" w:rsidP="0020460A">
      <w:pPr>
        <w:spacing w:after="0" w:line="240" w:lineRule="auto"/>
        <w:rPr>
          <w:rFonts w:ascii="Arial" w:hAnsi="Arial"/>
          <w:b/>
          <w:sz w:val="24"/>
          <w:szCs w:val="24"/>
        </w:rPr>
      </w:pPr>
      <w:r w:rsidRPr="00F2119C">
        <w:rPr>
          <w:rFonts w:ascii="Arial" w:hAnsi="Arial"/>
          <w:b/>
          <w:sz w:val="24"/>
          <w:szCs w:val="24"/>
        </w:rPr>
        <w:t xml:space="preserve">Ivanhoe Electric </w:t>
      </w:r>
      <w:r w:rsidR="009A3F0E">
        <w:rPr>
          <w:rFonts w:ascii="Arial" w:hAnsi="Arial"/>
          <w:b/>
          <w:sz w:val="24"/>
          <w:szCs w:val="24"/>
        </w:rPr>
        <w:t>recently</w:t>
      </w:r>
      <w:r w:rsidR="009A3F0E" w:rsidRPr="00F2119C">
        <w:rPr>
          <w:rFonts w:ascii="Arial" w:hAnsi="Arial"/>
          <w:b/>
          <w:sz w:val="24"/>
          <w:szCs w:val="24"/>
        </w:rPr>
        <w:t xml:space="preserve"> </w:t>
      </w:r>
      <w:r w:rsidRPr="00F2119C">
        <w:rPr>
          <w:rFonts w:ascii="Arial" w:hAnsi="Arial"/>
          <w:b/>
          <w:sz w:val="24"/>
          <w:szCs w:val="24"/>
        </w:rPr>
        <w:t>completed a 26.5</w:t>
      </w:r>
      <w:r w:rsidR="002721C0">
        <w:rPr>
          <w:rFonts w:ascii="Arial" w:hAnsi="Arial"/>
          <w:b/>
          <w:sz w:val="24"/>
          <w:szCs w:val="24"/>
        </w:rPr>
        <w:t>-</w:t>
      </w:r>
      <w:r w:rsidRPr="00F2119C">
        <w:rPr>
          <w:rFonts w:ascii="Arial" w:hAnsi="Arial"/>
          <w:b/>
          <w:sz w:val="24"/>
          <w:szCs w:val="24"/>
        </w:rPr>
        <w:t>km</w:t>
      </w:r>
      <w:r w:rsidRPr="00F2119C">
        <w:rPr>
          <w:rFonts w:ascii="Arial" w:hAnsi="Arial"/>
          <w:b/>
          <w:sz w:val="24"/>
          <w:szCs w:val="24"/>
          <w:vertAlign w:val="superscript"/>
        </w:rPr>
        <w:t>2</w:t>
      </w:r>
      <w:r w:rsidR="00D2678E">
        <w:rPr>
          <w:rFonts w:ascii="Arial" w:hAnsi="Arial"/>
          <w:b/>
          <w:sz w:val="24"/>
          <w:szCs w:val="24"/>
        </w:rPr>
        <w:t xml:space="preserve"> (6,500</w:t>
      </w:r>
      <w:r w:rsidR="00822A9D">
        <w:rPr>
          <w:rFonts w:ascii="Arial" w:hAnsi="Arial"/>
          <w:b/>
          <w:sz w:val="24"/>
          <w:szCs w:val="24"/>
        </w:rPr>
        <w:t>-</w:t>
      </w:r>
      <w:r w:rsidR="00D2678E">
        <w:rPr>
          <w:rFonts w:ascii="Arial" w:hAnsi="Arial"/>
          <w:b/>
          <w:sz w:val="24"/>
          <w:szCs w:val="24"/>
        </w:rPr>
        <w:t>acre)</w:t>
      </w:r>
      <w:r w:rsidRPr="00F2119C">
        <w:rPr>
          <w:rFonts w:ascii="Arial" w:hAnsi="Arial"/>
          <w:b/>
          <w:sz w:val="24"/>
          <w:szCs w:val="24"/>
        </w:rPr>
        <w:t>, 3D</w:t>
      </w:r>
      <w:r w:rsidR="00822A9D">
        <w:rPr>
          <w:rFonts w:ascii="Arial" w:hAnsi="Arial"/>
          <w:b/>
          <w:sz w:val="24"/>
          <w:szCs w:val="24"/>
        </w:rPr>
        <w:t xml:space="preserve"> </w:t>
      </w:r>
      <w:r w:rsidRPr="00F2119C">
        <w:rPr>
          <w:rFonts w:ascii="Arial" w:hAnsi="Arial"/>
          <w:b/>
          <w:sz w:val="24"/>
          <w:szCs w:val="24"/>
        </w:rPr>
        <w:t xml:space="preserve">induced polarization and resistivity geophysical survey using its proprietary high-power Typhoon™ transmitter system. While data </w:t>
      </w:r>
      <w:r w:rsidR="002721C0">
        <w:rPr>
          <w:rFonts w:ascii="Arial" w:hAnsi="Arial"/>
          <w:b/>
          <w:sz w:val="24"/>
          <w:szCs w:val="24"/>
        </w:rPr>
        <w:t>is</w:t>
      </w:r>
      <w:r w:rsidR="002721C0" w:rsidRPr="00F2119C">
        <w:rPr>
          <w:rFonts w:ascii="Arial" w:hAnsi="Arial"/>
          <w:b/>
          <w:sz w:val="24"/>
          <w:szCs w:val="24"/>
        </w:rPr>
        <w:t xml:space="preserve"> </w:t>
      </w:r>
      <w:r w:rsidRPr="00F2119C">
        <w:rPr>
          <w:rFonts w:ascii="Arial" w:hAnsi="Arial"/>
          <w:b/>
          <w:sz w:val="24"/>
          <w:szCs w:val="24"/>
        </w:rPr>
        <w:t xml:space="preserve">currently being processed by Ivanhoe Electric’s 94%-owned private subsidiary Computational Geosciences, </w:t>
      </w:r>
      <w:r w:rsidRPr="0007438E">
        <w:rPr>
          <w:rFonts w:ascii="Arial" w:hAnsi="Arial"/>
          <w:b/>
          <w:color w:val="E0251B"/>
          <w:sz w:val="24"/>
          <w:szCs w:val="24"/>
        </w:rPr>
        <w:t xml:space="preserve">results from orientation Typhoon™ surveys in early 2022 demonstrated that the Santa Cruz and Texaco </w:t>
      </w:r>
      <w:r w:rsidRPr="0007438E">
        <w:rPr>
          <w:rFonts w:ascii="Arial" w:hAnsi="Arial"/>
          <w:b/>
          <w:color w:val="E0251B"/>
          <w:sz w:val="24"/>
        </w:rPr>
        <w:t>deposits</w:t>
      </w:r>
      <w:r w:rsidRPr="0007438E">
        <w:rPr>
          <w:rFonts w:ascii="Arial" w:hAnsi="Arial"/>
          <w:b/>
          <w:color w:val="E0251B"/>
          <w:sz w:val="24"/>
          <w:szCs w:val="24"/>
        </w:rPr>
        <w:t xml:space="preserve"> could be successfully imaged through the gravel cover</w:t>
      </w:r>
      <w:r w:rsidR="0004638C" w:rsidRPr="0007438E">
        <w:rPr>
          <w:rFonts w:ascii="Arial" w:hAnsi="Arial"/>
          <w:b/>
          <w:color w:val="E0251B"/>
          <w:sz w:val="24"/>
          <w:szCs w:val="24"/>
        </w:rPr>
        <w:t>, that new anomalies for exploration drilling were identified</w:t>
      </w:r>
      <w:r w:rsidR="002721C0">
        <w:rPr>
          <w:rFonts w:ascii="Arial" w:hAnsi="Arial"/>
          <w:b/>
          <w:color w:val="E0251B"/>
          <w:sz w:val="24"/>
          <w:szCs w:val="24"/>
        </w:rPr>
        <w:t>,</w:t>
      </w:r>
      <w:r w:rsidR="0004638C" w:rsidRPr="0007438E">
        <w:rPr>
          <w:rFonts w:ascii="Arial" w:hAnsi="Arial"/>
          <w:b/>
          <w:color w:val="E0251B"/>
          <w:sz w:val="24"/>
          <w:szCs w:val="24"/>
        </w:rPr>
        <w:t xml:space="preserve"> and that water in the gravel cover could be mapped</w:t>
      </w:r>
      <w:r w:rsidR="0004638C" w:rsidRPr="0007438E">
        <w:rPr>
          <w:rFonts w:ascii="Arial" w:hAnsi="Arial"/>
          <w:b/>
          <w:color w:val="E0251B"/>
          <w:sz w:val="24"/>
        </w:rPr>
        <w:t>.</w:t>
      </w:r>
    </w:p>
    <w:p w14:paraId="1F960C42" w14:textId="03298B77" w:rsidR="00F2119C" w:rsidRDefault="00F2119C" w:rsidP="00B62ADE">
      <w:pPr>
        <w:spacing w:after="0" w:line="240" w:lineRule="auto"/>
        <w:rPr>
          <w:rFonts w:ascii="Arial" w:hAnsi="Arial"/>
          <w:b/>
          <w:sz w:val="24"/>
          <w:szCs w:val="24"/>
        </w:rPr>
      </w:pPr>
    </w:p>
    <w:p w14:paraId="6BD80DC6" w14:textId="00BFADC4" w:rsidR="00D2678E" w:rsidRPr="00D2678E" w:rsidRDefault="002721C0" w:rsidP="00B62ADE">
      <w:pPr>
        <w:spacing w:after="0" w:line="240" w:lineRule="auto"/>
        <w:rPr>
          <w:rFonts w:ascii="Arial" w:hAnsi="Arial"/>
          <w:bCs/>
          <w:sz w:val="24"/>
          <w:szCs w:val="24"/>
        </w:rPr>
      </w:pPr>
      <w:r w:rsidRPr="0020460A">
        <w:rPr>
          <w:rFonts w:ascii="Arial" w:hAnsi="Arial"/>
          <w:b/>
          <w:noProof/>
          <w:sz w:val="24"/>
          <w:lang w:val="en-CA"/>
        </w:rPr>
        <w:lastRenderedPageBreak/>
        <w:drawing>
          <wp:anchor distT="0" distB="0" distL="114300" distR="114300" simplePos="0" relativeHeight="251676160" behindDoc="1" locked="0" layoutInCell="1" allowOverlap="1" wp14:anchorId="273CD11C" wp14:editId="2534D9EC">
            <wp:simplePos x="0" y="0"/>
            <wp:positionH relativeFrom="margin">
              <wp:align>right</wp:align>
            </wp:positionH>
            <wp:positionV relativeFrom="paragraph">
              <wp:posOffset>791845</wp:posOffset>
            </wp:positionV>
            <wp:extent cx="6400800" cy="2996565"/>
            <wp:effectExtent l="0" t="0" r="0" b="0"/>
            <wp:wrapTight wrapText="bothSides">
              <wp:wrapPolygon edited="0">
                <wp:start x="0" y="0"/>
                <wp:lineTo x="0" y="21421"/>
                <wp:lineTo x="21214" y="21421"/>
                <wp:lineTo x="21214"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0800" cy="2996565"/>
                    </a:xfrm>
                    <a:prstGeom prst="rect">
                      <a:avLst/>
                    </a:prstGeom>
                    <a:noFill/>
                  </pic:spPr>
                </pic:pic>
              </a:graphicData>
            </a:graphic>
          </wp:anchor>
        </w:drawing>
      </w:r>
      <w:r w:rsidR="00D2678E">
        <w:rPr>
          <w:rFonts w:ascii="Arial" w:hAnsi="Arial"/>
          <w:b/>
          <w:sz w:val="26"/>
          <w:szCs w:val="26"/>
        </w:rPr>
        <w:t xml:space="preserve">Results from the initial </w:t>
      </w:r>
      <w:r w:rsidR="00522CE6">
        <w:rPr>
          <w:rFonts w:ascii="Arial" w:hAnsi="Arial"/>
          <w:b/>
          <w:sz w:val="26"/>
          <w:szCs w:val="26"/>
        </w:rPr>
        <w:t>Typhoon</w:t>
      </w:r>
      <w:r w:rsidR="00D2678E">
        <w:rPr>
          <w:rFonts w:ascii="Arial" w:hAnsi="Arial"/>
          <w:b/>
          <w:sz w:val="26"/>
          <w:szCs w:val="26"/>
        </w:rPr>
        <w:t xml:space="preserve">™ orientation surveys. The red horizonal bars represent chargeability anomalies </w:t>
      </w:r>
      <w:r w:rsidR="00FB7F8B">
        <w:rPr>
          <w:rFonts w:ascii="Arial" w:hAnsi="Arial"/>
          <w:b/>
          <w:sz w:val="26"/>
          <w:szCs w:val="26"/>
        </w:rPr>
        <w:t>indicating the presence of sulfide mineralization</w:t>
      </w:r>
      <w:r w:rsidR="00D2678E" w:rsidRPr="00D11A02">
        <w:rPr>
          <w:rFonts w:ascii="Arial" w:hAnsi="Arial"/>
          <w:b/>
          <w:sz w:val="26"/>
          <w:szCs w:val="26"/>
        </w:rPr>
        <w:t>.</w:t>
      </w:r>
      <w:r w:rsidR="00FB7F8B">
        <w:rPr>
          <w:rFonts w:ascii="Arial" w:hAnsi="Arial"/>
          <w:b/>
          <w:sz w:val="26"/>
          <w:szCs w:val="26"/>
        </w:rPr>
        <w:t xml:space="preserve"> These areas have not been fully tested and are open for exploration.</w:t>
      </w:r>
    </w:p>
    <w:p w14:paraId="57FD718E" w14:textId="2CFD63CB" w:rsidR="00F2119C" w:rsidRDefault="00F2119C" w:rsidP="00B62ADE">
      <w:pPr>
        <w:spacing w:after="0" w:line="240" w:lineRule="auto"/>
        <w:rPr>
          <w:rFonts w:ascii="Arial" w:hAnsi="Arial"/>
          <w:b/>
          <w:sz w:val="24"/>
          <w:szCs w:val="24"/>
        </w:rPr>
      </w:pPr>
    </w:p>
    <w:p w14:paraId="2ADB13AC" w14:textId="79A8F962" w:rsidR="00FB7F8B" w:rsidRPr="00237ADA" w:rsidRDefault="00B852B6">
      <w:pPr>
        <w:spacing w:after="0" w:line="240" w:lineRule="auto"/>
        <w:rPr>
          <w:rFonts w:ascii="Arial" w:hAnsi="Arial"/>
          <w:b/>
          <w:sz w:val="26"/>
          <w:szCs w:val="26"/>
        </w:rPr>
      </w:pPr>
      <w:r w:rsidRPr="0020460A">
        <w:rPr>
          <w:rFonts w:ascii="Arial" w:hAnsi="Arial"/>
          <w:b/>
          <w:noProof/>
          <w:sz w:val="24"/>
          <w:lang w:val="en-CA"/>
        </w:rPr>
        <w:drawing>
          <wp:anchor distT="0" distB="0" distL="114300" distR="114300" simplePos="0" relativeHeight="251677184" behindDoc="1" locked="0" layoutInCell="1" allowOverlap="1" wp14:anchorId="0F97857E" wp14:editId="51770280">
            <wp:simplePos x="0" y="0"/>
            <wp:positionH relativeFrom="margin">
              <wp:align>right</wp:align>
            </wp:positionH>
            <wp:positionV relativeFrom="paragraph">
              <wp:posOffset>392430</wp:posOffset>
            </wp:positionV>
            <wp:extent cx="6400800" cy="2997159"/>
            <wp:effectExtent l="0" t="0" r="0" b="0"/>
            <wp:wrapTight wrapText="bothSides">
              <wp:wrapPolygon edited="0">
                <wp:start x="0" y="0"/>
                <wp:lineTo x="0" y="21421"/>
                <wp:lineTo x="21214" y="21421"/>
                <wp:lineTo x="21214"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00800" cy="2997159"/>
                    </a:xfrm>
                    <a:prstGeom prst="rect">
                      <a:avLst/>
                    </a:prstGeom>
                    <a:noFill/>
                  </pic:spPr>
                </pic:pic>
              </a:graphicData>
            </a:graphic>
          </wp:anchor>
        </w:drawing>
      </w:r>
      <w:r w:rsidR="00FB7F8B">
        <w:rPr>
          <w:rFonts w:ascii="Arial" w:hAnsi="Arial"/>
          <w:b/>
          <w:sz w:val="26"/>
          <w:szCs w:val="26"/>
        </w:rPr>
        <w:t>The purple horizonal bars show conductivity of the host rock and illustrate the shallow perched water.</w:t>
      </w:r>
    </w:p>
    <w:p w14:paraId="648818D7" w14:textId="2092B134" w:rsidR="00B62ADE" w:rsidRPr="00F2119C" w:rsidRDefault="00B62ADE" w:rsidP="0020460A">
      <w:pPr>
        <w:spacing w:after="0" w:line="240" w:lineRule="auto"/>
        <w:rPr>
          <w:rFonts w:ascii="Arial" w:hAnsi="Arial"/>
          <w:b/>
          <w:sz w:val="24"/>
          <w:szCs w:val="24"/>
        </w:rPr>
      </w:pPr>
      <w:r w:rsidRPr="00F2119C">
        <w:rPr>
          <w:rFonts w:ascii="Arial" w:hAnsi="Arial"/>
          <w:b/>
          <w:sz w:val="24"/>
          <w:szCs w:val="24"/>
        </w:rPr>
        <w:t>Ivanhoe Electric expect</w:t>
      </w:r>
      <w:r w:rsidR="00F2119C">
        <w:rPr>
          <w:rFonts w:ascii="Arial" w:hAnsi="Arial"/>
          <w:b/>
          <w:sz w:val="24"/>
          <w:szCs w:val="24"/>
        </w:rPr>
        <w:t>s</w:t>
      </w:r>
      <w:r w:rsidRPr="00F2119C">
        <w:rPr>
          <w:rFonts w:ascii="Arial" w:hAnsi="Arial"/>
          <w:b/>
          <w:sz w:val="24"/>
          <w:szCs w:val="24"/>
        </w:rPr>
        <w:t xml:space="preserve"> that the </w:t>
      </w:r>
      <w:r w:rsidR="003A455A" w:rsidRPr="00F2119C">
        <w:rPr>
          <w:rFonts w:ascii="Arial" w:hAnsi="Arial"/>
          <w:b/>
          <w:sz w:val="24"/>
          <w:szCs w:val="24"/>
        </w:rPr>
        <w:t>newly completed</w:t>
      </w:r>
      <w:r w:rsidRPr="00F2119C">
        <w:rPr>
          <w:rFonts w:ascii="Arial" w:hAnsi="Arial"/>
          <w:b/>
          <w:sz w:val="24"/>
          <w:szCs w:val="24"/>
        </w:rPr>
        <w:t xml:space="preserve"> </w:t>
      </w:r>
      <w:r w:rsidR="0004638C">
        <w:rPr>
          <w:rFonts w:ascii="Arial" w:hAnsi="Arial"/>
          <w:b/>
          <w:sz w:val="24"/>
          <w:szCs w:val="24"/>
        </w:rPr>
        <w:t xml:space="preserve">3D </w:t>
      </w:r>
      <w:r w:rsidRPr="00F2119C">
        <w:rPr>
          <w:rFonts w:ascii="Arial" w:hAnsi="Arial"/>
          <w:b/>
          <w:sz w:val="24"/>
          <w:szCs w:val="24"/>
        </w:rPr>
        <w:t xml:space="preserve">survey will identify </w:t>
      </w:r>
      <w:r w:rsidR="00AE1687" w:rsidRPr="00F2119C">
        <w:rPr>
          <w:rFonts w:ascii="Arial" w:hAnsi="Arial"/>
          <w:b/>
          <w:sz w:val="24"/>
          <w:szCs w:val="24"/>
        </w:rPr>
        <w:t>several</w:t>
      </w:r>
      <w:r w:rsidRPr="00F2119C">
        <w:rPr>
          <w:rFonts w:ascii="Arial" w:hAnsi="Arial"/>
          <w:b/>
          <w:sz w:val="24"/>
          <w:szCs w:val="24"/>
        </w:rPr>
        <w:t xml:space="preserve"> </w:t>
      </w:r>
      <w:r w:rsidR="00C648B0">
        <w:rPr>
          <w:rFonts w:ascii="Arial" w:hAnsi="Arial"/>
          <w:b/>
          <w:sz w:val="24"/>
          <w:szCs w:val="24"/>
        </w:rPr>
        <w:t xml:space="preserve">untested </w:t>
      </w:r>
      <w:r w:rsidR="00F2119C">
        <w:rPr>
          <w:rFonts w:ascii="Arial" w:hAnsi="Arial"/>
          <w:b/>
          <w:sz w:val="24"/>
          <w:szCs w:val="24"/>
        </w:rPr>
        <w:t>areas</w:t>
      </w:r>
      <w:r w:rsidRPr="00F2119C">
        <w:rPr>
          <w:rFonts w:ascii="Arial" w:hAnsi="Arial"/>
          <w:b/>
          <w:sz w:val="24"/>
          <w:szCs w:val="24"/>
        </w:rPr>
        <w:t xml:space="preserve"> for exploration drilling</w:t>
      </w:r>
      <w:r w:rsidR="00F2119C">
        <w:rPr>
          <w:rFonts w:ascii="Arial" w:hAnsi="Arial"/>
          <w:b/>
          <w:sz w:val="24"/>
          <w:szCs w:val="24"/>
        </w:rPr>
        <w:t>. T</w:t>
      </w:r>
      <w:r w:rsidRPr="00F2119C">
        <w:rPr>
          <w:rFonts w:ascii="Arial" w:hAnsi="Arial"/>
          <w:b/>
          <w:sz w:val="24"/>
          <w:szCs w:val="24"/>
        </w:rPr>
        <w:t xml:space="preserve">here are </w:t>
      </w:r>
      <w:r w:rsidR="00F2119C">
        <w:rPr>
          <w:rFonts w:ascii="Arial" w:hAnsi="Arial"/>
          <w:b/>
          <w:sz w:val="24"/>
          <w:szCs w:val="24"/>
        </w:rPr>
        <w:t xml:space="preserve">also </w:t>
      </w:r>
      <w:r w:rsidRPr="00F2119C">
        <w:rPr>
          <w:rFonts w:ascii="Arial" w:hAnsi="Arial"/>
          <w:b/>
          <w:sz w:val="24"/>
          <w:szCs w:val="24"/>
        </w:rPr>
        <w:t xml:space="preserve">profound </w:t>
      </w:r>
      <w:r w:rsidR="00C648B0">
        <w:rPr>
          <w:rFonts w:ascii="Arial" w:hAnsi="Arial"/>
          <w:b/>
          <w:sz w:val="24"/>
          <w:szCs w:val="24"/>
        </w:rPr>
        <w:t xml:space="preserve">regional </w:t>
      </w:r>
      <w:r w:rsidRPr="00F2119C">
        <w:rPr>
          <w:rFonts w:ascii="Arial" w:hAnsi="Arial"/>
          <w:b/>
          <w:sz w:val="24"/>
          <w:szCs w:val="24"/>
        </w:rPr>
        <w:t xml:space="preserve">implications for </w:t>
      </w:r>
      <w:r w:rsidR="00844FFB">
        <w:rPr>
          <w:rFonts w:ascii="Arial" w:hAnsi="Arial"/>
          <w:b/>
          <w:sz w:val="24"/>
          <w:szCs w:val="24"/>
        </w:rPr>
        <w:lastRenderedPageBreak/>
        <w:t xml:space="preserve">Ivanhoe Electric’s </w:t>
      </w:r>
      <w:r w:rsidRPr="00F2119C">
        <w:rPr>
          <w:rFonts w:ascii="Arial" w:hAnsi="Arial"/>
          <w:b/>
          <w:sz w:val="24"/>
          <w:szCs w:val="24"/>
        </w:rPr>
        <w:t xml:space="preserve">ability to </w:t>
      </w:r>
      <w:r w:rsidR="00FB7F8B">
        <w:rPr>
          <w:rFonts w:ascii="Arial" w:hAnsi="Arial"/>
          <w:b/>
          <w:sz w:val="24"/>
          <w:szCs w:val="24"/>
        </w:rPr>
        <w:t>discover</w:t>
      </w:r>
      <w:r w:rsidR="00C648B0" w:rsidRPr="00F2119C">
        <w:rPr>
          <w:rFonts w:ascii="Arial" w:hAnsi="Arial"/>
          <w:b/>
          <w:sz w:val="24"/>
          <w:szCs w:val="24"/>
        </w:rPr>
        <w:t xml:space="preserve"> </w:t>
      </w:r>
      <w:r w:rsidRPr="00F2119C">
        <w:rPr>
          <w:rFonts w:ascii="Arial" w:hAnsi="Arial"/>
          <w:b/>
          <w:sz w:val="24"/>
          <w:szCs w:val="24"/>
        </w:rPr>
        <w:t>porphyry copper deposits beneath similar basin-fill gravels in other parts of the Basin-and-Range province of the western United States</w:t>
      </w:r>
      <w:r w:rsidR="00C648B0">
        <w:rPr>
          <w:rFonts w:ascii="Arial" w:hAnsi="Arial"/>
          <w:b/>
          <w:sz w:val="24"/>
          <w:szCs w:val="24"/>
        </w:rPr>
        <w:t xml:space="preserve"> when </w:t>
      </w:r>
      <w:r w:rsidR="00822A9D">
        <w:rPr>
          <w:rFonts w:ascii="Arial" w:hAnsi="Arial"/>
          <w:b/>
          <w:sz w:val="24"/>
          <w:szCs w:val="24"/>
        </w:rPr>
        <w:t>the company uses its</w:t>
      </w:r>
      <w:r w:rsidR="00C648B0">
        <w:rPr>
          <w:rFonts w:ascii="Arial" w:hAnsi="Arial"/>
          <w:b/>
          <w:sz w:val="24"/>
          <w:szCs w:val="24"/>
        </w:rPr>
        <w:t xml:space="preserve"> proprietary </w:t>
      </w:r>
      <w:r w:rsidR="00FB7F8B">
        <w:rPr>
          <w:rFonts w:ascii="Arial" w:hAnsi="Arial"/>
          <w:b/>
          <w:sz w:val="24"/>
          <w:szCs w:val="24"/>
        </w:rPr>
        <w:t>Typhoon™</w:t>
      </w:r>
      <w:r w:rsidR="00C648B0">
        <w:rPr>
          <w:rFonts w:ascii="Arial" w:hAnsi="Arial"/>
          <w:b/>
          <w:sz w:val="24"/>
          <w:szCs w:val="24"/>
        </w:rPr>
        <w:t xml:space="preserve"> technolog</w:t>
      </w:r>
      <w:r w:rsidR="00FB7F8B">
        <w:rPr>
          <w:rFonts w:ascii="Arial" w:hAnsi="Arial"/>
          <w:b/>
          <w:sz w:val="24"/>
          <w:szCs w:val="24"/>
        </w:rPr>
        <w:t>y</w:t>
      </w:r>
      <w:r w:rsidR="00C648B0">
        <w:rPr>
          <w:rFonts w:ascii="Arial" w:hAnsi="Arial"/>
          <w:b/>
          <w:sz w:val="24"/>
          <w:szCs w:val="24"/>
        </w:rPr>
        <w:t xml:space="preserve"> </w:t>
      </w:r>
      <w:r w:rsidR="00FB7F8B">
        <w:rPr>
          <w:rFonts w:ascii="Arial" w:hAnsi="Arial"/>
          <w:b/>
          <w:sz w:val="24"/>
          <w:szCs w:val="24"/>
        </w:rPr>
        <w:t xml:space="preserve">coupled with </w:t>
      </w:r>
      <w:r w:rsidR="00822A9D">
        <w:rPr>
          <w:rFonts w:ascii="Arial" w:hAnsi="Arial"/>
          <w:b/>
          <w:sz w:val="24"/>
          <w:szCs w:val="24"/>
        </w:rPr>
        <w:t xml:space="preserve">its </w:t>
      </w:r>
      <w:r w:rsidR="00FB7F8B">
        <w:rPr>
          <w:rFonts w:ascii="Arial" w:hAnsi="Arial"/>
          <w:b/>
          <w:sz w:val="24"/>
          <w:szCs w:val="24"/>
        </w:rPr>
        <w:t>Computational Geosciences geophysical data processing software</w:t>
      </w:r>
      <w:r w:rsidRPr="00F2119C">
        <w:rPr>
          <w:rFonts w:ascii="Arial" w:hAnsi="Arial"/>
          <w:b/>
          <w:sz w:val="24"/>
          <w:szCs w:val="24"/>
        </w:rPr>
        <w:t xml:space="preserve">.  </w:t>
      </w:r>
    </w:p>
    <w:p w14:paraId="51D4F910" w14:textId="181EB34E" w:rsidR="00B62ADE" w:rsidRDefault="00B62ADE" w:rsidP="00DB3116">
      <w:pPr>
        <w:spacing w:after="0" w:line="240" w:lineRule="auto"/>
        <w:rPr>
          <w:rFonts w:ascii="Arial" w:hAnsi="Arial"/>
          <w:b/>
          <w:sz w:val="24"/>
          <w:szCs w:val="24"/>
        </w:rPr>
      </w:pPr>
    </w:p>
    <w:p w14:paraId="3AD8A9C4" w14:textId="190E8EB1" w:rsidR="00F2119C" w:rsidRPr="00237ADA" w:rsidRDefault="00AE1687" w:rsidP="00F2119C">
      <w:pPr>
        <w:spacing w:after="0" w:line="240" w:lineRule="auto"/>
        <w:rPr>
          <w:rFonts w:ascii="Arial" w:hAnsi="Arial"/>
          <w:b/>
          <w:sz w:val="26"/>
          <w:szCs w:val="26"/>
        </w:rPr>
      </w:pPr>
      <w:r>
        <w:rPr>
          <w:rFonts w:ascii="Arial" w:hAnsi="Arial"/>
          <w:b/>
          <w:sz w:val="26"/>
          <w:szCs w:val="26"/>
        </w:rPr>
        <w:t>Ivanhoe Ele</w:t>
      </w:r>
      <w:r w:rsidR="007719B8">
        <w:rPr>
          <w:rFonts w:ascii="Arial" w:hAnsi="Arial"/>
          <w:b/>
          <w:sz w:val="26"/>
          <w:szCs w:val="26"/>
        </w:rPr>
        <w:t>c</w:t>
      </w:r>
      <w:r>
        <w:rPr>
          <w:rFonts w:ascii="Arial" w:hAnsi="Arial"/>
          <w:b/>
          <w:sz w:val="26"/>
          <w:szCs w:val="26"/>
        </w:rPr>
        <w:t xml:space="preserve">tric’s proprietary, high-power </w:t>
      </w:r>
      <w:r w:rsidR="00F2119C">
        <w:rPr>
          <w:rFonts w:ascii="Arial" w:hAnsi="Arial"/>
          <w:b/>
          <w:sz w:val="26"/>
          <w:szCs w:val="26"/>
        </w:rPr>
        <w:t>Typhoon™</w:t>
      </w:r>
      <w:r>
        <w:rPr>
          <w:rFonts w:ascii="Arial" w:hAnsi="Arial"/>
          <w:b/>
          <w:sz w:val="26"/>
          <w:szCs w:val="26"/>
        </w:rPr>
        <w:t xml:space="preserve"> system</w:t>
      </w:r>
      <w:r w:rsidR="00F2119C">
        <w:rPr>
          <w:rFonts w:ascii="Arial" w:hAnsi="Arial"/>
          <w:b/>
          <w:sz w:val="26"/>
          <w:szCs w:val="26"/>
        </w:rPr>
        <w:t xml:space="preserve"> at Santa Cruz</w:t>
      </w:r>
      <w:r w:rsidR="00F2119C" w:rsidRPr="00D11A02">
        <w:rPr>
          <w:rFonts w:ascii="Arial" w:hAnsi="Arial"/>
          <w:b/>
          <w:sz w:val="26"/>
          <w:szCs w:val="26"/>
        </w:rPr>
        <w:t>.</w:t>
      </w:r>
    </w:p>
    <w:p w14:paraId="23844464" w14:textId="007CF3DF" w:rsidR="009C10AB" w:rsidRDefault="00163BC9" w:rsidP="00DB3116">
      <w:pPr>
        <w:spacing w:after="0" w:line="240" w:lineRule="auto"/>
        <w:rPr>
          <w:rFonts w:ascii="Arial" w:hAnsi="Arial"/>
          <w:b/>
          <w:sz w:val="24"/>
          <w:szCs w:val="24"/>
        </w:rPr>
      </w:pPr>
      <w:r>
        <w:rPr>
          <w:rFonts w:ascii="Arial" w:hAnsi="Arial"/>
          <w:b/>
          <w:noProof/>
          <w:sz w:val="24"/>
          <w:lang w:val="en-CA"/>
        </w:rPr>
        <w:drawing>
          <wp:anchor distT="0" distB="0" distL="114300" distR="114300" simplePos="0" relativeHeight="251682304" behindDoc="1" locked="0" layoutInCell="1" allowOverlap="1" wp14:anchorId="2E3169F7" wp14:editId="54A47239">
            <wp:simplePos x="0" y="0"/>
            <wp:positionH relativeFrom="margin">
              <wp:align>right</wp:align>
            </wp:positionH>
            <wp:positionV relativeFrom="paragraph">
              <wp:posOffset>163195</wp:posOffset>
            </wp:positionV>
            <wp:extent cx="6385560" cy="4213860"/>
            <wp:effectExtent l="0" t="0" r="0" b="0"/>
            <wp:wrapTight wrapText="bothSides">
              <wp:wrapPolygon edited="0">
                <wp:start x="0" y="0"/>
                <wp:lineTo x="0" y="21483"/>
                <wp:lineTo x="21523" y="21483"/>
                <wp:lineTo x="2152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85560" cy="4213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34201" w14:textId="77777777" w:rsidR="009C10AB" w:rsidRDefault="009C10AB" w:rsidP="00DB3116">
      <w:pPr>
        <w:spacing w:after="0" w:line="240" w:lineRule="auto"/>
        <w:rPr>
          <w:rFonts w:ascii="Arial" w:hAnsi="Arial"/>
          <w:b/>
          <w:sz w:val="24"/>
          <w:szCs w:val="24"/>
        </w:rPr>
      </w:pPr>
    </w:p>
    <w:p w14:paraId="74DBF3F2" w14:textId="0446492C" w:rsidR="00814E5A" w:rsidRPr="003021AC" w:rsidRDefault="00143071" w:rsidP="00814E5A">
      <w:pPr>
        <w:spacing w:after="0" w:line="240" w:lineRule="auto"/>
        <w:rPr>
          <w:rFonts w:ascii="Arial" w:hAnsi="Arial" w:cs="Arial"/>
          <w:bCs/>
          <w:sz w:val="24"/>
          <w:szCs w:val="24"/>
        </w:rPr>
      </w:pPr>
      <w:bookmarkStart w:id="2" w:name="_Hlk93492605"/>
      <w:r w:rsidRPr="003021AC">
        <w:rPr>
          <w:rFonts w:ascii="Arial" w:hAnsi="Arial"/>
          <w:b/>
          <w:color w:val="E0251B"/>
          <w:sz w:val="28"/>
          <w:szCs w:val="24"/>
        </w:rPr>
        <w:t>Re-inventing mining for the electrification of everything</w:t>
      </w:r>
    </w:p>
    <w:p w14:paraId="352A905D" w14:textId="77777777" w:rsidR="00814E5A" w:rsidRPr="00D11A02" w:rsidRDefault="00814E5A" w:rsidP="00814E5A">
      <w:pPr>
        <w:spacing w:after="0" w:line="240" w:lineRule="auto"/>
        <w:rPr>
          <w:rFonts w:ascii="Arial" w:hAnsi="Arial"/>
          <w:bCs/>
          <w:sz w:val="24"/>
          <w:szCs w:val="24"/>
        </w:rPr>
      </w:pPr>
    </w:p>
    <w:p w14:paraId="3CF10698" w14:textId="5CC97A86" w:rsidR="00814E5A" w:rsidRPr="00143071" w:rsidRDefault="008F41F2" w:rsidP="0020460A">
      <w:pPr>
        <w:spacing w:after="0" w:line="240" w:lineRule="auto"/>
        <w:rPr>
          <w:rFonts w:ascii="Arial" w:hAnsi="Arial"/>
          <w:b/>
          <w:sz w:val="24"/>
          <w:szCs w:val="24"/>
        </w:rPr>
      </w:pPr>
      <w:r>
        <w:rPr>
          <w:rFonts w:ascii="Arial" w:hAnsi="Arial"/>
          <w:b/>
          <w:sz w:val="24"/>
          <w:szCs w:val="24"/>
        </w:rPr>
        <w:t>Corporate s</w:t>
      </w:r>
      <w:r w:rsidR="00814E5A" w:rsidRPr="00143071">
        <w:rPr>
          <w:rFonts w:ascii="Arial" w:hAnsi="Arial"/>
          <w:b/>
          <w:sz w:val="24"/>
          <w:szCs w:val="24"/>
        </w:rPr>
        <w:t>ocial and environmental performance is about protecting the health and well-being of society and the environment on which we all depend</w:t>
      </w:r>
      <w:r>
        <w:rPr>
          <w:rFonts w:ascii="Arial" w:hAnsi="Arial"/>
          <w:b/>
          <w:sz w:val="24"/>
          <w:szCs w:val="24"/>
        </w:rPr>
        <w:t>.</w:t>
      </w:r>
      <w:r w:rsidR="00C26AC3" w:rsidRPr="00143071">
        <w:rPr>
          <w:rFonts w:ascii="Arial" w:hAnsi="Arial"/>
          <w:b/>
          <w:sz w:val="24"/>
          <w:szCs w:val="24"/>
        </w:rPr>
        <w:t xml:space="preserve"> </w:t>
      </w:r>
      <w:r w:rsidR="00814E5A" w:rsidRPr="00143071">
        <w:rPr>
          <w:rFonts w:ascii="Arial" w:hAnsi="Arial"/>
          <w:b/>
          <w:sz w:val="24"/>
          <w:szCs w:val="24"/>
        </w:rPr>
        <w:t>Ivanhoe Electric</w:t>
      </w:r>
      <w:r w:rsidR="000422F1" w:rsidRPr="00143071">
        <w:rPr>
          <w:rFonts w:ascii="Arial" w:hAnsi="Arial"/>
          <w:b/>
          <w:sz w:val="24"/>
          <w:szCs w:val="24"/>
        </w:rPr>
        <w:t>’s ambition</w:t>
      </w:r>
      <w:r w:rsidR="00814E5A" w:rsidRPr="00143071">
        <w:rPr>
          <w:rFonts w:ascii="Arial" w:hAnsi="Arial"/>
          <w:b/>
          <w:sz w:val="24"/>
          <w:szCs w:val="24"/>
        </w:rPr>
        <w:t xml:space="preserve"> is to </w:t>
      </w:r>
      <w:r w:rsidR="00C26AC3" w:rsidRPr="00143071">
        <w:rPr>
          <w:rFonts w:ascii="Arial" w:hAnsi="Arial"/>
          <w:b/>
          <w:sz w:val="24"/>
          <w:szCs w:val="24"/>
        </w:rPr>
        <w:t>“</w:t>
      </w:r>
      <w:r w:rsidR="00814E5A" w:rsidRPr="00143071">
        <w:rPr>
          <w:rFonts w:ascii="Arial" w:hAnsi="Arial"/>
          <w:b/>
          <w:sz w:val="24"/>
          <w:szCs w:val="24"/>
        </w:rPr>
        <w:t>re-invent mining</w:t>
      </w:r>
      <w:r w:rsidR="00C26AC3" w:rsidRPr="00143071">
        <w:rPr>
          <w:rFonts w:ascii="Arial" w:hAnsi="Arial"/>
          <w:b/>
          <w:sz w:val="24"/>
          <w:szCs w:val="24"/>
        </w:rPr>
        <w:t>”</w:t>
      </w:r>
      <w:r w:rsidR="00814E5A" w:rsidRPr="00143071">
        <w:rPr>
          <w:rFonts w:ascii="Arial" w:hAnsi="Arial"/>
          <w:b/>
          <w:sz w:val="24"/>
          <w:szCs w:val="24"/>
        </w:rPr>
        <w:t xml:space="preserve"> to </w:t>
      </w:r>
      <w:r w:rsidR="000422F1" w:rsidRPr="00143071">
        <w:rPr>
          <w:rFonts w:ascii="Arial" w:hAnsi="Arial"/>
          <w:b/>
          <w:sz w:val="24"/>
          <w:szCs w:val="24"/>
        </w:rPr>
        <w:t xml:space="preserve">result in </w:t>
      </w:r>
      <w:r w:rsidR="00814E5A" w:rsidRPr="00143071">
        <w:rPr>
          <w:rFonts w:ascii="Arial" w:hAnsi="Arial"/>
          <w:b/>
          <w:sz w:val="24"/>
          <w:szCs w:val="24"/>
        </w:rPr>
        <w:t xml:space="preserve">net-positive social and environmental impacts. </w:t>
      </w:r>
    </w:p>
    <w:p w14:paraId="0596C1A6" w14:textId="77777777" w:rsidR="00814E5A" w:rsidRPr="00143071" w:rsidRDefault="00814E5A" w:rsidP="0020460A">
      <w:pPr>
        <w:spacing w:after="0" w:line="240" w:lineRule="auto"/>
        <w:rPr>
          <w:rFonts w:ascii="Arial" w:hAnsi="Arial"/>
          <w:b/>
          <w:sz w:val="24"/>
          <w:szCs w:val="24"/>
        </w:rPr>
      </w:pPr>
    </w:p>
    <w:p w14:paraId="6D728E39" w14:textId="0701695A" w:rsidR="00C162E1" w:rsidRDefault="00C162E1" w:rsidP="0020460A">
      <w:pPr>
        <w:spacing w:after="0" w:line="240" w:lineRule="auto"/>
        <w:rPr>
          <w:rFonts w:ascii="Arial" w:hAnsi="Arial"/>
          <w:b/>
          <w:sz w:val="24"/>
          <w:szCs w:val="24"/>
        </w:rPr>
      </w:pPr>
      <w:r>
        <w:rPr>
          <w:rFonts w:ascii="Arial" w:hAnsi="Arial"/>
          <w:b/>
          <w:sz w:val="24"/>
          <w:szCs w:val="24"/>
        </w:rPr>
        <w:t xml:space="preserve">While the Santa Cruz Project is located on </w:t>
      </w:r>
      <w:r w:rsidR="00B66224">
        <w:rPr>
          <w:rFonts w:ascii="Arial" w:hAnsi="Arial"/>
          <w:b/>
          <w:sz w:val="24"/>
          <w:szCs w:val="24"/>
        </w:rPr>
        <w:t xml:space="preserve">private, </w:t>
      </w:r>
      <w:r>
        <w:rPr>
          <w:rFonts w:ascii="Arial" w:hAnsi="Arial"/>
          <w:b/>
          <w:sz w:val="24"/>
          <w:szCs w:val="24"/>
        </w:rPr>
        <w:t>industrially zoned land outside of Casa Grande and approximately 6.5</w:t>
      </w:r>
      <w:r w:rsidR="00B4203C">
        <w:rPr>
          <w:rFonts w:ascii="Arial" w:hAnsi="Arial"/>
          <w:b/>
          <w:sz w:val="24"/>
          <w:szCs w:val="24"/>
        </w:rPr>
        <w:t xml:space="preserve"> </w:t>
      </w:r>
      <w:r>
        <w:rPr>
          <w:rFonts w:ascii="Arial" w:hAnsi="Arial"/>
          <w:b/>
          <w:sz w:val="24"/>
          <w:szCs w:val="24"/>
        </w:rPr>
        <w:t xml:space="preserve">km (4 miles) from the nearest Native American </w:t>
      </w:r>
      <w:r w:rsidR="00B66224">
        <w:rPr>
          <w:rFonts w:ascii="Arial" w:hAnsi="Arial"/>
          <w:b/>
          <w:sz w:val="24"/>
          <w:szCs w:val="24"/>
        </w:rPr>
        <w:t>c</w:t>
      </w:r>
      <w:r>
        <w:rPr>
          <w:rFonts w:ascii="Arial" w:hAnsi="Arial"/>
          <w:b/>
          <w:sz w:val="24"/>
          <w:szCs w:val="24"/>
        </w:rPr>
        <w:t xml:space="preserve">ommunity, </w:t>
      </w:r>
      <w:r w:rsidR="00814E5A" w:rsidRPr="00143071">
        <w:rPr>
          <w:rFonts w:ascii="Arial" w:hAnsi="Arial"/>
          <w:b/>
          <w:sz w:val="24"/>
          <w:szCs w:val="24"/>
        </w:rPr>
        <w:t xml:space="preserve">Ivanhoe Electric acknowledges and respects the ancestral </w:t>
      </w:r>
      <w:r w:rsidR="00C26AC3" w:rsidRPr="00143071">
        <w:rPr>
          <w:rFonts w:ascii="Arial" w:hAnsi="Arial"/>
          <w:b/>
          <w:sz w:val="24"/>
          <w:szCs w:val="24"/>
        </w:rPr>
        <w:t xml:space="preserve">use </w:t>
      </w:r>
      <w:r w:rsidR="00814E5A" w:rsidRPr="00143071">
        <w:rPr>
          <w:rFonts w:ascii="Arial" w:hAnsi="Arial"/>
          <w:b/>
          <w:sz w:val="24"/>
          <w:szCs w:val="24"/>
        </w:rPr>
        <w:t xml:space="preserve">of the lands on which </w:t>
      </w:r>
      <w:r w:rsidR="000422F1" w:rsidRPr="00143071">
        <w:rPr>
          <w:rFonts w:ascii="Arial" w:hAnsi="Arial"/>
          <w:b/>
          <w:sz w:val="24"/>
          <w:szCs w:val="24"/>
        </w:rPr>
        <w:t>it operates</w:t>
      </w:r>
      <w:r w:rsidR="00814E5A" w:rsidRPr="00143071">
        <w:rPr>
          <w:rFonts w:ascii="Arial" w:hAnsi="Arial"/>
          <w:b/>
          <w:sz w:val="24"/>
          <w:szCs w:val="24"/>
        </w:rPr>
        <w:t xml:space="preserve"> and has established contact with the Native American Nations with the closest ancestral links to the project area. </w:t>
      </w:r>
      <w:r w:rsidR="00143071">
        <w:rPr>
          <w:rFonts w:ascii="Arial" w:hAnsi="Arial"/>
          <w:b/>
          <w:sz w:val="24"/>
          <w:szCs w:val="24"/>
        </w:rPr>
        <w:t>Ivanhoe Electric</w:t>
      </w:r>
      <w:r w:rsidR="00814E5A" w:rsidRPr="00143071">
        <w:rPr>
          <w:rFonts w:ascii="Arial" w:hAnsi="Arial"/>
          <w:b/>
          <w:sz w:val="24"/>
          <w:szCs w:val="24"/>
        </w:rPr>
        <w:t xml:space="preserve"> places a high value on </w:t>
      </w:r>
      <w:r w:rsidR="00814E5A" w:rsidRPr="00143071">
        <w:rPr>
          <w:rFonts w:ascii="Arial" w:hAnsi="Arial"/>
          <w:b/>
          <w:sz w:val="24"/>
          <w:szCs w:val="24"/>
        </w:rPr>
        <w:lastRenderedPageBreak/>
        <w:t xml:space="preserve">establishing and maintaining positive relationships with all stakeholder groups and is actively working to develop a robust community engagement program and to provide sustainable, long-term benefits for the communities in which it operates. </w:t>
      </w:r>
    </w:p>
    <w:p w14:paraId="0AC41F4F" w14:textId="77777777" w:rsidR="00C162E1" w:rsidRPr="00143071" w:rsidRDefault="00C162E1" w:rsidP="0020460A">
      <w:pPr>
        <w:spacing w:after="0" w:line="240" w:lineRule="auto"/>
        <w:rPr>
          <w:rFonts w:ascii="Arial" w:hAnsi="Arial"/>
          <w:b/>
          <w:sz w:val="24"/>
          <w:szCs w:val="24"/>
        </w:rPr>
      </w:pPr>
    </w:p>
    <w:p w14:paraId="2B679BE8" w14:textId="6553185F" w:rsidR="0051717F" w:rsidRDefault="00814E5A" w:rsidP="0020460A">
      <w:pPr>
        <w:spacing w:after="0" w:line="240" w:lineRule="auto"/>
        <w:rPr>
          <w:rFonts w:ascii="Arial" w:hAnsi="Arial"/>
          <w:b/>
          <w:sz w:val="24"/>
          <w:szCs w:val="24"/>
        </w:rPr>
      </w:pPr>
      <w:r w:rsidRPr="00143071">
        <w:rPr>
          <w:rFonts w:ascii="Arial" w:hAnsi="Arial"/>
          <w:b/>
          <w:sz w:val="24"/>
          <w:szCs w:val="24"/>
        </w:rPr>
        <w:t xml:space="preserve">Given the highly attractive metallurgical characteristics of the Santa Cruz deposit, </w:t>
      </w:r>
      <w:r w:rsidR="00844FFB">
        <w:rPr>
          <w:rFonts w:ascii="Arial" w:hAnsi="Arial"/>
          <w:b/>
          <w:sz w:val="24"/>
          <w:szCs w:val="24"/>
        </w:rPr>
        <w:t>Ivanhoe Electric</w:t>
      </w:r>
      <w:r w:rsidRPr="00143071">
        <w:rPr>
          <w:rFonts w:ascii="Arial" w:hAnsi="Arial"/>
          <w:b/>
          <w:sz w:val="24"/>
          <w:szCs w:val="24"/>
        </w:rPr>
        <w:t xml:space="preserve"> believes that any mine development will have low water and energy requirements when compared to other major copper projects. However, </w:t>
      </w:r>
      <w:r w:rsidR="00844FFB">
        <w:rPr>
          <w:rFonts w:ascii="Arial" w:hAnsi="Arial"/>
          <w:b/>
          <w:sz w:val="24"/>
          <w:szCs w:val="24"/>
        </w:rPr>
        <w:t>Ivanhoe Electric</w:t>
      </w:r>
      <w:r w:rsidRPr="00143071">
        <w:rPr>
          <w:rFonts w:ascii="Arial" w:hAnsi="Arial"/>
          <w:b/>
          <w:sz w:val="24"/>
          <w:szCs w:val="24"/>
        </w:rPr>
        <w:t xml:space="preserve"> is also aware that it operates in a region currently experiencing water shortages and is committed to developing a water resources strategy that will provide long-term benefits for the region. It is also committed to a solar energy strategy that </w:t>
      </w:r>
      <w:r w:rsidR="003F6A0B">
        <w:rPr>
          <w:rFonts w:ascii="Arial" w:hAnsi="Arial"/>
          <w:b/>
          <w:sz w:val="24"/>
          <w:szCs w:val="24"/>
        </w:rPr>
        <w:t>seeks to lower</w:t>
      </w:r>
      <w:r w:rsidRPr="00143071">
        <w:rPr>
          <w:rFonts w:ascii="Arial" w:hAnsi="Arial"/>
          <w:b/>
          <w:sz w:val="24"/>
          <w:szCs w:val="24"/>
        </w:rPr>
        <w:t xml:space="preserve"> carbon emissions per unit of copper produced</w:t>
      </w:r>
      <w:r w:rsidR="003F6A0B">
        <w:rPr>
          <w:rFonts w:ascii="Arial" w:hAnsi="Arial"/>
          <w:b/>
          <w:sz w:val="24"/>
          <w:szCs w:val="24"/>
        </w:rPr>
        <w:t xml:space="preserve"> to the greatest extent feasible</w:t>
      </w:r>
      <w:r w:rsidRPr="00143071">
        <w:rPr>
          <w:rFonts w:ascii="Arial" w:hAnsi="Arial"/>
          <w:b/>
          <w:sz w:val="24"/>
          <w:szCs w:val="24"/>
        </w:rPr>
        <w:t xml:space="preserve">. </w:t>
      </w:r>
    </w:p>
    <w:p w14:paraId="48331AE8" w14:textId="15695560" w:rsidR="00143071" w:rsidRDefault="00143071">
      <w:pPr>
        <w:spacing w:after="0" w:line="240" w:lineRule="auto"/>
        <w:rPr>
          <w:rFonts w:ascii="Arial" w:hAnsi="Arial"/>
          <w:bCs/>
          <w:sz w:val="24"/>
          <w:szCs w:val="24"/>
        </w:rPr>
      </w:pPr>
    </w:p>
    <w:p w14:paraId="29A7E582" w14:textId="1B2603D1" w:rsidR="00237ADA" w:rsidRDefault="00691C5F">
      <w:pPr>
        <w:spacing w:after="0" w:line="240" w:lineRule="auto"/>
        <w:rPr>
          <w:rFonts w:ascii="Arial" w:hAnsi="Arial"/>
          <w:b/>
          <w:sz w:val="26"/>
          <w:szCs w:val="26"/>
        </w:rPr>
      </w:pPr>
      <w:r w:rsidRPr="00691C5F">
        <w:rPr>
          <w:rFonts w:ascii="Arial" w:hAnsi="Arial"/>
          <w:b/>
          <w:sz w:val="26"/>
          <w:szCs w:val="26"/>
        </w:rPr>
        <w:t>Ivanhoe Electric geotechnicians Aaron Strange (top) and Adriana Ledesma (center), and geologist Emalyn Glastetter (bottom) at the Santa Cruz Project core facility.</w:t>
      </w:r>
    </w:p>
    <w:p w14:paraId="3FFE1A39" w14:textId="1C6D18BC" w:rsidR="005B31EA" w:rsidRDefault="00237ADA">
      <w:pPr>
        <w:spacing w:after="0" w:line="240" w:lineRule="auto"/>
        <w:rPr>
          <w:rFonts w:ascii="Arial" w:hAnsi="Arial"/>
          <w:b/>
          <w:color w:val="C00000"/>
          <w:sz w:val="26"/>
          <w:szCs w:val="26"/>
        </w:rPr>
      </w:pPr>
      <w:r>
        <w:rPr>
          <w:noProof/>
        </w:rPr>
        <w:drawing>
          <wp:anchor distT="0" distB="0" distL="114300" distR="114300" simplePos="0" relativeHeight="251687424" behindDoc="1" locked="0" layoutInCell="1" allowOverlap="1" wp14:anchorId="5F7CC004" wp14:editId="11DCE660">
            <wp:simplePos x="0" y="0"/>
            <wp:positionH relativeFrom="column">
              <wp:posOffset>38100</wp:posOffset>
            </wp:positionH>
            <wp:positionV relativeFrom="paragraph">
              <wp:posOffset>237490</wp:posOffset>
            </wp:positionV>
            <wp:extent cx="5935980" cy="3962400"/>
            <wp:effectExtent l="0" t="0" r="7620" b="0"/>
            <wp:wrapTight wrapText="bothSides">
              <wp:wrapPolygon edited="0">
                <wp:start x="0" y="0"/>
                <wp:lineTo x="0" y="21496"/>
                <wp:lineTo x="21558" y="21496"/>
                <wp:lineTo x="2155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B9F48E" w14:textId="6CFB6131" w:rsidR="00C162E1" w:rsidRDefault="00C923A2">
      <w:pPr>
        <w:spacing w:after="0" w:line="240" w:lineRule="auto"/>
        <w:rPr>
          <w:rFonts w:ascii="Arial" w:hAnsi="Arial"/>
          <w:b/>
          <w:color w:val="C00000"/>
          <w:sz w:val="26"/>
          <w:szCs w:val="26"/>
        </w:rPr>
      </w:pPr>
      <w:r>
        <w:rPr>
          <w:noProof/>
        </w:rPr>
        <w:lastRenderedPageBreak/>
        <w:drawing>
          <wp:inline distT="0" distB="0" distL="0" distR="0" wp14:anchorId="5ADA9766" wp14:editId="1A8E7C1D">
            <wp:extent cx="5935980" cy="4450080"/>
            <wp:effectExtent l="0" t="0" r="7620" b="762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5935980" cy="4450080"/>
                    </a:xfrm>
                    <a:prstGeom prst="rect">
                      <a:avLst/>
                    </a:prstGeom>
                    <a:noFill/>
                    <a:ln>
                      <a:noFill/>
                    </a:ln>
                  </pic:spPr>
                </pic:pic>
              </a:graphicData>
            </a:graphic>
          </wp:inline>
        </w:drawing>
      </w:r>
    </w:p>
    <w:p w14:paraId="02CC7FCD" w14:textId="7A4F9DA2" w:rsidR="00691C5F" w:rsidRDefault="00691C5F">
      <w:pPr>
        <w:spacing w:after="0" w:line="240" w:lineRule="auto"/>
        <w:rPr>
          <w:rFonts w:ascii="Arial" w:hAnsi="Arial"/>
          <w:b/>
          <w:color w:val="C00000"/>
          <w:sz w:val="26"/>
          <w:szCs w:val="26"/>
        </w:rPr>
      </w:pPr>
    </w:p>
    <w:p w14:paraId="5B5F389A" w14:textId="6F0B5A50" w:rsidR="00691C5F" w:rsidRDefault="00691C5F">
      <w:pPr>
        <w:spacing w:after="0" w:line="240" w:lineRule="auto"/>
        <w:rPr>
          <w:rFonts w:ascii="Arial" w:hAnsi="Arial"/>
          <w:b/>
          <w:color w:val="C00000"/>
          <w:sz w:val="26"/>
          <w:szCs w:val="26"/>
        </w:rPr>
      </w:pPr>
      <w:r w:rsidRPr="0020460A">
        <w:rPr>
          <w:noProof/>
        </w:rPr>
        <w:drawing>
          <wp:anchor distT="0" distB="0" distL="114300" distR="114300" simplePos="0" relativeHeight="251686400" behindDoc="1" locked="0" layoutInCell="1" allowOverlap="1" wp14:anchorId="21949E42" wp14:editId="5D8812BB">
            <wp:simplePos x="0" y="0"/>
            <wp:positionH relativeFrom="margin">
              <wp:posOffset>0</wp:posOffset>
            </wp:positionH>
            <wp:positionV relativeFrom="paragraph">
              <wp:posOffset>-6985</wp:posOffset>
            </wp:positionV>
            <wp:extent cx="5905500" cy="3360704"/>
            <wp:effectExtent l="0" t="0" r="0" b="0"/>
            <wp:wrapTight wrapText="bothSides">
              <wp:wrapPolygon edited="0">
                <wp:start x="0" y="0"/>
                <wp:lineTo x="0" y="21429"/>
                <wp:lineTo x="21530" y="21429"/>
                <wp:lineTo x="2153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1959"/>
                    <a:stretch/>
                  </pic:blipFill>
                  <pic:spPr bwMode="auto">
                    <a:xfrm>
                      <a:off x="0" y="0"/>
                      <a:ext cx="5906117" cy="3361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498056" w14:textId="5DCD6860" w:rsidR="00E46EA7" w:rsidRPr="00C923A2" w:rsidRDefault="00E46EA7" w:rsidP="00E46EA7">
      <w:pPr>
        <w:spacing w:after="0" w:line="240" w:lineRule="auto"/>
        <w:rPr>
          <w:rFonts w:ascii="Arial" w:hAnsi="Arial"/>
          <w:b/>
          <w:color w:val="E0251B"/>
          <w:sz w:val="26"/>
          <w:szCs w:val="26"/>
        </w:rPr>
      </w:pPr>
      <w:r w:rsidRPr="003021AC">
        <w:rPr>
          <w:rFonts w:ascii="Arial" w:hAnsi="Arial"/>
          <w:b/>
          <w:color w:val="E0251B"/>
          <w:sz w:val="28"/>
          <w:szCs w:val="28"/>
        </w:rPr>
        <w:lastRenderedPageBreak/>
        <w:t>Qualified Persons</w:t>
      </w:r>
    </w:p>
    <w:p w14:paraId="4AC0FC2D" w14:textId="77777777" w:rsidR="00E46EA7" w:rsidRPr="00D11A02" w:rsidRDefault="00E46EA7" w:rsidP="00E46EA7">
      <w:pPr>
        <w:spacing w:after="0" w:line="240" w:lineRule="auto"/>
        <w:rPr>
          <w:rFonts w:ascii="Arial" w:hAnsi="Arial"/>
          <w:bCs/>
          <w:sz w:val="24"/>
          <w:szCs w:val="24"/>
        </w:rPr>
      </w:pPr>
    </w:p>
    <w:p w14:paraId="04455308" w14:textId="7A3C4F85" w:rsidR="000A2E0E" w:rsidRDefault="000A2E0E" w:rsidP="0020460A">
      <w:pPr>
        <w:spacing w:after="0" w:line="240" w:lineRule="auto"/>
        <w:rPr>
          <w:rFonts w:ascii="Arial" w:hAnsi="Arial"/>
          <w:bCs/>
          <w:sz w:val="24"/>
          <w:szCs w:val="24"/>
        </w:rPr>
      </w:pPr>
      <w:r>
        <w:rPr>
          <w:rFonts w:ascii="Arial" w:hAnsi="Arial"/>
          <w:bCs/>
          <w:sz w:val="24"/>
          <w:szCs w:val="24"/>
        </w:rPr>
        <w:t xml:space="preserve">Disclosures of a scientific or </w:t>
      </w:r>
      <w:r w:rsidR="00E46EA7" w:rsidRPr="00D11A02">
        <w:rPr>
          <w:rFonts w:ascii="Arial" w:hAnsi="Arial"/>
          <w:bCs/>
          <w:sz w:val="24"/>
          <w:szCs w:val="24"/>
        </w:rPr>
        <w:t xml:space="preserve">technical </w:t>
      </w:r>
      <w:r>
        <w:rPr>
          <w:rFonts w:ascii="Arial" w:hAnsi="Arial"/>
          <w:bCs/>
          <w:sz w:val="24"/>
          <w:szCs w:val="24"/>
        </w:rPr>
        <w:t xml:space="preserve">nature included in </w:t>
      </w:r>
      <w:r w:rsidR="00E46EA7" w:rsidRPr="00D11A02">
        <w:rPr>
          <w:rFonts w:ascii="Arial" w:hAnsi="Arial"/>
          <w:bCs/>
          <w:sz w:val="24"/>
          <w:szCs w:val="24"/>
        </w:rPr>
        <w:t>this</w:t>
      </w:r>
      <w:r>
        <w:rPr>
          <w:rFonts w:ascii="Arial" w:hAnsi="Arial"/>
          <w:bCs/>
          <w:sz w:val="24"/>
          <w:szCs w:val="24"/>
        </w:rPr>
        <w:t xml:space="preserve"> news</w:t>
      </w:r>
      <w:r w:rsidR="00E46EA7" w:rsidRPr="00D11A02">
        <w:rPr>
          <w:rFonts w:ascii="Arial" w:hAnsi="Arial"/>
          <w:bCs/>
          <w:sz w:val="24"/>
          <w:szCs w:val="24"/>
        </w:rPr>
        <w:t xml:space="preserve"> release, including the sampling, analytical and technical data underlying the information, has been reviewed, verified, and approved by Glen Kuntz, P.Geo., and Christopher Seligman, MAusIMM CP (Geo),</w:t>
      </w:r>
      <w:r>
        <w:rPr>
          <w:rFonts w:ascii="Arial" w:hAnsi="Arial"/>
          <w:bCs/>
          <w:sz w:val="24"/>
          <w:szCs w:val="24"/>
        </w:rPr>
        <w:t xml:space="preserve"> each of </w:t>
      </w:r>
      <w:r w:rsidR="00E46EA7" w:rsidRPr="00D11A02">
        <w:rPr>
          <w:rFonts w:ascii="Arial" w:hAnsi="Arial"/>
          <w:bCs/>
          <w:sz w:val="24"/>
          <w:szCs w:val="24"/>
        </w:rPr>
        <w:t>who</w:t>
      </w:r>
      <w:r>
        <w:rPr>
          <w:rFonts w:ascii="Arial" w:hAnsi="Arial"/>
          <w:bCs/>
          <w:sz w:val="24"/>
          <w:szCs w:val="24"/>
        </w:rPr>
        <w:t>m</w:t>
      </w:r>
      <w:r w:rsidR="00E46EA7" w:rsidRPr="00D11A02">
        <w:rPr>
          <w:rFonts w:ascii="Arial" w:hAnsi="Arial"/>
          <w:bCs/>
          <w:sz w:val="24"/>
          <w:szCs w:val="24"/>
        </w:rPr>
        <w:t xml:space="preserve"> are Qualified Persons </w:t>
      </w:r>
      <w:r w:rsidRPr="000A2E0E">
        <w:rPr>
          <w:rFonts w:ascii="Arial" w:hAnsi="Arial"/>
          <w:bCs/>
          <w:sz w:val="24"/>
          <w:szCs w:val="24"/>
        </w:rPr>
        <w:t xml:space="preserve">as defined by Regulation S-K, Subpart 1300 promulgated by the U.S. Securities and Exchange Commission and </w:t>
      </w:r>
      <w:r>
        <w:rPr>
          <w:rFonts w:ascii="Arial" w:hAnsi="Arial"/>
          <w:bCs/>
          <w:sz w:val="24"/>
          <w:szCs w:val="24"/>
        </w:rPr>
        <w:t xml:space="preserve">by </w:t>
      </w:r>
      <w:r w:rsidRPr="000A2E0E">
        <w:rPr>
          <w:rFonts w:ascii="Arial" w:hAnsi="Arial"/>
          <w:bCs/>
          <w:sz w:val="24"/>
          <w:szCs w:val="24"/>
        </w:rPr>
        <w:t xml:space="preserve">Canadian </w:t>
      </w:r>
      <w:r>
        <w:rPr>
          <w:rFonts w:ascii="Arial" w:hAnsi="Arial"/>
          <w:bCs/>
          <w:sz w:val="24"/>
          <w:szCs w:val="24"/>
        </w:rPr>
        <w:t>National Instrument</w:t>
      </w:r>
      <w:r w:rsidRPr="000A2E0E">
        <w:rPr>
          <w:rFonts w:ascii="Arial" w:hAnsi="Arial"/>
          <w:bCs/>
          <w:sz w:val="24"/>
          <w:szCs w:val="24"/>
        </w:rPr>
        <w:t xml:space="preserve"> 43-101</w:t>
      </w:r>
      <w:r>
        <w:rPr>
          <w:rFonts w:ascii="Arial" w:hAnsi="Arial"/>
          <w:bCs/>
          <w:sz w:val="24"/>
          <w:szCs w:val="24"/>
        </w:rPr>
        <w:t>.</w:t>
      </w:r>
      <w:r w:rsidRPr="000A2E0E">
        <w:rPr>
          <w:rFonts w:ascii="Arial" w:hAnsi="Arial"/>
          <w:bCs/>
          <w:sz w:val="24"/>
          <w:szCs w:val="24"/>
        </w:rPr>
        <w:t xml:space="preserve"> </w:t>
      </w:r>
      <w:r w:rsidR="00DE6FDC">
        <w:rPr>
          <w:rFonts w:ascii="Arial" w:hAnsi="Arial"/>
          <w:bCs/>
          <w:sz w:val="24"/>
          <w:szCs w:val="24"/>
        </w:rPr>
        <w:t>Each of Mr. Kuntz and Mr. Seligman is an employee of Ivanhoe Electric.</w:t>
      </w:r>
    </w:p>
    <w:p w14:paraId="1A52413A" w14:textId="77777777" w:rsidR="000A2E0E" w:rsidRDefault="000A2E0E" w:rsidP="0020460A">
      <w:pPr>
        <w:spacing w:after="0" w:line="240" w:lineRule="auto"/>
        <w:rPr>
          <w:rFonts w:ascii="Arial" w:hAnsi="Arial"/>
          <w:bCs/>
          <w:sz w:val="24"/>
          <w:szCs w:val="24"/>
        </w:rPr>
      </w:pPr>
    </w:p>
    <w:p w14:paraId="6E9DF444" w14:textId="41D18E5A" w:rsidR="00C61F40" w:rsidRDefault="00C61F40" w:rsidP="0020460A">
      <w:pPr>
        <w:spacing w:after="0" w:line="240" w:lineRule="auto"/>
        <w:rPr>
          <w:rFonts w:ascii="Arial" w:hAnsi="Arial"/>
          <w:bCs/>
          <w:sz w:val="24"/>
          <w:szCs w:val="24"/>
        </w:rPr>
      </w:pPr>
      <w:r>
        <w:rPr>
          <w:rFonts w:ascii="Arial" w:hAnsi="Arial"/>
          <w:bCs/>
          <w:sz w:val="24"/>
          <w:szCs w:val="24"/>
        </w:rPr>
        <w:t xml:space="preserve">Ivanhoe Electric </w:t>
      </w:r>
      <w:r w:rsidR="000A2E0E">
        <w:rPr>
          <w:rFonts w:ascii="Arial" w:hAnsi="Arial"/>
          <w:bCs/>
          <w:sz w:val="24"/>
          <w:szCs w:val="24"/>
        </w:rPr>
        <w:t xml:space="preserve">had </w:t>
      </w:r>
      <w:r>
        <w:rPr>
          <w:rFonts w:ascii="Arial" w:hAnsi="Arial"/>
          <w:bCs/>
          <w:sz w:val="24"/>
          <w:szCs w:val="24"/>
        </w:rPr>
        <w:t>prepared</w:t>
      </w:r>
      <w:r w:rsidR="000A2E0E">
        <w:rPr>
          <w:rFonts w:ascii="Arial" w:hAnsi="Arial"/>
          <w:bCs/>
          <w:sz w:val="24"/>
          <w:szCs w:val="24"/>
        </w:rPr>
        <w:t xml:space="preserve"> an independent technical report summary for the Santa Cruz Project prepared under SEC Regulation S-K, Subpart 1300 and an independent technical report prepared under Canadian Instrument NI 43-101. Each is available </w:t>
      </w:r>
      <w:r>
        <w:rPr>
          <w:rFonts w:ascii="Arial" w:hAnsi="Arial"/>
          <w:bCs/>
          <w:sz w:val="24"/>
          <w:szCs w:val="24"/>
        </w:rPr>
        <w:t>on the company’s website and under the company’s</w:t>
      </w:r>
      <w:r w:rsidRPr="00C61F40">
        <w:rPr>
          <w:rFonts w:ascii="Arial" w:hAnsi="Arial"/>
          <w:bCs/>
          <w:sz w:val="24"/>
          <w:szCs w:val="24"/>
        </w:rPr>
        <w:t xml:space="preserve"> </w:t>
      </w:r>
      <w:r w:rsidR="003A455A">
        <w:rPr>
          <w:rFonts w:ascii="Arial" w:hAnsi="Arial"/>
          <w:bCs/>
          <w:sz w:val="24"/>
          <w:szCs w:val="24"/>
        </w:rPr>
        <w:t xml:space="preserve">EDGAR and </w:t>
      </w:r>
      <w:r w:rsidRPr="00C61F40">
        <w:rPr>
          <w:rFonts w:ascii="Arial" w:hAnsi="Arial"/>
          <w:bCs/>
          <w:sz w:val="24"/>
          <w:szCs w:val="24"/>
        </w:rPr>
        <w:t>SEDAR profile</w:t>
      </w:r>
      <w:r w:rsidR="003A455A">
        <w:rPr>
          <w:rFonts w:ascii="Arial" w:hAnsi="Arial"/>
          <w:bCs/>
          <w:sz w:val="24"/>
          <w:szCs w:val="24"/>
        </w:rPr>
        <w:t>s</w:t>
      </w:r>
      <w:r>
        <w:rPr>
          <w:rFonts w:ascii="Arial" w:hAnsi="Arial"/>
          <w:bCs/>
          <w:sz w:val="24"/>
          <w:szCs w:val="24"/>
        </w:rPr>
        <w:t>:</w:t>
      </w:r>
    </w:p>
    <w:p w14:paraId="4B7BC64C" w14:textId="1F4EF800" w:rsidR="00C61F40" w:rsidRDefault="000A2E0E" w:rsidP="0020460A">
      <w:pPr>
        <w:pStyle w:val="ListParagraph"/>
        <w:numPr>
          <w:ilvl w:val="0"/>
          <w:numId w:val="18"/>
        </w:numPr>
        <w:spacing w:after="0" w:line="240" w:lineRule="auto"/>
        <w:rPr>
          <w:rFonts w:ascii="Arial" w:hAnsi="Arial"/>
          <w:bCs/>
          <w:sz w:val="24"/>
          <w:szCs w:val="24"/>
        </w:rPr>
      </w:pPr>
      <w:r>
        <w:rPr>
          <w:rFonts w:ascii="Arial" w:hAnsi="Arial"/>
          <w:bCs/>
          <w:sz w:val="24"/>
          <w:szCs w:val="24"/>
        </w:rPr>
        <w:t>“</w:t>
      </w:r>
      <w:r w:rsidR="00C61F40">
        <w:rPr>
          <w:rFonts w:ascii="Arial" w:hAnsi="Arial"/>
          <w:bCs/>
          <w:sz w:val="24"/>
          <w:szCs w:val="24"/>
        </w:rPr>
        <w:t>Technical Report Summary on the Santa Cruz Project, Arizona, USA</w:t>
      </w:r>
      <w:r>
        <w:rPr>
          <w:rFonts w:ascii="Arial" w:hAnsi="Arial"/>
          <w:bCs/>
          <w:sz w:val="24"/>
          <w:szCs w:val="24"/>
        </w:rPr>
        <w:t xml:space="preserve">” prepared by </w:t>
      </w:r>
      <w:r w:rsidRPr="000A2E0E">
        <w:rPr>
          <w:rFonts w:ascii="Arial" w:hAnsi="Arial"/>
          <w:bCs/>
          <w:sz w:val="24"/>
          <w:szCs w:val="24"/>
        </w:rPr>
        <w:t>Nordmin Engineering Ltd</w:t>
      </w:r>
      <w:r>
        <w:rPr>
          <w:rFonts w:ascii="Arial" w:hAnsi="Arial"/>
          <w:bCs/>
          <w:sz w:val="24"/>
          <w:szCs w:val="24"/>
        </w:rPr>
        <w:t xml:space="preserve">. (“Nordmin”) with an effective date of June 7, 2022 </w:t>
      </w:r>
      <w:r w:rsidR="00C61F40">
        <w:rPr>
          <w:rFonts w:ascii="Arial" w:hAnsi="Arial"/>
          <w:bCs/>
          <w:sz w:val="24"/>
          <w:szCs w:val="24"/>
        </w:rPr>
        <w:t>(S-K 1300 Report)</w:t>
      </w:r>
      <w:r w:rsidR="00CF6B68">
        <w:rPr>
          <w:rFonts w:ascii="Arial" w:hAnsi="Arial"/>
          <w:bCs/>
          <w:sz w:val="24"/>
          <w:szCs w:val="24"/>
        </w:rPr>
        <w:t>.</w:t>
      </w:r>
    </w:p>
    <w:p w14:paraId="0CE094DE" w14:textId="2D84096C" w:rsidR="00143071" w:rsidRPr="00C61F40" w:rsidRDefault="000A2E0E" w:rsidP="0020460A">
      <w:pPr>
        <w:pStyle w:val="ListParagraph"/>
        <w:numPr>
          <w:ilvl w:val="0"/>
          <w:numId w:val="18"/>
        </w:numPr>
        <w:spacing w:after="0" w:line="240" w:lineRule="auto"/>
        <w:rPr>
          <w:rFonts w:ascii="Arial" w:hAnsi="Arial"/>
          <w:bCs/>
          <w:sz w:val="24"/>
          <w:szCs w:val="24"/>
        </w:rPr>
      </w:pPr>
      <w:r>
        <w:rPr>
          <w:rFonts w:ascii="Arial" w:hAnsi="Arial"/>
          <w:bCs/>
          <w:sz w:val="24"/>
          <w:szCs w:val="24"/>
        </w:rPr>
        <w:t>“</w:t>
      </w:r>
      <w:r w:rsidR="00143071">
        <w:rPr>
          <w:rFonts w:ascii="Arial" w:hAnsi="Arial"/>
          <w:bCs/>
          <w:sz w:val="24"/>
          <w:szCs w:val="24"/>
        </w:rPr>
        <w:t>NI 43-101 Technical Report and Mineral Resource Estimate for the Santa Cruz Project, Arizona, USA</w:t>
      </w:r>
      <w:r>
        <w:rPr>
          <w:rFonts w:ascii="Arial" w:hAnsi="Arial"/>
          <w:bCs/>
          <w:sz w:val="24"/>
          <w:szCs w:val="24"/>
        </w:rPr>
        <w:t>” prepared by Nordmin with an effective date of June 7, 2022.</w:t>
      </w:r>
    </w:p>
    <w:p w14:paraId="7D9B09D3" w14:textId="7E53805A" w:rsidR="00C61F40" w:rsidRDefault="00C61F40" w:rsidP="000A2E0E">
      <w:pPr>
        <w:spacing w:after="0" w:line="240" w:lineRule="auto"/>
        <w:rPr>
          <w:rFonts w:ascii="Arial" w:hAnsi="Arial"/>
          <w:bCs/>
          <w:sz w:val="24"/>
          <w:szCs w:val="24"/>
        </w:rPr>
      </w:pPr>
    </w:p>
    <w:p w14:paraId="5063B30E" w14:textId="51180E44" w:rsidR="00C61F40" w:rsidRPr="00D11A02" w:rsidRDefault="00C61F40" w:rsidP="0020460A">
      <w:pPr>
        <w:spacing w:after="0" w:line="240" w:lineRule="auto"/>
        <w:rPr>
          <w:rFonts w:ascii="Arial" w:hAnsi="Arial"/>
          <w:bCs/>
          <w:sz w:val="24"/>
          <w:szCs w:val="24"/>
        </w:rPr>
      </w:pPr>
      <w:r w:rsidRPr="00C61F40">
        <w:rPr>
          <w:rFonts w:ascii="Arial" w:hAnsi="Arial"/>
          <w:bCs/>
          <w:sz w:val="24"/>
          <w:szCs w:val="24"/>
        </w:rPr>
        <w:t xml:space="preserve">The </w:t>
      </w:r>
      <w:r w:rsidR="000A2E0E">
        <w:rPr>
          <w:rFonts w:ascii="Arial" w:hAnsi="Arial"/>
          <w:bCs/>
          <w:sz w:val="24"/>
          <w:szCs w:val="24"/>
        </w:rPr>
        <w:t xml:space="preserve">technical report summary and </w:t>
      </w:r>
      <w:r w:rsidRPr="00C61F40">
        <w:rPr>
          <w:rFonts w:ascii="Arial" w:hAnsi="Arial"/>
          <w:bCs/>
          <w:sz w:val="24"/>
          <w:szCs w:val="24"/>
        </w:rPr>
        <w:t>technical report include relevant information regarding the assumptions,</w:t>
      </w:r>
      <w:r w:rsidR="00143071">
        <w:rPr>
          <w:rFonts w:ascii="Arial" w:hAnsi="Arial"/>
          <w:bCs/>
          <w:sz w:val="24"/>
          <w:szCs w:val="24"/>
        </w:rPr>
        <w:t xml:space="preserve"> </w:t>
      </w:r>
      <w:proofErr w:type="gramStart"/>
      <w:r w:rsidRPr="00C61F40">
        <w:rPr>
          <w:rFonts w:ascii="Arial" w:hAnsi="Arial"/>
          <w:bCs/>
          <w:sz w:val="24"/>
          <w:szCs w:val="24"/>
        </w:rPr>
        <w:t>parameters</w:t>
      </w:r>
      <w:proofErr w:type="gramEnd"/>
      <w:r w:rsidRPr="00C61F40">
        <w:rPr>
          <w:rFonts w:ascii="Arial" w:hAnsi="Arial"/>
          <w:bCs/>
          <w:sz w:val="24"/>
          <w:szCs w:val="24"/>
        </w:rPr>
        <w:t xml:space="preserve"> and methods of the mineral resource estimates on the </w:t>
      </w:r>
      <w:r w:rsidR="00143071">
        <w:rPr>
          <w:rFonts w:ascii="Arial" w:hAnsi="Arial"/>
          <w:bCs/>
          <w:sz w:val="24"/>
          <w:szCs w:val="24"/>
        </w:rPr>
        <w:t xml:space="preserve">Santa Cruz Project </w:t>
      </w:r>
      <w:r w:rsidRPr="00C61F40">
        <w:rPr>
          <w:rFonts w:ascii="Arial" w:hAnsi="Arial"/>
          <w:bCs/>
          <w:sz w:val="24"/>
          <w:szCs w:val="24"/>
        </w:rPr>
        <w:t>cited in this news release, as well as information regarding data</w:t>
      </w:r>
      <w:r w:rsidR="00143071">
        <w:rPr>
          <w:rFonts w:ascii="Arial" w:hAnsi="Arial"/>
          <w:bCs/>
          <w:sz w:val="24"/>
          <w:szCs w:val="24"/>
        </w:rPr>
        <w:t xml:space="preserve"> </w:t>
      </w:r>
      <w:r w:rsidRPr="00C61F40">
        <w:rPr>
          <w:rFonts w:ascii="Arial" w:hAnsi="Arial"/>
          <w:bCs/>
          <w:sz w:val="24"/>
          <w:szCs w:val="24"/>
        </w:rPr>
        <w:t>verification, exploration procedures and other matters relevant to the scientific and</w:t>
      </w:r>
      <w:r w:rsidR="00143071">
        <w:rPr>
          <w:rFonts w:ascii="Arial" w:hAnsi="Arial"/>
          <w:bCs/>
          <w:sz w:val="24"/>
          <w:szCs w:val="24"/>
        </w:rPr>
        <w:t xml:space="preserve"> </w:t>
      </w:r>
      <w:r w:rsidRPr="00C61F40">
        <w:rPr>
          <w:rFonts w:ascii="Arial" w:hAnsi="Arial"/>
          <w:bCs/>
          <w:sz w:val="24"/>
          <w:szCs w:val="24"/>
        </w:rPr>
        <w:t>technical disclosure contained in this news release.</w:t>
      </w:r>
    </w:p>
    <w:p w14:paraId="346A86C6" w14:textId="62E122A1" w:rsidR="00377F95" w:rsidRPr="00D11A02" w:rsidRDefault="00377F95" w:rsidP="0020460A">
      <w:pPr>
        <w:spacing w:after="0" w:line="240" w:lineRule="auto"/>
        <w:rPr>
          <w:rFonts w:ascii="Arial" w:hAnsi="Arial"/>
          <w:bCs/>
          <w:sz w:val="24"/>
          <w:szCs w:val="24"/>
        </w:rPr>
      </w:pPr>
    </w:p>
    <w:p w14:paraId="4B6AE296" w14:textId="77777777" w:rsidR="001C4CAC" w:rsidRPr="003021AC" w:rsidRDefault="001C4CAC" w:rsidP="0020460A">
      <w:pPr>
        <w:spacing w:after="0" w:line="240" w:lineRule="auto"/>
        <w:textAlignment w:val="baseline"/>
        <w:rPr>
          <w:rFonts w:ascii="Arial" w:hAnsi="Arial" w:cs="Arial"/>
          <w:b/>
          <w:color w:val="E0251B"/>
          <w:sz w:val="28"/>
          <w:szCs w:val="28"/>
        </w:rPr>
      </w:pPr>
      <w:r w:rsidRPr="003021AC">
        <w:rPr>
          <w:rFonts w:ascii="Arial" w:eastAsia="Arial" w:hAnsi="Arial" w:cs="Arial"/>
          <w:b/>
          <w:color w:val="E0251B"/>
          <w:sz w:val="28"/>
          <w:szCs w:val="28"/>
        </w:rPr>
        <w:t xml:space="preserve">About Ivanhoe Electric </w:t>
      </w:r>
    </w:p>
    <w:p w14:paraId="1B7C8DEA" w14:textId="77777777" w:rsidR="001C4CAC" w:rsidRPr="00D11A02" w:rsidRDefault="001C4CAC" w:rsidP="0020460A">
      <w:pPr>
        <w:spacing w:after="0" w:line="240" w:lineRule="auto"/>
        <w:rPr>
          <w:rFonts w:ascii="Arial" w:hAnsi="Arial"/>
          <w:bCs/>
          <w:sz w:val="24"/>
          <w:szCs w:val="24"/>
        </w:rPr>
      </w:pPr>
    </w:p>
    <w:p w14:paraId="029D046B" w14:textId="58557ED2" w:rsidR="001A6E5F" w:rsidRPr="00D11A02" w:rsidRDefault="00D80F19" w:rsidP="0020460A">
      <w:pPr>
        <w:spacing w:after="0" w:line="240" w:lineRule="auto"/>
        <w:rPr>
          <w:rFonts w:ascii="Arial" w:hAnsi="Arial"/>
          <w:bCs/>
          <w:sz w:val="24"/>
          <w:szCs w:val="24"/>
        </w:rPr>
      </w:pPr>
      <w:r w:rsidRPr="00D11A02">
        <w:rPr>
          <w:rFonts w:ascii="Arial" w:hAnsi="Arial"/>
          <w:bCs/>
          <w:sz w:val="24"/>
          <w:szCs w:val="24"/>
        </w:rPr>
        <w:t>Ivanhoe Electric is an American technology and mineral exploration company that is re-inventing mining for the electrification of everything by combining advanced mineral exploration technologies, renewable energy storage solutions and electric metals projects predominantly located in the United States. Ivanhoe Electric uses its Typhoon™ transmitter, an accurate and powerful geophysical survey system, together with advanced data analytics provided by its subsidiary, Computational Geosciences, to accelerate and de-risk the mineral exploration process as well as to potentially discover deposits of critical metals that may otherwise be undetectable by traditional exploration technologies. Through its controlling interest in VRB Energy, Ivanhoe Electric also develops and manufactures advanced grid-scale vanadium redox battery storage systems. Finally, through advancing its portfolio of electric metals projects located primarily in the United States, headlined by the Santa Cruz Copper Project in Arizona and the Tintic Copper-Gold Project in Utah, as well as projects in Montana, Oregon and North Carolina, Ivanhoe Electric is also well positioned to support American supply chain independence by delivering the critical metals necessary for electrification of the economy.</w:t>
      </w:r>
    </w:p>
    <w:bookmarkEnd w:id="2"/>
    <w:p w14:paraId="6E14A0FC" w14:textId="77777777" w:rsidR="00F85769" w:rsidRPr="00D11A02" w:rsidRDefault="00F85769" w:rsidP="00F85769">
      <w:pPr>
        <w:spacing w:after="0" w:line="240" w:lineRule="auto"/>
        <w:rPr>
          <w:rFonts w:ascii="Arial" w:hAnsi="Arial"/>
          <w:bCs/>
          <w:sz w:val="24"/>
          <w:szCs w:val="24"/>
        </w:rPr>
      </w:pPr>
    </w:p>
    <w:p w14:paraId="4F85E8DE" w14:textId="77777777" w:rsidR="00237ADA" w:rsidRDefault="00237ADA" w:rsidP="006B2813">
      <w:pPr>
        <w:spacing w:after="0" w:line="240" w:lineRule="auto"/>
        <w:rPr>
          <w:rFonts w:ascii="Arial" w:eastAsia="Arial" w:hAnsi="Arial" w:cs="Arial"/>
          <w:b/>
          <w:sz w:val="26"/>
          <w:szCs w:val="26"/>
        </w:rPr>
      </w:pPr>
    </w:p>
    <w:p w14:paraId="3AD057C7" w14:textId="77777777" w:rsidR="00237ADA" w:rsidRDefault="00237ADA" w:rsidP="006B2813">
      <w:pPr>
        <w:spacing w:after="0" w:line="240" w:lineRule="auto"/>
        <w:rPr>
          <w:rFonts w:ascii="Arial" w:eastAsia="Arial" w:hAnsi="Arial" w:cs="Arial"/>
          <w:b/>
          <w:sz w:val="26"/>
          <w:szCs w:val="26"/>
        </w:rPr>
      </w:pPr>
    </w:p>
    <w:p w14:paraId="7307DB04" w14:textId="5F437AF1" w:rsidR="006B2813" w:rsidRPr="00D11A02" w:rsidRDefault="006B2813" w:rsidP="006B2813">
      <w:pPr>
        <w:spacing w:after="0" w:line="240" w:lineRule="auto"/>
        <w:rPr>
          <w:rFonts w:ascii="Arial" w:eastAsia="Arial" w:hAnsi="Arial" w:cs="Arial"/>
          <w:b/>
          <w:sz w:val="26"/>
          <w:szCs w:val="26"/>
        </w:rPr>
      </w:pPr>
      <w:r w:rsidRPr="00D11A02">
        <w:rPr>
          <w:rFonts w:ascii="Arial" w:eastAsia="Arial" w:hAnsi="Arial" w:cs="Arial"/>
          <w:b/>
          <w:sz w:val="26"/>
          <w:szCs w:val="26"/>
        </w:rPr>
        <w:lastRenderedPageBreak/>
        <w:t>Information contact</w:t>
      </w:r>
    </w:p>
    <w:p w14:paraId="0F6A2FDA" w14:textId="77777777" w:rsidR="006B2813" w:rsidRPr="00D11A02" w:rsidRDefault="006B2813" w:rsidP="006B2813">
      <w:pPr>
        <w:spacing w:after="0" w:line="240" w:lineRule="auto"/>
        <w:rPr>
          <w:rFonts w:ascii="Arial" w:eastAsia="Arial" w:hAnsi="Arial" w:cs="Arial"/>
          <w:b/>
          <w:sz w:val="26"/>
          <w:szCs w:val="26"/>
        </w:rPr>
      </w:pPr>
    </w:p>
    <w:p w14:paraId="6F22DD0F" w14:textId="62F3106B" w:rsidR="00151F59" w:rsidRPr="00D11A02" w:rsidRDefault="00151F59" w:rsidP="001C4CAC">
      <w:pPr>
        <w:spacing w:after="0" w:line="240" w:lineRule="auto"/>
        <w:rPr>
          <w:rFonts w:ascii="Arial" w:eastAsia="Arial" w:hAnsi="Arial" w:cs="Arial"/>
          <w:sz w:val="24"/>
          <w:szCs w:val="24"/>
          <w:u w:val="single"/>
        </w:rPr>
      </w:pPr>
      <w:r w:rsidRPr="00D11A02">
        <w:rPr>
          <w:rFonts w:ascii="Arial" w:eastAsia="Arial" w:hAnsi="Arial" w:cs="Arial"/>
          <w:sz w:val="24"/>
          <w:szCs w:val="24"/>
          <w:u w:val="single"/>
        </w:rPr>
        <w:t>Investors</w:t>
      </w:r>
    </w:p>
    <w:p w14:paraId="21C9D002" w14:textId="77777777" w:rsidR="00151F59" w:rsidRPr="00D11A02" w:rsidRDefault="00151F59" w:rsidP="001C4CAC">
      <w:pPr>
        <w:spacing w:after="0" w:line="240" w:lineRule="auto"/>
        <w:rPr>
          <w:rFonts w:ascii="Arial" w:eastAsia="Arial" w:hAnsi="Arial" w:cs="Arial"/>
          <w:sz w:val="24"/>
          <w:szCs w:val="24"/>
        </w:rPr>
      </w:pPr>
    </w:p>
    <w:p w14:paraId="2D23FAED" w14:textId="54E8C5D8" w:rsidR="005B31EA" w:rsidRDefault="001C4CAC" w:rsidP="001C4CAC">
      <w:pPr>
        <w:spacing w:after="0" w:line="240" w:lineRule="auto"/>
        <w:rPr>
          <w:rFonts w:ascii="Arial" w:eastAsia="Arial" w:hAnsi="Arial" w:cs="Arial"/>
          <w:sz w:val="24"/>
          <w:szCs w:val="24"/>
        </w:rPr>
      </w:pPr>
      <w:r w:rsidRPr="00D11A02">
        <w:rPr>
          <w:rFonts w:ascii="Arial" w:eastAsia="Arial" w:hAnsi="Arial" w:cs="Arial"/>
          <w:sz w:val="24"/>
          <w:szCs w:val="24"/>
        </w:rPr>
        <w:t>Evan Young</w:t>
      </w:r>
      <w:r w:rsidR="00151F59" w:rsidRPr="00D11A02">
        <w:rPr>
          <w:rFonts w:ascii="Arial" w:eastAsia="Arial" w:hAnsi="Arial" w:cs="Arial"/>
          <w:sz w:val="24"/>
          <w:szCs w:val="24"/>
        </w:rPr>
        <w:t xml:space="preserve"> +1-604-689-8765</w:t>
      </w:r>
    </w:p>
    <w:p w14:paraId="6CAD1A79" w14:textId="77777777" w:rsidR="00C704F5" w:rsidRDefault="00C704F5" w:rsidP="00151F59">
      <w:pPr>
        <w:spacing w:after="0" w:line="240" w:lineRule="auto"/>
        <w:rPr>
          <w:rFonts w:ascii="Arial" w:eastAsia="Arial" w:hAnsi="Arial" w:cs="Arial"/>
          <w:sz w:val="24"/>
          <w:szCs w:val="24"/>
        </w:rPr>
      </w:pPr>
    </w:p>
    <w:p w14:paraId="45DF2C60" w14:textId="45A882C2" w:rsidR="000E35EA" w:rsidRPr="00C704F5" w:rsidRDefault="000E35EA" w:rsidP="00151F59">
      <w:pPr>
        <w:spacing w:after="0" w:line="240" w:lineRule="auto"/>
        <w:rPr>
          <w:rFonts w:ascii="Arial" w:eastAsia="Arial" w:hAnsi="Arial" w:cs="Arial"/>
          <w:sz w:val="24"/>
          <w:szCs w:val="24"/>
        </w:rPr>
      </w:pPr>
      <w:r w:rsidRPr="00D11A02">
        <w:rPr>
          <w:rFonts w:ascii="Arial" w:eastAsia="Arial" w:hAnsi="Arial" w:cs="Arial"/>
          <w:b/>
          <w:sz w:val="26"/>
          <w:szCs w:val="26"/>
        </w:rPr>
        <w:t>Forward-looking statements</w:t>
      </w:r>
    </w:p>
    <w:p w14:paraId="4B1ADA1E" w14:textId="77777777" w:rsidR="00151F59" w:rsidRPr="00D11A02" w:rsidRDefault="00151F59" w:rsidP="00151F59">
      <w:pPr>
        <w:spacing w:after="0" w:line="240" w:lineRule="auto"/>
        <w:rPr>
          <w:rFonts w:ascii="Arial" w:eastAsia="Arial" w:hAnsi="Arial" w:cs="Arial"/>
          <w:b/>
          <w:sz w:val="26"/>
          <w:szCs w:val="26"/>
        </w:rPr>
      </w:pPr>
    </w:p>
    <w:p w14:paraId="0C94F8C6" w14:textId="2F867E64" w:rsidR="00B568A4" w:rsidRDefault="00B568A4" w:rsidP="001B0E28">
      <w:pPr>
        <w:pStyle w:val="BodyText"/>
        <w:spacing w:line="240" w:lineRule="auto"/>
        <w:jc w:val="left"/>
        <w:rPr>
          <w:rFonts w:ascii="Arial" w:hAnsi="Arial" w:cs="Arial"/>
          <w:sz w:val="22"/>
          <w:szCs w:val="22"/>
          <w:lang w:val="en-US" w:eastAsia="en-CA"/>
        </w:rPr>
      </w:pPr>
      <w:r w:rsidRPr="00B568A4">
        <w:rPr>
          <w:rFonts w:ascii="Arial" w:hAnsi="Arial" w:cs="Arial"/>
          <w:sz w:val="22"/>
          <w:szCs w:val="22"/>
          <w:lang w:val="en-US" w:eastAsia="en-CA"/>
        </w:rPr>
        <w:t>Certain statements in this release constitute “</w:t>
      </w:r>
      <w:r w:rsidRPr="00CF6B68">
        <w:rPr>
          <w:rFonts w:ascii="Arial" w:hAnsi="Arial" w:cs="Arial"/>
          <w:sz w:val="22"/>
          <w:szCs w:val="22"/>
          <w:lang w:val="en-US" w:eastAsia="en-CA"/>
        </w:rPr>
        <w:t>forward-looking statements” or “forward-looking information” within the meaning of applicable U.S. and Canadian s</w:t>
      </w:r>
      <w:r w:rsidRPr="00B568A4">
        <w:rPr>
          <w:rFonts w:ascii="Arial" w:hAnsi="Arial" w:cs="Arial"/>
          <w:sz w:val="22"/>
          <w:szCs w:val="22"/>
          <w:lang w:val="en-US" w:eastAsia="en-CA"/>
        </w:rPr>
        <w:t xml:space="preserve">ecurities laws. Such statements and information involve known and unknown risks, uncertainties and other factors that may cause the actual results, performance or achievements of the company, its projects, or industry results, to be materially different from any future results, performance or achievements expressed or implied by such forward-looking statements or information. Such statements can be identified </w:t>
      </w:r>
      <w:proofErr w:type="gramStart"/>
      <w:r w:rsidRPr="00B568A4">
        <w:rPr>
          <w:rFonts w:ascii="Arial" w:hAnsi="Arial" w:cs="Arial"/>
          <w:sz w:val="22"/>
          <w:szCs w:val="22"/>
          <w:lang w:val="en-US" w:eastAsia="en-CA"/>
        </w:rPr>
        <w:t>by the use of</w:t>
      </w:r>
      <w:proofErr w:type="gramEnd"/>
      <w:r w:rsidRPr="00B568A4">
        <w:rPr>
          <w:rFonts w:ascii="Arial" w:hAnsi="Arial" w:cs="Arial"/>
          <w:sz w:val="22"/>
          <w:szCs w:val="22"/>
          <w:lang w:val="en-US" w:eastAsia="en-CA"/>
        </w:rPr>
        <w:t xml:space="preserve"> words such as “may”, “would”, “could”, “will”, “intend”, “expect”, “believe”, “plan”, “anticipate”, “estimate”, “scheduled”, “forecast”, “predict” and other similar terminology, or state that certain actions, events or results “may”, “could”, “would”, “might” or “will” be taken, occur or be achieved. These statements reflect the company’s current expectations regarding future events, performance and results and speak only as of the date of this release.</w:t>
      </w:r>
    </w:p>
    <w:p w14:paraId="4415766F" w14:textId="77777777" w:rsidR="00B568A4" w:rsidRDefault="00B568A4" w:rsidP="001B0E28">
      <w:pPr>
        <w:pStyle w:val="BodyText"/>
        <w:spacing w:line="240" w:lineRule="auto"/>
        <w:jc w:val="left"/>
        <w:rPr>
          <w:rFonts w:ascii="Arial" w:hAnsi="Arial" w:cs="Arial"/>
          <w:sz w:val="22"/>
          <w:szCs w:val="22"/>
          <w:lang w:val="en-US" w:eastAsia="en-CA"/>
        </w:rPr>
      </w:pPr>
    </w:p>
    <w:p w14:paraId="52BD291E" w14:textId="484C08E2" w:rsidR="00B568A4" w:rsidRDefault="00B568A4" w:rsidP="001B0E28">
      <w:pPr>
        <w:pStyle w:val="BodyText"/>
        <w:spacing w:line="240" w:lineRule="auto"/>
        <w:jc w:val="left"/>
        <w:rPr>
          <w:rFonts w:ascii="Arial" w:hAnsi="Arial" w:cs="Arial"/>
          <w:sz w:val="22"/>
          <w:szCs w:val="22"/>
          <w:lang w:val="en-US" w:eastAsia="en-CA"/>
        </w:rPr>
      </w:pPr>
      <w:r w:rsidRPr="00B568A4">
        <w:rPr>
          <w:rFonts w:ascii="Arial" w:hAnsi="Arial" w:cs="Arial"/>
          <w:sz w:val="22"/>
          <w:szCs w:val="22"/>
          <w:lang w:val="en-US" w:eastAsia="en-CA"/>
        </w:rPr>
        <w:t xml:space="preserve">Such statements include without limitation </w:t>
      </w:r>
      <w:r w:rsidR="000E35EA" w:rsidRPr="00D11A02">
        <w:rPr>
          <w:rFonts w:ascii="Arial" w:hAnsi="Arial" w:cs="Arial"/>
          <w:sz w:val="22"/>
          <w:szCs w:val="22"/>
          <w:lang w:val="en-US" w:eastAsia="en-CA"/>
        </w:rPr>
        <w:t>statements regarding</w:t>
      </w:r>
      <w:r>
        <w:rPr>
          <w:rFonts w:ascii="Arial" w:hAnsi="Arial" w:cs="Arial"/>
          <w:sz w:val="22"/>
          <w:szCs w:val="22"/>
          <w:lang w:val="en-US" w:eastAsia="en-CA"/>
        </w:rPr>
        <w:t>:</w:t>
      </w:r>
      <w:r w:rsidR="000E35EA" w:rsidRPr="00D11A02">
        <w:rPr>
          <w:rFonts w:ascii="Arial" w:hAnsi="Arial" w:cs="Arial"/>
          <w:sz w:val="22"/>
          <w:szCs w:val="22"/>
          <w:lang w:val="en-US" w:eastAsia="en-CA"/>
        </w:rPr>
        <w:t xml:space="preserve"> </w:t>
      </w:r>
      <w:r w:rsidR="007C0FB0">
        <w:rPr>
          <w:rFonts w:ascii="Arial" w:hAnsi="Arial" w:cs="Arial"/>
          <w:sz w:val="22"/>
          <w:szCs w:val="22"/>
          <w:lang w:val="en-US" w:eastAsia="en-CA"/>
        </w:rPr>
        <w:t xml:space="preserve">(i) </w:t>
      </w:r>
      <w:r w:rsidR="007C0FB0" w:rsidRPr="007C0FB0">
        <w:rPr>
          <w:rFonts w:ascii="Arial" w:hAnsi="Arial" w:cs="Arial"/>
          <w:sz w:val="22"/>
          <w:szCs w:val="22"/>
          <w:lang w:val="en-US" w:eastAsia="en-CA"/>
        </w:rPr>
        <w:t>Ivanhoe Electric’s vision is for a green, low-impact, underground mine that will produce ultra-low carbon emissions copper</w:t>
      </w:r>
      <w:r w:rsidR="007C0FB0">
        <w:rPr>
          <w:rFonts w:ascii="Arial" w:hAnsi="Arial" w:cs="Arial"/>
          <w:sz w:val="22"/>
          <w:szCs w:val="22"/>
          <w:lang w:val="en-US" w:eastAsia="en-CA"/>
        </w:rPr>
        <w:t xml:space="preserve">; (ii) </w:t>
      </w:r>
      <w:r w:rsidR="00BF43C5">
        <w:rPr>
          <w:rFonts w:ascii="Arial" w:hAnsi="Arial" w:cs="Arial"/>
          <w:sz w:val="22"/>
          <w:szCs w:val="22"/>
          <w:lang w:val="en-US" w:eastAsia="en-CA"/>
        </w:rPr>
        <w:t>a</w:t>
      </w:r>
      <w:r w:rsidR="00BF43C5" w:rsidRPr="00BF43C5">
        <w:rPr>
          <w:rFonts w:ascii="Arial" w:hAnsi="Arial" w:cs="Arial"/>
          <w:sz w:val="22"/>
          <w:szCs w:val="22"/>
          <w:lang w:val="en-US" w:eastAsia="en-CA"/>
        </w:rPr>
        <w:t>ny</w:t>
      </w:r>
      <w:r>
        <w:rPr>
          <w:rFonts w:ascii="Arial" w:hAnsi="Arial" w:cs="Arial"/>
          <w:sz w:val="22"/>
          <w:szCs w:val="22"/>
          <w:lang w:val="en-US" w:eastAsia="en-CA"/>
        </w:rPr>
        <w:t xml:space="preserve"> future</w:t>
      </w:r>
      <w:r w:rsidR="00BF43C5" w:rsidRPr="00BF43C5">
        <w:rPr>
          <w:rFonts w:ascii="Arial" w:hAnsi="Arial" w:cs="Arial"/>
          <w:sz w:val="22"/>
          <w:szCs w:val="22"/>
          <w:lang w:val="en-US" w:eastAsia="en-CA"/>
        </w:rPr>
        <w:t xml:space="preserve"> mining operations will have a minimal surface footprint and be powered by solar energy, with potential for vanadium-redox battery storage provided by Ivanhoe Electric’s 90%-owned private subsidiary, VRB Energy</w:t>
      </w:r>
      <w:r w:rsidR="00BF43C5">
        <w:rPr>
          <w:rFonts w:ascii="Arial" w:hAnsi="Arial" w:cs="Arial"/>
          <w:sz w:val="22"/>
          <w:szCs w:val="22"/>
          <w:lang w:val="en-US" w:eastAsia="en-CA"/>
        </w:rPr>
        <w:t xml:space="preserve">; (iii) results and timing of data processing by Computational Geosciences; (iv) the provision of </w:t>
      </w:r>
      <w:r w:rsidR="00BF43C5" w:rsidRPr="00BF43C5">
        <w:rPr>
          <w:rFonts w:ascii="Arial" w:hAnsi="Arial" w:cs="Arial"/>
          <w:sz w:val="22"/>
          <w:szCs w:val="22"/>
          <w:lang w:val="en-US" w:eastAsia="en-CA"/>
        </w:rPr>
        <w:t>updated independent mineral resource estimate calculations after the completion of the current drilling program</w:t>
      </w:r>
      <w:r w:rsidR="00BF43C5">
        <w:rPr>
          <w:rFonts w:ascii="Arial" w:hAnsi="Arial" w:cs="Arial"/>
          <w:sz w:val="22"/>
          <w:szCs w:val="22"/>
          <w:lang w:val="en-US" w:eastAsia="en-CA"/>
        </w:rPr>
        <w:t xml:space="preserve">; (v) </w:t>
      </w:r>
      <w:r w:rsidR="00BF43C5" w:rsidRPr="00BF43C5">
        <w:rPr>
          <w:rFonts w:ascii="Arial" w:hAnsi="Arial" w:cs="Arial"/>
          <w:sz w:val="22"/>
          <w:szCs w:val="22"/>
          <w:lang w:val="en-US" w:eastAsia="en-CA"/>
        </w:rPr>
        <w:t>the newly completed 3D survey will identify several untested areas for exploration drilling</w:t>
      </w:r>
      <w:r w:rsidR="00BF43C5">
        <w:rPr>
          <w:rFonts w:ascii="Arial" w:hAnsi="Arial" w:cs="Arial"/>
          <w:sz w:val="22"/>
          <w:szCs w:val="22"/>
          <w:lang w:val="en-US" w:eastAsia="en-CA"/>
        </w:rPr>
        <w:t xml:space="preserve">; (vi) </w:t>
      </w:r>
      <w:r w:rsidR="00BF43C5" w:rsidRPr="00BF43C5">
        <w:rPr>
          <w:rFonts w:ascii="Arial" w:hAnsi="Arial" w:cs="Arial"/>
          <w:sz w:val="22"/>
          <w:szCs w:val="22"/>
          <w:lang w:val="en-US" w:eastAsia="en-CA"/>
        </w:rPr>
        <w:t>any mine development will have low water and energy requirements when compared to other major copper projects</w:t>
      </w:r>
      <w:r w:rsidR="00BF43C5">
        <w:rPr>
          <w:rFonts w:ascii="Arial" w:hAnsi="Arial" w:cs="Arial"/>
          <w:sz w:val="22"/>
          <w:szCs w:val="22"/>
          <w:lang w:val="en-US" w:eastAsia="en-CA"/>
        </w:rPr>
        <w:t xml:space="preserve">, and the outcome of the company’s </w:t>
      </w:r>
      <w:r w:rsidR="00BF43C5" w:rsidRPr="00BF43C5">
        <w:rPr>
          <w:rFonts w:ascii="Arial" w:hAnsi="Arial" w:cs="Arial"/>
          <w:sz w:val="22"/>
          <w:szCs w:val="22"/>
          <w:lang w:val="en-US" w:eastAsia="en-CA"/>
        </w:rPr>
        <w:t>water resources strategy that will provide long-term benefits for the region</w:t>
      </w:r>
      <w:r w:rsidR="00BF43C5">
        <w:rPr>
          <w:rFonts w:ascii="Arial" w:hAnsi="Arial" w:cs="Arial"/>
          <w:sz w:val="22"/>
          <w:szCs w:val="22"/>
          <w:lang w:val="en-US" w:eastAsia="en-CA"/>
        </w:rPr>
        <w:t>; and</w:t>
      </w:r>
      <w:r>
        <w:rPr>
          <w:rFonts w:ascii="Arial" w:hAnsi="Arial" w:cs="Arial"/>
          <w:sz w:val="22"/>
          <w:szCs w:val="22"/>
          <w:lang w:val="en-US" w:eastAsia="en-CA"/>
        </w:rPr>
        <w:t xml:space="preserve"> that</w:t>
      </w:r>
      <w:r w:rsidR="00BF43C5">
        <w:rPr>
          <w:rFonts w:ascii="Arial" w:hAnsi="Arial" w:cs="Arial"/>
          <w:sz w:val="22"/>
          <w:szCs w:val="22"/>
          <w:lang w:val="en-US" w:eastAsia="en-CA"/>
        </w:rPr>
        <w:t xml:space="preserve"> (vii) </w:t>
      </w:r>
      <w:r w:rsidR="00BF43C5" w:rsidRPr="00BF43C5">
        <w:rPr>
          <w:rFonts w:ascii="Arial" w:hAnsi="Arial" w:cs="Arial"/>
          <w:sz w:val="22"/>
          <w:szCs w:val="22"/>
          <w:lang w:val="en-US" w:eastAsia="en-CA"/>
        </w:rPr>
        <w:t>the newly completed 3D Typhoon™ survey will identify several untested areas for exploration drilling</w:t>
      </w:r>
      <w:r>
        <w:rPr>
          <w:rFonts w:ascii="Arial" w:hAnsi="Arial" w:cs="Arial"/>
          <w:sz w:val="22"/>
          <w:szCs w:val="22"/>
          <w:lang w:val="en-US" w:eastAsia="en-CA"/>
        </w:rPr>
        <w:t>.</w:t>
      </w:r>
    </w:p>
    <w:p w14:paraId="137F06C4" w14:textId="77777777" w:rsidR="00B568A4" w:rsidRDefault="00B568A4" w:rsidP="00B568A4">
      <w:pPr>
        <w:pStyle w:val="BodyText"/>
        <w:spacing w:line="240" w:lineRule="auto"/>
        <w:jc w:val="left"/>
        <w:rPr>
          <w:rFonts w:ascii="Arial" w:hAnsi="Arial" w:cs="Arial"/>
          <w:sz w:val="22"/>
          <w:szCs w:val="22"/>
          <w:lang w:val="en-US" w:eastAsia="en-CA"/>
        </w:rPr>
      </w:pPr>
    </w:p>
    <w:p w14:paraId="0B335450" w14:textId="72B6B95B" w:rsidR="00B568A4" w:rsidRPr="00B568A4" w:rsidRDefault="00B568A4" w:rsidP="00B568A4">
      <w:pPr>
        <w:pStyle w:val="BodyText"/>
        <w:spacing w:line="240" w:lineRule="auto"/>
        <w:jc w:val="left"/>
        <w:rPr>
          <w:rFonts w:ascii="Arial" w:hAnsi="Arial" w:cs="Arial"/>
          <w:sz w:val="22"/>
          <w:szCs w:val="22"/>
          <w:lang w:val="en-US"/>
        </w:rPr>
      </w:pPr>
      <w:r w:rsidRPr="00B568A4">
        <w:rPr>
          <w:rFonts w:ascii="Arial" w:hAnsi="Arial" w:cs="Arial"/>
          <w:sz w:val="22"/>
          <w:szCs w:val="22"/>
          <w:lang w:val="en-US"/>
        </w:rPr>
        <w:t xml:space="preserve">This news release also contains references to estimates of </w:t>
      </w:r>
      <w:r>
        <w:rPr>
          <w:rFonts w:ascii="Arial" w:hAnsi="Arial" w:cs="Arial"/>
          <w:sz w:val="22"/>
          <w:szCs w:val="22"/>
          <w:lang w:val="en-US"/>
        </w:rPr>
        <w:t>m</w:t>
      </w:r>
      <w:r w:rsidRPr="00B568A4">
        <w:rPr>
          <w:rFonts w:ascii="Arial" w:hAnsi="Arial" w:cs="Arial"/>
          <w:sz w:val="22"/>
          <w:szCs w:val="22"/>
          <w:lang w:val="en-US"/>
        </w:rPr>
        <w:t xml:space="preserve">ineral </w:t>
      </w:r>
      <w:r>
        <w:rPr>
          <w:rFonts w:ascii="Arial" w:hAnsi="Arial" w:cs="Arial"/>
          <w:sz w:val="22"/>
          <w:szCs w:val="22"/>
          <w:lang w:val="en-US"/>
        </w:rPr>
        <w:t>r</w:t>
      </w:r>
      <w:r w:rsidRPr="00B568A4">
        <w:rPr>
          <w:rFonts w:ascii="Arial" w:hAnsi="Arial" w:cs="Arial"/>
          <w:sz w:val="22"/>
          <w:szCs w:val="22"/>
          <w:lang w:val="en-US"/>
        </w:rPr>
        <w:t xml:space="preserve">esources. The estimation of </w:t>
      </w:r>
      <w:r>
        <w:rPr>
          <w:rFonts w:ascii="Arial" w:hAnsi="Arial" w:cs="Arial"/>
          <w:sz w:val="22"/>
          <w:szCs w:val="22"/>
          <w:lang w:val="en-US"/>
        </w:rPr>
        <w:t>m</w:t>
      </w:r>
      <w:r w:rsidRPr="00B568A4">
        <w:rPr>
          <w:rFonts w:ascii="Arial" w:hAnsi="Arial" w:cs="Arial"/>
          <w:sz w:val="22"/>
          <w:szCs w:val="22"/>
          <w:lang w:val="en-US"/>
        </w:rPr>
        <w:t xml:space="preserve">ineral </w:t>
      </w:r>
      <w:r>
        <w:rPr>
          <w:rFonts w:ascii="Arial" w:hAnsi="Arial" w:cs="Arial"/>
          <w:sz w:val="22"/>
          <w:szCs w:val="22"/>
          <w:lang w:val="en-US"/>
        </w:rPr>
        <w:t>r</w:t>
      </w:r>
      <w:r w:rsidRPr="00B568A4">
        <w:rPr>
          <w:rFonts w:ascii="Arial" w:hAnsi="Arial" w:cs="Arial"/>
          <w:sz w:val="22"/>
          <w:szCs w:val="22"/>
          <w:lang w:val="en-US"/>
        </w:rPr>
        <w:t xml:space="preserve">esources is inherently uncertain and involves subjective judgments about many relevant factors. Mineral </w:t>
      </w:r>
      <w:r>
        <w:rPr>
          <w:rFonts w:ascii="Arial" w:hAnsi="Arial" w:cs="Arial"/>
          <w:sz w:val="22"/>
          <w:szCs w:val="22"/>
          <w:lang w:val="en-US"/>
        </w:rPr>
        <w:t>r</w:t>
      </w:r>
      <w:r w:rsidRPr="00B568A4">
        <w:rPr>
          <w:rFonts w:ascii="Arial" w:hAnsi="Arial" w:cs="Arial"/>
          <w:sz w:val="22"/>
          <w:szCs w:val="22"/>
          <w:lang w:val="en-US"/>
        </w:rPr>
        <w:t xml:space="preserve">esources that are not </w:t>
      </w:r>
      <w:r>
        <w:rPr>
          <w:rFonts w:ascii="Arial" w:hAnsi="Arial" w:cs="Arial"/>
          <w:sz w:val="22"/>
          <w:szCs w:val="22"/>
          <w:lang w:val="en-US"/>
        </w:rPr>
        <w:t>m</w:t>
      </w:r>
      <w:r w:rsidRPr="00B568A4">
        <w:rPr>
          <w:rFonts w:ascii="Arial" w:hAnsi="Arial" w:cs="Arial"/>
          <w:sz w:val="22"/>
          <w:szCs w:val="22"/>
          <w:lang w:val="en-US"/>
        </w:rPr>
        <w:t xml:space="preserve">ineral </w:t>
      </w:r>
      <w:r>
        <w:rPr>
          <w:rFonts w:ascii="Arial" w:hAnsi="Arial" w:cs="Arial"/>
          <w:sz w:val="22"/>
          <w:szCs w:val="22"/>
          <w:lang w:val="en-US"/>
        </w:rPr>
        <w:t>r</w:t>
      </w:r>
      <w:r w:rsidRPr="00B568A4">
        <w:rPr>
          <w:rFonts w:ascii="Arial" w:hAnsi="Arial" w:cs="Arial"/>
          <w:sz w:val="22"/>
          <w:szCs w:val="22"/>
          <w:lang w:val="en-US"/>
        </w:rPr>
        <w:t xml:space="preserve">eserves do not have demonstrated economic viability. The accuracy of any such estimates is a function of the quantity and quality of available data, and of the assumptions made and judgments used in engineering and geological interpretation (including estimated future production from the company’s projects, the anticipated tonnages and grades that will be mined and the estimated level of recovery that will be realized), which may prove to be unreliable and depend, to a certain extent, upon the analysis of drilling results and statistical inferences that ultimately may prove to be inaccurate. Mineral </w:t>
      </w:r>
      <w:r>
        <w:rPr>
          <w:rFonts w:ascii="Arial" w:hAnsi="Arial" w:cs="Arial"/>
          <w:sz w:val="22"/>
          <w:szCs w:val="22"/>
          <w:lang w:val="en-US"/>
        </w:rPr>
        <w:t>r</w:t>
      </w:r>
      <w:r w:rsidRPr="00B568A4">
        <w:rPr>
          <w:rFonts w:ascii="Arial" w:hAnsi="Arial" w:cs="Arial"/>
          <w:sz w:val="22"/>
          <w:szCs w:val="22"/>
          <w:lang w:val="en-US"/>
        </w:rPr>
        <w:t xml:space="preserve">esource estimates may have to be re-estimated based on: (i) fluctuations in </w:t>
      </w:r>
      <w:r>
        <w:rPr>
          <w:rFonts w:ascii="Arial" w:hAnsi="Arial" w:cs="Arial"/>
          <w:sz w:val="22"/>
          <w:szCs w:val="22"/>
          <w:lang w:val="en-US"/>
        </w:rPr>
        <w:t xml:space="preserve">the price of </w:t>
      </w:r>
      <w:r w:rsidRPr="00B568A4">
        <w:rPr>
          <w:rFonts w:ascii="Arial" w:hAnsi="Arial" w:cs="Arial"/>
          <w:sz w:val="22"/>
          <w:szCs w:val="22"/>
          <w:lang w:val="en-US"/>
        </w:rPr>
        <w:t>copper</w:t>
      </w:r>
      <w:r>
        <w:rPr>
          <w:rFonts w:ascii="Arial" w:hAnsi="Arial" w:cs="Arial"/>
          <w:sz w:val="22"/>
          <w:szCs w:val="22"/>
          <w:lang w:val="en-US"/>
        </w:rPr>
        <w:t xml:space="preserve"> or other minerals</w:t>
      </w:r>
      <w:r w:rsidRPr="00B568A4">
        <w:rPr>
          <w:rFonts w:ascii="Arial" w:hAnsi="Arial" w:cs="Arial"/>
          <w:sz w:val="22"/>
          <w:szCs w:val="22"/>
          <w:lang w:val="en-US"/>
        </w:rPr>
        <w:t>; (ii) results of drilling; (iii) metallurgical testing and other studies; (iv) proposed mining operations, including dilution; (v) the evaluation of mine plans subsequent to the date of any estimates and/or changes in mine plans; (vi) the possible failure to receive required permits, approvals and licences; and (vii) changes in law or regulation.</w:t>
      </w:r>
    </w:p>
    <w:p w14:paraId="4B40E431" w14:textId="77777777" w:rsidR="00B568A4" w:rsidRDefault="00B568A4" w:rsidP="001B0E28">
      <w:pPr>
        <w:pStyle w:val="BodyText"/>
        <w:spacing w:line="240" w:lineRule="auto"/>
        <w:jc w:val="left"/>
        <w:rPr>
          <w:rFonts w:ascii="Arial" w:hAnsi="Arial" w:cs="Arial"/>
          <w:sz w:val="22"/>
          <w:szCs w:val="22"/>
          <w:lang w:val="en-US" w:eastAsia="en-CA"/>
        </w:rPr>
      </w:pPr>
    </w:p>
    <w:p w14:paraId="2919AD90" w14:textId="66D8C5A9" w:rsidR="00522CE6" w:rsidRDefault="000E35EA" w:rsidP="001B0E28">
      <w:pPr>
        <w:pStyle w:val="BodyText"/>
        <w:spacing w:line="240" w:lineRule="auto"/>
        <w:jc w:val="left"/>
        <w:rPr>
          <w:rFonts w:ascii="Arial" w:hAnsi="Arial" w:cs="Arial"/>
          <w:sz w:val="22"/>
          <w:szCs w:val="22"/>
          <w:lang w:val="en-US" w:eastAsia="en-CA"/>
        </w:rPr>
      </w:pPr>
      <w:r w:rsidRPr="00D11A02">
        <w:rPr>
          <w:rFonts w:ascii="Arial" w:hAnsi="Arial" w:cs="Arial"/>
          <w:sz w:val="22"/>
          <w:szCs w:val="22"/>
          <w:lang w:val="en-US" w:eastAsia="en-CA"/>
        </w:rPr>
        <w:t xml:space="preserve">Forward-looking statements are based on management’s beliefs and assumptions and on information currently available to management. Such statements are subject to </w:t>
      </w:r>
      <w:r w:rsidR="00522CE6">
        <w:rPr>
          <w:rFonts w:ascii="Arial" w:hAnsi="Arial" w:cs="Arial"/>
          <w:sz w:val="22"/>
          <w:szCs w:val="22"/>
          <w:lang w:val="en-US" w:eastAsia="en-CA"/>
        </w:rPr>
        <w:t xml:space="preserve">significant </w:t>
      </w:r>
      <w:r w:rsidRPr="00D11A02">
        <w:rPr>
          <w:rFonts w:ascii="Arial" w:hAnsi="Arial" w:cs="Arial"/>
          <w:sz w:val="22"/>
          <w:szCs w:val="22"/>
          <w:lang w:val="en-US" w:eastAsia="en-CA"/>
        </w:rPr>
        <w:t xml:space="preserve">risks and uncertainties, </w:t>
      </w:r>
      <w:r w:rsidRPr="00D11A02">
        <w:rPr>
          <w:rFonts w:ascii="Arial" w:hAnsi="Arial" w:cs="Arial"/>
          <w:sz w:val="22"/>
          <w:szCs w:val="22"/>
          <w:lang w:val="en-US" w:eastAsia="en-CA"/>
        </w:rPr>
        <w:lastRenderedPageBreak/>
        <w:t>and actual results may differ materially from those expressed or implied in the forward-looking statements due to various factors, including changes in the prices of copper or other metals Ivanhoe Electric is exploring for</w:t>
      </w:r>
      <w:r w:rsidR="00522CE6">
        <w:rPr>
          <w:rFonts w:ascii="Arial" w:hAnsi="Arial" w:cs="Arial"/>
          <w:sz w:val="22"/>
          <w:szCs w:val="22"/>
          <w:lang w:val="en-US" w:eastAsia="en-CA"/>
        </w:rPr>
        <w:t xml:space="preserve">; </w:t>
      </w:r>
      <w:r w:rsidRPr="00D11A02">
        <w:rPr>
          <w:rFonts w:ascii="Arial" w:hAnsi="Arial" w:cs="Arial"/>
          <w:sz w:val="22"/>
          <w:szCs w:val="22"/>
          <w:lang w:val="en-US" w:eastAsia="en-CA"/>
        </w:rPr>
        <w:t>the results of exploration activities</w:t>
      </w:r>
      <w:r w:rsidR="00522CE6">
        <w:rPr>
          <w:rFonts w:ascii="Arial" w:hAnsi="Arial" w:cs="Arial"/>
          <w:sz w:val="22"/>
          <w:szCs w:val="22"/>
          <w:lang w:val="en-US" w:eastAsia="en-CA"/>
        </w:rPr>
        <w:t xml:space="preserve"> and/or </w:t>
      </w:r>
      <w:r w:rsidR="00522CE6" w:rsidRPr="00522CE6">
        <w:rPr>
          <w:rFonts w:ascii="Arial" w:hAnsi="Arial" w:cs="Arial"/>
          <w:sz w:val="22"/>
          <w:szCs w:val="22"/>
          <w:lang w:val="en-US" w:eastAsia="en-CA"/>
        </w:rPr>
        <w:t>the failure of exploration programs or studies to deliver anticipated results or results that would justify and support continued exploration, studies, development or operations</w:t>
      </w:r>
      <w:r w:rsidR="00522CE6">
        <w:rPr>
          <w:rFonts w:ascii="Arial" w:hAnsi="Arial" w:cs="Arial"/>
          <w:sz w:val="22"/>
          <w:szCs w:val="22"/>
          <w:lang w:val="en-US" w:eastAsia="en-CA"/>
        </w:rPr>
        <w:t>; the</w:t>
      </w:r>
      <w:r w:rsidRPr="00D11A02">
        <w:rPr>
          <w:rFonts w:ascii="Arial" w:hAnsi="Arial" w:cs="Arial"/>
          <w:sz w:val="22"/>
          <w:szCs w:val="22"/>
          <w:lang w:val="en-US" w:eastAsia="en-CA"/>
        </w:rPr>
        <w:t xml:space="preserve"> significant risk and hazards associated with </w:t>
      </w:r>
      <w:r w:rsidR="00522CE6">
        <w:rPr>
          <w:rFonts w:ascii="Arial" w:hAnsi="Arial" w:cs="Arial"/>
          <w:sz w:val="22"/>
          <w:szCs w:val="22"/>
          <w:lang w:val="en-US" w:eastAsia="en-CA"/>
        </w:rPr>
        <w:t xml:space="preserve">any future </w:t>
      </w:r>
      <w:r w:rsidRPr="00D11A02">
        <w:rPr>
          <w:rFonts w:ascii="Arial" w:hAnsi="Arial" w:cs="Arial"/>
          <w:sz w:val="22"/>
          <w:szCs w:val="22"/>
          <w:lang w:val="en-US" w:eastAsia="en-CA"/>
        </w:rPr>
        <w:t xml:space="preserve">mining operations, extensive regulation by the U.S. government as well as local governments; </w:t>
      </w:r>
      <w:r w:rsidR="00522CE6" w:rsidRPr="00522CE6">
        <w:rPr>
          <w:rFonts w:ascii="Arial" w:hAnsi="Arial" w:cs="Arial"/>
          <w:sz w:val="22"/>
          <w:szCs w:val="22"/>
          <w:lang w:val="en-US" w:eastAsia="en-CA"/>
        </w:rPr>
        <w:t>changes in laws, rules or regulations, or their enforcement by applicable authorities; the failure of parties to contracts with the company to perform as agreed</w:t>
      </w:r>
      <w:r w:rsidR="00522CE6">
        <w:rPr>
          <w:rFonts w:ascii="Arial" w:hAnsi="Arial" w:cs="Arial"/>
          <w:sz w:val="22"/>
          <w:szCs w:val="22"/>
          <w:lang w:val="en-US" w:eastAsia="en-CA"/>
        </w:rPr>
        <w:t>; and</w:t>
      </w:r>
      <w:r w:rsidR="00522CE6" w:rsidRPr="00522CE6">
        <w:rPr>
          <w:rFonts w:ascii="Arial" w:hAnsi="Arial" w:cs="Arial"/>
          <w:sz w:val="22"/>
          <w:szCs w:val="22"/>
          <w:lang w:val="en-US" w:eastAsia="en-CA"/>
        </w:rPr>
        <w:t xml:space="preserve"> </w:t>
      </w:r>
      <w:r w:rsidRPr="00D11A02">
        <w:rPr>
          <w:rFonts w:ascii="Arial" w:hAnsi="Arial" w:cs="Arial"/>
          <w:sz w:val="22"/>
          <w:szCs w:val="22"/>
          <w:lang w:val="en-US" w:eastAsia="en-CA"/>
        </w:rPr>
        <w:t xml:space="preserve">the impact of political, economic and other uncertainties associated with operating in foreign countries, and the impact of the COVID-19 pandemic and the global economy. These factors should not be construed as exhaustive and should be read in conjunction with the other cautionary statements described in Ivanhoe Electric’s registration statement on Form S-1, as amended, filed with the U.S. Securities and Exchange Commission and base PREP prospectus filed with Canadian securities commissions. </w:t>
      </w:r>
      <w:r w:rsidRPr="00DB3116">
        <w:rPr>
          <w:rFonts w:ascii="Arial" w:hAnsi="Arial" w:cs="Arial"/>
          <w:sz w:val="22"/>
          <w:szCs w:val="22"/>
          <w:lang w:val="en-US" w:eastAsia="en-CA"/>
        </w:rPr>
        <w:t xml:space="preserve"> </w:t>
      </w:r>
    </w:p>
    <w:p w14:paraId="600C91DD" w14:textId="77777777" w:rsidR="00522CE6" w:rsidRDefault="00522CE6" w:rsidP="001B0E28">
      <w:pPr>
        <w:pStyle w:val="BodyText"/>
        <w:spacing w:line="240" w:lineRule="auto"/>
        <w:jc w:val="left"/>
        <w:rPr>
          <w:rFonts w:ascii="Arial" w:hAnsi="Arial" w:cs="Arial"/>
          <w:sz w:val="22"/>
          <w:szCs w:val="22"/>
          <w:lang w:val="en-US" w:eastAsia="en-CA"/>
        </w:rPr>
      </w:pPr>
    </w:p>
    <w:p w14:paraId="41110D94" w14:textId="2523C787" w:rsidR="00B568A4" w:rsidRDefault="000E35EA" w:rsidP="00B568A4">
      <w:pPr>
        <w:pStyle w:val="BodyText"/>
        <w:spacing w:line="240" w:lineRule="auto"/>
        <w:jc w:val="left"/>
        <w:rPr>
          <w:rFonts w:ascii="Arial" w:hAnsi="Arial" w:cs="Arial"/>
          <w:sz w:val="22"/>
          <w:szCs w:val="22"/>
          <w:lang w:val="en-US" w:eastAsia="en-CA"/>
        </w:rPr>
      </w:pPr>
      <w:r w:rsidRPr="00DB3116">
        <w:rPr>
          <w:rFonts w:ascii="Arial" w:hAnsi="Arial" w:cs="Arial"/>
          <w:sz w:val="22"/>
          <w:szCs w:val="22"/>
          <w:lang w:val="en-US" w:eastAsia="en-CA"/>
        </w:rPr>
        <w:t xml:space="preserve">No assurance can be given that such future results will be achieved. Forward-looking statements speak only as of the date of this press release. </w:t>
      </w:r>
      <w:r w:rsidR="00522CE6">
        <w:rPr>
          <w:rFonts w:ascii="Arial" w:hAnsi="Arial" w:cs="Arial"/>
          <w:sz w:val="22"/>
          <w:szCs w:val="22"/>
          <w:lang w:val="en-US" w:eastAsia="en-CA"/>
        </w:rPr>
        <w:t>Ivanhoe Electric</w:t>
      </w:r>
      <w:r w:rsidR="00522CE6" w:rsidRPr="00DB3116">
        <w:rPr>
          <w:rFonts w:ascii="Arial" w:hAnsi="Arial" w:cs="Arial"/>
          <w:sz w:val="22"/>
          <w:szCs w:val="22"/>
          <w:lang w:val="en-US" w:eastAsia="en-CA"/>
        </w:rPr>
        <w:t xml:space="preserve"> </w:t>
      </w:r>
      <w:r w:rsidRPr="00DB3116">
        <w:rPr>
          <w:rFonts w:ascii="Arial" w:hAnsi="Arial" w:cs="Arial"/>
          <w:sz w:val="22"/>
          <w:szCs w:val="22"/>
          <w:lang w:val="en-US" w:eastAsia="en-CA"/>
        </w:rPr>
        <w:t>caution</w:t>
      </w:r>
      <w:r w:rsidR="00522CE6">
        <w:rPr>
          <w:rFonts w:ascii="Arial" w:hAnsi="Arial" w:cs="Arial"/>
          <w:sz w:val="22"/>
          <w:szCs w:val="22"/>
          <w:lang w:val="en-US" w:eastAsia="en-CA"/>
        </w:rPr>
        <w:t>s</w:t>
      </w:r>
      <w:r w:rsidRPr="00DB3116">
        <w:rPr>
          <w:rFonts w:ascii="Arial" w:hAnsi="Arial" w:cs="Arial"/>
          <w:sz w:val="22"/>
          <w:szCs w:val="22"/>
          <w:lang w:val="en-US" w:eastAsia="en-CA"/>
        </w:rPr>
        <w:t xml:space="preserve"> you not to place undue reliance on these forward-looking statements.</w:t>
      </w:r>
      <w:r w:rsidR="001B0E28" w:rsidRPr="00DB3116" w:rsidDel="001B0E28">
        <w:rPr>
          <w:rFonts w:ascii="Arial" w:hAnsi="Arial" w:cs="Arial"/>
          <w:sz w:val="22"/>
          <w:szCs w:val="22"/>
          <w:lang w:val="en-US" w:eastAsia="en-CA"/>
        </w:rPr>
        <w:t xml:space="preserve"> </w:t>
      </w:r>
      <w:r w:rsidR="00B568A4" w:rsidRPr="00B568A4">
        <w:rPr>
          <w:rFonts w:ascii="Arial" w:hAnsi="Arial" w:cs="Arial"/>
          <w:sz w:val="22"/>
          <w:szCs w:val="22"/>
          <w:lang w:val="en-US" w:eastAsia="en-CA"/>
        </w:rPr>
        <w:t>Subject to applicable securities laws, the company does not assume any obligation to update or revise the forward-looking statements contained herein to reflect events or circumstances occurring after the date of this release</w:t>
      </w:r>
      <w:r w:rsidR="00522CE6">
        <w:rPr>
          <w:rFonts w:ascii="Arial" w:hAnsi="Arial" w:cs="Arial"/>
          <w:sz w:val="22"/>
          <w:szCs w:val="22"/>
          <w:lang w:val="en-US" w:eastAsia="en-CA"/>
        </w:rPr>
        <w:t xml:space="preserve">, and Ivanhoe Electric expressly disclaims any requirement to do so. </w:t>
      </w:r>
    </w:p>
    <w:p w14:paraId="487E1109" w14:textId="4DB34AD6" w:rsidR="00B568A4" w:rsidRPr="00B568A4" w:rsidRDefault="00B568A4" w:rsidP="00B568A4">
      <w:pPr>
        <w:pStyle w:val="BodyText"/>
        <w:spacing w:line="240" w:lineRule="auto"/>
        <w:jc w:val="left"/>
        <w:rPr>
          <w:rFonts w:ascii="Arial" w:hAnsi="Arial" w:cs="Arial"/>
          <w:sz w:val="22"/>
          <w:szCs w:val="22"/>
          <w:lang w:val="en-US"/>
        </w:rPr>
      </w:pPr>
    </w:p>
    <w:sectPr w:rsidR="00B568A4" w:rsidRPr="00B568A4" w:rsidSect="006B2813">
      <w:headerReference w:type="even" r:id="rId30"/>
      <w:headerReference w:type="default" r:id="rId31"/>
      <w:footerReference w:type="default" r:id="rId32"/>
      <w:headerReference w:type="first" r:id="rId33"/>
      <w:footerReference w:type="first" r:id="rId34"/>
      <w:pgSz w:w="12240" w:h="15840"/>
      <w:pgMar w:top="1440" w:right="1080" w:bottom="1440" w:left="1080"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AF8E2A" w14:textId="77777777" w:rsidR="007313C0" w:rsidRDefault="007313C0">
      <w:pPr>
        <w:spacing w:after="0" w:line="240" w:lineRule="auto"/>
      </w:pPr>
      <w:r>
        <w:separator/>
      </w:r>
    </w:p>
  </w:endnote>
  <w:endnote w:type="continuationSeparator" w:id="0">
    <w:p w14:paraId="34EB5C69" w14:textId="77777777" w:rsidR="007313C0" w:rsidRDefault="007313C0">
      <w:pPr>
        <w:spacing w:after="0" w:line="240" w:lineRule="auto"/>
      </w:pPr>
      <w:r>
        <w:continuationSeparator/>
      </w:r>
    </w:p>
  </w:endnote>
  <w:endnote w:type="continuationNotice" w:id="1">
    <w:p w14:paraId="22C97BFE" w14:textId="77777777" w:rsidR="007313C0" w:rsidRDefault="007313C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3A884" w14:textId="2A061694" w:rsidR="00450F6E" w:rsidRDefault="006B2813">
    <w:pPr>
      <w:pBdr>
        <w:top w:val="nil"/>
        <w:left w:val="nil"/>
        <w:bottom w:val="nil"/>
        <w:right w:val="nil"/>
        <w:between w:val="nil"/>
      </w:pBdr>
      <w:tabs>
        <w:tab w:val="center" w:pos="4680"/>
        <w:tab w:val="right" w:pos="9360"/>
      </w:tabs>
      <w:rPr>
        <w:color w:val="000000"/>
      </w:rPr>
    </w:pPr>
    <w:r>
      <w:rPr>
        <w:color w:val="000000"/>
      </w:rPr>
      <w:t xml:space="preserve"> </w:t>
    </w:r>
  </w:p>
  <w:p w14:paraId="1F8490EB" w14:textId="77777777" w:rsidR="00450F6E" w:rsidRDefault="0000000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97501" w14:textId="6CCCF427" w:rsidR="00450F6E" w:rsidRDefault="006B2813">
    <w:pPr>
      <w:pBdr>
        <w:top w:val="nil"/>
        <w:left w:val="nil"/>
        <w:bottom w:val="nil"/>
        <w:right w:val="nil"/>
        <w:between w:val="nil"/>
      </w:pBdr>
      <w:tabs>
        <w:tab w:val="center" w:pos="4680"/>
        <w:tab w:val="right" w:pos="9360"/>
      </w:tabs>
      <w:rPr>
        <w:color w:val="000000"/>
      </w:rPr>
    </w:pPr>
    <w:r>
      <w:rPr>
        <w:color w:val="00000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28A32E" w14:textId="77777777" w:rsidR="007313C0" w:rsidRDefault="007313C0">
      <w:pPr>
        <w:spacing w:after="0" w:line="240" w:lineRule="auto"/>
      </w:pPr>
      <w:r>
        <w:separator/>
      </w:r>
    </w:p>
  </w:footnote>
  <w:footnote w:type="continuationSeparator" w:id="0">
    <w:p w14:paraId="1372D4DC" w14:textId="77777777" w:rsidR="007313C0" w:rsidRDefault="007313C0">
      <w:pPr>
        <w:spacing w:after="0" w:line="240" w:lineRule="auto"/>
      </w:pPr>
      <w:r>
        <w:continuationSeparator/>
      </w:r>
    </w:p>
  </w:footnote>
  <w:footnote w:type="continuationNotice" w:id="1">
    <w:p w14:paraId="7AF26004" w14:textId="77777777" w:rsidR="007313C0" w:rsidRDefault="007313C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7B6F6" w14:textId="77777777" w:rsidR="00450F6E" w:rsidRDefault="006B2813">
    <w:pPr>
      <w:pBdr>
        <w:top w:val="nil"/>
        <w:left w:val="nil"/>
        <w:bottom w:val="nil"/>
        <w:right w:val="nil"/>
        <w:between w:val="nil"/>
      </w:pBdr>
      <w:tabs>
        <w:tab w:val="center" w:pos="4320"/>
        <w:tab w:val="right" w:pos="8640"/>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0DB2F355" w14:textId="77777777" w:rsidR="00450F6E" w:rsidRDefault="00000000">
    <w:pPr>
      <w:pBdr>
        <w:top w:val="nil"/>
        <w:left w:val="nil"/>
        <w:bottom w:val="nil"/>
        <w:right w:val="nil"/>
        <w:between w:val="nil"/>
      </w:pBdr>
      <w:tabs>
        <w:tab w:val="center" w:pos="4320"/>
        <w:tab w:val="right" w:pos="8640"/>
      </w:tabs>
      <w:spacing w:after="0" w:line="240" w:lineRule="auto"/>
      <w:ind w:right="360"/>
      <w:rPr>
        <w:color w:val="000000"/>
      </w:rPr>
    </w:pPr>
  </w:p>
  <w:p w14:paraId="252DAFF0" w14:textId="77777777" w:rsidR="00450F6E" w:rsidRDefault="0000000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1BF26" w14:textId="6D4B3FCA" w:rsidR="00450F6E" w:rsidRDefault="006B2813">
    <w:pPr>
      <w:pBdr>
        <w:top w:val="nil"/>
        <w:left w:val="nil"/>
        <w:bottom w:val="nil"/>
        <w:right w:val="nil"/>
        <w:between w:val="nil"/>
      </w:pBdr>
      <w:tabs>
        <w:tab w:val="center" w:pos="4320"/>
        <w:tab w:val="right" w:pos="864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9A3F0E">
      <w:rPr>
        <w:noProof/>
        <w:color w:val="000000"/>
      </w:rPr>
      <w:t>19</w:t>
    </w:r>
    <w:r>
      <w:rPr>
        <w:color w:val="000000"/>
      </w:rPr>
      <w:fldChar w:fldCharType="end"/>
    </w:r>
  </w:p>
  <w:p w14:paraId="64CEE44D" w14:textId="77777777" w:rsidR="00450F6E" w:rsidRDefault="0000000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C6890" w14:textId="77777777" w:rsidR="00450F6E" w:rsidRDefault="00000000">
    <w:pPr>
      <w:pBdr>
        <w:top w:val="nil"/>
        <w:left w:val="nil"/>
        <w:bottom w:val="nil"/>
        <w:right w:val="nil"/>
        <w:between w:val="nil"/>
      </w:pBdr>
      <w:tabs>
        <w:tab w:val="center" w:pos="4320"/>
        <w:tab w:val="right" w:pos="8640"/>
      </w:tabs>
      <w:spacing w:after="0" w:line="240" w:lineRule="auto"/>
      <w:jc w:val="right"/>
      <w:rPr>
        <w:color w:val="000000"/>
      </w:rPr>
    </w:pPr>
  </w:p>
  <w:p w14:paraId="47C4213F" w14:textId="77777777" w:rsidR="00450F6E" w:rsidRDefault="000000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6pt;height:17pt" o:bullet="t">
        <v:imagedata r:id="rId1" o:title="IE Icon"/>
      </v:shape>
    </w:pict>
  </w:numPicBullet>
  <w:abstractNum w:abstractNumId="0" w15:restartNumberingAfterBreak="0">
    <w:nsid w:val="0EA202AF"/>
    <w:multiLevelType w:val="hybridMultilevel"/>
    <w:tmpl w:val="CFCA191E"/>
    <w:lvl w:ilvl="0" w:tplc="2AB49FAA">
      <w:numFmt w:val="bullet"/>
      <w:lvlText w:val="•"/>
      <w:lvlJc w:val="left"/>
      <w:pPr>
        <w:ind w:left="1080" w:hanging="720"/>
      </w:pPr>
      <w:rPr>
        <w:rFonts w:ascii="Arial" w:eastAsia="SimSu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32E0E27"/>
    <w:multiLevelType w:val="hybridMultilevel"/>
    <w:tmpl w:val="2BA0F462"/>
    <w:lvl w:ilvl="0" w:tplc="B764F2B4">
      <w:start w:val="1"/>
      <w:numFmt w:val="bullet"/>
      <w:lvlText w:val=""/>
      <w:lvlPicBulletId w:val="0"/>
      <w:lvlJc w:val="center"/>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25792E"/>
    <w:multiLevelType w:val="hybridMultilevel"/>
    <w:tmpl w:val="AF363D36"/>
    <w:lvl w:ilvl="0" w:tplc="10090001">
      <w:start w:val="1"/>
      <w:numFmt w:val="bullet"/>
      <w:lvlText w:val=""/>
      <w:lvlJc w:val="left"/>
      <w:pPr>
        <w:ind w:left="1437" w:hanging="720"/>
      </w:pPr>
      <w:rPr>
        <w:rFonts w:ascii="Symbol" w:hAnsi="Symbol" w:hint="default"/>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 w15:restartNumberingAfterBreak="0">
    <w:nsid w:val="16127851"/>
    <w:multiLevelType w:val="hybridMultilevel"/>
    <w:tmpl w:val="5894859E"/>
    <w:lvl w:ilvl="0" w:tplc="10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4D53BF7"/>
    <w:multiLevelType w:val="hybridMultilevel"/>
    <w:tmpl w:val="6DB65384"/>
    <w:lvl w:ilvl="0" w:tplc="10090001">
      <w:start w:val="1"/>
      <w:numFmt w:val="bullet"/>
      <w:lvlText w:val=""/>
      <w:lvlJc w:val="left"/>
      <w:pPr>
        <w:ind w:left="1437" w:hanging="720"/>
      </w:pPr>
      <w:rPr>
        <w:rFonts w:ascii="Symbol" w:hAnsi="Symbol" w:hint="default"/>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 w15:restartNumberingAfterBreak="0">
    <w:nsid w:val="267E6C1E"/>
    <w:multiLevelType w:val="hybridMultilevel"/>
    <w:tmpl w:val="0664A6EE"/>
    <w:lvl w:ilvl="0" w:tplc="DACC61B4">
      <w:start w:val="11"/>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8FA444C"/>
    <w:multiLevelType w:val="hybridMultilevel"/>
    <w:tmpl w:val="A0A0B9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A3C785B"/>
    <w:multiLevelType w:val="hybridMultilevel"/>
    <w:tmpl w:val="FBF8E7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F4A2ABD"/>
    <w:multiLevelType w:val="hybridMultilevel"/>
    <w:tmpl w:val="A9FC9C60"/>
    <w:lvl w:ilvl="0" w:tplc="2AB49FAA">
      <w:numFmt w:val="bullet"/>
      <w:lvlText w:val="•"/>
      <w:lvlJc w:val="left"/>
      <w:pPr>
        <w:ind w:left="1437" w:hanging="720"/>
      </w:pPr>
      <w:rPr>
        <w:rFonts w:ascii="Arial" w:eastAsia="SimSun" w:hAnsi="Arial" w:cs="Arial" w:hint="default"/>
      </w:rPr>
    </w:lvl>
    <w:lvl w:ilvl="1" w:tplc="10090003" w:tentative="1">
      <w:start w:val="1"/>
      <w:numFmt w:val="bullet"/>
      <w:lvlText w:val="o"/>
      <w:lvlJc w:val="left"/>
      <w:pPr>
        <w:ind w:left="1797" w:hanging="360"/>
      </w:pPr>
      <w:rPr>
        <w:rFonts w:ascii="Courier New" w:hAnsi="Courier New" w:cs="Courier New" w:hint="default"/>
      </w:rPr>
    </w:lvl>
    <w:lvl w:ilvl="2" w:tplc="10090005" w:tentative="1">
      <w:start w:val="1"/>
      <w:numFmt w:val="bullet"/>
      <w:lvlText w:val=""/>
      <w:lvlJc w:val="left"/>
      <w:pPr>
        <w:ind w:left="2517" w:hanging="360"/>
      </w:pPr>
      <w:rPr>
        <w:rFonts w:ascii="Wingdings" w:hAnsi="Wingdings" w:hint="default"/>
      </w:rPr>
    </w:lvl>
    <w:lvl w:ilvl="3" w:tplc="10090001" w:tentative="1">
      <w:start w:val="1"/>
      <w:numFmt w:val="bullet"/>
      <w:lvlText w:val=""/>
      <w:lvlJc w:val="left"/>
      <w:pPr>
        <w:ind w:left="3237" w:hanging="360"/>
      </w:pPr>
      <w:rPr>
        <w:rFonts w:ascii="Symbol" w:hAnsi="Symbol" w:hint="default"/>
      </w:rPr>
    </w:lvl>
    <w:lvl w:ilvl="4" w:tplc="10090003" w:tentative="1">
      <w:start w:val="1"/>
      <w:numFmt w:val="bullet"/>
      <w:lvlText w:val="o"/>
      <w:lvlJc w:val="left"/>
      <w:pPr>
        <w:ind w:left="3957" w:hanging="360"/>
      </w:pPr>
      <w:rPr>
        <w:rFonts w:ascii="Courier New" w:hAnsi="Courier New" w:cs="Courier New" w:hint="default"/>
      </w:rPr>
    </w:lvl>
    <w:lvl w:ilvl="5" w:tplc="10090005" w:tentative="1">
      <w:start w:val="1"/>
      <w:numFmt w:val="bullet"/>
      <w:lvlText w:val=""/>
      <w:lvlJc w:val="left"/>
      <w:pPr>
        <w:ind w:left="4677" w:hanging="360"/>
      </w:pPr>
      <w:rPr>
        <w:rFonts w:ascii="Wingdings" w:hAnsi="Wingdings" w:hint="default"/>
      </w:rPr>
    </w:lvl>
    <w:lvl w:ilvl="6" w:tplc="10090001" w:tentative="1">
      <w:start w:val="1"/>
      <w:numFmt w:val="bullet"/>
      <w:lvlText w:val=""/>
      <w:lvlJc w:val="left"/>
      <w:pPr>
        <w:ind w:left="5397" w:hanging="360"/>
      </w:pPr>
      <w:rPr>
        <w:rFonts w:ascii="Symbol" w:hAnsi="Symbol" w:hint="default"/>
      </w:rPr>
    </w:lvl>
    <w:lvl w:ilvl="7" w:tplc="10090003" w:tentative="1">
      <w:start w:val="1"/>
      <w:numFmt w:val="bullet"/>
      <w:lvlText w:val="o"/>
      <w:lvlJc w:val="left"/>
      <w:pPr>
        <w:ind w:left="6117" w:hanging="360"/>
      </w:pPr>
      <w:rPr>
        <w:rFonts w:ascii="Courier New" w:hAnsi="Courier New" w:cs="Courier New" w:hint="default"/>
      </w:rPr>
    </w:lvl>
    <w:lvl w:ilvl="8" w:tplc="10090005" w:tentative="1">
      <w:start w:val="1"/>
      <w:numFmt w:val="bullet"/>
      <w:lvlText w:val=""/>
      <w:lvlJc w:val="left"/>
      <w:pPr>
        <w:ind w:left="6837" w:hanging="360"/>
      </w:pPr>
      <w:rPr>
        <w:rFonts w:ascii="Wingdings" w:hAnsi="Wingdings" w:hint="default"/>
      </w:rPr>
    </w:lvl>
  </w:abstractNum>
  <w:abstractNum w:abstractNumId="9" w15:restartNumberingAfterBreak="0">
    <w:nsid w:val="417C6EE1"/>
    <w:multiLevelType w:val="hybridMultilevel"/>
    <w:tmpl w:val="F8AA32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5340FFE"/>
    <w:multiLevelType w:val="hybridMultilevel"/>
    <w:tmpl w:val="5FB64252"/>
    <w:lvl w:ilvl="0" w:tplc="DACC61B4">
      <w:start w:val="11"/>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506452A4"/>
    <w:multiLevelType w:val="hybridMultilevel"/>
    <w:tmpl w:val="2B7EE186"/>
    <w:lvl w:ilvl="0" w:tplc="422AAA26">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52362C53"/>
    <w:multiLevelType w:val="hybridMultilevel"/>
    <w:tmpl w:val="40F689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59850543"/>
    <w:multiLevelType w:val="hybridMultilevel"/>
    <w:tmpl w:val="FC7A9130"/>
    <w:lvl w:ilvl="0" w:tplc="2AB49FAA">
      <w:numFmt w:val="bullet"/>
      <w:lvlText w:val="•"/>
      <w:lvlJc w:val="left"/>
      <w:pPr>
        <w:ind w:left="1080" w:hanging="720"/>
      </w:pPr>
      <w:rPr>
        <w:rFonts w:ascii="Arial" w:eastAsia="SimSu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6E894D39"/>
    <w:multiLevelType w:val="hybridMultilevel"/>
    <w:tmpl w:val="D56ACA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6EE8050C"/>
    <w:multiLevelType w:val="hybridMultilevel"/>
    <w:tmpl w:val="9F0E47D0"/>
    <w:lvl w:ilvl="0" w:tplc="B764F2B4">
      <w:start w:val="1"/>
      <w:numFmt w:val="bullet"/>
      <w:lvlText w:val=""/>
      <w:lvlPicBulletId w:val="0"/>
      <w:lvlJc w:val="center"/>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77110C09"/>
    <w:multiLevelType w:val="hybridMultilevel"/>
    <w:tmpl w:val="B186E6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7DAB53A3"/>
    <w:multiLevelType w:val="hybridMultilevel"/>
    <w:tmpl w:val="52421566"/>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667096971">
    <w:abstractNumId w:val="14"/>
  </w:num>
  <w:num w:numId="2" w16cid:durableId="1866215986">
    <w:abstractNumId w:val="11"/>
  </w:num>
  <w:num w:numId="3" w16cid:durableId="2040428583">
    <w:abstractNumId w:val="10"/>
  </w:num>
  <w:num w:numId="4" w16cid:durableId="1177622087">
    <w:abstractNumId w:val="9"/>
  </w:num>
  <w:num w:numId="5" w16cid:durableId="1123160537">
    <w:abstractNumId w:val="5"/>
  </w:num>
  <w:num w:numId="6" w16cid:durableId="2045323744">
    <w:abstractNumId w:val="6"/>
  </w:num>
  <w:num w:numId="7" w16cid:durableId="1535533260">
    <w:abstractNumId w:val="3"/>
  </w:num>
  <w:num w:numId="8" w16cid:durableId="1515000894">
    <w:abstractNumId w:val="17"/>
  </w:num>
  <w:num w:numId="9" w16cid:durableId="1255824994">
    <w:abstractNumId w:val="7"/>
  </w:num>
  <w:num w:numId="10" w16cid:durableId="1072699798">
    <w:abstractNumId w:val="0"/>
  </w:num>
  <w:num w:numId="11" w16cid:durableId="111635118">
    <w:abstractNumId w:val="8"/>
  </w:num>
  <w:num w:numId="12" w16cid:durableId="1452439113">
    <w:abstractNumId w:val="13"/>
  </w:num>
  <w:num w:numId="13" w16cid:durableId="1713655428">
    <w:abstractNumId w:val="17"/>
  </w:num>
  <w:num w:numId="14" w16cid:durableId="572815020">
    <w:abstractNumId w:val="2"/>
  </w:num>
  <w:num w:numId="15" w16cid:durableId="974064681">
    <w:abstractNumId w:val="4"/>
  </w:num>
  <w:num w:numId="16" w16cid:durableId="819620161">
    <w:abstractNumId w:val="15"/>
  </w:num>
  <w:num w:numId="17" w16cid:durableId="80957333">
    <w:abstractNumId w:val="16"/>
  </w:num>
  <w:num w:numId="18" w16cid:durableId="755784984">
    <w:abstractNumId w:val="12"/>
  </w:num>
  <w:num w:numId="19" w16cid:durableId="5594814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IManageDocInfoCache(0)" w:val="115828056"/>
    <w:docVar w:name="IManageDocInfoCache(1)" w:val="1"/>
    <w:docVar w:name="IManageDocInfoCache(2)" w:val="SEDOCS"/>
    <w:docVar w:name="IManageDocInfoCache(3)" w:val="MARKINQ"/>
    <w:docVar w:name="IManageDocInfoCache(4)" w:val="149587"/>
    <w:docVar w:name="IManageDocInfoCache(5)" w:val="1495871001"/>
    <w:docVar w:name="IManageDocInfoCache(6)" w:val="2022-07 Inaugural Santa Cruz release"/>
  </w:docVars>
  <w:rsids>
    <w:rsidRoot w:val="006B2813"/>
    <w:rsid w:val="00011E3D"/>
    <w:rsid w:val="000260C1"/>
    <w:rsid w:val="000305D2"/>
    <w:rsid w:val="000422F1"/>
    <w:rsid w:val="00045149"/>
    <w:rsid w:val="0004638C"/>
    <w:rsid w:val="00051037"/>
    <w:rsid w:val="0005235E"/>
    <w:rsid w:val="00054990"/>
    <w:rsid w:val="0005772B"/>
    <w:rsid w:val="00065898"/>
    <w:rsid w:val="00066221"/>
    <w:rsid w:val="0007438E"/>
    <w:rsid w:val="000800A6"/>
    <w:rsid w:val="00081922"/>
    <w:rsid w:val="000846E1"/>
    <w:rsid w:val="000849E9"/>
    <w:rsid w:val="0008516B"/>
    <w:rsid w:val="00095B87"/>
    <w:rsid w:val="000A0EFA"/>
    <w:rsid w:val="000A2E0E"/>
    <w:rsid w:val="000A2FF8"/>
    <w:rsid w:val="000A4EEF"/>
    <w:rsid w:val="000B1414"/>
    <w:rsid w:val="000B43F6"/>
    <w:rsid w:val="000B4ABD"/>
    <w:rsid w:val="000C1FF5"/>
    <w:rsid w:val="000C2E4D"/>
    <w:rsid w:val="000C794D"/>
    <w:rsid w:val="000D1F89"/>
    <w:rsid w:val="000D4ADB"/>
    <w:rsid w:val="000E35EA"/>
    <w:rsid w:val="001179FD"/>
    <w:rsid w:val="00130CED"/>
    <w:rsid w:val="00131DA0"/>
    <w:rsid w:val="00134E2F"/>
    <w:rsid w:val="00137080"/>
    <w:rsid w:val="00137297"/>
    <w:rsid w:val="00140597"/>
    <w:rsid w:val="00143071"/>
    <w:rsid w:val="00143246"/>
    <w:rsid w:val="00151F59"/>
    <w:rsid w:val="0016103F"/>
    <w:rsid w:val="00163BC9"/>
    <w:rsid w:val="00165AEB"/>
    <w:rsid w:val="00167A1F"/>
    <w:rsid w:val="0017347D"/>
    <w:rsid w:val="00185686"/>
    <w:rsid w:val="00186DF0"/>
    <w:rsid w:val="00197C22"/>
    <w:rsid w:val="001A3ECE"/>
    <w:rsid w:val="001A42A7"/>
    <w:rsid w:val="001A6E5F"/>
    <w:rsid w:val="001B0E28"/>
    <w:rsid w:val="001B341A"/>
    <w:rsid w:val="001C1B16"/>
    <w:rsid w:val="001C21AB"/>
    <w:rsid w:val="001C4487"/>
    <w:rsid w:val="001C4CAC"/>
    <w:rsid w:val="001C6D50"/>
    <w:rsid w:val="001D3499"/>
    <w:rsid w:val="001D6112"/>
    <w:rsid w:val="001E22A2"/>
    <w:rsid w:val="001E6B17"/>
    <w:rsid w:val="001F15FD"/>
    <w:rsid w:val="001F2F38"/>
    <w:rsid w:val="001F52D8"/>
    <w:rsid w:val="00201514"/>
    <w:rsid w:val="0020460A"/>
    <w:rsid w:val="00204649"/>
    <w:rsid w:val="00206409"/>
    <w:rsid w:val="00212B49"/>
    <w:rsid w:val="00224584"/>
    <w:rsid w:val="00237ADA"/>
    <w:rsid w:val="00254B48"/>
    <w:rsid w:val="002721C0"/>
    <w:rsid w:val="00274506"/>
    <w:rsid w:val="002751C9"/>
    <w:rsid w:val="0028151E"/>
    <w:rsid w:val="00287D1C"/>
    <w:rsid w:val="002906FF"/>
    <w:rsid w:val="00290E89"/>
    <w:rsid w:val="00292CEF"/>
    <w:rsid w:val="002A333D"/>
    <w:rsid w:val="002A5FB3"/>
    <w:rsid w:val="002A7E0F"/>
    <w:rsid w:val="002B0BD9"/>
    <w:rsid w:val="002B26EF"/>
    <w:rsid w:val="002B3C31"/>
    <w:rsid w:val="002B48E6"/>
    <w:rsid w:val="002D35F0"/>
    <w:rsid w:val="002D467C"/>
    <w:rsid w:val="002D5665"/>
    <w:rsid w:val="002F0988"/>
    <w:rsid w:val="002F58AF"/>
    <w:rsid w:val="003021AC"/>
    <w:rsid w:val="00306CEE"/>
    <w:rsid w:val="003114A2"/>
    <w:rsid w:val="00313C3F"/>
    <w:rsid w:val="003220C5"/>
    <w:rsid w:val="003230B0"/>
    <w:rsid w:val="00330FA6"/>
    <w:rsid w:val="00333AE0"/>
    <w:rsid w:val="00340790"/>
    <w:rsid w:val="0034230E"/>
    <w:rsid w:val="00342B03"/>
    <w:rsid w:val="0034487E"/>
    <w:rsid w:val="003547E4"/>
    <w:rsid w:val="00360E6A"/>
    <w:rsid w:val="00367A19"/>
    <w:rsid w:val="00372C2B"/>
    <w:rsid w:val="00373303"/>
    <w:rsid w:val="00377F95"/>
    <w:rsid w:val="00384F67"/>
    <w:rsid w:val="003866EB"/>
    <w:rsid w:val="00387A1F"/>
    <w:rsid w:val="00387DC2"/>
    <w:rsid w:val="00390879"/>
    <w:rsid w:val="00394985"/>
    <w:rsid w:val="003A13CA"/>
    <w:rsid w:val="003A1EF3"/>
    <w:rsid w:val="003A455A"/>
    <w:rsid w:val="003B278B"/>
    <w:rsid w:val="003B73B3"/>
    <w:rsid w:val="003C0408"/>
    <w:rsid w:val="003C1802"/>
    <w:rsid w:val="003C226D"/>
    <w:rsid w:val="003D65E5"/>
    <w:rsid w:val="003E1832"/>
    <w:rsid w:val="003E2A14"/>
    <w:rsid w:val="003E3A1A"/>
    <w:rsid w:val="003F6A0B"/>
    <w:rsid w:val="00401ED5"/>
    <w:rsid w:val="00405F48"/>
    <w:rsid w:val="00423FDA"/>
    <w:rsid w:val="00424FC8"/>
    <w:rsid w:val="004260F1"/>
    <w:rsid w:val="00446DFC"/>
    <w:rsid w:val="00456858"/>
    <w:rsid w:val="00462FE4"/>
    <w:rsid w:val="004742A2"/>
    <w:rsid w:val="00475B1B"/>
    <w:rsid w:val="00487565"/>
    <w:rsid w:val="0049331B"/>
    <w:rsid w:val="00495A7D"/>
    <w:rsid w:val="004976DD"/>
    <w:rsid w:val="004A275F"/>
    <w:rsid w:val="004B5458"/>
    <w:rsid w:val="004B5D5B"/>
    <w:rsid w:val="004C48AD"/>
    <w:rsid w:val="004D2D14"/>
    <w:rsid w:val="004D7445"/>
    <w:rsid w:val="004D7C41"/>
    <w:rsid w:val="00503CBA"/>
    <w:rsid w:val="00514B56"/>
    <w:rsid w:val="0051640A"/>
    <w:rsid w:val="0051717F"/>
    <w:rsid w:val="00522CE6"/>
    <w:rsid w:val="0052368C"/>
    <w:rsid w:val="005278A5"/>
    <w:rsid w:val="00531C94"/>
    <w:rsid w:val="005427AF"/>
    <w:rsid w:val="005447E4"/>
    <w:rsid w:val="00546BFF"/>
    <w:rsid w:val="005568EB"/>
    <w:rsid w:val="005678CE"/>
    <w:rsid w:val="00580DB4"/>
    <w:rsid w:val="00586B12"/>
    <w:rsid w:val="005907A1"/>
    <w:rsid w:val="00591A7D"/>
    <w:rsid w:val="005945AE"/>
    <w:rsid w:val="005A3F6A"/>
    <w:rsid w:val="005A5B82"/>
    <w:rsid w:val="005B31EA"/>
    <w:rsid w:val="005B3863"/>
    <w:rsid w:val="005B4931"/>
    <w:rsid w:val="005D75FB"/>
    <w:rsid w:val="005D78A8"/>
    <w:rsid w:val="005E2334"/>
    <w:rsid w:val="005E2977"/>
    <w:rsid w:val="005E2D4F"/>
    <w:rsid w:val="005E7ABF"/>
    <w:rsid w:val="005F2872"/>
    <w:rsid w:val="005F3995"/>
    <w:rsid w:val="00606661"/>
    <w:rsid w:val="00611F64"/>
    <w:rsid w:val="00615E67"/>
    <w:rsid w:val="006244BF"/>
    <w:rsid w:val="00633382"/>
    <w:rsid w:val="00635C7B"/>
    <w:rsid w:val="00636A03"/>
    <w:rsid w:val="00652367"/>
    <w:rsid w:val="006534B9"/>
    <w:rsid w:val="0066037D"/>
    <w:rsid w:val="006637A6"/>
    <w:rsid w:val="00680F1D"/>
    <w:rsid w:val="00681600"/>
    <w:rsid w:val="00687499"/>
    <w:rsid w:val="00691C5F"/>
    <w:rsid w:val="006A0695"/>
    <w:rsid w:val="006A3538"/>
    <w:rsid w:val="006A479A"/>
    <w:rsid w:val="006B2813"/>
    <w:rsid w:val="006C29AF"/>
    <w:rsid w:val="006C384B"/>
    <w:rsid w:val="006D0276"/>
    <w:rsid w:val="006D21F8"/>
    <w:rsid w:val="006D4D52"/>
    <w:rsid w:val="006E1460"/>
    <w:rsid w:val="006E1A08"/>
    <w:rsid w:val="006E51B4"/>
    <w:rsid w:val="006E664D"/>
    <w:rsid w:val="006E71E2"/>
    <w:rsid w:val="006F0AB9"/>
    <w:rsid w:val="006F195B"/>
    <w:rsid w:val="00706894"/>
    <w:rsid w:val="00711ABF"/>
    <w:rsid w:val="00712870"/>
    <w:rsid w:val="00717BFB"/>
    <w:rsid w:val="00723932"/>
    <w:rsid w:val="0073024C"/>
    <w:rsid w:val="007313C0"/>
    <w:rsid w:val="007347B0"/>
    <w:rsid w:val="007365A8"/>
    <w:rsid w:val="007449AE"/>
    <w:rsid w:val="00744A0A"/>
    <w:rsid w:val="0074571C"/>
    <w:rsid w:val="0074666B"/>
    <w:rsid w:val="007503A0"/>
    <w:rsid w:val="00753B66"/>
    <w:rsid w:val="00755241"/>
    <w:rsid w:val="007579E4"/>
    <w:rsid w:val="007700F7"/>
    <w:rsid w:val="007719B8"/>
    <w:rsid w:val="0077755D"/>
    <w:rsid w:val="00790117"/>
    <w:rsid w:val="0079493F"/>
    <w:rsid w:val="007B3A51"/>
    <w:rsid w:val="007C0FB0"/>
    <w:rsid w:val="007D029E"/>
    <w:rsid w:val="007E1729"/>
    <w:rsid w:val="007E4250"/>
    <w:rsid w:val="00800142"/>
    <w:rsid w:val="00810970"/>
    <w:rsid w:val="008112A0"/>
    <w:rsid w:val="00814E5A"/>
    <w:rsid w:val="00815F7C"/>
    <w:rsid w:val="00822A9D"/>
    <w:rsid w:val="00830B79"/>
    <w:rsid w:val="008351AA"/>
    <w:rsid w:val="00840B23"/>
    <w:rsid w:val="00840BE2"/>
    <w:rsid w:val="00844FFB"/>
    <w:rsid w:val="00850AAD"/>
    <w:rsid w:val="00857F60"/>
    <w:rsid w:val="008600AB"/>
    <w:rsid w:val="00862D6A"/>
    <w:rsid w:val="008652D8"/>
    <w:rsid w:val="00866665"/>
    <w:rsid w:val="008704C0"/>
    <w:rsid w:val="00875E70"/>
    <w:rsid w:val="00885C08"/>
    <w:rsid w:val="008A220A"/>
    <w:rsid w:val="008A3627"/>
    <w:rsid w:val="008B23DD"/>
    <w:rsid w:val="008B4785"/>
    <w:rsid w:val="008B5B27"/>
    <w:rsid w:val="008C01B4"/>
    <w:rsid w:val="008C0D4E"/>
    <w:rsid w:val="008C7D63"/>
    <w:rsid w:val="008D4BFF"/>
    <w:rsid w:val="008E5E85"/>
    <w:rsid w:val="008F0C8A"/>
    <w:rsid w:val="008F2B67"/>
    <w:rsid w:val="008F38D2"/>
    <w:rsid w:val="008F41F2"/>
    <w:rsid w:val="00901FDD"/>
    <w:rsid w:val="00910CD7"/>
    <w:rsid w:val="009159BD"/>
    <w:rsid w:val="00916BDD"/>
    <w:rsid w:val="009204C9"/>
    <w:rsid w:val="0092112D"/>
    <w:rsid w:val="0092252B"/>
    <w:rsid w:val="00923E03"/>
    <w:rsid w:val="0093026E"/>
    <w:rsid w:val="0094653D"/>
    <w:rsid w:val="009516EC"/>
    <w:rsid w:val="00952700"/>
    <w:rsid w:val="00952A78"/>
    <w:rsid w:val="00961301"/>
    <w:rsid w:val="00964B8B"/>
    <w:rsid w:val="00965485"/>
    <w:rsid w:val="00970B5A"/>
    <w:rsid w:val="00971BD6"/>
    <w:rsid w:val="00971D95"/>
    <w:rsid w:val="00994514"/>
    <w:rsid w:val="00995EDA"/>
    <w:rsid w:val="009A2548"/>
    <w:rsid w:val="009A3F0E"/>
    <w:rsid w:val="009B4A9B"/>
    <w:rsid w:val="009C10AB"/>
    <w:rsid w:val="009D6BF8"/>
    <w:rsid w:val="009E128A"/>
    <w:rsid w:val="00A03CCF"/>
    <w:rsid w:val="00A11797"/>
    <w:rsid w:val="00A175E1"/>
    <w:rsid w:val="00A17F64"/>
    <w:rsid w:val="00A20E9F"/>
    <w:rsid w:val="00A22CE4"/>
    <w:rsid w:val="00A23408"/>
    <w:rsid w:val="00A251A6"/>
    <w:rsid w:val="00A263A6"/>
    <w:rsid w:val="00A31539"/>
    <w:rsid w:val="00A440BB"/>
    <w:rsid w:val="00A456B8"/>
    <w:rsid w:val="00A47620"/>
    <w:rsid w:val="00A5070A"/>
    <w:rsid w:val="00A5255C"/>
    <w:rsid w:val="00A54517"/>
    <w:rsid w:val="00A55EE2"/>
    <w:rsid w:val="00A6111B"/>
    <w:rsid w:val="00A636BF"/>
    <w:rsid w:val="00A743F4"/>
    <w:rsid w:val="00A84004"/>
    <w:rsid w:val="00A8629E"/>
    <w:rsid w:val="00A924AE"/>
    <w:rsid w:val="00A93D00"/>
    <w:rsid w:val="00A96430"/>
    <w:rsid w:val="00A97B5E"/>
    <w:rsid w:val="00AA2BBC"/>
    <w:rsid w:val="00AB4632"/>
    <w:rsid w:val="00AD3DDC"/>
    <w:rsid w:val="00AE1687"/>
    <w:rsid w:val="00AE17FA"/>
    <w:rsid w:val="00AE1EF6"/>
    <w:rsid w:val="00AE2C20"/>
    <w:rsid w:val="00AF7705"/>
    <w:rsid w:val="00B056F9"/>
    <w:rsid w:val="00B158C9"/>
    <w:rsid w:val="00B17732"/>
    <w:rsid w:val="00B24A8C"/>
    <w:rsid w:val="00B276E4"/>
    <w:rsid w:val="00B3055D"/>
    <w:rsid w:val="00B412B1"/>
    <w:rsid w:val="00B4203C"/>
    <w:rsid w:val="00B568A4"/>
    <w:rsid w:val="00B62ADE"/>
    <w:rsid w:val="00B641F9"/>
    <w:rsid w:val="00B66224"/>
    <w:rsid w:val="00B73BB4"/>
    <w:rsid w:val="00B7731E"/>
    <w:rsid w:val="00B852B6"/>
    <w:rsid w:val="00B912AC"/>
    <w:rsid w:val="00B93886"/>
    <w:rsid w:val="00BA0F48"/>
    <w:rsid w:val="00BA3F44"/>
    <w:rsid w:val="00BB0C27"/>
    <w:rsid w:val="00BB4041"/>
    <w:rsid w:val="00BD7549"/>
    <w:rsid w:val="00BE1F5E"/>
    <w:rsid w:val="00BF43C5"/>
    <w:rsid w:val="00C01C60"/>
    <w:rsid w:val="00C02801"/>
    <w:rsid w:val="00C03A23"/>
    <w:rsid w:val="00C040D6"/>
    <w:rsid w:val="00C04255"/>
    <w:rsid w:val="00C0444D"/>
    <w:rsid w:val="00C06590"/>
    <w:rsid w:val="00C079BC"/>
    <w:rsid w:val="00C124B2"/>
    <w:rsid w:val="00C12A26"/>
    <w:rsid w:val="00C135B2"/>
    <w:rsid w:val="00C162E1"/>
    <w:rsid w:val="00C21B7D"/>
    <w:rsid w:val="00C2448F"/>
    <w:rsid w:val="00C26AC3"/>
    <w:rsid w:val="00C26EDE"/>
    <w:rsid w:val="00C322DC"/>
    <w:rsid w:val="00C473B0"/>
    <w:rsid w:val="00C47D7B"/>
    <w:rsid w:val="00C51A87"/>
    <w:rsid w:val="00C51AED"/>
    <w:rsid w:val="00C54381"/>
    <w:rsid w:val="00C54CE0"/>
    <w:rsid w:val="00C55B50"/>
    <w:rsid w:val="00C61F40"/>
    <w:rsid w:val="00C648B0"/>
    <w:rsid w:val="00C66B22"/>
    <w:rsid w:val="00C704F5"/>
    <w:rsid w:val="00C77CA7"/>
    <w:rsid w:val="00C81E71"/>
    <w:rsid w:val="00C872C8"/>
    <w:rsid w:val="00C90B4D"/>
    <w:rsid w:val="00C923A2"/>
    <w:rsid w:val="00C943BE"/>
    <w:rsid w:val="00CA338A"/>
    <w:rsid w:val="00CB546B"/>
    <w:rsid w:val="00CB64DD"/>
    <w:rsid w:val="00CB6CF4"/>
    <w:rsid w:val="00CB6D62"/>
    <w:rsid w:val="00CC0C18"/>
    <w:rsid w:val="00CD2CB8"/>
    <w:rsid w:val="00CD769C"/>
    <w:rsid w:val="00CD7BD1"/>
    <w:rsid w:val="00CE2028"/>
    <w:rsid w:val="00CF0180"/>
    <w:rsid w:val="00CF40EC"/>
    <w:rsid w:val="00CF5D7A"/>
    <w:rsid w:val="00CF63D2"/>
    <w:rsid w:val="00CF6B68"/>
    <w:rsid w:val="00CF7806"/>
    <w:rsid w:val="00D11596"/>
    <w:rsid w:val="00D1173E"/>
    <w:rsid w:val="00D11A02"/>
    <w:rsid w:val="00D12583"/>
    <w:rsid w:val="00D15C36"/>
    <w:rsid w:val="00D229E7"/>
    <w:rsid w:val="00D2678E"/>
    <w:rsid w:val="00D33A69"/>
    <w:rsid w:val="00D41B0B"/>
    <w:rsid w:val="00D648EA"/>
    <w:rsid w:val="00D65D39"/>
    <w:rsid w:val="00D65D69"/>
    <w:rsid w:val="00D67266"/>
    <w:rsid w:val="00D67CE8"/>
    <w:rsid w:val="00D745F3"/>
    <w:rsid w:val="00D74E3F"/>
    <w:rsid w:val="00D80F19"/>
    <w:rsid w:val="00D823D5"/>
    <w:rsid w:val="00D94196"/>
    <w:rsid w:val="00D96BCC"/>
    <w:rsid w:val="00DA0861"/>
    <w:rsid w:val="00DA1024"/>
    <w:rsid w:val="00DA5B90"/>
    <w:rsid w:val="00DB0F7C"/>
    <w:rsid w:val="00DB22DC"/>
    <w:rsid w:val="00DB3116"/>
    <w:rsid w:val="00DD2FBA"/>
    <w:rsid w:val="00DE2161"/>
    <w:rsid w:val="00DE6FDC"/>
    <w:rsid w:val="00DE79AE"/>
    <w:rsid w:val="00DF403A"/>
    <w:rsid w:val="00E00E1D"/>
    <w:rsid w:val="00E02E70"/>
    <w:rsid w:val="00E14692"/>
    <w:rsid w:val="00E249E8"/>
    <w:rsid w:val="00E320A7"/>
    <w:rsid w:val="00E35801"/>
    <w:rsid w:val="00E42218"/>
    <w:rsid w:val="00E46EA7"/>
    <w:rsid w:val="00E63304"/>
    <w:rsid w:val="00E707E4"/>
    <w:rsid w:val="00E76454"/>
    <w:rsid w:val="00E8034A"/>
    <w:rsid w:val="00E80C72"/>
    <w:rsid w:val="00E83365"/>
    <w:rsid w:val="00E837F3"/>
    <w:rsid w:val="00E850C4"/>
    <w:rsid w:val="00E9278C"/>
    <w:rsid w:val="00E94002"/>
    <w:rsid w:val="00E9552C"/>
    <w:rsid w:val="00EA0F90"/>
    <w:rsid w:val="00EA4B3C"/>
    <w:rsid w:val="00EA5623"/>
    <w:rsid w:val="00EA6B5C"/>
    <w:rsid w:val="00EB0193"/>
    <w:rsid w:val="00EC51B0"/>
    <w:rsid w:val="00ED715D"/>
    <w:rsid w:val="00EF7099"/>
    <w:rsid w:val="00F00B22"/>
    <w:rsid w:val="00F0675B"/>
    <w:rsid w:val="00F11B00"/>
    <w:rsid w:val="00F13717"/>
    <w:rsid w:val="00F153B1"/>
    <w:rsid w:val="00F2119C"/>
    <w:rsid w:val="00F21A8B"/>
    <w:rsid w:val="00F31C25"/>
    <w:rsid w:val="00F33144"/>
    <w:rsid w:val="00F3775F"/>
    <w:rsid w:val="00F52A06"/>
    <w:rsid w:val="00F55868"/>
    <w:rsid w:val="00F57E55"/>
    <w:rsid w:val="00F70387"/>
    <w:rsid w:val="00F710C3"/>
    <w:rsid w:val="00F73DB2"/>
    <w:rsid w:val="00F852E8"/>
    <w:rsid w:val="00F85769"/>
    <w:rsid w:val="00F85DEA"/>
    <w:rsid w:val="00F91A93"/>
    <w:rsid w:val="00F922AA"/>
    <w:rsid w:val="00F96175"/>
    <w:rsid w:val="00FA20FC"/>
    <w:rsid w:val="00FA4AEA"/>
    <w:rsid w:val="00FB144F"/>
    <w:rsid w:val="00FB7F8B"/>
    <w:rsid w:val="00FD2673"/>
    <w:rsid w:val="00FD3281"/>
    <w:rsid w:val="00FD3CA7"/>
    <w:rsid w:val="00FD644D"/>
    <w:rsid w:val="00FD6AEA"/>
    <w:rsid w:val="00FD7F77"/>
    <w:rsid w:val="00FF5E7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77FA53"/>
  <w15:chartTrackingRefBased/>
  <w15:docId w15:val="{DFD08DD9-6E79-4410-9062-8CF6BC37AC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B7F8B"/>
    <w:pPr>
      <w:spacing w:after="200" w:line="276" w:lineRule="auto"/>
    </w:pPr>
    <w:rPr>
      <w:rFonts w:ascii="Calibri" w:eastAsia="SimSun" w:hAnsi="Calibri" w:cs="Calibri"/>
      <w:lang w:val="en-US" w:eastAsia="en-CA"/>
    </w:rPr>
  </w:style>
  <w:style w:type="paragraph" w:styleId="Heading2">
    <w:name w:val="heading 2"/>
    <w:basedOn w:val="Normal"/>
    <w:next w:val="Normal"/>
    <w:link w:val="Heading2Char"/>
    <w:rsid w:val="006B2813"/>
    <w:pPr>
      <w:keepNext/>
      <w:keepLines/>
      <w:spacing w:after="240" w:line="240" w:lineRule="auto"/>
      <w:jc w:val="both"/>
      <w:outlineLvl w:val="1"/>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6B2813"/>
    <w:rPr>
      <w:rFonts w:ascii="Times New Roman" w:eastAsia="Times New Roman" w:hAnsi="Times New Roman" w:cs="Times New Roman"/>
      <w:sz w:val="24"/>
      <w:szCs w:val="24"/>
      <w:lang w:val="en-US" w:eastAsia="en-CA"/>
    </w:rPr>
  </w:style>
  <w:style w:type="character" w:styleId="Hyperlink">
    <w:name w:val="Hyperlink"/>
    <w:basedOn w:val="DefaultParagraphFont"/>
    <w:uiPriority w:val="99"/>
    <w:unhideWhenUsed/>
    <w:rsid w:val="002A7E0F"/>
    <w:rPr>
      <w:color w:val="0563C1" w:themeColor="hyperlink"/>
      <w:u w:val="single"/>
    </w:rPr>
  </w:style>
  <w:style w:type="character" w:customStyle="1" w:styleId="UnresolvedMention1">
    <w:name w:val="Unresolved Mention1"/>
    <w:basedOn w:val="DefaultParagraphFont"/>
    <w:uiPriority w:val="99"/>
    <w:semiHidden/>
    <w:unhideWhenUsed/>
    <w:rsid w:val="002A7E0F"/>
    <w:rPr>
      <w:color w:val="605E5C"/>
      <w:shd w:val="clear" w:color="auto" w:fill="E1DFDD"/>
    </w:rPr>
  </w:style>
  <w:style w:type="paragraph" w:styleId="Revision">
    <w:name w:val="Revision"/>
    <w:hidden/>
    <w:uiPriority w:val="99"/>
    <w:semiHidden/>
    <w:rsid w:val="00EF7099"/>
    <w:rPr>
      <w:rFonts w:ascii="Calibri" w:eastAsia="SimSun" w:hAnsi="Calibri" w:cs="Calibri"/>
      <w:lang w:val="en-US" w:eastAsia="en-CA"/>
    </w:rPr>
  </w:style>
  <w:style w:type="character" w:styleId="CommentReference">
    <w:name w:val="annotation reference"/>
    <w:basedOn w:val="DefaultParagraphFont"/>
    <w:uiPriority w:val="99"/>
    <w:semiHidden/>
    <w:unhideWhenUsed/>
    <w:rsid w:val="005427AF"/>
    <w:rPr>
      <w:sz w:val="16"/>
      <w:szCs w:val="16"/>
    </w:rPr>
  </w:style>
  <w:style w:type="paragraph" w:styleId="CommentText">
    <w:name w:val="annotation text"/>
    <w:basedOn w:val="Normal"/>
    <w:link w:val="CommentTextChar"/>
    <w:uiPriority w:val="99"/>
    <w:unhideWhenUsed/>
    <w:rsid w:val="005427AF"/>
    <w:pPr>
      <w:spacing w:line="240" w:lineRule="auto"/>
    </w:pPr>
    <w:rPr>
      <w:sz w:val="20"/>
      <w:szCs w:val="20"/>
    </w:rPr>
  </w:style>
  <w:style w:type="character" w:customStyle="1" w:styleId="CommentTextChar">
    <w:name w:val="Comment Text Char"/>
    <w:basedOn w:val="DefaultParagraphFont"/>
    <w:link w:val="CommentText"/>
    <w:uiPriority w:val="99"/>
    <w:rsid w:val="005427AF"/>
    <w:rPr>
      <w:rFonts w:ascii="Calibri" w:eastAsia="SimSun" w:hAnsi="Calibri" w:cs="Calibri"/>
      <w:sz w:val="20"/>
      <w:szCs w:val="20"/>
      <w:lang w:val="en-US" w:eastAsia="en-CA"/>
    </w:rPr>
  </w:style>
  <w:style w:type="paragraph" w:styleId="CommentSubject">
    <w:name w:val="annotation subject"/>
    <w:basedOn w:val="CommentText"/>
    <w:next w:val="CommentText"/>
    <w:link w:val="CommentSubjectChar"/>
    <w:uiPriority w:val="99"/>
    <w:semiHidden/>
    <w:unhideWhenUsed/>
    <w:rsid w:val="005427AF"/>
    <w:rPr>
      <w:b/>
      <w:bCs/>
    </w:rPr>
  </w:style>
  <w:style w:type="character" w:customStyle="1" w:styleId="CommentSubjectChar">
    <w:name w:val="Comment Subject Char"/>
    <w:basedOn w:val="CommentTextChar"/>
    <w:link w:val="CommentSubject"/>
    <w:uiPriority w:val="99"/>
    <w:semiHidden/>
    <w:rsid w:val="005427AF"/>
    <w:rPr>
      <w:rFonts w:ascii="Calibri" w:eastAsia="SimSun" w:hAnsi="Calibri" w:cs="Calibri"/>
      <w:b/>
      <w:bCs/>
      <w:sz w:val="20"/>
      <w:szCs w:val="20"/>
      <w:lang w:val="en-US" w:eastAsia="en-CA"/>
    </w:rPr>
  </w:style>
  <w:style w:type="paragraph" w:styleId="ListParagraph">
    <w:name w:val="List Paragraph"/>
    <w:basedOn w:val="Normal"/>
    <w:uiPriority w:val="34"/>
    <w:qFormat/>
    <w:rsid w:val="00E46EA7"/>
    <w:pPr>
      <w:ind w:left="720"/>
      <w:contextualSpacing/>
    </w:pPr>
  </w:style>
  <w:style w:type="paragraph" w:styleId="BodyText">
    <w:name w:val="Body Text"/>
    <w:aliases w:val="BT"/>
    <w:basedOn w:val="Normal"/>
    <w:link w:val="BodyTextChar1"/>
    <w:qFormat/>
    <w:rsid w:val="000E35EA"/>
    <w:pPr>
      <w:adjustRightInd w:val="0"/>
      <w:spacing w:after="0" w:line="360" w:lineRule="atLeast"/>
      <w:jc w:val="both"/>
      <w:textAlignment w:val="baseline"/>
    </w:pPr>
    <w:rPr>
      <w:rFonts w:ascii="Times New Roman" w:eastAsia="Times New Roman" w:hAnsi="Times New Roman" w:cs="Times New Roman"/>
      <w:sz w:val="20"/>
      <w:szCs w:val="24"/>
      <w:lang w:val="en-CA" w:eastAsia="en-US"/>
    </w:rPr>
  </w:style>
  <w:style w:type="character" w:customStyle="1" w:styleId="BodyTextChar">
    <w:name w:val="Body Text Char"/>
    <w:basedOn w:val="DefaultParagraphFont"/>
    <w:uiPriority w:val="99"/>
    <w:semiHidden/>
    <w:rsid w:val="000E35EA"/>
    <w:rPr>
      <w:rFonts w:ascii="Calibri" w:eastAsia="SimSun" w:hAnsi="Calibri" w:cs="Calibri"/>
      <w:lang w:val="en-US" w:eastAsia="en-CA"/>
    </w:rPr>
  </w:style>
  <w:style w:type="character" w:customStyle="1" w:styleId="BodyTextChar1">
    <w:name w:val="Body Text Char1"/>
    <w:aliases w:val="BT Char"/>
    <w:link w:val="BodyText"/>
    <w:rsid w:val="000E35EA"/>
    <w:rPr>
      <w:rFonts w:ascii="Times New Roman" w:eastAsia="Times New Roman" w:hAnsi="Times New Roman" w:cs="Times New Roman"/>
      <w:sz w:val="20"/>
      <w:szCs w:val="24"/>
    </w:rPr>
  </w:style>
  <w:style w:type="paragraph" w:styleId="BalloonText">
    <w:name w:val="Balloon Text"/>
    <w:basedOn w:val="Normal"/>
    <w:link w:val="BalloonTextChar"/>
    <w:uiPriority w:val="99"/>
    <w:semiHidden/>
    <w:unhideWhenUsed/>
    <w:rsid w:val="002046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4649"/>
    <w:rPr>
      <w:rFonts w:ascii="Segoe UI" w:eastAsia="SimSun" w:hAnsi="Segoe UI" w:cs="Segoe UI"/>
      <w:sz w:val="18"/>
      <w:szCs w:val="18"/>
      <w:lang w:val="en-US" w:eastAsia="en-CA"/>
    </w:rPr>
  </w:style>
  <w:style w:type="character" w:customStyle="1" w:styleId="UnresolvedMention2">
    <w:name w:val="Unresolved Mention2"/>
    <w:basedOn w:val="DefaultParagraphFont"/>
    <w:uiPriority w:val="99"/>
    <w:semiHidden/>
    <w:unhideWhenUsed/>
    <w:rsid w:val="00B73BB4"/>
    <w:rPr>
      <w:color w:val="605E5C"/>
      <w:shd w:val="clear" w:color="auto" w:fill="E1DFDD"/>
    </w:rPr>
  </w:style>
  <w:style w:type="paragraph" w:styleId="Footer">
    <w:name w:val="footer"/>
    <w:basedOn w:val="Normal"/>
    <w:link w:val="FooterChar"/>
    <w:uiPriority w:val="99"/>
    <w:unhideWhenUsed/>
    <w:rsid w:val="00916B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6BDD"/>
    <w:rPr>
      <w:rFonts w:ascii="Calibri" w:eastAsia="SimSun" w:hAnsi="Calibri" w:cs="Calibri"/>
      <w:lang w:val="en-US" w:eastAsia="en-CA"/>
    </w:rPr>
  </w:style>
  <w:style w:type="paragraph" w:customStyle="1" w:styleId="DocsID">
    <w:name w:val="DocsID"/>
    <w:basedOn w:val="Normal"/>
    <w:qFormat/>
    <w:rsid w:val="00916BDD"/>
    <w:pPr>
      <w:spacing w:after="0" w:line="240" w:lineRule="auto"/>
    </w:pPr>
    <w:rPr>
      <w:rFonts w:eastAsia="Times New Roman"/>
      <w:sz w:val="12"/>
      <w:szCs w:val="20"/>
      <w:lang w:val="en-CA" w:eastAsia="en-US"/>
    </w:rPr>
  </w:style>
  <w:style w:type="character" w:styleId="UnresolvedMention">
    <w:name w:val="Unresolved Mention"/>
    <w:basedOn w:val="DefaultParagraphFont"/>
    <w:uiPriority w:val="99"/>
    <w:semiHidden/>
    <w:unhideWhenUsed/>
    <w:rsid w:val="001D61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865433">
      <w:bodyDiv w:val="1"/>
      <w:marLeft w:val="0"/>
      <w:marRight w:val="0"/>
      <w:marTop w:val="0"/>
      <w:marBottom w:val="0"/>
      <w:divBdr>
        <w:top w:val="none" w:sz="0" w:space="0" w:color="auto"/>
        <w:left w:val="none" w:sz="0" w:space="0" w:color="auto"/>
        <w:bottom w:val="none" w:sz="0" w:space="0" w:color="auto"/>
        <w:right w:val="none" w:sz="0" w:space="0" w:color="auto"/>
      </w:divBdr>
    </w:div>
    <w:div w:id="193202111">
      <w:bodyDiv w:val="1"/>
      <w:marLeft w:val="0"/>
      <w:marRight w:val="0"/>
      <w:marTop w:val="0"/>
      <w:marBottom w:val="0"/>
      <w:divBdr>
        <w:top w:val="none" w:sz="0" w:space="0" w:color="auto"/>
        <w:left w:val="none" w:sz="0" w:space="0" w:color="auto"/>
        <w:bottom w:val="none" w:sz="0" w:space="0" w:color="auto"/>
        <w:right w:val="none" w:sz="0" w:space="0" w:color="auto"/>
      </w:divBdr>
    </w:div>
    <w:div w:id="399986347">
      <w:bodyDiv w:val="1"/>
      <w:marLeft w:val="0"/>
      <w:marRight w:val="0"/>
      <w:marTop w:val="0"/>
      <w:marBottom w:val="0"/>
      <w:divBdr>
        <w:top w:val="none" w:sz="0" w:space="0" w:color="auto"/>
        <w:left w:val="none" w:sz="0" w:space="0" w:color="auto"/>
        <w:bottom w:val="none" w:sz="0" w:space="0" w:color="auto"/>
        <w:right w:val="none" w:sz="0" w:space="0" w:color="auto"/>
      </w:divBdr>
    </w:div>
    <w:div w:id="437868880">
      <w:bodyDiv w:val="1"/>
      <w:marLeft w:val="0"/>
      <w:marRight w:val="0"/>
      <w:marTop w:val="0"/>
      <w:marBottom w:val="0"/>
      <w:divBdr>
        <w:top w:val="none" w:sz="0" w:space="0" w:color="auto"/>
        <w:left w:val="none" w:sz="0" w:space="0" w:color="auto"/>
        <w:bottom w:val="none" w:sz="0" w:space="0" w:color="auto"/>
        <w:right w:val="none" w:sz="0" w:space="0" w:color="auto"/>
      </w:divBdr>
    </w:div>
    <w:div w:id="716197964">
      <w:bodyDiv w:val="1"/>
      <w:marLeft w:val="0"/>
      <w:marRight w:val="0"/>
      <w:marTop w:val="0"/>
      <w:marBottom w:val="0"/>
      <w:divBdr>
        <w:top w:val="none" w:sz="0" w:space="0" w:color="auto"/>
        <w:left w:val="none" w:sz="0" w:space="0" w:color="auto"/>
        <w:bottom w:val="none" w:sz="0" w:space="0" w:color="auto"/>
        <w:right w:val="none" w:sz="0" w:space="0" w:color="auto"/>
      </w:divBdr>
    </w:div>
    <w:div w:id="809594755">
      <w:bodyDiv w:val="1"/>
      <w:marLeft w:val="0"/>
      <w:marRight w:val="0"/>
      <w:marTop w:val="0"/>
      <w:marBottom w:val="0"/>
      <w:divBdr>
        <w:top w:val="none" w:sz="0" w:space="0" w:color="auto"/>
        <w:left w:val="none" w:sz="0" w:space="0" w:color="auto"/>
        <w:bottom w:val="none" w:sz="0" w:space="0" w:color="auto"/>
        <w:right w:val="none" w:sz="0" w:space="0" w:color="auto"/>
      </w:divBdr>
    </w:div>
    <w:div w:id="922110557">
      <w:bodyDiv w:val="1"/>
      <w:marLeft w:val="0"/>
      <w:marRight w:val="0"/>
      <w:marTop w:val="0"/>
      <w:marBottom w:val="0"/>
      <w:divBdr>
        <w:top w:val="none" w:sz="0" w:space="0" w:color="auto"/>
        <w:left w:val="none" w:sz="0" w:space="0" w:color="auto"/>
        <w:bottom w:val="none" w:sz="0" w:space="0" w:color="auto"/>
        <w:right w:val="none" w:sz="0" w:space="0" w:color="auto"/>
      </w:divBdr>
    </w:div>
    <w:div w:id="990521550">
      <w:bodyDiv w:val="1"/>
      <w:marLeft w:val="0"/>
      <w:marRight w:val="0"/>
      <w:marTop w:val="0"/>
      <w:marBottom w:val="0"/>
      <w:divBdr>
        <w:top w:val="none" w:sz="0" w:space="0" w:color="auto"/>
        <w:left w:val="none" w:sz="0" w:space="0" w:color="auto"/>
        <w:bottom w:val="none" w:sz="0" w:space="0" w:color="auto"/>
        <w:right w:val="none" w:sz="0" w:space="0" w:color="auto"/>
      </w:divBdr>
    </w:div>
    <w:div w:id="1038970232">
      <w:bodyDiv w:val="1"/>
      <w:marLeft w:val="0"/>
      <w:marRight w:val="0"/>
      <w:marTop w:val="0"/>
      <w:marBottom w:val="0"/>
      <w:divBdr>
        <w:top w:val="none" w:sz="0" w:space="0" w:color="auto"/>
        <w:left w:val="none" w:sz="0" w:space="0" w:color="auto"/>
        <w:bottom w:val="none" w:sz="0" w:space="0" w:color="auto"/>
        <w:right w:val="none" w:sz="0" w:space="0" w:color="auto"/>
      </w:divBdr>
    </w:div>
    <w:div w:id="1141072772">
      <w:bodyDiv w:val="1"/>
      <w:marLeft w:val="0"/>
      <w:marRight w:val="0"/>
      <w:marTop w:val="0"/>
      <w:marBottom w:val="0"/>
      <w:divBdr>
        <w:top w:val="none" w:sz="0" w:space="0" w:color="auto"/>
        <w:left w:val="none" w:sz="0" w:space="0" w:color="auto"/>
        <w:bottom w:val="none" w:sz="0" w:space="0" w:color="auto"/>
        <w:right w:val="none" w:sz="0" w:space="0" w:color="auto"/>
      </w:divBdr>
    </w:div>
    <w:div w:id="1555383775">
      <w:bodyDiv w:val="1"/>
      <w:marLeft w:val="0"/>
      <w:marRight w:val="0"/>
      <w:marTop w:val="0"/>
      <w:marBottom w:val="0"/>
      <w:divBdr>
        <w:top w:val="none" w:sz="0" w:space="0" w:color="auto"/>
        <w:left w:val="none" w:sz="0" w:space="0" w:color="auto"/>
        <w:bottom w:val="none" w:sz="0" w:space="0" w:color="auto"/>
        <w:right w:val="none" w:sz="0" w:space="0" w:color="auto"/>
      </w:divBdr>
    </w:div>
    <w:div w:id="1673296212">
      <w:bodyDiv w:val="1"/>
      <w:marLeft w:val="0"/>
      <w:marRight w:val="0"/>
      <w:marTop w:val="0"/>
      <w:marBottom w:val="0"/>
      <w:divBdr>
        <w:top w:val="none" w:sz="0" w:space="0" w:color="auto"/>
        <w:left w:val="none" w:sz="0" w:space="0" w:color="auto"/>
        <w:bottom w:val="none" w:sz="0" w:space="0" w:color="auto"/>
        <w:right w:val="none" w:sz="0" w:space="0" w:color="auto"/>
      </w:divBdr>
    </w:div>
    <w:div w:id="1722556292">
      <w:bodyDiv w:val="1"/>
      <w:marLeft w:val="0"/>
      <w:marRight w:val="0"/>
      <w:marTop w:val="0"/>
      <w:marBottom w:val="0"/>
      <w:divBdr>
        <w:top w:val="none" w:sz="0" w:space="0" w:color="auto"/>
        <w:left w:val="none" w:sz="0" w:space="0" w:color="auto"/>
        <w:bottom w:val="none" w:sz="0" w:space="0" w:color="auto"/>
        <w:right w:val="none" w:sz="0" w:space="0" w:color="auto"/>
      </w:divBdr>
    </w:div>
    <w:div w:id="1927229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ivanhoeelectric.com/investors/technical-reports/" TargetMode="External"/><Relationship Id="rId26" Type="http://schemas.openxmlformats.org/officeDocument/2006/relationships/image" Target="cid:image001.jpg@01D89E79.E927CA00" TargetMode="External"/><Relationship Id="rId3" Type="http://schemas.openxmlformats.org/officeDocument/2006/relationships/numbering" Target="numbering.xml"/><Relationship Id="rId21" Type="http://schemas.openxmlformats.org/officeDocument/2006/relationships/hyperlink" Target="https://ivanhoeelectric.com/investors/technical-reports/" TargetMode="External"/><Relationship Id="rId34"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cid:image002.jpg@01D89E79.E927CA00" TargetMode="Externa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header" Target="header1.xml"/><Relationship Id="rId35" Type="http://schemas.openxmlformats.org/officeDocument/2006/relationships/fontTable" Target="fontTable.xml"/><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p r o p e r t i e s   x m l n s = " h t t p : / / w w w . i m a n a g e . c o m / w o r k / x m l s c h e m a " >  
     < d o c u m e n t i d > S E D O C S ! 1 1 5 8 2 8 0 5 6 . 1 < / d o c u m e n t i d >  
     < s e n d e r i d > M A R K I N Q < / s e n d e r i d >  
     < s e n d e r e m a i l > Q M A R K I N @ S T I K E M A N . C O M < / s e n d e r e m a i l >  
     < l a s t m o d i f i e d > 2 0 2 2 - 0 7 - 2 7 T 1 5 : 3 2 : 0 0 . 0 0 0 0 0 0 0 + 1 0 : 0 0 < / l a s t m o d i f i e d >  
     < d a t a b a s e > S E D O C S < / d a t a b a s e >  
 < / 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CDF2D3-D45B-4F33-86B3-8C803888394D}">
  <ds:schemaRefs>
    <ds:schemaRef ds:uri="http://www.imanage.com/work/xmlschema"/>
  </ds:schemaRefs>
</ds:datastoreItem>
</file>

<file path=customXml/itemProps2.xml><?xml version="1.0" encoding="utf-8"?>
<ds:datastoreItem xmlns:ds="http://schemas.openxmlformats.org/officeDocument/2006/customXml" ds:itemID="{9091AD8B-9089-4B82-8C1D-5E6164D9E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21</Pages>
  <Words>4193</Words>
  <Characters>23904</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Kimberly Lim</dc:creator>
  <cp:keywords/>
  <dc:description/>
  <cp:lastModifiedBy>Kimberly Lim</cp:lastModifiedBy>
  <cp:revision>8</cp:revision>
  <cp:lastPrinted>2022-07-27T19:06:00Z</cp:lastPrinted>
  <dcterms:created xsi:type="dcterms:W3CDTF">2022-07-27T19:00:00Z</dcterms:created>
  <dcterms:modified xsi:type="dcterms:W3CDTF">2022-07-27T19:44:00Z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DAutoUpdate">
    <vt:lpwstr>ALL</vt:lpwstr>
  </property>
  <property fmtid="{D5CDD505-2E9C-101B-9397-08002B2CF9AE}" pid="3" name="SEDocID">
    <vt:lpwstr>115828056 v1</vt:lpwstr>
  </property>
</Properties>
</file>