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19849" w14:textId="4E9B8A23" w:rsidR="00697537" w:rsidRPr="00E547E7" w:rsidRDefault="00697537" w:rsidP="00E23A2B">
      <w:pPr>
        <w:jc w:val="center"/>
        <w:rPr>
          <w:rFonts w:asciiTheme="minorHAnsi" w:hAnsiTheme="minorHAnsi" w:cstheme="minorHAnsi"/>
          <w:b/>
          <w:bCs/>
          <w:sz w:val="22"/>
          <w:szCs w:val="22"/>
        </w:rPr>
      </w:pPr>
      <w:r w:rsidRPr="00E547E7">
        <w:rPr>
          <w:rFonts w:asciiTheme="minorHAnsi" w:hAnsiTheme="minorHAnsi" w:cstheme="minorHAnsi"/>
          <w:b/>
          <w:bCs/>
          <w:sz w:val="22"/>
          <w:szCs w:val="22"/>
        </w:rPr>
        <w:t xml:space="preserve">Moderna Reports </w:t>
      </w:r>
      <w:r w:rsidR="00BD29D1">
        <w:rPr>
          <w:rFonts w:asciiTheme="minorHAnsi" w:hAnsiTheme="minorHAnsi" w:cstheme="minorHAnsi"/>
          <w:b/>
          <w:bCs/>
          <w:sz w:val="22"/>
          <w:szCs w:val="22"/>
        </w:rPr>
        <w:t xml:space="preserve">Second </w:t>
      </w:r>
      <w:r w:rsidRPr="00E547E7">
        <w:rPr>
          <w:rFonts w:asciiTheme="minorHAnsi" w:hAnsiTheme="minorHAnsi" w:cstheme="minorHAnsi"/>
          <w:b/>
          <w:bCs/>
          <w:sz w:val="22"/>
          <w:szCs w:val="22"/>
        </w:rPr>
        <w:t xml:space="preserve">Quarter </w:t>
      </w:r>
      <w:r w:rsidR="00E7544F">
        <w:rPr>
          <w:rFonts w:asciiTheme="minorHAnsi" w:hAnsiTheme="minorHAnsi" w:cstheme="minorHAnsi"/>
          <w:b/>
          <w:bCs/>
          <w:sz w:val="22"/>
          <w:szCs w:val="22"/>
        </w:rPr>
        <w:t xml:space="preserve">2022 </w:t>
      </w:r>
      <w:r w:rsidRPr="00E547E7">
        <w:rPr>
          <w:rFonts w:asciiTheme="minorHAnsi" w:hAnsiTheme="minorHAnsi" w:cstheme="minorHAnsi"/>
          <w:b/>
          <w:bCs/>
          <w:sz w:val="22"/>
          <w:szCs w:val="22"/>
        </w:rPr>
        <w:t>Financial Results and Provides Business Updates</w:t>
      </w:r>
    </w:p>
    <w:p w14:paraId="5F0AB737" w14:textId="77777777" w:rsidR="00260F5A" w:rsidRDefault="00260F5A" w:rsidP="00260F5A">
      <w:pPr>
        <w:rPr>
          <w:rFonts w:asciiTheme="minorHAnsi" w:hAnsiTheme="minorHAnsi" w:cstheme="minorHAnsi"/>
          <w:i/>
          <w:iCs/>
          <w:color w:val="000000" w:themeColor="text1"/>
          <w:sz w:val="22"/>
          <w:szCs w:val="22"/>
          <w:shd w:val="clear" w:color="auto" w:fill="FFFFFF"/>
        </w:rPr>
      </w:pPr>
    </w:p>
    <w:p w14:paraId="7A1CDFBA" w14:textId="7F650191" w:rsidR="00463AA0" w:rsidRDefault="00BD29D1" w:rsidP="00463AA0">
      <w:pPr>
        <w:jc w:val="center"/>
        <w:rPr>
          <w:rFonts w:asciiTheme="minorHAnsi" w:hAnsiTheme="minorHAnsi" w:cstheme="minorHAnsi"/>
          <w:i/>
          <w:iCs/>
          <w:sz w:val="22"/>
          <w:szCs w:val="22"/>
        </w:rPr>
      </w:pPr>
      <w:r>
        <w:rPr>
          <w:rFonts w:asciiTheme="minorHAnsi" w:hAnsiTheme="minorHAnsi" w:cstheme="minorHAnsi"/>
          <w:i/>
          <w:iCs/>
          <w:color w:val="000000"/>
          <w:sz w:val="22"/>
          <w:szCs w:val="22"/>
          <w:shd w:val="clear" w:color="auto" w:fill="FFFFFF"/>
        </w:rPr>
        <w:t>Second</w:t>
      </w:r>
      <w:r w:rsidR="00EB7149">
        <w:rPr>
          <w:rFonts w:asciiTheme="minorHAnsi" w:hAnsiTheme="minorHAnsi" w:cstheme="minorHAnsi"/>
          <w:i/>
          <w:iCs/>
          <w:color w:val="000000"/>
          <w:sz w:val="22"/>
          <w:szCs w:val="22"/>
          <w:shd w:val="clear" w:color="auto" w:fill="FFFFFF"/>
        </w:rPr>
        <w:t xml:space="preserve"> quarter</w:t>
      </w:r>
      <w:r w:rsidR="00463AA0" w:rsidRPr="00463AA0">
        <w:rPr>
          <w:rFonts w:asciiTheme="minorHAnsi" w:hAnsiTheme="minorHAnsi" w:cstheme="minorHAnsi"/>
          <w:i/>
          <w:iCs/>
          <w:color w:val="000000"/>
          <w:sz w:val="22"/>
          <w:szCs w:val="22"/>
          <w:shd w:val="clear" w:color="auto" w:fill="FFFFFF"/>
        </w:rPr>
        <w:t xml:space="preserve"> 2022 revenues of </w:t>
      </w:r>
      <w:r w:rsidR="00D62B99">
        <w:rPr>
          <w:rFonts w:asciiTheme="minorHAnsi" w:hAnsiTheme="minorHAnsi" w:cstheme="minorHAnsi"/>
          <w:i/>
          <w:iCs/>
          <w:sz w:val="22"/>
          <w:szCs w:val="22"/>
        </w:rPr>
        <w:t>$4.7</w:t>
      </w:r>
      <w:r w:rsidR="002D31AD">
        <w:rPr>
          <w:rFonts w:asciiTheme="minorHAnsi" w:hAnsiTheme="minorHAnsi" w:cstheme="minorHAnsi"/>
          <w:i/>
          <w:iCs/>
          <w:sz w:val="22"/>
          <w:szCs w:val="22"/>
        </w:rPr>
        <w:t xml:space="preserve"> billion</w:t>
      </w:r>
      <w:r w:rsidR="00463AA0" w:rsidRPr="00463AA0">
        <w:rPr>
          <w:rFonts w:asciiTheme="minorHAnsi" w:hAnsiTheme="minorHAnsi" w:cstheme="minorHAnsi"/>
          <w:i/>
          <w:iCs/>
          <w:color w:val="000000"/>
          <w:sz w:val="22"/>
          <w:szCs w:val="22"/>
          <w:shd w:val="clear" w:color="auto" w:fill="FFFFFF"/>
        </w:rPr>
        <w:t>; GAAP net</w:t>
      </w:r>
      <w:r w:rsidR="00DE52CD">
        <w:rPr>
          <w:rFonts w:asciiTheme="minorHAnsi" w:hAnsiTheme="minorHAnsi" w:cstheme="minorHAnsi"/>
          <w:i/>
          <w:iCs/>
          <w:color w:val="000000"/>
          <w:sz w:val="22"/>
          <w:szCs w:val="22"/>
          <w:shd w:val="clear" w:color="auto" w:fill="FFFFFF"/>
        </w:rPr>
        <w:t xml:space="preserve"> </w:t>
      </w:r>
      <w:r w:rsidR="00463AA0" w:rsidRPr="00463AA0">
        <w:rPr>
          <w:rFonts w:asciiTheme="minorHAnsi" w:hAnsiTheme="minorHAnsi" w:cstheme="minorHAnsi"/>
          <w:i/>
          <w:iCs/>
          <w:color w:val="000000"/>
          <w:sz w:val="22"/>
          <w:szCs w:val="22"/>
          <w:shd w:val="clear" w:color="auto" w:fill="FFFFFF"/>
        </w:rPr>
        <w:t>income of $</w:t>
      </w:r>
      <w:r w:rsidR="00D62B99">
        <w:rPr>
          <w:rFonts w:asciiTheme="minorHAnsi" w:hAnsiTheme="minorHAnsi" w:cstheme="minorHAnsi"/>
          <w:i/>
          <w:iCs/>
          <w:sz w:val="22"/>
          <w:szCs w:val="22"/>
        </w:rPr>
        <w:t>2.2</w:t>
      </w:r>
      <w:r w:rsidR="002D31AD">
        <w:rPr>
          <w:rFonts w:asciiTheme="minorHAnsi" w:hAnsiTheme="minorHAnsi" w:cstheme="minorHAnsi"/>
          <w:i/>
          <w:iCs/>
          <w:sz w:val="22"/>
          <w:szCs w:val="22"/>
        </w:rPr>
        <w:t xml:space="preserve"> billion</w:t>
      </w:r>
      <w:r w:rsidR="00463AA0" w:rsidRPr="00463AA0">
        <w:rPr>
          <w:rFonts w:asciiTheme="minorHAnsi" w:hAnsiTheme="minorHAnsi" w:cstheme="minorHAnsi"/>
          <w:i/>
          <w:iCs/>
          <w:color w:val="000000"/>
          <w:sz w:val="22"/>
          <w:szCs w:val="22"/>
          <w:shd w:val="clear" w:color="auto" w:fill="FFFFFF"/>
        </w:rPr>
        <w:t xml:space="preserve"> and GAAP diluted EPS of </w:t>
      </w:r>
      <w:r>
        <w:rPr>
          <w:rFonts w:asciiTheme="minorHAnsi" w:hAnsiTheme="minorHAnsi" w:cstheme="minorHAnsi"/>
          <w:i/>
          <w:iCs/>
          <w:sz w:val="22"/>
          <w:szCs w:val="22"/>
        </w:rPr>
        <w:t>$</w:t>
      </w:r>
      <w:r w:rsidR="00D62B99">
        <w:rPr>
          <w:rFonts w:asciiTheme="minorHAnsi" w:hAnsiTheme="minorHAnsi" w:cstheme="minorHAnsi"/>
          <w:i/>
          <w:iCs/>
          <w:sz w:val="22"/>
          <w:szCs w:val="22"/>
        </w:rPr>
        <w:t>5.24</w:t>
      </w:r>
    </w:p>
    <w:p w14:paraId="17710642" w14:textId="0248C073" w:rsidR="001E3B36" w:rsidRDefault="001E3B36" w:rsidP="00463AA0">
      <w:pPr>
        <w:jc w:val="center"/>
        <w:rPr>
          <w:rFonts w:asciiTheme="minorHAnsi" w:hAnsiTheme="minorHAnsi" w:cstheme="minorHAnsi"/>
          <w:i/>
          <w:iCs/>
          <w:sz w:val="22"/>
          <w:szCs w:val="22"/>
        </w:rPr>
      </w:pPr>
    </w:p>
    <w:p w14:paraId="1BF20AB9" w14:textId="58DC9604" w:rsidR="0093242B" w:rsidRDefault="00AA636F" w:rsidP="00463AA0">
      <w:pPr>
        <w:jc w:val="center"/>
        <w:rPr>
          <w:rFonts w:asciiTheme="minorHAnsi" w:hAnsiTheme="minorHAnsi" w:cstheme="minorHAnsi"/>
          <w:i/>
          <w:iCs/>
          <w:sz w:val="22"/>
          <w:szCs w:val="22"/>
        </w:rPr>
      </w:pPr>
      <w:r>
        <w:rPr>
          <w:rFonts w:ascii="Calibri" w:hAnsi="Calibri" w:cs="Calibri"/>
          <w:i/>
          <w:iCs/>
          <w:color w:val="000000"/>
          <w:sz w:val="22"/>
          <w:szCs w:val="22"/>
          <w:shd w:val="clear" w:color="auto" w:fill="FFFFFF"/>
        </w:rPr>
        <w:t>Company</w:t>
      </w:r>
      <w:r w:rsidR="0093242B" w:rsidRPr="00081CC8">
        <w:rPr>
          <w:rFonts w:ascii="Calibri" w:hAnsi="Calibri" w:cs="Calibri"/>
          <w:i/>
          <w:iCs/>
          <w:color w:val="000000"/>
          <w:sz w:val="22"/>
          <w:szCs w:val="22"/>
          <w:shd w:val="clear" w:color="auto" w:fill="FFFFFF"/>
        </w:rPr>
        <w:t xml:space="preserve"> reiterates advance purchase agreements </w:t>
      </w:r>
      <w:r w:rsidR="0076209B">
        <w:rPr>
          <w:rFonts w:ascii="Calibri" w:hAnsi="Calibri" w:cs="Calibri"/>
          <w:i/>
          <w:iCs/>
          <w:color w:val="000000"/>
          <w:sz w:val="22"/>
          <w:szCs w:val="22"/>
          <w:shd w:val="clear" w:color="auto" w:fill="FFFFFF"/>
        </w:rPr>
        <w:t xml:space="preserve">for expected delivery in 2022 </w:t>
      </w:r>
      <w:r w:rsidR="0093242B" w:rsidRPr="00081CC8">
        <w:rPr>
          <w:rFonts w:ascii="Calibri" w:hAnsi="Calibri" w:cs="Calibri"/>
          <w:i/>
          <w:iCs/>
          <w:color w:val="000000"/>
          <w:sz w:val="22"/>
          <w:szCs w:val="22"/>
          <w:shd w:val="clear" w:color="auto" w:fill="FFFFFF"/>
        </w:rPr>
        <w:t>of approximately $21 billion</w:t>
      </w:r>
      <w:r w:rsidR="0093242B">
        <w:rPr>
          <w:rFonts w:asciiTheme="minorHAnsi" w:hAnsiTheme="minorHAnsi" w:cstheme="minorHAnsi"/>
          <w:i/>
          <w:iCs/>
          <w:sz w:val="22"/>
          <w:szCs w:val="22"/>
        </w:rPr>
        <w:t xml:space="preserve"> </w:t>
      </w:r>
    </w:p>
    <w:p w14:paraId="4A03FC5F" w14:textId="466A7A48" w:rsidR="00602E95" w:rsidRPr="00A4201D" w:rsidRDefault="00602E95" w:rsidP="00A4201D">
      <w:pPr>
        <w:jc w:val="center"/>
        <w:rPr>
          <w:rFonts w:asciiTheme="minorHAnsi" w:hAnsiTheme="minorHAnsi"/>
          <w:i/>
          <w:sz w:val="22"/>
        </w:rPr>
      </w:pPr>
    </w:p>
    <w:p w14:paraId="7DE1EC40" w14:textId="5D48A44C" w:rsidR="00602E95" w:rsidRDefault="00602E95" w:rsidP="00463AA0">
      <w:pPr>
        <w:jc w:val="center"/>
        <w:rPr>
          <w:rFonts w:asciiTheme="minorHAnsi" w:hAnsiTheme="minorHAnsi" w:cstheme="minorHAnsi"/>
          <w:i/>
          <w:iCs/>
          <w:sz w:val="22"/>
          <w:szCs w:val="22"/>
        </w:rPr>
      </w:pPr>
      <w:r w:rsidRPr="00A4201D">
        <w:rPr>
          <w:rFonts w:asciiTheme="minorHAnsi" w:hAnsiTheme="minorHAnsi"/>
          <w:i/>
          <w:sz w:val="22"/>
        </w:rPr>
        <w:t xml:space="preserve">Company </w:t>
      </w:r>
      <w:r>
        <w:rPr>
          <w:rFonts w:asciiTheme="minorHAnsi" w:hAnsiTheme="minorHAnsi" w:cstheme="minorHAnsi"/>
          <w:i/>
          <w:iCs/>
          <w:sz w:val="22"/>
          <w:szCs w:val="22"/>
        </w:rPr>
        <w:t>announces new $3 billion share repurchase plan</w:t>
      </w:r>
    </w:p>
    <w:p w14:paraId="40F10EDB" w14:textId="77777777" w:rsidR="00784958" w:rsidRDefault="00784958" w:rsidP="00784958">
      <w:pPr>
        <w:rPr>
          <w:rFonts w:asciiTheme="minorHAnsi" w:hAnsiTheme="minorHAnsi" w:cstheme="minorHAnsi"/>
          <w:i/>
          <w:iCs/>
          <w:sz w:val="22"/>
          <w:szCs w:val="22"/>
        </w:rPr>
      </w:pPr>
    </w:p>
    <w:p w14:paraId="7AD3AD17" w14:textId="6198054D" w:rsidR="00784958" w:rsidRDefault="00784958" w:rsidP="00784958">
      <w:pPr>
        <w:jc w:val="center"/>
        <w:rPr>
          <w:rFonts w:asciiTheme="minorHAnsi" w:hAnsiTheme="minorHAnsi" w:cstheme="minorHAnsi"/>
          <w:i/>
          <w:iCs/>
          <w:sz w:val="22"/>
          <w:szCs w:val="22"/>
        </w:rPr>
      </w:pPr>
      <w:r w:rsidRPr="00D47172">
        <w:rPr>
          <w:rFonts w:asciiTheme="minorHAnsi" w:hAnsiTheme="minorHAnsi" w:cstheme="minorHAnsi"/>
          <w:i/>
          <w:iCs/>
          <w:sz w:val="22"/>
          <w:szCs w:val="22"/>
        </w:rPr>
        <w:t xml:space="preserve">Company </w:t>
      </w:r>
      <w:r>
        <w:rPr>
          <w:rFonts w:asciiTheme="minorHAnsi" w:hAnsiTheme="minorHAnsi" w:cstheme="minorHAnsi"/>
          <w:i/>
          <w:iCs/>
          <w:sz w:val="22"/>
          <w:szCs w:val="22"/>
        </w:rPr>
        <w:t>has</w:t>
      </w:r>
      <w:r w:rsidRPr="00D47172">
        <w:rPr>
          <w:rFonts w:asciiTheme="minorHAnsi" w:hAnsiTheme="minorHAnsi" w:cstheme="minorHAnsi"/>
          <w:i/>
          <w:iCs/>
          <w:sz w:val="22"/>
          <w:szCs w:val="22"/>
        </w:rPr>
        <w:t xml:space="preserve"> four </w:t>
      </w:r>
      <w:r>
        <w:rPr>
          <w:rFonts w:asciiTheme="minorHAnsi" w:hAnsiTheme="minorHAnsi" w:cstheme="minorHAnsi"/>
          <w:i/>
          <w:iCs/>
          <w:sz w:val="22"/>
          <w:szCs w:val="22"/>
        </w:rPr>
        <w:t xml:space="preserve">infectious disease vaccines </w:t>
      </w:r>
      <w:r w:rsidRPr="00D47172">
        <w:rPr>
          <w:rFonts w:asciiTheme="minorHAnsi" w:hAnsiTheme="minorHAnsi" w:cstheme="minorHAnsi"/>
          <w:i/>
          <w:iCs/>
          <w:sz w:val="22"/>
          <w:szCs w:val="22"/>
        </w:rPr>
        <w:t>in Phase 3</w:t>
      </w:r>
      <w:r>
        <w:rPr>
          <w:rFonts w:asciiTheme="minorHAnsi" w:hAnsiTheme="minorHAnsi" w:cstheme="minorHAnsi"/>
          <w:i/>
          <w:iCs/>
          <w:sz w:val="22"/>
          <w:szCs w:val="22"/>
        </w:rPr>
        <w:t xml:space="preserve"> and expects data from proof-of-concept studies in rare diseases and immuno-oncology later this year</w:t>
      </w:r>
    </w:p>
    <w:p w14:paraId="0C503E10" w14:textId="77777777" w:rsidR="0093242B" w:rsidRDefault="0093242B" w:rsidP="00A4201D">
      <w:pPr>
        <w:rPr>
          <w:rFonts w:asciiTheme="minorHAnsi" w:hAnsiTheme="minorHAnsi" w:cstheme="minorHAnsi"/>
          <w:i/>
          <w:iCs/>
          <w:sz w:val="22"/>
          <w:szCs w:val="22"/>
        </w:rPr>
      </w:pPr>
    </w:p>
    <w:p w14:paraId="73585979" w14:textId="24C13ECD" w:rsidR="7FCC71DE" w:rsidRPr="007420D0" w:rsidRDefault="007C237C" w:rsidP="7FCC71DE">
      <w:pPr>
        <w:rPr>
          <w:rFonts w:asciiTheme="minorHAnsi" w:hAnsiTheme="minorHAnsi" w:cstheme="minorBidi"/>
          <w:color w:val="000000" w:themeColor="text1"/>
          <w:sz w:val="22"/>
          <w:szCs w:val="22"/>
        </w:rPr>
      </w:pPr>
      <w:r>
        <w:br/>
      </w:r>
      <w:r w:rsidR="00697537" w:rsidRPr="1B5B2DA2">
        <w:rPr>
          <w:rFonts w:asciiTheme="minorHAnsi" w:hAnsiTheme="minorHAnsi" w:cstheme="minorBidi"/>
          <w:color w:val="000000" w:themeColor="text1"/>
          <w:sz w:val="22"/>
          <w:szCs w:val="22"/>
        </w:rPr>
        <w:t>CAMBRIDGE, Mass.</w:t>
      </w:r>
      <w:r w:rsidR="007420D0">
        <w:rPr>
          <w:rFonts w:asciiTheme="minorHAnsi" w:hAnsiTheme="minorHAnsi" w:cstheme="minorBidi"/>
          <w:color w:val="000000" w:themeColor="text1"/>
          <w:sz w:val="22"/>
          <w:szCs w:val="22"/>
        </w:rPr>
        <w:t>—</w:t>
      </w:r>
      <w:r w:rsidR="00697537" w:rsidRPr="1B5B2DA2">
        <w:rPr>
          <w:rFonts w:asciiTheme="minorHAnsi" w:hAnsiTheme="minorHAnsi" w:cstheme="minorBidi"/>
          <w:color w:val="000000" w:themeColor="text1"/>
          <w:sz w:val="22"/>
          <w:szCs w:val="22"/>
        </w:rPr>
        <w:t>(</w:t>
      </w:r>
      <w:r w:rsidR="009F50A2" w:rsidRPr="1B5B2DA2">
        <w:rPr>
          <w:rFonts w:asciiTheme="minorHAnsi" w:hAnsiTheme="minorHAnsi" w:cstheme="minorBidi"/>
          <w:color w:val="000000" w:themeColor="text1"/>
          <w:sz w:val="22"/>
          <w:szCs w:val="22"/>
        </w:rPr>
        <w:t>ACCESS</w:t>
      </w:r>
      <w:r w:rsidR="00697537" w:rsidRPr="1B5B2DA2">
        <w:rPr>
          <w:rFonts w:asciiTheme="minorHAnsi" w:hAnsiTheme="minorHAnsi" w:cstheme="minorBidi"/>
          <w:color w:val="000000" w:themeColor="text1"/>
          <w:sz w:val="22"/>
          <w:szCs w:val="22"/>
        </w:rPr>
        <w:t xml:space="preserve"> WIRE)</w:t>
      </w:r>
      <w:r w:rsidR="00191261" w:rsidRPr="1B5B2DA2">
        <w:rPr>
          <w:rFonts w:asciiTheme="minorHAnsi" w:hAnsiTheme="minorHAnsi" w:cstheme="minorBidi"/>
          <w:color w:val="000000" w:themeColor="text1"/>
          <w:sz w:val="22"/>
          <w:szCs w:val="22"/>
        </w:rPr>
        <w:t>—</w:t>
      </w:r>
      <w:r w:rsidR="00BD29D1">
        <w:rPr>
          <w:rFonts w:asciiTheme="minorHAnsi" w:hAnsiTheme="minorHAnsi" w:cstheme="minorBidi"/>
          <w:color w:val="000000" w:themeColor="text1"/>
          <w:sz w:val="22"/>
          <w:szCs w:val="22"/>
        </w:rPr>
        <w:t>August 3</w:t>
      </w:r>
      <w:r w:rsidR="00697537" w:rsidRPr="1B5B2DA2">
        <w:rPr>
          <w:rFonts w:asciiTheme="minorHAnsi" w:hAnsiTheme="minorHAnsi" w:cstheme="minorBidi"/>
          <w:color w:val="000000" w:themeColor="text1"/>
          <w:sz w:val="22"/>
          <w:szCs w:val="22"/>
        </w:rPr>
        <w:t>, 202</w:t>
      </w:r>
      <w:r w:rsidR="00EB7C6C" w:rsidRPr="1B5B2DA2">
        <w:rPr>
          <w:rFonts w:asciiTheme="minorHAnsi" w:hAnsiTheme="minorHAnsi" w:cstheme="minorBidi"/>
          <w:color w:val="000000" w:themeColor="text1"/>
          <w:sz w:val="22"/>
          <w:szCs w:val="22"/>
        </w:rPr>
        <w:t>2</w:t>
      </w:r>
      <w:r w:rsidR="007420D0">
        <w:rPr>
          <w:rFonts w:asciiTheme="minorHAnsi" w:hAnsiTheme="minorHAnsi" w:cstheme="minorBidi"/>
          <w:color w:val="000000" w:themeColor="text1"/>
          <w:sz w:val="22"/>
          <w:szCs w:val="22"/>
        </w:rPr>
        <w:t>—</w:t>
      </w:r>
      <w:r w:rsidR="00697537" w:rsidRPr="1B5B2DA2">
        <w:rPr>
          <w:rFonts w:asciiTheme="minorHAnsi" w:hAnsiTheme="minorHAnsi" w:cstheme="minorBidi"/>
          <w:color w:val="000000" w:themeColor="text1"/>
          <w:sz w:val="22"/>
          <w:szCs w:val="22"/>
        </w:rPr>
        <w:t> </w:t>
      </w:r>
      <w:hyperlink r:id="rId11">
        <w:r w:rsidR="00697537" w:rsidRPr="1B5B2DA2">
          <w:rPr>
            <w:rFonts w:asciiTheme="minorHAnsi" w:hAnsiTheme="minorHAnsi" w:cstheme="minorBidi"/>
            <w:color w:val="000000" w:themeColor="text1"/>
            <w:sz w:val="22"/>
            <w:szCs w:val="22"/>
            <w:u w:val="single"/>
          </w:rPr>
          <w:t>Moderna, Inc</w:t>
        </w:r>
      </w:hyperlink>
      <w:r w:rsidR="00697537" w:rsidRPr="1B5B2DA2">
        <w:rPr>
          <w:rFonts w:asciiTheme="minorHAnsi" w:hAnsiTheme="minorHAnsi" w:cstheme="minorBidi"/>
          <w:color w:val="000000" w:themeColor="text1"/>
          <w:sz w:val="22"/>
          <w:szCs w:val="22"/>
        </w:rPr>
        <w:t xml:space="preserve">. (Nasdaq: MRNA), a biotechnology company pioneering messenger RNA (mRNA) therapeutics and vaccines, today reported financial results and provided business updates for the </w:t>
      </w:r>
      <w:r w:rsidR="00BD29D1">
        <w:rPr>
          <w:rFonts w:asciiTheme="minorHAnsi" w:hAnsiTheme="minorHAnsi" w:cstheme="minorBidi"/>
          <w:color w:val="000000" w:themeColor="text1"/>
          <w:sz w:val="22"/>
          <w:szCs w:val="22"/>
        </w:rPr>
        <w:t xml:space="preserve">second </w:t>
      </w:r>
      <w:r w:rsidR="00697537" w:rsidRPr="1B5B2DA2">
        <w:rPr>
          <w:rFonts w:asciiTheme="minorHAnsi" w:hAnsiTheme="minorHAnsi" w:cstheme="minorBidi"/>
          <w:color w:val="000000" w:themeColor="text1"/>
          <w:sz w:val="22"/>
          <w:szCs w:val="22"/>
        </w:rPr>
        <w:t>quarter of fiscal year 202</w:t>
      </w:r>
      <w:r w:rsidR="00EB7C6C" w:rsidRPr="1B5B2DA2">
        <w:rPr>
          <w:rFonts w:asciiTheme="minorHAnsi" w:hAnsiTheme="minorHAnsi" w:cstheme="minorBidi"/>
          <w:color w:val="000000" w:themeColor="text1"/>
          <w:sz w:val="22"/>
          <w:szCs w:val="22"/>
        </w:rPr>
        <w:t>2</w:t>
      </w:r>
      <w:r w:rsidR="00697537" w:rsidRPr="1B5B2DA2">
        <w:rPr>
          <w:rFonts w:asciiTheme="minorHAnsi" w:hAnsiTheme="minorHAnsi" w:cstheme="minorBidi"/>
          <w:color w:val="000000" w:themeColor="text1"/>
          <w:sz w:val="22"/>
          <w:szCs w:val="22"/>
        </w:rPr>
        <w:t>.</w:t>
      </w:r>
    </w:p>
    <w:p w14:paraId="35C695A1" w14:textId="202781F9" w:rsidR="00357408" w:rsidRPr="00712C88" w:rsidRDefault="00357408" w:rsidP="00357408"/>
    <w:p w14:paraId="7792DB33" w14:textId="438EBEBB" w:rsidR="00357408" w:rsidRPr="001F4511" w:rsidRDefault="00357408" w:rsidP="00357408">
      <w:pPr>
        <w:rPr>
          <w:rFonts w:asciiTheme="minorHAnsi" w:hAnsiTheme="minorHAnsi" w:cstheme="minorBidi"/>
          <w:color w:val="000000" w:themeColor="text1"/>
          <w:sz w:val="22"/>
          <w:szCs w:val="22"/>
        </w:rPr>
      </w:pPr>
      <w:r w:rsidRPr="001F4511">
        <w:rPr>
          <w:rFonts w:asciiTheme="minorHAnsi" w:hAnsiTheme="minorHAnsi" w:cstheme="minorBidi"/>
          <w:color w:val="000000" w:themeColor="text1"/>
          <w:sz w:val="22"/>
          <w:szCs w:val="22"/>
        </w:rPr>
        <w:t xml:space="preserve">“Today’s earnings represent a strong second quarter performance, with $10.8 </w:t>
      </w:r>
      <w:r w:rsidR="0076209B">
        <w:rPr>
          <w:rFonts w:asciiTheme="minorHAnsi" w:hAnsiTheme="minorHAnsi" w:cstheme="minorBidi"/>
          <w:color w:val="000000" w:themeColor="text1"/>
          <w:sz w:val="22"/>
          <w:szCs w:val="22"/>
        </w:rPr>
        <w:t>b</w:t>
      </w:r>
      <w:r w:rsidR="0076209B" w:rsidRPr="001F4511">
        <w:rPr>
          <w:rFonts w:asciiTheme="minorHAnsi" w:hAnsiTheme="minorHAnsi" w:cstheme="minorBidi"/>
          <w:color w:val="000000" w:themeColor="text1"/>
          <w:sz w:val="22"/>
          <w:szCs w:val="22"/>
        </w:rPr>
        <w:t xml:space="preserve">illion </w:t>
      </w:r>
      <w:r w:rsidRPr="001F4511">
        <w:rPr>
          <w:rFonts w:asciiTheme="minorHAnsi" w:hAnsiTheme="minorHAnsi" w:cstheme="minorBidi"/>
          <w:color w:val="000000" w:themeColor="text1"/>
          <w:sz w:val="22"/>
          <w:szCs w:val="22"/>
        </w:rPr>
        <w:t xml:space="preserve">in </w:t>
      </w:r>
      <w:r w:rsidR="00EE170E">
        <w:rPr>
          <w:rFonts w:asciiTheme="minorHAnsi" w:hAnsiTheme="minorHAnsi" w:cstheme="minorBidi"/>
          <w:color w:val="000000" w:themeColor="text1"/>
          <w:sz w:val="22"/>
          <w:szCs w:val="22"/>
        </w:rPr>
        <w:t>revenue</w:t>
      </w:r>
      <w:r w:rsidR="00EE170E" w:rsidRPr="001F4511">
        <w:rPr>
          <w:rFonts w:asciiTheme="minorHAnsi" w:hAnsiTheme="minorHAnsi" w:cstheme="minorBidi"/>
          <w:color w:val="000000" w:themeColor="text1"/>
          <w:sz w:val="22"/>
          <w:szCs w:val="22"/>
        </w:rPr>
        <w:t xml:space="preserve"> </w:t>
      </w:r>
      <w:r w:rsidRPr="001F4511">
        <w:rPr>
          <w:rFonts w:asciiTheme="minorHAnsi" w:hAnsiTheme="minorHAnsi" w:cstheme="minorBidi"/>
          <w:color w:val="000000" w:themeColor="text1"/>
          <w:sz w:val="22"/>
          <w:szCs w:val="22"/>
        </w:rPr>
        <w:t xml:space="preserve">for the </w:t>
      </w:r>
      <w:r w:rsidR="0076209B">
        <w:rPr>
          <w:rFonts w:asciiTheme="minorHAnsi" w:hAnsiTheme="minorHAnsi" w:cstheme="minorBidi"/>
          <w:color w:val="000000" w:themeColor="text1"/>
          <w:sz w:val="22"/>
          <w:szCs w:val="22"/>
        </w:rPr>
        <w:t xml:space="preserve">first </w:t>
      </w:r>
      <w:r w:rsidRPr="001F4511">
        <w:rPr>
          <w:rFonts w:asciiTheme="minorHAnsi" w:hAnsiTheme="minorHAnsi" w:cstheme="minorBidi"/>
          <w:color w:val="000000" w:themeColor="text1"/>
          <w:sz w:val="22"/>
          <w:szCs w:val="22"/>
        </w:rPr>
        <w:t xml:space="preserve">half of the year. We continue </w:t>
      </w:r>
      <w:r w:rsidR="0076209B">
        <w:rPr>
          <w:rFonts w:asciiTheme="minorHAnsi" w:hAnsiTheme="minorHAnsi" w:cstheme="minorBidi"/>
          <w:color w:val="000000" w:themeColor="text1"/>
          <w:sz w:val="22"/>
          <w:szCs w:val="22"/>
        </w:rPr>
        <w:t xml:space="preserve">to have advance purchase agreements for expected delivery in 2022 of around </w:t>
      </w:r>
      <w:r w:rsidRPr="001F4511">
        <w:rPr>
          <w:rFonts w:asciiTheme="minorHAnsi" w:hAnsiTheme="minorHAnsi" w:cstheme="minorBidi"/>
          <w:color w:val="000000" w:themeColor="text1"/>
          <w:sz w:val="22"/>
          <w:szCs w:val="22"/>
        </w:rPr>
        <w:t xml:space="preserve">$21 </w:t>
      </w:r>
      <w:r w:rsidR="0076209B">
        <w:rPr>
          <w:rFonts w:asciiTheme="minorHAnsi" w:hAnsiTheme="minorHAnsi" w:cstheme="minorBidi"/>
          <w:color w:val="000000" w:themeColor="text1"/>
          <w:sz w:val="22"/>
          <w:szCs w:val="22"/>
        </w:rPr>
        <w:t>b</w:t>
      </w:r>
      <w:r w:rsidR="0076209B" w:rsidRPr="001F4511">
        <w:rPr>
          <w:rFonts w:asciiTheme="minorHAnsi" w:hAnsiTheme="minorHAnsi" w:cstheme="minorBidi"/>
          <w:color w:val="000000" w:themeColor="text1"/>
          <w:sz w:val="22"/>
          <w:szCs w:val="22"/>
        </w:rPr>
        <w:t xml:space="preserve">illion </w:t>
      </w:r>
      <w:r w:rsidRPr="001F4511">
        <w:rPr>
          <w:rFonts w:asciiTheme="minorHAnsi" w:hAnsiTheme="minorHAnsi" w:cstheme="minorBidi"/>
          <w:color w:val="000000" w:themeColor="text1"/>
          <w:sz w:val="22"/>
          <w:szCs w:val="22"/>
        </w:rPr>
        <w:t xml:space="preserve">of sales. Given our strong financial position and commercial momentum, we are announcing today that the </w:t>
      </w:r>
      <w:r w:rsidR="00D76FD4" w:rsidRPr="001F4511">
        <w:rPr>
          <w:rFonts w:asciiTheme="minorHAnsi" w:hAnsiTheme="minorHAnsi" w:cstheme="minorBidi"/>
          <w:color w:val="000000" w:themeColor="text1"/>
          <w:sz w:val="22"/>
          <w:szCs w:val="22"/>
        </w:rPr>
        <w:t>B</w:t>
      </w:r>
      <w:r w:rsidRPr="001F4511">
        <w:rPr>
          <w:rFonts w:asciiTheme="minorHAnsi" w:hAnsiTheme="minorHAnsi" w:cstheme="minorBidi"/>
          <w:color w:val="000000" w:themeColor="text1"/>
          <w:sz w:val="22"/>
          <w:szCs w:val="22"/>
        </w:rPr>
        <w:t xml:space="preserve">oard of </w:t>
      </w:r>
      <w:r w:rsidR="00D76FD4" w:rsidRPr="001F4511">
        <w:rPr>
          <w:rFonts w:asciiTheme="minorHAnsi" w:hAnsiTheme="minorHAnsi" w:cstheme="minorBidi"/>
          <w:color w:val="000000" w:themeColor="text1"/>
          <w:sz w:val="22"/>
          <w:szCs w:val="22"/>
        </w:rPr>
        <w:t>D</w:t>
      </w:r>
      <w:r w:rsidRPr="001F4511">
        <w:rPr>
          <w:rFonts w:asciiTheme="minorHAnsi" w:hAnsiTheme="minorHAnsi" w:cstheme="minorBidi"/>
          <w:color w:val="000000" w:themeColor="text1"/>
          <w:sz w:val="22"/>
          <w:szCs w:val="22"/>
        </w:rPr>
        <w:t>irectors has approved a new share repurchase program for $3 billion</w:t>
      </w:r>
      <w:r w:rsidR="00D76FD4">
        <w:rPr>
          <w:rFonts w:asciiTheme="minorHAnsi" w:hAnsiTheme="minorHAnsi" w:cstheme="minorBidi"/>
          <w:color w:val="000000" w:themeColor="text1"/>
          <w:sz w:val="22"/>
          <w:szCs w:val="22"/>
        </w:rPr>
        <w:t>,</w:t>
      </w:r>
      <w:r w:rsidRPr="001F4511">
        <w:rPr>
          <w:rFonts w:asciiTheme="minorHAnsi" w:hAnsiTheme="minorHAnsi" w:cstheme="minorBidi"/>
          <w:color w:val="000000" w:themeColor="text1"/>
          <w:sz w:val="22"/>
          <w:szCs w:val="22"/>
        </w:rPr>
        <w:t xml:space="preserve">” said Stéphane Bancel, Chief Executive Officer of Moderna. “Despite the slowing economy and challenges in the biotech industry, Moderna is in a unique position: a platform to drive scale and speed in research of new medicines, a strong balance sheet </w:t>
      </w:r>
      <w:r w:rsidR="004C4050">
        <w:rPr>
          <w:rFonts w:asciiTheme="minorHAnsi" w:hAnsiTheme="minorHAnsi" w:cstheme="minorBidi"/>
          <w:color w:val="000000" w:themeColor="text1"/>
          <w:sz w:val="22"/>
          <w:szCs w:val="22"/>
        </w:rPr>
        <w:t>with</w:t>
      </w:r>
      <w:r w:rsidRPr="001F4511">
        <w:rPr>
          <w:rFonts w:asciiTheme="minorHAnsi" w:hAnsiTheme="minorHAnsi" w:cstheme="minorBidi"/>
          <w:color w:val="000000" w:themeColor="text1"/>
          <w:sz w:val="22"/>
          <w:szCs w:val="22"/>
        </w:rPr>
        <w:t xml:space="preserve"> $18 </w:t>
      </w:r>
      <w:r w:rsidR="0076209B">
        <w:rPr>
          <w:rFonts w:asciiTheme="minorHAnsi" w:hAnsiTheme="minorHAnsi" w:cstheme="minorBidi"/>
          <w:color w:val="000000" w:themeColor="text1"/>
          <w:sz w:val="22"/>
          <w:szCs w:val="22"/>
        </w:rPr>
        <w:t>b</w:t>
      </w:r>
      <w:r w:rsidR="0076209B" w:rsidRPr="001F4511">
        <w:rPr>
          <w:rFonts w:asciiTheme="minorHAnsi" w:hAnsiTheme="minorHAnsi" w:cstheme="minorBidi"/>
          <w:color w:val="000000" w:themeColor="text1"/>
          <w:sz w:val="22"/>
          <w:szCs w:val="22"/>
        </w:rPr>
        <w:t xml:space="preserve">illion </w:t>
      </w:r>
      <w:r w:rsidR="005B36D3">
        <w:rPr>
          <w:rFonts w:asciiTheme="minorHAnsi" w:hAnsiTheme="minorHAnsi" w:cstheme="minorBidi"/>
          <w:color w:val="000000" w:themeColor="text1"/>
          <w:sz w:val="22"/>
          <w:szCs w:val="22"/>
        </w:rPr>
        <w:t xml:space="preserve">of cash </w:t>
      </w:r>
      <w:r w:rsidRPr="001F4511">
        <w:rPr>
          <w:rFonts w:asciiTheme="minorHAnsi" w:hAnsiTheme="minorHAnsi" w:cstheme="minorBidi"/>
          <w:color w:val="000000" w:themeColor="text1"/>
          <w:sz w:val="22"/>
          <w:szCs w:val="22"/>
        </w:rPr>
        <w:t xml:space="preserve">and an agile, mission-driven team of </w:t>
      </w:r>
      <w:r w:rsidR="008B3B55">
        <w:rPr>
          <w:rFonts w:asciiTheme="minorHAnsi" w:hAnsiTheme="minorHAnsi" w:cstheme="minorBidi"/>
          <w:color w:val="000000" w:themeColor="text1"/>
          <w:sz w:val="22"/>
          <w:szCs w:val="22"/>
        </w:rPr>
        <w:t xml:space="preserve">over </w:t>
      </w:r>
      <w:r w:rsidRPr="001F4511">
        <w:rPr>
          <w:rFonts w:asciiTheme="minorHAnsi" w:hAnsiTheme="minorHAnsi" w:cstheme="minorBidi"/>
          <w:color w:val="000000" w:themeColor="text1"/>
          <w:sz w:val="22"/>
          <w:szCs w:val="22"/>
        </w:rPr>
        <w:t xml:space="preserve">3,400 people and growing. We will continue to invest and grow as we have never been as optimistic about Moderna’s future. Right now, we have four infectious disease vaccines in Phase 3 trials, and later this year, we expect important data from proof-of-concept studies in rare diseases and immuno-oncology. Our teams are actively working to prepare these new product launches to help patients and drive growth. This is an exciting time for Moderna as we continue to see significant scientific and </w:t>
      </w:r>
      <w:r w:rsidR="004F14DF">
        <w:rPr>
          <w:rFonts w:asciiTheme="minorHAnsi" w:hAnsiTheme="minorHAnsi" w:cstheme="minorBidi"/>
          <w:color w:val="000000" w:themeColor="text1"/>
          <w:sz w:val="22"/>
          <w:szCs w:val="22"/>
        </w:rPr>
        <w:t xml:space="preserve">business </w:t>
      </w:r>
      <w:r w:rsidRPr="001F4511">
        <w:rPr>
          <w:rFonts w:asciiTheme="minorHAnsi" w:hAnsiTheme="minorHAnsi" w:cstheme="minorBidi"/>
          <w:color w:val="000000" w:themeColor="text1"/>
          <w:sz w:val="22"/>
          <w:szCs w:val="22"/>
        </w:rPr>
        <w:t>momentum.”</w:t>
      </w:r>
    </w:p>
    <w:p w14:paraId="46BBAB2E" w14:textId="77777777" w:rsidR="009C0BD6" w:rsidRDefault="009C0BD6" w:rsidP="002B3DFD">
      <w:pPr>
        <w:rPr>
          <w:rFonts w:ascii="Calibri" w:hAnsi="Calibri" w:cs="Calibri"/>
          <w:color w:val="000000"/>
          <w:sz w:val="22"/>
          <w:szCs w:val="22"/>
          <w:shd w:val="clear" w:color="auto" w:fill="FFFFFF"/>
        </w:rPr>
      </w:pPr>
    </w:p>
    <w:p w14:paraId="57775B26" w14:textId="1EB80A78" w:rsidR="00B8768C" w:rsidRPr="006D304A" w:rsidRDefault="004332C3" w:rsidP="001F4511">
      <w:pPr>
        <w:rPr>
          <w:rFonts w:asciiTheme="minorHAnsi" w:hAnsiTheme="minorHAnsi" w:cstheme="minorHAnsi"/>
          <w:b/>
          <w:bCs/>
          <w:color w:val="000000" w:themeColor="text1"/>
          <w:sz w:val="22"/>
          <w:szCs w:val="22"/>
        </w:rPr>
      </w:pPr>
      <w:r>
        <w:rPr>
          <w:rFonts w:asciiTheme="minorHAnsi" w:hAnsiTheme="minorHAnsi" w:cstheme="minorBidi"/>
          <w:b/>
          <w:color w:val="000000" w:themeColor="text1"/>
          <w:sz w:val="22"/>
          <w:szCs w:val="22"/>
        </w:rPr>
        <w:t>Recent</w:t>
      </w:r>
      <w:r w:rsidR="00697537" w:rsidRPr="29D7C288">
        <w:rPr>
          <w:rFonts w:asciiTheme="minorHAnsi" w:hAnsiTheme="minorHAnsi" w:cstheme="minorBidi"/>
          <w:b/>
          <w:color w:val="000000" w:themeColor="text1"/>
          <w:sz w:val="22"/>
          <w:szCs w:val="22"/>
        </w:rPr>
        <w:t xml:space="preserve"> progress include</w:t>
      </w:r>
      <w:r>
        <w:rPr>
          <w:rFonts w:asciiTheme="minorHAnsi" w:hAnsiTheme="minorHAnsi" w:cstheme="minorBidi"/>
          <w:b/>
          <w:color w:val="000000" w:themeColor="text1"/>
          <w:sz w:val="22"/>
          <w:szCs w:val="22"/>
        </w:rPr>
        <w:t>s</w:t>
      </w:r>
      <w:r w:rsidR="00B36C2D">
        <w:rPr>
          <w:rFonts w:asciiTheme="minorHAnsi" w:hAnsiTheme="minorHAnsi" w:cstheme="minorBidi"/>
          <w:b/>
          <w:color w:val="000000" w:themeColor="text1"/>
          <w:sz w:val="22"/>
          <w:szCs w:val="22"/>
        </w:rPr>
        <w:t>:</w:t>
      </w:r>
    </w:p>
    <w:p w14:paraId="64DBF5E9" w14:textId="07A98073" w:rsidR="00B8768C" w:rsidRPr="00FB6D24" w:rsidRDefault="00B8768C" w:rsidP="00FB6D24">
      <w:pPr>
        <w:shd w:val="clear" w:color="auto" w:fill="FFFFFF"/>
        <w:rPr>
          <w:rFonts w:asciiTheme="minorHAnsi" w:hAnsiTheme="minorHAnsi" w:cstheme="minorHAnsi"/>
          <w:i/>
          <w:iCs/>
          <w:color w:val="000000" w:themeColor="text1"/>
          <w:sz w:val="22"/>
          <w:szCs w:val="22"/>
        </w:rPr>
      </w:pPr>
      <w:r w:rsidRPr="00FB6D24">
        <w:rPr>
          <w:rFonts w:asciiTheme="minorHAnsi" w:hAnsiTheme="minorHAnsi" w:cstheme="minorHAnsi"/>
          <w:i/>
          <w:iCs/>
          <w:color w:val="000000" w:themeColor="text1"/>
          <w:sz w:val="22"/>
          <w:szCs w:val="22"/>
        </w:rPr>
        <w:t>Respiratory Vaccines</w:t>
      </w:r>
    </w:p>
    <w:p w14:paraId="668FD4EC" w14:textId="0B605E2A" w:rsidR="003D235C" w:rsidRDefault="003D235C" w:rsidP="00B40A52">
      <w:pPr>
        <w:shd w:val="clear" w:color="auto" w:fill="FFFFFF" w:themeFill="background1"/>
        <w:rPr>
          <w:rFonts w:asciiTheme="minorHAnsi" w:hAnsiTheme="minorHAnsi" w:cstheme="minorBidi"/>
          <w:color w:val="000000" w:themeColor="text1"/>
          <w:sz w:val="22"/>
          <w:szCs w:val="22"/>
        </w:rPr>
      </w:pPr>
    </w:p>
    <w:p w14:paraId="1C0E8DC2" w14:textId="39A5508D" w:rsidR="006D304A" w:rsidRPr="004E3B12" w:rsidRDefault="00940B26" w:rsidP="006D304A">
      <w:pPr>
        <w:pStyle w:val="ListParagraph"/>
        <w:numPr>
          <w:ilvl w:val="0"/>
          <w:numId w:val="1"/>
        </w:numPr>
        <w:rPr>
          <w:rFonts w:asciiTheme="minorHAnsi" w:hAnsiTheme="minorHAnsi" w:cstheme="minorBidi"/>
          <w:sz w:val="22"/>
          <w:szCs w:val="22"/>
        </w:rPr>
      </w:pPr>
      <w:r>
        <w:rPr>
          <w:rFonts w:asciiTheme="minorHAnsi" w:hAnsiTheme="minorHAnsi" w:cstheme="minorBidi"/>
          <w:sz w:val="22"/>
          <w:szCs w:val="22"/>
        </w:rPr>
        <w:t>Received</w:t>
      </w:r>
      <w:r w:rsidR="002C6839" w:rsidRPr="504F149A">
        <w:rPr>
          <w:rFonts w:asciiTheme="minorHAnsi" w:hAnsiTheme="minorHAnsi" w:cstheme="minorBidi"/>
          <w:sz w:val="22"/>
          <w:szCs w:val="22"/>
        </w:rPr>
        <w:t xml:space="preserve"> U.S. FDA</w:t>
      </w:r>
      <w:r>
        <w:rPr>
          <w:rFonts w:asciiTheme="minorHAnsi" w:hAnsiTheme="minorHAnsi" w:cstheme="minorBidi"/>
          <w:sz w:val="22"/>
          <w:szCs w:val="22"/>
        </w:rPr>
        <w:t xml:space="preserve"> authorization</w:t>
      </w:r>
      <w:r w:rsidR="002C6839" w:rsidRPr="504F149A">
        <w:rPr>
          <w:rFonts w:asciiTheme="minorHAnsi" w:hAnsiTheme="minorHAnsi" w:cstheme="minorBidi"/>
          <w:sz w:val="22"/>
          <w:szCs w:val="22"/>
        </w:rPr>
        <w:t xml:space="preserve"> </w:t>
      </w:r>
      <w:r w:rsidR="006D304A" w:rsidRPr="504F149A">
        <w:rPr>
          <w:rFonts w:asciiTheme="minorHAnsi" w:hAnsiTheme="minorHAnsi" w:cstheme="minorBidi"/>
          <w:sz w:val="22"/>
          <w:szCs w:val="22"/>
        </w:rPr>
        <w:t xml:space="preserve">for </w:t>
      </w:r>
      <w:r w:rsidR="002A49EE">
        <w:rPr>
          <w:rFonts w:asciiTheme="minorHAnsi" w:hAnsiTheme="minorHAnsi" w:cstheme="minorBidi"/>
          <w:sz w:val="22"/>
          <w:szCs w:val="22"/>
        </w:rPr>
        <w:t>dose-dependent</w:t>
      </w:r>
      <w:r w:rsidR="00AD392E">
        <w:rPr>
          <w:rFonts w:asciiTheme="minorHAnsi" w:hAnsiTheme="minorHAnsi" w:cstheme="minorBidi"/>
          <w:sz w:val="22"/>
          <w:szCs w:val="22"/>
        </w:rPr>
        <w:t>,</w:t>
      </w:r>
      <w:r w:rsidR="006D304A" w:rsidRPr="504F149A">
        <w:rPr>
          <w:rFonts w:asciiTheme="minorHAnsi" w:hAnsiTheme="minorHAnsi" w:cstheme="minorBidi"/>
          <w:sz w:val="22"/>
          <w:szCs w:val="22"/>
        </w:rPr>
        <w:t xml:space="preserve"> two-dose primary series of </w:t>
      </w:r>
      <w:r w:rsidR="006D304A" w:rsidRPr="00081CC8">
        <w:rPr>
          <w:rFonts w:asciiTheme="minorHAnsi" w:hAnsiTheme="minorHAnsi" w:cstheme="minorBidi"/>
          <w:b/>
          <w:bCs/>
          <w:sz w:val="22"/>
          <w:szCs w:val="22"/>
        </w:rPr>
        <w:t>mRNA-1273</w:t>
      </w:r>
      <w:r w:rsidR="006D304A" w:rsidRPr="504F149A">
        <w:rPr>
          <w:rFonts w:asciiTheme="minorHAnsi" w:hAnsiTheme="minorHAnsi" w:cstheme="minorBidi"/>
          <w:sz w:val="22"/>
          <w:szCs w:val="22"/>
        </w:rPr>
        <w:t xml:space="preserve"> in</w:t>
      </w:r>
      <w:r w:rsidR="006D304A" w:rsidRPr="504F149A">
        <w:rPr>
          <w:rFonts w:asciiTheme="minorHAnsi" w:hAnsiTheme="minorHAnsi" w:cstheme="minorBidi"/>
          <w:color w:val="053F68"/>
          <w:sz w:val="22"/>
          <w:szCs w:val="22"/>
          <w:shd w:val="clear" w:color="auto" w:fill="F8FDFF"/>
        </w:rPr>
        <w:t xml:space="preserve"> </w:t>
      </w:r>
      <w:r w:rsidR="006D304A" w:rsidRPr="504F149A">
        <w:rPr>
          <w:rFonts w:asciiTheme="minorHAnsi" w:hAnsiTheme="minorHAnsi" w:cstheme="minorBidi"/>
          <w:sz w:val="22"/>
          <w:szCs w:val="22"/>
        </w:rPr>
        <w:t xml:space="preserve">children </w:t>
      </w:r>
      <w:r w:rsidR="00E55637">
        <w:rPr>
          <w:rFonts w:asciiTheme="minorHAnsi" w:hAnsiTheme="minorHAnsi" w:cstheme="minorBidi"/>
          <w:sz w:val="22"/>
          <w:szCs w:val="22"/>
        </w:rPr>
        <w:t xml:space="preserve">and adolescents </w:t>
      </w:r>
      <w:r w:rsidR="006D304A" w:rsidRPr="504F149A">
        <w:rPr>
          <w:rFonts w:asciiTheme="minorHAnsi" w:hAnsiTheme="minorHAnsi" w:cstheme="minorBidi"/>
          <w:sz w:val="22"/>
          <w:szCs w:val="22"/>
        </w:rPr>
        <w:t xml:space="preserve">6 </w:t>
      </w:r>
      <w:r w:rsidR="006D304A" w:rsidRPr="0071378E">
        <w:rPr>
          <w:rFonts w:asciiTheme="minorHAnsi" w:hAnsiTheme="minorHAnsi" w:cstheme="minorBidi"/>
          <w:sz w:val="22"/>
          <w:szCs w:val="22"/>
        </w:rPr>
        <w:t xml:space="preserve">months to </w:t>
      </w:r>
      <w:r w:rsidR="002A49EE" w:rsidRPr="0071378E">
        <w:rPr>
          <w:rFonts w:asciiTheme="minorHAnsi" w:hAnsiTheme="minorHAnsi" w:cstheme="minorBidi"/>
          <w:sz w:val="22"/>
          <w:szCs w:val="22"/>
        </w:rPr>
        <w:t xml:space="preserve">17 </w:t>
      </w:r>
      <w:r w:rsidR="006D304A" w:rsidRPr="0071378E">
        <w:rPr>
          <w:rFonts w:asciiTheme="minorHAnsi" w:hAnsiTheme="minorHAnsi" w:cstheme="minorBidi"/>
          <w:sz w:val="22"/>
          <w:szCs w:val="22"/>
        </w:rPr>
        <w:t xml:space="preserve">years of age; similar </w:t>
      </w:r>
      <w:r w:rsidRPr="0071378E">
        <w:rPr>
          <w:rFonts w:asciiTheme="minorHAnsi" w:hAnsiTheme="minorHAnsi" w:cstheme="minorBidi"/>
          <w:sz w:val="22"/>
          <w:szCs w:val="22"/>
        </w:rPr>
        <w:t xml:space="preserve">approvals or authorizations have been received from international </w:t>
      </w:r>
      <w:r w:rsidR="006D304A" w:rsidRPr="0071378E">
        <w:rPr>
          <w:rFonts w:asciiTheme="minorHAnsi" w:hAnsiTheme="minorHAnsi" w:cstheme="minorBidi"/>
          <w:sz w:val="22"/>
          <w:szCs w:val="22"/>
        </w:rPr>
        <w:t>regulatory authorities</w:t>
      </w:r>
      <w:r w:rsidR="002A49EE" w:rsidRPr="0071378E">
        <w:rPr>
          <w:rFonts w:asciiTheme="minorHAnsi" w:hAnsiTheme="minorHAnsi" w:cstheme="minorBidi"/>
          <w:sz w:val="22"/>
          <w:szCs w:val="22"/>
        </w:rPr>
        <w:t xml:space="preserve"> in more than </w:t>
      </w:r>
      <w:r w:rsidR="00C97CBF">
        <w:rPr>
          <w:rFonts w:asciiTheme="minorHAnsi" w:hAnsiTheme="minorHAnsi" w:cstheme="minorBidi"/>
          <w:sz w:val="22"/>
          <w:szCs w:val="22"/>
        </w:rPr>
        <w:t>40</w:t>
      </w:r>
      <w:r w:rsidR="00C97CBF" w:rsidRPr="0071378E">
        <w:rPr>
          <w:rFonts w:asciiTheme="minorHAnsi" w:hAnsiTheme="minorHAnsi" w:cstheme="minorBidi"/>
          <w:sz w:val="22"/>
          <w:szCs w:val="22"/>
        </w:rPr>
        <w:t xml:space="preserve"> </w:t>
      </w:r>
      <w:r w:rsidR="002A49EE" w:rsidRPr="0071378E">
        <w:rPr>
          <w:rFonts w:asciiTheme="minorHAnsi" w:hAnsiTheme="minorHAnsi" w:cstheme="minorBidi"/>
          <w:sz w:val="22"/>
          <w:szCs w:val="22"/>
        </w:rPr>
        <w:t>countries</w:t>
      </w:r>
      <w:r w:rsidR="00C97CBF">
        <w:rPr>
          <w:rFonts w:asciiTheme="minorHAnsi" w:hAnsiTheme="minorHAnsi" w:cstheme="minorBidi"/>
          <w:sz w:val="22"/>
          <w:szCs w:val="22"/>
        </w:rPr>
        <w:t xml:space="preserve"> for children and adolescents 6 years to 17 years of age, and in the United States, Canada, </w:t>
      </w:r>
      <w:proofErr w:type="gramStart"/>
      <w:r w:rsidR="00C97CBF">
        <w:rPr>
          <w:rFonts w:asciiTheme="minorHAnsi" w:hAnsiTheme="minorHAnsi" w:cstheme="minorBidi"/>
          <w:sz w:val="22"/>
          <w:szCs w:val="22"/>
        </w:rPr>
        <w:t>Australia</w:t>
      </w:r>
      <w:proofErr w:type="gramEnd"/>
      <w:r w:rsidR="00C97CBF">
        <w:rPr>
          <w:rFonts w:asciiTheme="minorHAnsi" w:hAnsiTheme="minorHAnsi" w:cstheme="minorBidi"/>
          <w:sz w:val="22"/>
          <w:szCs w:val="22"/>
        </w:rPr>
        <w:t xml:space="preserve"> and other jurisdictions for children 6 months to 5 years of age</w:t>
      </w:r>
    </w:p>
    <w:p w14:paraId="180B7368" w14:textId="31AF6CC8" w:rsidR="004B5A4A" w:rsidRDefault="004B5A4A" w:rsidP="004B5A4A">
      <w:pPr>
        <w:numPr>
          <w:ilvl w:val="0"/>
          <w:numId w:val="1"/>
        </w:numPr>
        <w:shd w:val="clear" w:color="auto" w:fill="FFFFFF" w:themeFill="background1"/>
        <w:rPr>
          <w:rFonts w:asciiTheme="minorHAnsi" w:hAnsiTheme="minorHAnsi" w:cstheme="minorBidi"/>
          <w:color w:val="000000" w:themeColor="text1"/>
          <w:sz w:val="22"/>
          <w:szCs w:val="22"/>
        </w:rPr>
      </w:pPr>
      <w:r w:rsidRPr="004E3B12">
        <w:rPr>
          <w:rFonts w:asciiTheme="minorHAnsi" w:hAnsiTheme="minorHAnsi" w:cstheme="minorBidi"/>
          <w:color w:val="000000" w:themeColor="text1"/>
          <w:sz w:val="22"/>
          <w:szCs w:val="22"/>
        </w:rPr>
        <w:t xml:space="preserve">Positive data on booster dose of bivalent candidate </w:t>
      </w:r>
      <w:r w:rsidR="00D73399">
        <w:rPr>
          <w:rFonts w:asciiTheme="minorHAnsi" w:hAnsiTheme="minorHAnsi" w:cstheme="minorBidi"/>
          <w:color w:val="000000" w:themeColor="text1"/>
          <w:sz w:val="22"/>
          <w:szCs w:val="22"/>
        </w:rPr>
        <w:t>based on the wild-ty</w:t>
      </w:r>
      <w:r w:rsidR="00DF3B3C">
        <w:rPr>
          <w:rFonts w:asciiTheme="minorHAnsi" w:hAnsiTheme="minorHAnsi" w:cstheme="minorBidi"/>
          <w:color w:val="000000" w:themeColor="text1"/>
          <w:sz w:val="22"/>
          <w:szCs w:val="22"/>
        </w:rPr>
        <w:t xml:space="preserve">pe </w:t>
      </w:r>
      <w:r w:rsidR="00C87892">
        <w:rPr>
          <w:rFonts w:asciiTheme="minorHAnsi" w:hAnsiTheme="minorHAnsi" w:cstheme="minorBidi"/>
          <w:color w:val="000000" w:themeColor="text1"/>
          <w:sz w:val="22"/>
          <w:szCs w:val="22"/>
        </w:rPr>
        <w:t>and</w:t>
      </w:r>
      <w:r w:rsidR="00DF3B3C">
        <w:rPr>
          <w:rFonts w:asciiTheme="minorHAnsi" w:hAnsiTheme="minorHAnsi" w:cstheme="minorBidi"/>
          <w:color w:val="000000" w:themeColor="text1"/>
          <w:sz w:val="22"/>
          <w:szCs w:val="22"/>
        </w:rPr>
        <w:t xml:space="preserve"> </w:t>
      </w:r>
      <w:r w:rsidR="00940B26">
        <w:rPr>
          <w:rFonts w:asciiTheme="minorHAnsi" w:hAnsiTheme="minorHAnsi" w:cstheme="minorBidi"/>
          <w:color w:val="000000" w:themeColor="text1"/>
          <w:sz w:val="22"/>
          <w:szCs w:val="22"/>
        </w:rPr>
        <w:t>Omicron</w:t>
      </w:r>
      <w:r w:rsidR="00DF3B3C">
        <w:rPr>
          <w:rFonts w:asciiTheme="minorHAnsi" w:hAnsiTheme="minorHAnsi" w:cstheme="minorBidi"/>
          <w:color w:val="000000" w:themeColor="text1"/>
          <w:sz w:val="22"/>
          <w:szCs w:val="22"/>
        </w:rPr>
        <w:t xml:space="preserve"> </w:t>
      </w:r>
      <w:r w:rsidR="00203192">
        <w:rPr>
          <w:rFonts w:asciiTheme="minorHAnsi" w:hAnsiTheme="minorHAnsi" w:cstheme="minorBidi"/>
          <w:color w:val="000000" w:themeColor="text1"/>
          <w:sz w:val="22"/>
          <w:szCs w:val="22"/>
        </w:rPr>
        <w:t>sub</w:t>
      </w:r>
      <w:r w:rsidR="00DF3B3C">
        <w:rPr>
          <w:rFonts w:asciiTheme="minorHAnsi" w:hAnsiTheme="minorHAnsi" w:cstheme="minorBidi"/>
          <w:color w:val="000000" w:themeColor="text1"/>
          <w:sz w:val="22"/>
          <w:szCs w:val="22"/>
        </w:rPr>
        <w:t>variant</w:t>
      </w:r>
      <w:r w:rsidR="00940B26">
        <w:rPr>
          <w:rFonts w:asciiTheme="minorHAnsi" w:hAnsiTheme="minorHAnsi" w:cstheme="minorBidi"/>
          <w:color w:val="000000" w:themeColor="text1"/>
          <w:sz w:val="22"/>
          <w:szCs w:val="22"/>
        </w:rPr>
        <w:t xml:space="preserve"> BA.1</w:t>
      </w:r>
      <w:r w:rsidR="00CA093A">
        <w:rPr>
          <w:rFonts w:asciiTheme="minorHAnsi" w:hAnsiTheme="minorHAnsi" w:cstheme="minorBidi"/>
          <w:color w:val="000000" w:themeColor="text1"/>
          <w:sz w:val="22"/>
          <w:szCs w:val="22"/>
        </w:rPr>
        <w:t xml:space="preserve"> </w:t>
      </w:r>
      <w:r w:rsidR="00F133E4" w:rsidRPr="00CB5694">
        <w:rPr>
          <w:rFonts w:asciiTheme="minorHAnsi" w:hAnsiTheme="minorHAnsi" w:cstheme="minorBidi"/>
          <w:b/>
          <w:bCs/>
          <w:color w:val="000000" w:themeColor="text1"/>
          <w:sz w:val="22"/>
          <w:szCs w:val="22"/>
        </w:rPr>
        <w:t>(</w:t>
      </w:r>
      <w:r w:rsidR="00F133E4" w:rsidRPr="00081CC8">
        <w:rPr>
          <w:rFonts w:asciiTheme="minorHAnsi" w:hAnsiTheme="minorHAnsi" w:cstheme="minorBidi"/>
          <w:b/>
          <w:bCs/>
          <w:color w:val="000000" w:themeColor="text1"/>
          <w:sz w:val="22"/>
          <w:szCs w:val="22"/>
        </w:rPr>
        <w:t>mRNA</w:t>
      </w:r>
      <w:r w:rsidR="00BF71D1" w:rsidRPr="00081CC8">
        <w:rPr>
          <w:rFonts w:asciiTheme="minorHAnsi" w:hAnsiTheme="minorHAnsi" w:cstheme="minorBidi"/>
          <w:b/>
          <w:bCs/>
          <w:color w:val="000000" w:themeColor="text1"/>
          <w:sz w:val="22"/>
          <w:szCs w:val="22"/>
        </w:rPr>
        <w:t>-</w:t>
      </w:r>
      <w:r w:rsidR="00F133E4" w:rsidRPr="00081CC8">
        <w:rPr>
          <w:rFonts w:asciiTheme="minorHAnsi" w:hAnsiTheme="minorHAnsi" w:cstheme="minorBidi"/>
          <w:b/>
          <w:bCs/>
          <w:color w:val="000000" w:themeColor="text1"/>
          <w:sz w:val="22"/>
          <w:szCs w:val="22"/>
        </w:rPr>
        <w:t>1273.21</w:t>
      </w:r>
      <w:r w:rsidR="00940B26" w:rsidRPr="00081CC8">
        <w:rPr>
          <w:rFonts w:asciiTheme="minorHAnsi" w:hAnsiTheme="minorHAnsi" w:cstheme="minorBidi"/>
          <w:b/>
          <w:bCs/>
          <w:color w:val="000000" w:themeColor="text1"/>
          <w:sz w:val="22"/>
          <w:szCs w:val="22"/>
        </w:rPr>
        <w:t>4</w:t>
      </w:r>
      <w:r w:rsidR="00F133E4" w:rsidRPr="00CB5694">
        <w:rPr>
          <w:rFonts w:asciiTheme="minorHAnsi" w:hAnsiTheme="minorHAnsi" w:cstheme="minorBidi"/>
          <w:b/>
          <w:bCs/>
          <w:color w:val="000000" w:themeColor="text1"/>
          <w:sz w:val="22"/>
          <w:szCs w:val="22"/>
        </w:rPr>
        <w:t>)</w:t>
      </w:r>
    </w:p>
    <w:p w14:paraId="7F5316F8" w14:textId="69C52EB4" w:rsidR="00940B26" w:rsidRDefault="00940B26" w:rsidP="00CA4CF4">
      <w:pPr>
        <w:numPr>
          <w:ilvl w:val="0"/>
          <w:numId w:val="1"/>
        </w:numPr>
        <w:shd w:val="clear" w:color="auto" w:fill="FFFFFF" w:themeFill="background1"/>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Began rapid development of </w:t>
      </w:r>
      <w:r w:rsidRPr="00081CC8">
        <w:rPr>
          <w:rFonts w:asciiTheme="minorHAnsi" w:hAnsiTheme="minorHAnsi" w:cstheme="minorBidi"/>
          <w:b/>
          <w:bCs/>
          <w:color w:val="000000" w:themeColor="text1"/>
          <w:sz w:val="22"/>
          <w:szCs w:val="22"/>
        </w:rPr>
        <w:t>mRNA-1273.222</w:t>
      </w:r>
      <w:r w:rsidR="002A49EE">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 xml:space="preserve">which </w:t>
      </w:r>
      <w:r w:rsidRPr="00081CC8">
        <w:rPr>
          <w:rFonts w:asciiTheme="minorHAnsi" w:hAnsiTheme="minorHAnsi" w:cstheme="minorBidi"/>
          <w:color w:val="000000" w:themeColor="text1"/>
          <w:sz w:val="22"/>
          <w:szCs w:val="22"/>
        </w:rPr>
        <w:t>contains the BA.4/5 Omicron strain and is being developed in accordance with recent FDA recommendations</w:t>
      </w:r>
    </w:p>
    <w:p w14:paraId="4C9DACE5" w14:textId="492FA969" w:rsidR="00C7323F" w:rsidRPr="00CA4CF4" w:rsidRDefault="00C7323F" w:rsidP="00CA4CF4">
      <w:pPr>
        <w:numPr>
          <w:ilvl w:val="0"/>
          <w:numId w:val="1"/>
        </w:numPr>
        <w:shd w:val="clear" w:color="auto" w:fill="FFFFFF" w:themeFill="background1"/>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Moderna continues to progress respiratory vaccine pipeline with</w:t>
      </w:r>
      <w:r w:rsidR="004C0A84">
        <w:rPr>
          <w:rFonts w:asciiTheme="minorHAnsi" w:hAnsiTheme="minorHAnsi" w:cstheme="minorBidi"/>
          <w:color w:val="000000" w:themeColor="text1"/>
          <w:sz w:val="22"/>
          <w:szCs w:val="22"/>
        </w:rPr>
        <w:t xml:space="preserve"> ongoing</w:t>
      </w:r>
      <w:r>
        <w:rPr>
          <w:rFonts w:asciiTheme="minorHAnsi" w:hAnsiTheme="minorHAnsi" w:cstheme="minorBidi"/>
          <w:color w:val="000000" w:themeColor="text1"/>
          <w:sz w:val="22"/>
          <w:szCs w:val="22"/>
        </w:rPr>
        <w:t xml:space="preserve"> Phase </w:t>
      </w:r>
      <w:r w:rsidR="004C0A84">
        <w:rPr>
          <w:rFonts w:asciiTheme="minorHAnsi" w:hAnsiTheme="minorHAnsi" w:cstheme="minorBidi"/>
          <w:color w:val="000000" w:themeColor="text1"/>
          <w:sz w:val="22"/>
          <w:szCs w:val="22"/>
        </w:rPr>
        <w:t>2</w:t>
      </w:r>
      <w:r>
        <w:rPr>
          <w:rFonts w:asciiTheme="minorHAnsi" w:hAnsiTheme="minorHAnsi" w:cstheme="minorBidi"/>
          <w:color w:val="000000" w:themeColor="text1"/>
          <w:sz w:val="22"/>
          <w:szCs w:val="22"/>
        </w:rPr>
        <w:t xml:space="preserve"> data on next-generation, </w:t>
      </w:r>
      <w:r w:rsidRPr="009D55FC">
        <w:rPr>
          <w:rFonts w:asciiTheme="minorHAnsi" w:hAnsiTheme="minorHAnsi" w:cstheme="minorHAnsi"/>
          <w:color w:val="000000" w:themeColor="text1"/>
          <w:sz w:val="22"/>
          <w:szCs w:val="22"/>
        </w:rPr>
        <w:t>refrigerator-stable</w:t>
      </w:r>
      <w:r>
        <w:rPr>
          <w:rFonts w:asciiTheme="minorHAnsi" w:hAnsiTheme="minorHAnsi" w:cstheme="minorBidi"/>
          <w:color w:val="000000" w:themeColor="text1"/>
          <w:sz w:val="22"/>
          <w:szCs w:val="22"/>
        </w:rPr>
        <w:t xml:space="preserve"> COVID vaccine candidate </w:t>
      </w:r>
      <w:r w:rsidRPr="00081CC8">
        <w:rPr>
          <w:rFonts w:asciiTheme="minorHAnsi" w:hAnsiTheme="minorHAnsi" w:cstheme="minorBidi"/>
          <w:b/>
          <w:bCs/>
          <w:color w:val="000000" w:themeColor="text1"/>
          <w:sz w:val="22"/>
          <w:szCs w:val="22"/>
        </w:rPr>
        <w:t>(mRNA-1283)</w:t>
      </w:r>
    </w:p>
    <w:p w14:paraId="3D5819DC" w14:textId="271B4594" w:rsidR="007179DD" w:rsidRDefault="002A49EE" w:rsidP="00FB6D24">
      <w:pPr>
        <w:numPr>
          <w:ilvl w:val="0"/>
          <w:numId w:val="1"/>
        </w:numPr>
        <w:shd w:val="clear" w:color="auto" w:fill="FFFFFF" w:themeFill="background1"/>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Phase 3 safety and immunogenicity trial </w:t>
      </w:r>
      <w:r w:rsidR="004C0A84">
        <w:rPr>
          <w:rFonts w:asciiTheme="minorHAnsi" w:hAnsiTheme="minorHAnsi" w:cstheme="minorBidi"/>
          <w:color w:val="000000" w:themeColor="text1"/>
          <w:sz w:val="22"/>
          <w:szCs w:val="22"/>
        </w:rPr>
        <w:t>started in June</w:t>
      </w:r>
      <w:r>
        <w:rPr>
          <w:rFonts w:asciiTheme="minorHAnsi" w:hAnsiTheme="minorHAnsi" w:cstheme="minorBidi"/>
          <w:color w:val="000000" w:themeColor="text1"/>
          <w:sz w:val="22"/>
          <w:szCs w:val="22"/>
        </w:rPr>
        <w:t xml:space="preserve"> </w:t>
      </w:r>
      <w:r w:rsidR="00B115FD">
        <w:rPr>
          <w:rFonts w:asciiTheme="minorHAnsi" w:hAnsiTheme="minorHAnsi" w:cstheme="minorBidi"/>
          <w:color w:val="000000" w:themeColor="text1"/>
          <w:sz w:val="22"/>
          <w:szCs w:val="22"/>
        </w:rPr>
        <w:t xml:space="preserve">in </w:t>
      </w:r>
      <w:r w:rsidR="0021311E">
        <w:rPr>
          <w:rFonts w:asciiTheme="minorHAnsi" w:hAnsiTheme="minorHAnsi" w:cstheme="minorBidi"/>
          <w:color w:val="000000" w:themeColor="text1"/>
          <w:sz w:val="22"/>
          <w:szCs w:val="22"/>
        </w:rPr>
        <w:t xml:space="preserve">the </w:t>
      </w:r>
      <w:r w:rsidR="004C0A84">
        <w:rPr>
          <w:rFonts w:asciiTheme="minorHAnsi" w:hAnsiTheme="minorHAnsi" w:cstheme="minorBidi"/>
          <w:color w:val="000000" w:themeColor="text1"/>
          <w:sz w:val="22"/>
          <w:szCs w:val="22"/>
        </w:rPr>
        <w:t xml:space="preserve">Southern Hemisphere </w:t>
      </w:r>
      <w:r w:rsidR="0021311E">
        <w:rPr>
          <w:rFonts w:asciiTheme="minorHAnsi" w:hAnsiTheme="minorHAnsi" w:cstheme="minorBidi"/>
          <w:color w:val="000000" w:themeColor="text1"/>
          <w:sz w:val="22"/>
          <w:szCs w:val="22"/>
        </w:rPr>
        <w:t>for</w:t>
      </w:r>
      <w:r>
        <w:rPr>
          <w:rFonts w:asciiTheme="minorHAnsi" w:hAnsiTheme="minorHAnsi" w:cstheme="minorBidi"/>
          <w:color w:val="000000" w:themeColor="text1"/>
          <w:sz w:val="22"/>
          <w:szCs w:val="22"/>
        </w:rPr>
        <w:t xml:space="preserve"> seasonal flu vaccine candidate </w:t>
      </w:r>
      <w:r w:rsidRPr="00A4201D">
        <w:rPr>
          <w:rFonts w:asciiTheme="minorHAnsi" w:hAnsiTheme="minorHAnsi"/>
          <w:b/>
          <w:color w:val="000000" w:themeColor="text1"/>
          <w:sz w:val="22"/>
        </w:rPr>
        <w:t>(</w:t>
      </w:r>
      <w:r w:rsidRPr="00081CC8">
        <w:rPr>
          <w:rFonts w:asciiTheme="minorHAnsi" w:hAnsiTheme="minorHAnsi" w:cstheme="minorBidi"/>
          <w:b/>
          <w:bCs/>
          <w:color w:val="000000" w:themeColor="text1"/>
          <w:sz w:val="22"/>
          <w:szCs w:val="22"/>
        </w:rPr>
        <w:t>mRNA-1010</w:t>
      </w:r>
      <w:r w:rsidRPr="00A4201D">
        <w:rPr>
          <w:rFonts w:asciiTheme="minorHAnsi" w:hAnsiTheme="minorHAnsi"/>
          <w:b/>
          <w:color w:val="000000" w:themeColor="text1"/>
          <w:sz w:val="22"/>
        </w:rPr>
        <w:t>)</w:t>
      </w:r>
      <w:r>
        <w:rPr>
          <w:rFonts w:asciiTheme="minorHAnsi" w:hAnsiTheme="minorHAnsi" w:cstheme="minorBidi"/>
          <w:color w:val="000000" w:themeColor="text1"/>
          <w:sz w:val="22"/>
          <w:szCs w:val="22"/>
        </w:rPr>
        <w:t xml:space="preserve"> to support potential accelerated approval</w:t>
      </w:r>
      <w:r w:rsidR="00CA4CF4">
        <w:rPr>
          <w:rFonts w:asciiTheme="minorHAnsi" w:hAnsiTheme="minorHAnsi" w:cstheme="minorBidi"/>
          <w:color w:val="000000" w:themeColor="text1"/>
          <w:sz w:val="22"/>
          <w:szCs w:val="22"/>
        </w:rPr>
        <w:t xml:space="preserve">. Company is preparing for Phase 3 efficacy study in </w:t>
      </w:r>
      <w:r w:rsidR="003842CB">
        <w:rPr>
          <w:rFonts w:asciiTheme="minorHAnsi" w:hAnsiTheme="minorHAnsi" w:cstheme="minorBidi"/>
          <w:color w:val="000000" w:themeColor="text1"/>
          <w:sz w:val="22"/>
          <w:szCs w:val="22"/>
        </w:rPr>
        <w:t>fall</w:t>
      </w:r>
      <w:r w:rsidR="00CA4CF4">
        <w:rPr>
          <w:rFonts w:asciiTheme="minorHAnsi" w:hAnsiTheme="minorHAnsi" w:cstheme="minorBidi"/>
          <w:color w:val="000000" w:themeColor="text1"/>
          <w:sz w:val="22"/>
          <w:szCs w:val="22"/>
        </w:rPr>
        <w:t xml:space="preserve"> 2022 (if needed)</w:t>
      </w:r>
      <w:r w:rsidR="00B115FD">
        <w:rPr>
          <w:rFonts w:asciiTheme="minorHAnsi" w:hAnsiTheme="minorHAnsi" w:cstheme="minorBidi"/>
          <w:color w:val="000000" w:themeColor="text1"/>
          <w:sz w:val="22"/>
          <w:szCs w:val="22"/>
        </w:rPr>
        <w:t xml:space="preserve">; Flu </w:t>
      </w:r>
      <w:r w:rsidR="00B115FD" w:rsidRPr="0021311E">
        <w:rPr>
          <w:rFonts w:asciiTheme="minorHAnsi" w:hAnsiTheme="minorHAnsi" w:cstheme="minorBidi"/>
          <w:b/>
          <w:bCs/>
          <w:color w:val="000000" w:themeColor="text1"/>
          <w:sz w:val="22"/>
          <w:szCs w:val="22"/>
        </w:rPr>
        <w:t>(mRNA-1020/-30)</w:t>
      </w:r>
      <w:r w:rsidR="00B115FD">
        <w:rPr>
          <w:rFonts w:asciiTheme="minorHAnsi" w:hAnsiTheme="minorHAnsi" w:cstheme="minorBidi"/>
          <w:color w:val="000000" w:themeColor="text1"/>
          <w:sz w:val="22"/>
          <w:szCs w:val="22"/>
        </w:rPr>
        <w:t xml:space="preserve"> Phase </w:t>
      </w:r>
      <w:r w:rsidR="00AD392E">
        <w:rPr>
          <w:rFonts w:asciiTheme="minorHAnsi" w:hAnsiTheme="minorHAnsi" w:cstheme="minorBidi"/>
          <w:color w:val="000000" w:themeColor="text1"/>
          <w:sz w:val="22"/>
          <w:szCs w:val="22"/>
        </w:rPr>
        <w:t xml:space="preserve">1/2 </w:t>
      </w:r>
      <w:r w:rsidR="00B115FD">
        <w:rPr>
          <w:rFonts w:asciiTheme="minorHAnsi" w:hAnsiTheme="minorHAnsi" w:cstheme="minorBidi"/>
          <w:color w:val="000000" w:themeColor="text1"/>
          <w:sz w:val="22"/>
          <w:szCs w:val="22"/>
        </w:rPr>
        <w:t>trial fully enrolled</w:t>
      </w:r>
    </w:p>
    <w:p w14:paraId="4266C245" w14:textId="61A6EFE3" w:rsidR="00CA4CF4" w:rsidRDefault="00CA4CF4" w:rsidP="00FB6D24">
      <w:pPr>
        <w:numPr>
          <w:ilvl w:val="0"/>
          <w:numId w:val="1"/>
        </w:numPr>
        <w:shd w:val="clear" w:color="auto" w:fill="FFFFFF" w:themeFill="background1"/>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Combination COVID + flu </w:t>
      </w:r>
      <w:r w:rsidRPr="00A4201D">
        <w:rPr>
          <w:rFonts w:asciiTheme="minorHAnsi" w:hAnsiTheme="minorHAnsi"/>
          <w:b/>
          <w:color w:val="000000" w:themeColor="text1"/>
          <w:sz w:val="22"/>
        </w:rPr>
        <w:t>(</w:t>
      </w:r>
      <w:r w:rsidRPr="00081CC8">
        <w:rPr>
          <w:rFonts w:asciiTheme="minorHAnsi" w:hAnsiTheme="minorHAnsi" w:cstheme="minorBidi"/>
          <w:b/>
          <w:bCs/>
          <w:color w:val="000000" w:themeColor="text1"/>
          <w:sz w:val="22"/>
          <w:szCs w:val="22"/>
        </w:rPr>
        <w:t>mRNA-1</w:t>
      </w:r>
      <w:r>
        <w:rPr>
          <w:rFonts w:asciiTheme="minorHAnsi" w:hAnsiTheme="minorHAnsi" w:cstheme="minorBidi"/>
          <w:b/>
          <w:bCs/>
          <w:color w:val="000000" w:themeColor="text1"/>
          <w:sz w:val="22"/>
          <w:szCs w:val="22"/>
        </w:rPr>
        <w:t>0</w:t>
      </w:r>
      <w:r w:rsidRPr="00081CC8">
        <w:rPr>
          <w:rFonts w:asciiTheme="minorHAnsi" w:hAnsiTheme="minorHAnsi" w:cstheme="minorBidi"/>
          <w:b/>
          <w:bCs/>
          <w:color w:val="000000" w:themeColor="text1"/>
          <w:sz w:val="22"/>
          <w:szCs w:val="22"/>
        </w:rPr>
        <w:t>73</w:t>
      </w:r>
      <w:r w:rsidRPr="00FC3964">
        <w:rPr>
          <w:rFonts w:asciiTheme="minorHAnsi" w:hAnsiTheme="minorHAnsi" w:cstheme="minorBidi"/>
          <w:b/>
          <w:bCs/>
          <w:color w:val="000000" w:themeColor="text1"/>
          <w:sz w:val="22"/>
          <w:szCs w:val="22"/>
        </w:rPr>
        <w:t>)</w:t>
      </w:r>
      <w:r>
        <w:rPr>
          <w:rFonts w:asciiTheme="minorHAnsi" w:hAnsiTheme="minorHAnsi" w:cstheme="minorBidi"/>
          <w:color w:val="000000" w:themeColor="text1"/>
          <w:sz w:val="22"/>
          <w:szCs w:val="22"/>
        </w:rPr>
        <w:t xml:space="preserve"> Phase 1</w:t>
      </w:r>
      <w:r w:rsidR="004C0A84">
        <w:rPr>
          <w:rFonts w:asciiTheme="minorHAnsi" w:hAnsiTheme="minorHAnsi" w:cstheme="minorBidi"/>
          <w:color w:val="000000" w:themeColor="text1"/>
          <w:sz w:val="22"/>
          <w:szCs w:val="22"/>
        </w:rPr>
        <w:t>/2</w:t>
      </w:r>
      <w:r>
        <w:rPr>
          <w:rFonts w:asciiTheme="minorHAnsi" w:hAnsiTheme="minorHAnsi" w:cstheme="minorBidi"/>
          <w:color w:val="000000" w:themeColor="text1"/>
          <w:sz w:val="22"/>
          <w:szCs w:val="22"/>
        </w:rPr>
        <w:t xml:space="preserve"> </w:t>
      </w:r>
      <w:r w:rsidR="004C0A84">
        <w:rPr>
          <w:rFonts w:asciiTheme="minorHAnsi" w:hAnsiTheme="minorHAnsi" w:cstheme="minorBidi"/>
          <w:color w:val="000000" w:themeColor="text1"/>
          <w:sz w:val="22"/>
          <w:szCs w:val="22"/>
        </w:rPr>
        <w:t>fully enrolled</w:t>
      </w:r>
      <w:r>
        <w:rPr>
          <w:rFonts w:asciiTheme="minorHAnsi" w:hAnsiTheme="minorHAnsi" w:cstheme="minorBidi"/>
          <w:color w:val="000000" w:themeColor="text1"/>
          <w:sz w:val="22"/>
          <w:szCs w:val="22"/>
        </w:rPr>
        <w:t xml:space="preserve">; </w:t>
      </w:r>
      <w:r w:rsidR="00AD392E">
        <w:rPr>
          <w:rFonts w:asciiTheme="minorHAnsi" w:hAnsiTheme="minorHAnsi" w:cstheme="minorBidi"/>
          <w:color w:val="000000" w:themeColor="text1"/>
          <w:sz w:val="22"/>
          <w:szCs w:val="22"/>
        </w:rPr>
        <w:t xml:space="preserve">combination </w:t>
      </w:r>
      <w:r>
        <w:rPr>
          <w:rFonts w:asciiTheme="minorHAnsi" w:hAnsiTheme="minorHAnsi" w:cstheme="minorBidi"/>
          <w:color w:val="000000" w:themeColor="text1"/>
          <w:sz w:val="22"/>
          <w:szCs w:val="22"/>
        </w:rPr>
        <w:t xml:space="preserve">COVID + flu + RSV </w:t>
      </w:r>
      <w:r w:rsidRPr="00FC3964">
        <w:rPr>
          <w:rFonts w:asciiTheme="minorHAnsi" w:hAnsiTheme="minorHAnsi" w:cstheme="minorBidi"/>
          <w:b/>
          <w:bCs/>
          <w:color w:val="000000" w:themeColor="text1"/>
          <w:sz w:val="22"/>
          <w:szCs w:val="22"/>
        </w:rPr>
        <w:t>(</w:t>
      </w:r>
      <w:r w:rsidRPr="00081CC8">
        <w:rPr>
          <w:rFonts w:asciiTheme="minorHAnsi" w:hAnsiTheme="minorHAnsi" w:cstheme="minorBidi"/>
          <w:b/>
          <w:bCs/>
          <w:color w:val="000000" w:themeColor="text1"/>
          <w:sz w:val="22"/>
          <w:szCs w:val="22"/>
        </w:rPr>
        <w:t>mRNA-1230</w:t>
      </w:r>
      <w:r w:rsidRPr="00FC3964">
        <w:rPr>
          <w:rFonts w:asciiTheme="minorHAnsi" w:hAnsiTheme="minorHAnsi" w:cstheme="minorBidi"/>
          <w:b/>
          <w:bCs/>
          <w:color w:val="000000" w:themeColor="text1"/>
          <w:sz w:val="22"/>
          <w:szCs w:val="22"/>
        </w:rPr>
        <w:t>)</w:t>
      </w:r>
      <w:r>
        <w:rPr>
          <w:rFonts w:asciiTheme="minorHAnsi" w:hAnsiTheme="minorHAnsi" w:cstheme="minorBidi"/>
          <w:color w:val="000000" w:themeColor="text1"/>
          <w:sz w:val="22"/>
          <w:szCs w:val="22"/>
        </w:rPr>
        <w:t xml:space="preserve"> in preclinical</w:t>
      </w:r>
      <w:r w:rsidR="00AD392E">
        <w:rPr>
          <w:rFonts w:asciiTheme="minorHAnsi" w:hAnsiTheme="minorHAnsi" w:cstheme="minorBidi"/>
          <w:color w:val="000000" w:themeColor="text1"/>
          <w:sz w:val="22"/>
          <w:szCs w:val="22"/>
        </w:rPr>
        <w:t xml:space="preserve"> studies</w:t>
      </w:r>
      <w:r>
        <w:rPr>
          <w:rFonts w:asciiTheme="minorHAnsi" w:hAnsiTheme="minorHAnsi" w:cstheme="minorBidi"/>
          <w:color w:val="000000" w:themeColor="text1"/>
          <w:sz w:val="22"/>
          <w:szCs w:val="22"/>
        </w:rPr>
        <w:t xml:space="preserve">, expected to start Phase 1 trial later this year; </w:t>
      </w:r>
      <w:r w:rsidR="00AD392E">
        <w:rPr>
          <w:rFonts w:asciiTheme="minorHAnsi" w:hAnsiTheme="minorHAnsi" w:cstheme="minorBidi"/>
          <w:color w:val="000000" w:themeColor="text1"/>
          <w:sz w:val="22"/>
          <w:szCs w:val="22"/>
        </w:rPr>
        <w:t>e</w:t>
      </w:r>
      <w:r w:rsidRPr="0021311E">
        <w:rPr>
          <w:rFonts w:asciiTheme="minorHAnsi" w:hAnsiTheme="minorHAnsi" w:cstheme="minorBidi"/>
          <w:color w:val="000000" w:themeColor="text1"/>
          <w:sz w:val="22"/>
          <w:szCs w:val="22"/>
        </w:rPr>
        <w:t>ndemic</w:t>
      </w:r>
      <w:r w:rsidR="0071378E">
        <w:rPr>
          <w:rFonts w:asciiTheme="minorHAnsi" w:hAnsiTheme="minorHAnsi" w:cstheme="minorBidi"/>
          <w:color w:val="000000" w:themeColor="text1"/>
          <w:sz w:val="22"/>
          <w:szCs w:val="22"/>
        </w:rPr>
        <w:t xml:space="preserve"> human coronavirus</w:t>
      </w:r>
      <w:r w:rsidR="0021311E" w:rsidRPr="0021311E">
        <w:rPr>
          <w:rFonts w:asciiTheme="minorHAnsi" w:hAnsiTheme="minorHAnsi" w:cstheme="minorBidi"/>
          <w:color w:val="000000" w:themeColor="text1"/>
          <w:sz w:val="22"/>
          <w:szCs w:val="22"/>
        </w:rPr>
        <w:t xml:space="preserve"> </w:t>
      </w:r>
      <w:r w:rsidR="0021311E" w:rsidRPr="0021311E">
        <w:rPr>
          <w:rFonts w:asciiTheme="minorHAnsi" w:hAnsiTheme="minorHAnsi" w:cstheme="minorBidi"/>
          <w:b/>
          <w:bCs/>
          <w:color w:val="000000" w:themeColor="text1"/>
          <w:sz w:val="22"/>
          <w:szCs w:val="22"/>
        </w:rPr>
        <w:t>(mRNA-1287)</w:t>
      </w:r>
      <w:r w:rsidRPr="0021311E">
        <w:rPr>
          <w:rFonts w:asciiTheme="minorHAnsi" w:hAnsiTheme="minorHAnsi" w:cstheme="minorBidi"/>
          <w:b/>
          <w:bCs/>
          <w:color w:val="000000" w:themeColor="text1"/>
          <w:sz w:val="22"/>
          <w:szCs w:val="22"/>
        </w:rPr>
        <w:t xml:space="preserve"> </w:t>
      </w:r>
      <w:r>
        <w:rPr>
          <w:rFonts w:asciiTheme="minorHAnsi" w:hAnsiTheme="minorHAnsi" w:cstheme="minorBidi"/>
          <w:color w:val="000000" w:themeColor="text1"/>
          <w:sz w:val="22"/>
          <w:szCs w:val="22"/>
        </w:rPr>
        <w:t>in preclinical</w:t>
      </w:r>
    </w:p>
    <w:p w14:paraId="73FBF018" w14:textId="094F5E4A" w:rsidR="00CA4CF4" w:rsidRPr="0021311E" w:rsidRDefault="00C7323F" w:rsidP="00C7323F">
      <w:pPr>
        <w:numPr>
          <w:ilvl w:val="0"/>
          <w:numId w:val="1"/>
        </w:numPr>
        <w:shd w:val="clear" w:color="auto" w:fill="FFFFFF" w:themeFill="background1"/>
        <w:rPr>
          <w:rFonts w:asciiTheme="minorHAnsi" w:hAnsiTheme="minorHAnsi" w:cstheme="minorBidi"/>
          <w:color w:val="000000" w:themeColor="text1"/>
          <w:sz w:val="22"/>
          <w:szCs w:val="22"/>
        </w:rPr>
      </w:pPr>
      <w:r w:rsidRPr="002937AF">
        <w:rPr>
          <w:rFonts w:asciiTheme="minorHAnsi" w:hAnsiTheme="minorHAnsi" w:cstheme="minorBidi"/>
          <w:color w:val="000000" w:themeColor="text1"/>
          <w:sz w:val="22"/>
          <w:szCs w:val="22"/>
        </w:rPr>
        <w:lastRenderedPageBreak/>
        <w:t>Pediatric hMPV + PIV3</w:t>
      </w:r>
      <w:r w:rsidR="0021311E">
        <w:rPr>
          <w:rFonts w:asciiTheme="minorHAnsi" w:hAnsiTheme="minorHAnsi" w:cstheme="minorBidi"/>
          <w:color w:val="000000" w:themeColor="text1"/>
          <w:sz w:val="22"/>
          <w:szCs w:val="22"/>
        </w:rPr>
        <w:t xml:space="preserve"> </w:t>
      </w:r>
      <w:r w:rsidR="0021311E" w:rsidRPr="002937AF">
        <w:rPr>
          <w:rFonts w:asciiTheme="minorHAnsi" w:hAnsiTheme="minorHAnsi" w:cstheme="minorBidi"/>
          <w:b/>
          <w:bCs/>
          <w:color w:val="000000" w:themeColor="text1"/>
          <w:sz w:val="22"/>
          <w:szCs w:val="22"/>
        </w:rPr>
        <w:t>(mRNA-1653)</w:t>
      </w:r>
      <w:r>
        <w:rPr>
          <w:rFonts w:asciiTheme="minorHAnsi" w:hAnsiTheme="minorHAnsi" w:cstheme="minorBidi"/>
          <w:color w:val="000000" w:themeColor="text1"/>
          <w:sz w:val="22"/>
          <w:szCs w:val="22"/>
        </w:rPr>
        <w:t xml:space="preserve"> Phase 1b fully enrolled; </w:t>
      </w:r>
      <w:r w:rsidR="00AD392E">
        <w:rPr>
          <w:rFonts w:asciiTheme="minorHAnsi" w:hAnsiTheme="minorHAnsi" w:cstheme="minorBidi"/>
          <w:color w:val="000000" w:themeColor="text1"/>
          <w:sz w:val="22"/>
          <w:szCs w:val="22"/>
        </w:rPr>
        <w:t>p</w:t>
      </w:r>
      <w:r w:rsidR="00AD392E" w:rsidRPr="002937AF">
        <w:rPr>
          <w:rFonts w:asciiTheme="minorHAnsi" w:hAnsiTheme="minorHAnsi" w:cstheme="minorBidi"/>
          <w:color w:val="000000" w:themeColor="text1"/>
          <w:sz w:val="22"/>
          <w:szCs w:val="22"/>
        </w:rPr>
        <w:t xml:space="preserve">ediatric </w:t>
      </w:r>
      <w:r w:rsidRPr="002937AF">
        <w:rPr>
          <w:rFonts w:asciiTheme="minorHAnsi" w:hAnsiTheme="minorHAnsi" w:cstheme="minorBidi"/>
          <w:color w:val="000000" w:themeColor="text1"/>
          <w:sz w:val="22"/>
          <w:szCs w:val="22"/>
        </w:rPr>
        <w:t>RSV + hMPV</w:t>
      </w:r>
      <w:r w:rsidRPr="0021311E">
        <w:rPr>
          <w:rFonts w:asciiTheme="minorHAnsi" w:hAnsiTheme="minorHAnsi" w:cstheme="minorBidi"/>
          <w:color w:val="000000" w:themeColor="text1"/>
          <w:sz w:val="22"/>
          <w:szCs w:val="22"/>
        </w:rPr>
        <w:t xml:space="preserve"> </w:t>
      </w:r>
      <w:r w:rsidR="002937AF" w:rsidRPr="002937AF">
        <w:rPr>
          <w:rFonts w:asciiTheme="minorHAnsi" w:hAnsiTheme="minorHAnsi" w:cstheme="minorBidi"/>
          <w:b/>
          <w:bCs/>
          <w:color w:val="000000" w:themeColor="text1"/>
          <w:sz w:val="22"/>
          <w:szCs w:val="22"/>
        </w:rPr>
        <w:t xml:space="preserve">(mRNA-1365) </w:t>
      </w:r>
      <w:r w:rsidRPr="0021311E">
        <w:rPr>
          <w:rFonts w:asciiTheme="minorHAnsi" w:hAnsiTheme="minorHAnsi" w:cstheme="minorBidi"/>
          <w:color w:val="000000" w:themeColor="text1"/>
          <w:sz w:val="22"/>
          <w:szCs w:val="22"/>
        </w:rPr>
        <w:t>in preclinical</w:t>
      </w:r>
    </w:p>
    <w:p w14:paraId="69BD689F" w14:textId="15224EE3" w:rsidR="00CA4CF4" w:rsidRPr="0021311E" w:rsidRDefault="00CA4CF4" w:rsidP="00FB6D24">
      <w:pPr>
        <w:numPr>
          <w:ilvl w:val="0"/>
          <w:numId w:val="1"/>
        </w:numPr>
        <w:shd w:val="clear" w:color="auto" w:fill="FFFFFF" w:themeFill="background1"/>
        <w:rPr>
          <w:rFonts w:asciiTheme="minorHAnsi" w:hAnsiTheme="minorHAnsi" w:cstheme="minorBidi"/>
          <w:color w:val="000000" w:themeColor="text1"/>
          <w:sz w:val="22"/>
          <w:szCs w:val="22"/>
        </w:rPr>
      </w:pPr>
      <w:r w:rsidRPr="002937AF">
        <w:rPr>
          <w:rFonts w:asciiTheme="minorHAnsi" w:hAnsiTheme="minorHAnsi" w:cstheme="minorBidi"/>
          <w:color w:val="000000" w:themeColor="text1"/>
          <w:sz w:val="22"/>
          <w:szCs w:val="22"/>
        </w:rPr>
        <w:t>Older adults RSV</w:t>
      </w:r>
      <w:r w:rsidRPr="0021311E">
        <w:rPr>
          <w:rFonts w:asciiTheme="minorHAnsi" w:hAnsiTheme="minorHAnsi" w:cstheme="minorBidi"/>
          <w:color w:val="000000" w:themeColor="text1"/>
          <w:sz w:val="22"/>
          <w:szCs w:val="22"/>
        </w:rPr>
        <w:t xml:space="preserve"> Phase 3</w:t>
      </w:r>
      <w:r w:rsidR="002937AF">
        <w:rPr>
          <w:rFonts w:asciiTheme="minorHAnsi" w:hAnsiTheme="minorHAnsi" w:cstheme="minorBidi"/>
          <w:color w:val="000000" w:themeColor="text1"/>
          <w:sz w:val="22"/>
          <w:szCs w:val="22"/>
        </w:rPr>
        <w:t xml:space="preserve"> </w:t>
      </w:r>
      <w:r w:rsidR="002937AF" w:rsidRPr="002937AF">
        <w:rPr>
          <w:rFonts w:asciiTheme="minorHAnsi" w:hAnsiTheme="minorHAnsi" w:cstheme="minorBidi"/>
          <w:b/>
          <w:bCs/>
          <w:color w:val="000000" w:themeColor="text1"/>
          <w:sz w:val="22"/>
          <w:szCs w:val="22"/>
        </w:rPr>
        <w:t>(mRNA-1345)</w:t>
      </w:r>
      <w:r w:rsidRPr="00A4201D">
        <w:rPr>
          <w:rFonts w:asciiTheme="minorHAnsi" w:hAnsiTheme="minorHAnsi"/>
          <w:color w:val="000000" w:themeColor="text1"/>
          <w:sz w:val="22"/>
        </w:rPr>
        <w:t>,</w:t>
      </w:r>
      <w:r w:rsidRPr="0021311E">
        <w:rPr>
          <w:rFonts w:asciiTheme="minorHAnsi" w:hAnsiTheme="minorHAnsi" w:cstheme="minorBidi"/>
          <w:color w:val="000000" w:themeColor="text1"/>
          <w:sz w:val="22"/>
          <w:szCs w:val="22"/>
        </w:rPr>
        <w:t xml:space="preserve"> known as </w:t>
      </w:r>
      <w:proofErr w:type="spellStart"/>
      <w:r w:rsidRPr="0021311E">
        <w:rPr>
          <w:rFonts w:asciiTheme="minorHAnsi" w:hAnsiTheme="minorHAnsi" w:cstheme="minorBidi"/>
          <w:color w:val="000000" w:themeColor="text1"/>
          <w:sz w:val="22"/>
          <w:szCs w:val="22"/>
        </w:rPr>
        <w:t>Conquer</w:t>
      </w:r>
      <w:r w:rsidR="00540471">
        <w:rPr>
          <w:rFonts w:asciiTheme="minorHAnsi" w:hAnsiTheme="minorHAnsi" w:cstheme="minorBidi"/>
          <w:color w:val="000000" w:themeColor="text1"/>
          <w:sz w:val="22"/>
          <w:szCs w:val="22"/>
        </w:rPr>
        <w:t>RSV</w:t>
      </w:r>
      <w:proofErr w:type="spellEnd"/>
      <w:r w:rsidRPr="0021311E">
        <w:rPr>
          <w:rFonts w:asciiTheme="minorHAnsi" w:hAnsiTheme="minorHAnsi" w:cstheme="minorBidi"/>
          <w:color w:val="000000" w:themeColor="text1"/>
          <w:sz w:val="22"/>
          <w:szCs w:val="22"/>
        </w:rPr>
        <w:t xml:space="preserve">, is ongoing; </w:t>
      </w:r>
      <w:r w:rsidR="00AD392E">
        <w:rPr>
          <w:rFonts w:asciiTheme="minorHAnsi" w:hAnsiTheme="minorHAnsi" w:cstheme="minorBidi"/>
          <w:color w:val="000000" w:themeColor="text1"/>
          <w:sz w:val="22"/>
          <w:szCs w:val="22"/>
        </w:rPr>
        <w:t>p</w:t>
      </w:r>
      <w:r w:rsidR="00AD392E" w:rsidRPr="002937AF">
        <w:rPr>
          <w:rFonts w:asciiTheme="minorHAnsi" w:hAnsiTheme="minorHAnsi" w:cstheme="minorBidi"/>
          <w:color w:val="000000" w:themeColor="text1"/>
          <w:sz w:val="22"/>
          <w:szCs w:val="22"/>
        </w:rPr>
        <w:t xml:space="preserve">ediatric </w:t>
      </w:r>
      <w:r w:rsidRPr="002937AF">
        <w:rPr>
          <w:rFonts w:asciiTheme="minorHAnsi" w:hAnsiTheme="minorHAnsi" w:cstheme="minorBidi"/>
          <w:color w:val="000000" w:themeColor="text1"/>
          <w:sz w:val="22"/>
          <w:szCs w:val="22"/>
        </w:rPr>
        <w:t>RSV</w:t>
      </w:r>
      <w:r w:rsidRPr="0021311E">
        <w:rPr>
          <w:rFonts w:asciiTheme="minorHAnsi" w:hAnsiTheme="minorHAnsi" w:cstheme="minorBidi"/>
          <w:color w:val="000000" w:themeColor="text1"/>
          <w:sz w:val="22"/>
          <w:szCs w:val="22"/>
        </w:rPr>
        <w:t xml:space="preserve"> in Phase 1</w:t>
      </w:r>
    </w:p>
    <w:p w14:paraId="4A217304" w14:textId="77777777" w:rsidR="00C7323F" w:rsidRDefault="00C7323F" w:rsidP="00081CC8">
      <w:pPr>
        <w:shd w:val="clear" w:color="auto" w:fill="FFFFFF" w:themeFill="background1"/>
        <w:ind w:left="720"/>
        <w:rPr>
          <w:rFonts w:asciiTheme="minorHAnsi" w:hAnsiTheme="minorHAnsi" w:cstheme="minorBidi"/>
          <w:color w:val="000000" w:themeColor="text1"/>
          <w:sz w:val="22"/>
          <w:szCs w:val="22"/>
        </w:rPr>
      </w:pPr>
    </w:p>
    <w:p w14:paraId="63BF7428" w14:textId="42D80AE8" w:rsidR="00B8768C" w:rsidRPr="00B862BC" w:rsidRDefault="00B8768C" w:rsidP="00B8768C">
      <w:pPr>
        <w:shd w:val="clear" w:color="auto" w:fill="FFFFFF"/>
        <w:rPr>
          <w:rFonts w:asciiTheme="minorHAnsi" w:hAnsiTheme="minorHAnsi" w:cstheme="minorHAnsi"/>
          <w:color w:val="000000" w:themeColor="text1"/>
          <w:sz w:val="22"/>
          <w:szCs w:val="22"/>
        </w:rPr>
      </w:pPr>
    </w:p>
    <w:p w14:paraId="593182C4" w14:textId="6A7ACDAF" w:rsidR="00E612F4" w:rsidRDefault="00B8768C" w:rsidP="00E612F4">
      <w:pPr>
        <w:shd w:val="clear" w:color="auto" w:fill="FFFFFF"/>
        <w:rPr>
          <w:rFonts w:asciiTheme="minorHAnsi" w:hAnsiTheme="minorHAnsi" w:cstheme="minorHAnsi"/>
          <w:i/>
          <w:iCs/>
          <w:color w:val="000000" w:themeColor="text1"/>
          <w:sz w:val="22"/>
          <w:szCs w:val="22"/>
        </w:rPr>
      </w:pPr>
      <w:r w:rsidRPr="00B862BC">
        <w:rPr>
          <w:rFonts w:asciiTheme="minorHAnsi" w:hAnsiTheme="minorHAnsi" w:cstheme="minorHAnsi"/>
          <w:i/>
          <w:iCs/>
          <w:color w:val="000000" w:themeColor="text1"/>
          <w:sz w:val="22"/>
          <w:szCs w:val="22"/>
        </w:rPr>
        <w:t>Latent Vaccines</w:t>
      </w:r>
      <w:r w:rsidR="00E612F4">
        <w:rPr>
          <w:rFonts w:asciiTheme="minorHAnsi" w:hAnsiTheme="minorHAnsi" w:cstheme="minorHAnsi"/>
          <w:i/>
          <w:iCs/>
          <w:color w:val="000000" w:themeColor="text1"/>
          <w:sz w:val="22"/>
          <w:szCs w:val="22"/>
        </w:rPr>
        <w:br/>
      </w:r>
    </w:p>
    <w:p w14:paraId="501FADD4" w14:textId="5197588A" w:rsidR="001126D5" w:rsidRDefault="001126D5" w:rsidP="00E83FF2">
      <w:pPr>
        <w:pStyle w:val="ListParagraph"/>
        <w:numPr>
          <w:ilvl w:val="0"/>
          <w:numId w:val="2"/>
        </w:numPr>
        <w:shd w:val="clear" w:color="auto" w:fill="FFFFFF"/>
        <w:rPr>
          <w:rFonts w:asciiTheme="minorHAnsi" w:hAnsiTheme="minorHAnsi" w:cstheme="minorHAnsi"/>
          <w:color w:val="000000" w:themeColor="text1"/>
          <w:sz w:val="22"/>
          <w:szCs w:val="22"/>
        </w:rPr>
      </w:pPr>
      <w:r w:rsidRPr="002937AF">
        <w:rPr>
          <w:rFonts w:asciiTheme="minorHAnsi" w:hAnsiTheme="minorHAnsi" w:cstheme="minorHAnsi"/>
          <w:color w:val="000000" w:themeColor="text1"/>
          <w:sz w:val="22"/>
          <w:szCs w:val="22"/>
        </w:rPr>
        <w:t>CMV vaccine</w:t>
      </w:r>
      <w:r>
        <w:rPr>
          <w:rFonts w:asciiTheme="minorHAnsi" w:hAnsiTheme="minorHAnsi" w:cstheme="minorHAnsi"/>
          <w:color w:val="000000" w:themeColor="text1"/>
          <w:sz w:val="22"/>
          <w:szCs w:val="22"/>
        </w:rPr>
        <w:t xml:space="preserve"> </w:t>
      </w:r>
      <w:r w:rsidR="008C1EFE" w:rsidRPr="002937AF">
        <w:rPr>
          <w:rFonts w:asciiTheme="minorHAnsi" w:hAnsiTheme="minorHAnsi" w:cstheme="minorHAnsi"/>
          <w:b/>
          <w:bCs/>
          <w:color w:val="000000" w:themeColor="text1"/>
          <w:sz w:val="22"/>
          <w:szCs w:val="22"/>
        </w:rPr>
        <w:t>(mRNA-1647)</w:t>
      </w:r>
      <w:r w:rsidR="008C1EFE">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pivotal Phase 3 study, known as </w:t>
      </w:r>
      <w:proofErr w:type="spellStart"/>
      <w:r>
        <w:rPr>
          <w:rFonts w:asciiTheme="minorHAnsi" w:hAnsiTheme="minorHAnsi" w:cstheme="minorHAnsi"/>
          <w:color w:val="000000" w:themeColor="text1"/>
          <w:sz w:val="22"/>
          <w:szCs w:val="22"/>
        </w:rPr>
        <w:t>CMVictory</w:t>
      </w:r>
      <w:proofErr w:type="spellEnd"/>
      <w:r>
        <w:rPr>
          <w:rFonts w:asciiTheme="minorHAnsi" w:hAnsiTheme="minorHAnsi" w:cstheme="minorHAnsi"/>
          <w:color w:val="000000" w:themeColor="text1"/>
          <w:sz w:val="22"/>
          <w:szCs w:val="22"/>
        </w:rPr>
        <w:t>, is ongoing</w:t>
      </w:r>
    </w:p>
    <w:p w14:paraId="1A104169" w14:textId="0AF62BEF" w:rsidR="001126D5" w:rsidRDefault="001126D5" w:rsidP="00E83FF2">
      <w:pPr>
        <w:pStyle w:val="ListParagraph"/>
        <w:numPr>
          <w:ilvl w:val="0"/>
          <w:numId w:val="2"/>
        </w:numPr>
        <w:shd w:val="clear" w:color="auto" w:fill="FFFFFF"/>
        <w:rPr>
          <w:rFonts w:asciiTheme="minorHAnsi" w:hAnsiTheme="minorHAnsi" w:cstheme="minorHAnsi"/>
          <w:color w:val="000000" w:themeColor="text1"/>
          <w:sz w:val="22"/>
          <w:szCs w:val="22"/>
        </w:rPr>
      </w:pPr>
      <w:r w:rsidRPr="002937AF">
        <w:rPr>
          <w:rFonts w:asciiTheme="minorHAnsi" w:hAnsiTheme="minorHAnsi" w:cstheme="minorHAnsi"/>
          <w:color w:val="000000" w:themeColor="text1"/>
          <w:sz w:val="22"/>
          <w:szCs w:val="22"/>
        </w:rPr>
        <w:t>EBV vaccine (to prevent infectious mononucleosis</w:t>
      </w:r>
      <w:r w:rsidRPr="008C1EFE">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8C1EFE" w:rsidRPr="00CB5694">
        <w:rPr>
          <w:rFonts w:asciiTheme="minorHAnsi" w:hAnsiTheme="minorHAnsi" w:cstheme="minorHAnsi"/>
          <w:b/>
          <w:bCs/>
          <w:color w:val="000000" w:themeColor="text1"/>
          <w:sz w:val="22"/>
          <w:szCs w:val="22"/>
        </w:rPr>
        <w:t>(</w:t>
      </w:r>
      <w:r w:rsidR="008C1EFE" w:rsidRPr="008C1EFE">
        <w:rPr>
          <w:rFonts w:asciiTheme="minorHAnsi" w:hAnsiTheme="minorHAnsi" w:cstheme="minorHAnsi"/>
          <w:b/>
          <w:bCs/>
          <w:color w:val="000000" w:themeColor="text1"/>
          <w:sz w:val="22"/>
          <w:szCs w:val="22"/>
        </w:rPr>
        <w:t>mRNA</w:t>
      </w:r>
      <w:r w:rsidR="00FA1FF4">
        <w:rPr>
          <w:rFonts w:asciiTheme="minorHAnsi" w:hAnsiTheme="minorHAnsi" w:cstheme="minorHAnsi"/>
          <w:b/>
          <w:bCs/>
          <w:color w:val="000000" w:themeColor="text1"/>
          <w:sz w:val="22"/>
          <w:szCs w:val="22"/>
        </w:rPr>
        <w:t>-1189</w:t>
      </w:r>
      <w:r w:rsidR="008C1EFE" w:rsidRPr="008C1EFE">
        <w:rPr>
          <w:rFonts w:asciiTheme="minorHAnsi" w:hAnsiTheme="minorHAnsi" w:cstheme="minorHAnsi"/>
          <w:b/>
          <w:bCs/>
          <w:color w:val="000000" w:themeColor="text1"/>
          <w:sz w:val="22"/>
          <w:szCs w:val="22"/>
        </w:rPr>
        <w:t>)</w:t>
      </w:r>
      <w:r w:rsidR="008C1EFE">
        <w:rPr>
          <w:rFonts w:asciiTheme="minorHAnsi" w:hAnsiTheme="minorHAnsi" w:cstheme="minorHAnsi"/>
          <w:b/>
          <w:bCs/>
          <w:color w:val="000000" w:themeColor="text1"/>
          <w:sz w:val="22"/>
          <w:szCs w:val="22"/>
        </w:rPr>
        <w:t xml:space="preserve"> </w:t>
      </w:r>
      <w:r>
        <w:rPr>
          <w:rFonts w:asciiTheme="minorHAnsi" w:hAnsiTheme="minorHAnsi" w:cstheme="minorHAnsi"/>
          <w:color w:val="000000" w:themeColor="text1"/>
          <w:sz w:val="22"/>
          <w:szCs w:val="22"/>
        </w:rPr>
        <w:t xml:space="preserve">Phase 1 is ongoing; </w:t>
      </w:r>
      <w:r w:rsidRPr="002937AF">
        <w:rPr>
          <w:rFonts w:asciiTheme="minorHAnsi" w:hAnsiTheme="minorHAnsi" w:cstheme="minorHAnsi"/>
          <w:color w:val="000000" w:themeColor="text1"/>
          <w:sz w:val="22"/>
          <w:szCs w:val="22"/>
        </w:rPr>
        <w:t xml:space="preserve">EBV </w:t>
      </w:r>
      <w:r w:rsidR="00AD392E">
        <w:rPr>
          <w:rFonts w:asciiTheme="minorHAnsi" w:hAnsiTheme="minorHAnsi" w:cstheme="minorHAnsi"/>
          <w:color w:val="000000" w:themeColor="text1"/>
          <w:sz w:val="22"/>
          <w:szCs w:val="22"/>
        </w:rPr>
        <w:t>v</w:t>
      </w:r>
      <w:r w:rsidR="00AD392E" w:rsidRPr="002937AF">
        <w:rPr>
          <w:rFonts w:asciiTheme="minorHAnsi" w:hAnsiTheme="minorHAnsi" w:cstheme="minorHAnsi"/>
          <w:color w:val="000000" w:themeColor="text1"/>
          <w:sz w:val="22"/>
          <w:szCs w:val="22"/>
        </w:rPr>
        <w:t xml:space="preserve">accine </w:t>
      </w:r>
      <w:r w:rsidRPr="002937AF">
        <w:rPr>
          <w:rFonts w:asciiTheme="minorHAnsi" w:hAnsiTheme="minorHAnsi" w:cstheme="minorHAnsi"/>
          <w:color w:val="000000" w:themeColor="text1"/>
          <w:sz w:val="22"/>
          <w:szCs w:val="22"/>
        </w:rPr>
        <w:t>(to prevent EBV sequelae</w:t>
      </w:r>
      <w:r w:rsidRPr="008403A9">
        <w:rPr>
          <w:rFonts w:asciiTheme="minorHAnsi" w:hAnsiTheme="minorHAnsi" w:cstheme="minorHAnsi"/>
          <w:color w:val="000000" w:themeColor="text1"/>
          <w:sz w:val="22"/>
          <w:szCs w:val="22"/>
        </w:rPr>
        <w:t>)</w:t>
      </w:r>
      <w:r w:rsidR="0086219B">
        <w:rPr>
          <w:rFonts w:asciiTheme="minorHAnsi" w:hAnsiTheme="minorHAnsi" w:cstheme="minorHAnsi"/>
          <w:color w:val="000000" w:themeColor="text1"/>
          <w:sz w:val="22"/>
          <w:szCs w:val="22"/>
        </w:rPr>
        <w:t xml:space="preserve"> </w:t>
      </w:r>
      <w:r w:rsidR="0086219B" w:rsidRPr="00CB5694">
        <w:rPr>
          <w:rFonts w:asciiTheme="minorHAnsi" w:hAnsiTheme="minorHAnsi" w:cstheme="minorHAnsi"/>
          <w:b/>
          <w:bCs/>
          <w:color w:val="000000" w:themeColor="text1"/>
          <w:sz w:val="22"/>
          <w:szCs w:val="22"/>
        </w:rPr>
        <w:t>(</w:t>
      </w:r>
      <w:r w:rsidR="0086219B">
        <w:rPr>
          <w:rFonts w:asciiTheme="minorHAnsi" w:hAnsiTheme="minorHAnsi" w:cstheme="minorHAnsi"/>
          <w:b/>
          <w:bCs/>
          <w:color w:val="000000" w:themeColor="text1"/>
          <w:sz w:val="22"/>
          <w:szCs w:val="22"/>
        </w:rPr>
        <w:t>mRNA-1195)</w:t>
      </w:r>
      <w:r w:rsidRPr="008403A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in preclinical</w:t>
      </w:r>
      <w:r w:rsidR="00AD392E">
        <w:rPr>
          <w:rFonts w:asciiTheme="minorHAnsi" w:hAnsiTheme="minorHAnsi" w:cstheme="minorHAnsi"/>
          <w:color w:val="000000" w:themeColor="text1"/>
          <w:sz w:val="22"/>
          <w:szCs w:val="22"/>
        </w:rPr>
        <w:t xml:space="preserve"> studies</w:t>
      </w:r>
    </w:p>
    <w:p w14:paraId="7860F360" w14:textId="44854438" w:rsidR="001126D5" w:rsidRDefault="001126D5" w:rsidP="00E83FF2">
      <w:pPr>
        <w:pStyle w:val="ListParagraph"/>
        <w:numPr>
          <w:ilvl w:val="0"/>
          <w:numId w:val="2"/>
        </w:numPr>
        <w:shd w:val="clear" w:color="auto" w:fill="FFFFFF"/>
        <w:rPr>
          <w:rFonts w:asciiTheme="minorHAnsi" w:hAnsiTheme="minorHAnsi" w:cstheme="minorHAnsi"/>
          <w:color w:val="000000" w:themeColor="text1"/>
          <w:sz w:val="22"/>
          <w:szCs w:val="22"/>
        </w:rPr>
      </w:pPr>
      <w:r w:rsidRPr="002937AF">
        <w:rPr>
          <w:rFonts w:asciiTheme="minorHAnsi" w:hAnsiTheme="minorHAnsi" w:cstheme="minorHAnsi"/>
          <w:color w:val="000000" w:themeColor="text1"/>
          <w:sz w:val="22"/>
          <w:szCs w:val="22"/>
        </w:rPr>
        <w:t>HIV vaccines</w:t>
      </w:r>
      <w:r>
        <w:rPr>
          <w:rFonts w:asciiTheme="minorHAnsi" w:hAnsiTheme="minorHAnsi" w:cstheme="minorHAnsi"/>
          <w:b/>
          <w:bCs/>
          <w:color w:val="000000" w:themeColor="text1"/>
          <w:sz w:val="22"/>
          <w:szCs w:val="22"/>
        </w:rPr>
        <w:t xml:space="preserve"> </w:t>
      </w:r>
      <w:r w:rsidR="008C1EFE">
        <w:rPr>
          <w:rFonts w:asciiTheme="minorHAnsi" w:hAnsiTheme="minorHAnsi" w:cstheme="minorHAnsi"/>
          <w:b/>
          <w:bCs/>
          <w:color w:val="000000" w:themeColor="text1"/>
          <w:sz w:val="22"/>
          <w:szCs w:val="22"/>
        </w:rPr>
        <w:t>(</w:t>
      </w:r>
      <w:r w:rsidR="00C7687C">
        <w:rPr>
          <w:rFonts w:asciiTheme="minorHAnsi" w:hAnsiTheme="minorHAnsi" w:cstheme="minorHAnsi"/>
          <w:b/>
          <w:bCs/>
          <w:color w:val="000000" w:themeColor="text1"/>
          <w:sz w:val="22"/>
          <w:szCs w:val="22"/>
        </w:rPr>
        <w:t>mRNA-</w:t>
      </w:r>
      <w:r w:rsidR="00F1306C">
        <w:rPr>
          <w:rFonts w:asciiTheme="minorHAnsi" w:hAnsiTheme="minorHAnsi" w:cstheme="minorHAnsi"/>
          <w:b/>
          <w:bCs/>
          <w:color w:val="000000" w:themeColor="text1"/>
          <w:sz w:val="22"/>
          <w:szCs w:val="22"/>
        </w:rPr>
        <w:t xml:space="preserve">1644 and </w:t>
      </w:r>
      <w:r w:rsidR="008C1EFE" w:rsidRPr="008403A9">
        <w:rPr>
          <w:rFonts w:asciiTheme="minorHAnsi" w:hAnsiTheme="minorHAnsi" w:cstheme="minorHAnsi"/>
          <w:b/>
          <w:bCs/>
          <w:color w:val="000000" w:themeColor="text1"/>
          <w:sz w:val="22"/>
          <w:szCs w:val="22"/>
        </w:rPr>
        <w:t>mRNA-1574)</w:t>
      </w:r>
      <w:r w:rsidR="008C1EFE">
        <w:rPr>
          <w:rFonts w:asciiTheme="minorHAnsi" w:hAnsiTheme="minorHAnsi" w:cstheme="minorHAnsi"/>
          <w:b/>
          <w:bCs/>
          <w:color w:val="000000" w:themeColor="text1"/>
          <w:sz w:val="22"/>
          <w:szCs w:val="22"/>
        </w:rPr>
        <w:t xml:space="preserve"> </w:t>
      </w:r>
      <w:r w:rsidRPr="00081CC8">
        <w:rPr>
          <w:rFonts w:asciiTheme="minorHAnsi" w:hAnsiTheme="minorHAnsi" w:cstheme="minorHAnsi"/>
          <w:color w:val="000000" w:themeColor="text1"/>
          <w:sz w:val="22"/>
          <w:szCs w:val="22"/>
        </w:rPr>
        <w:t>Phase 1 trials are ongoing</w:t>
      </w:r>
    </w:p>
    <w:p w14:paraId="52A20865" w14:textId="6602E578" w:rsidR="001126D5" w:rsidRDefault="001126D5" w:rsidP="00E83FF2">
      <w:pPr>
        <w:pStyle w:val="ListParagraph"/>
        <w:numPr>
          <w:ilvl w:val="0"/>
          <w:numId w:val="2"/>
        </w:numPr>
        <w:shd w:val="clear" w:color="auto" w:fill="FFFFFF"/>
        <w:rPr>
          <w:rFonts w:asciiTheme="minorHAnsi" w:hAnsiTheme="minorHAnsi" w:cstheme="minorHAnsi"/>
          <w:color w:val="000000" w:themeColor="text1"/>
          <w:sz w:val="22"/>
          <w:szCs w:val="22"/>
        </w:rPr>
      </w:pPr>
      <w:r w:rsidRPr="002937AF">
        <w:rPr>
          <w:rFonts w:asciiTheme="minorHAnsi" w:hAnsiTheme="minorHAnsi" w:cstheme="minorHAnsi"/>
          <w:color w:val="000000" w:themeColor="text1"/>
          <w:sz w:val="22"/>
          <w:szCs w:val="22"/>
        </w:rPr>
        <w:t>HSV</w:t>
      </w:r>
      <w:r w:rsidR="00F1306C">
        <w:rPr>
          <w:rFonts w:asciiTheme="minorHAnsi" w:hAnsiTheme="minorHAnsi" w:cstheme="minorHAnsi"/>
          <w:color w:val="000000" w:themeColor="text1"/>
          <w:sz w:val="22"/>
          <w:szCs w:val="22"/>
        </w:rPr>
        <w:t xml:space="preserve"> vaccine</w:t>
      </w:r>
      <w:r w:rsidRPr="002937AF">
        <w:rPr>
          <w:rFonts w:asciiTheme="minorHAnsi" w:hAnsiTheme="minorHAnsi" w:cstheme="minorHAnsi"/>
          <w:color w:val="000000" w:themeColor="text1"/>
          <w:sz w:val="22"/>
          <w:szCs w:val="22"/>
        </w:rPr>
        <w:t xml:space="preserve"> </w:t>
      </w:r>
      <w:r w:rsidR="008C1EFE" w:rsidRPr="008403A9">
        <w:rPr>
          <w:rFonts w:asciiTheme="minorHAnsi" w:hAnsiTheme="minorHAnsi" w:cstheme="minorHAnsi"/>
          <w:b/>
          <w:bCs/>
          <w:color w:val="000000" w:themeColor="text1"/>
          <w:sz w:val="22"/>
          <w:szCs w:val="22"/>
        </w:rPr>
        <w:t>(mRNA-1608)</w:t>
      </w:r>
      <w:r w:rsidR="008C1EFE">
        <w:rPr>
          <w:rFonts w:asciiTheme="minorHAnsi" w:hAnsiTheme="minorHAnsi" w:cstheme="minorHAnsi"/>
          <w:b/>
          <w:bCs/>
          <w:color w:val="000000" w:themeColor="text1"/>
          <w:sz w:val="22"/>
          <w:szCs w:val="22"/>
        </w:rPr>
        <w:t xml:space="preserve"> </w:t>
      </w:r>
      <w:r w:rsidRPr="002937AF">
        <w:rPr>
          <w:rFonts w:asciiTheme="minorHAnsi" w:hAnsiTheme="minorHAnsi" w:cstheme="minorHAnsi"/>
          <w:color w:val="000000" w:themeColor="text1"/>
          <w:sz w:val="22"/>
          <w:szCs w:val="22"/>
        </w:rPr>
        <w:t>and VZV vaccine</w:t>
      </w:r>
      <w:r w:rsidR="008C1EFE">
        <w:rPr>
          <w:rFonts w:asciiTheme="minorHAnsi" w:hAnsiTheme="minorHAnsi" w:cstheme="minorHAnsi"/>
          <w:b/>
          <w:bCs/>
          <w:color w:val="000000" w:themeColor="text1"/>
          <w:sz w:val="22"/>
          <w:szCs w:val="22"/>
        </w:rPr>
        <w:t xml:space="preserve"> </w:t>
      </w:r>
      <w:r w:rsidR="008C1EFE" w:rsidRPr="008403A9">
        <w:rPr>
          <w:rFonts w:asciiTheme="minorHAnsi" w:hAnsiTheme="minorHAnsi" w:cstheme="minorHAnsi"/>
          <w:b/>
          <w:bCs/>
          <w:color w:val="000000" w:themeColor="text1"/>
          <w:sz w:val="22"/>
          <w:szCs w:val="22"/>
        </w:rPr>
        <w:t>(mRNA-1468)</w:t>
      </w:r>
      <w:r>
        <w:rPr>
          <w:rFonts w:asciiTheme="minorHAnsi" w:hAnsiTheme="minorHAnsi" w:cstheme="minorHAnsi"/>
          <w:b/>
          <w:bCs/>
          <w:color w:val="000000" w:themeColor="text1"/>
          <w:sz w:val="22"/>
          <w:szCs w:val="22"/>
        </w:rPr>
        <w:t xml:space="preserve"> </w:t>
      </w:r>
      <w:r>
        <w:rPr>
          <w:rFonts w:asciiTheme="minorHAnsi" w:hAnsiTheme="minorHAnsi" w:cstheme="minorHAnsi"/>
          <w:color w:val="000000" w:themeColor="text1"/>
          <w:sz w:val="22"/>
          <w:szCs w:val="22"/>
        </w:rPr>
        <w:t>in preclinical</w:t>
      </w:r>
      <w:r w:rsidR="00AD392E">
        <w:rPr>
          <w:rFonts w:asciiTheme="minorHAnsi" w:hAnsiTheme="minorHAnsi" w:cstheme="minorHAnsi"/>
          <w:color w:val="000000" w:themeColor="text1"/>
          <w:sz w:val="22"/>
          <w:szCs w:val="22"/>
        </w:rPr>
        <w:t xml:space="preserve"> studies</w:t>
      </w:r>
    </w:p>
    <w:p w14:paraId="48B7AB6F" w14:textId="4869B45A" w:rsidR="009C0673" w:rsidRDefault="009C0673" w:rsidP="00E9364D">
      <w:pPr>
        <w:shd w:val="clear" w:color="auto" w:fill="FFFFFF"/>
        <w:spacing w:before="100" w:beforeAutospacing="1" w:after="100" w:afterAutospacing="1"/>
      </w:pPr>
      <w:r w:rsidRPr="00081CC8">
        <w:rPr>
          <w:rFonts w:asciiTheme="minorHAnsi" w:hAnsiTheme="minorHAnsi" w:cstheme="minorHAnsi"/>
          <w:i/>
          <w:iCs/>
          <w:color w:val="000000" w:themeColor="text1"/>
          <w:sz w:val="22"/>
          <w:szCs w:val="22"/>
        </w:rPr>
        <w:t>Public Health Vaccines</w:t>
      </w:r>
    </w:p>
    <w:p w14:paraId="4998E290" w14:textId="65226146" w:rsidR="00B5371F" w:rsidRDefault="00B5371F" w:rsidP="00B5371F">
      <w:pPr>
        <w:pStyle w:val="ListParagraph"/>
        <w:numPr>
          <w:ilvl w:val="0"/>
          <w:numId w:val="2"/>
        </w:numPr>
        <w:shd w:val="clear" w:color="auto" w:fill="FFFFFF"/>
        <w:rPr>
          <w:rFonts w:asciiTheme="minorHAnsi" w:hAnsiTheme="minorHAnsi" w:cstheme="minorHAnsi"/>
          <w:color w:val="000000" w:themeColor="text1"/>
          <w:sz w:val="22"/>
          <w:szCs w:val="22"/>
        </w:rPr>
      </w:pPr>
      <w:r w:rsidRPr="002937AF">
        <w:rPr>
          <w:rFonts w:asciiTheme="minorHAnsi" w:hAnsiTheme="minorHAnsi" w:cstheme="minorHAnsi"/>
          <w:color w:val="000000" w:themeColor="text1"/>
          <w:sz w:val="22"/>
          <w:szCs w:val="22"/>
        </w:rPr>
        <w:t xml:space="preserve">Zika vaccine </w:t>
      </w:r>
      <w:r w:rsidR="00533DBC" w:rsidRPr="008403A9">
        <w:rPr>
          <w:rFonts w:asciiTheme="minorHAnsi" w:hAnsiTheme="minorHAnsi" w:cstheme="minorHAnsi"/>
          <w:b/>
          <w:bCs/>
          <w:color w:val="000000" w:themeColor="text1"/>
          <w:sz w:val="22"/>
          <w:szCs w:val="22"/>
        </w:rPr>
        <w:t>(mRNA-1893)</w:t>
      </w:r>
      <w:r w:rsidR="00533DBC">
        <w:rPr>
          <w:rFonts w:asciiTheme="minorHAnsi" w:hAnsiTheme="minorHAnsi" w:cstheme="minorHAnsi"/>
          <w:b/>
          <w:bCs/>
          <w:color w:val="000000" w:themeColor="text1"/>
          <w:sz w:val="22"/>
          <w:szCs w:val="22"/>
        </w:rPr>
        <w:t xml:space="preserve"> </w:t>
      </w:r>
      <w:r>
        <w:rPr>
          <w:rFonts w:asciiTheme="minorHAnsi" w:hAnsiTheme="minorHAnsi" w:cstheme="minorHAnsi"/>
          <w:color w:val="000000" w:themeColor="text1"/>
          <w:sz w:val="22"/>
          <w:szCs w:val="22"/>
        </w:rPr>
        <w:t>ongoing in a Phase 2 study</w:t>
      </w:r>
    </w:p>
    <w:p w14:paraId="09388D7A" w14:textId="49D0EBF2" w:rsidR="00B5371F" w:rsidRDefault="00B5371F" w:rsidP="00B5371F">
      <w:pPr>
        <w:pStyle w:val="ListParagraph"/>
        <w:numPr>
          <w:ilvl w:val="0"/>
          <w:numId w:val="2"/>
        </w:numPr>
        <w:shd w:val="clear" w:color="auto" w:fill="FFFFFF"/>
        <w:rPr>
          <w:rFonts w:asciiTheme="minorHAnsi" w:hAnsiTheme="minorHAnsi" w:cstheme="minorHAnsi"/>
          <w:color w:val="000000" w:themeColor="text1"/>
          <w:sz w:val="22"/>
          <w:szCs w:val="22"/>
        </w:rPr>
      </w:pPr>
      <w:r w:rsidRPr="002937AF">
        <w:rPr>
          <w:rFonts w:asciiTheme="minorHAnsi" w:hAnsiTheme="minorHAnsi" w:cstheme="minorHAnsi"/>
          <w:color w:val="000000" w:themeColor="text1"/>
          <w:sz w:val="22"/>
          <w:szCs w:val="22"/>
        </w:rPr>
        <w:t>Nipah vaccine</w:t>
      </w:r>
      <w:r w:rsidRPr="008403A9">
        <w:rPr>
          <w:rFonts w:asciiTheme="minorHAnsi" w:hAnsiTheme="minorHAnsi" w:cstheme="minorHAnsi"/>
          <w:color w:val="000000" w:themeColor="text1"/>
          <w:sz w:val="22"/>
          <w:szCs w:val="22"/>
        </w:rPr>
        <w:t xml:space="preserve"> </w:t>
      </w:r>
      <w:r w:rsidR="00533DBC" w:rsidRPr="002937AF">
        <w:rPr>
          <w:rFonts w:asciiTheme="minorHAnsi" w:hAnsiTheme="minorHAnsi" w:cstheme="minorHAnsi"/>
          <w:b/>
          <w:bCs/>
          <w:color w:val="000000" w:themeColor="text1"/>
          <w:sz w:val="22"/>
          <w:szCs w:val="22"/>
        </w:rPr>
        <w:t>(mRNA-1215)</w:t>
      </w:r>
      <w:r w:rsidR="00533DB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Phase 1 study, led by the </w:t>
      </w:r>
      <w:r w:rsidR="00013710">
        <w:rPr>
          <w:rFonts w:asciiTheme="minorHAnsi" w:hAnsiTheme="minorHAnsi" w:cstheme="minorHAnsi"/>
          <w:color w:val="000000" w:themeColor="text1"/>
          <w:sz w:val="22"/>
          <w:szCs w:val="22"/>
        </w:rPr>
        <w:t>National Institutes of Health (</w:t>
      </w:r>
      <w:r>
        <w:rPr>
          <w:rFonts w:asciiTheme="minorHAnsi" w:hAnsiTheme="minorHAnsi" w:cstheme="minorHAnsi"/>
          <w:color w:val="000000" w:themeColor="text1"/>
          <w:sz w:val="22"/>
          <w:szCs w:val="22"/>
        </w:rPr>
        <w:t>NIH</w:t>
      </w:r>
      <w:r w:rsidR="00013710">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is ongoing (first participant dosed in July)</w:t>
      </w:r>
    </w:p>
    <w:p w14:paraId="1962F4EB" w14:textId="6049542D" w:rsidR="00A44B91" w:rsidRPr="00E547E7" w:rsidRDefault="00DF194F" w:rsidP="00B8768C">
      <w:pPr>
        <w:shd w:val="clear" w:color="auto" w:fill="FFFFFF"/>
        <w:spacing w:before="100" w:beforeAutospacing="1" w:after="100" w:afterAutospacing="1"/>
        <w:rPr>
          <w:rFonts w:asciiTheme="minorHAnsi" w:hAnsiTheme="minorHAnsi" w:cstheme="minorHAnsi"/>
          <w:i/>
          <w:iCs/>
          <w:color w:val="000000" w:themeColor="text1"/>
          <w:sz w:val="22"/>
          <w:szCs w:val="22"/>
        </w:rPr>
      </w:pPr>
      <w:r>
        <w:rPr>
          <w:rFonts w:asciiTheme="minorHAnsi" w:hAnsiTheme="minorHAnsi" w:cstheme="minorHAnsi"/>
          <w:i/>
          <w:iCs/>
          <w:color w:val="000000" w:themeColor="text1"/>
          <w:sz w:val="22"/>
          <w:szCs w:val="22"/>
        </w:rPr>
        <w:t>mRNA therapeutics</w:t>
      </w:r>
    </w:p>
    <w:p w14:paraId="425F06A0" w14:textId="4688C61D" w:rsidR="00FA525B" w:rsidRPr="00257C22" w:rsidRDefault="00FA525B" w:rsidP="00257C22">
      <w:pPr>
        <w:pStyle w:val="ListParagraph"/>
        <w:numPr>
          <w:ilvl w:val="0"/>
          <w:numId w:val="25"/>
        </w:numPr>
        <w:shd w:val="clear" w:color="auto" w:fill="FFFFFF" w:themeFill="background1"/>
        <w:rPr>
          <w:rFonts w:asciiTheme="minorHAnsi" w:hAnsiTheme="minorHAnsi" w:cstheme="minorBidi"/>
          <w:color w:val="000000" w:themeColor="text1"/>
          <w:sz w:val="22"/>
          <w:szCs w:val="22"/>
        </w:rPr>
      </w:pPr>
      <w:r w:rsidRPr="7FCC71DE">
        <w:rPr>
          <w:rFonts w:asciiTheme="minorHAnsi" w:hAnsiTheme="minorHAnsi" w:cstheme="minorBidi"/>
          <w:color w:val="000000" w:themeColor="text1"/>
          <w:sz w:val="22"/>
          <w:szCs w:val="22"/>
        </w:rPr>
        <w:t xml:space="preserve">The first </w:t>
      </w:r>
      <w:r w:rsidR="003171DF">
        <w:rPr>
          <w:rFonts w:asciiTheme="minorHAnsi" w:hAnsiTheme="minorHAnsi" w:cstheme="minorBidi"/>
          <w:color w:val="000000" w:themeColor="text1"/>
          <w:sz w:val="22"/>
          <w:szCs w:val="22"/>
        </w:rPr>
        <w:t xml:space="preserve">and second </w:t>
      </w:r>
      <w:r w:rsidRPr="7FCC71DE">
        <w:rPr>
          <w:rFonts w:asciiTheme="minorHAnsi" w:hAnsiTheme="minorHAnsi" w:cstheme="minorBidi"/>
          <w:color w:val="000000" w:themeColor="text1"/>
          <w:sz w:val="22"/>
          <w:szCs w:val="22"/>
        </w:rPr>
        <w:t>cohort</w:t>
      </w:r>
      <w:r w:rsidR="003171DF">
        <w:rPr>
          <w:rFonts w:asciiTheme="minorHAnsi" w:hAnsiTheme="minorHAnsi" w:cstheme="minorBidi"/>
          <w:color w:val="000000" w:themeColor="text1"/>
          <w:sz w:val="22"/>
          <w:szCs w:val="22"/>
        </w:rPr>
        <w:t>s</w:t>
      </w:r>
      <w:r w:rsidRPr="7FCC71DE">
        <w:rPr>
          <w:rFonts w:asciiTheme="minorHAnsi" w:hAnsiTheme="minorHAnsi" w:cstheme="minorBidi"/>
          <w:color w:val="000000" w:themeColor="text1"/>
          <w:sz w:val="22"/>
          <w:szCs w:val="22"/>
        </w:rPr>
        <w:t xml:space="preserve"> of the </w:t>
      </w:r>
      <w:hyperlink r:id="rId12">
        <w:r w:rsidRPr="7FCC71DE">
          <w:rPr>
            <w:rFonts w:asciiTheme="minorHAnsi" w:hAnsiTheme="minorHAnsi" w:cstheme="minorBidi"/>
            <w:color w:val="000000" w:themeColor="text1"/>
            <w:sz w:val="22"/>
            <w:szCs w:val="22"/>
            <w:u w:val="single"/>
          </w:rPr>
          <w:t>Phase 1/2 Paramount study</w:t>
        </w:r>
      </w:hyperlink>
      <w:r w:rsidRPr="7FCC71DE">
        <w:rPr>
          <w:rFonts w:asciiTheme="minorHAnsi" w:hAnsiTheme="minorHAnsi" w:cstheme="minorBidi"/>
          <w:color w:val="000000" w:themeColor="text1"/>
          <w:sz w:val="22"/>
          <w:szCs w:val="22"/>
        </w:rPr>
        <w:t xml:space="preserve"> of </w:t>
      </w:r>
      <w:r w:rsidR="6DAF3A39" w:rsidRPr="008403A9">
        <w:rPr>
          <w:rFonts w:asciiTheme="minorHAnsi" w:hAnsiTheme="minorHAnsi" w:cstheme="minorBidi"/>
          <w:color w:val="000000" w:themeColor="text1"/>
          <w:sz w:val="22"/>
          <w:szCs w:val="22"/>
        </w:rPr>
        <w:t>propionic</w:t>
      </w:r>
      <w:r w:rsidR="004332C3" w:rsidRPr="008403A9">
        <w:rPr>
          <w:rFonts w:asciiTheme="minorHAnsi" w:hAnsiTheme="minorHAnsi" w:cstheme="minorBidi"/>
          <w:color w:val="000000" w:themeColor="text1"/>
          <w:sz w:val="22"/>
          <w:szCs w:val="22"/>
        </w:rPr>
        <w:t xml:space="preserve"> </w:t>
      </w:r>
      <w:r w:rsidR="6DAF3A39" w:rsidRPr="008403A9">
        <w:rPr>
          <w:rFonts w:asciiTheme="minorHAnsi" w:hAnsiTheme="minorHAnsi" w:cstheme="minorBidi"/>
          <w:color w:val="000000" w:themeColor="text1"/>
          <w:sz w:val="22"/>
          <w:szCs w:val="22"/>
        </w:rPr>
        <w:t>acidemia</w:t>
      </w:r>
      <w:r w:rsidR="004332C3">
        <w:rPr>
          <w:rFonts w:asciiTheme="minorHAnsi" w:hAnsiTheme="minorHAnsi" w:cstheme="minorBidi"/>
          <w:color w:val="000000" w:themeColor="text1"/>
          <w:sz w:val="22"/>
          <w:szCs w:val="22"/>
        </w:rPr>
        <w:t xml:space="preserve"> </w:t>
      </w:r>
      <w:r w:rsidR="00260837">
        <w:rPr>
          <w:rFonts w:asciiTheme="minorHAnsi" w:hAnsiTheme="minorHAnsi" w:cstheme="minorBidi"/>
          <w:color w:val="000000" w:themeColor="text1"/>
          <w:sz w:val="22"/>
          <w:szCs w:val="22"/>
        </w:rPr>
        <w:t xml:space="preserve">(PA) </w:t>
      </w:r>
      <w:r w:rsidR="004332C3">
        <w:rPr>
          <w:rFonts w:asciiTheme="minorHAnsi" w:hAnsiTheme="minorHAnsi" w:cstheme="minorBidi"/>
          <w:color w:val="000000" w:themeColor="text1"/>
          <w:sz w:val="22"/>
          <w:szCs w:val="22"/>
        </w:rPr>
        <w:t xml:space="preserve">candidate </w:t>
      </w:r>
      <w:r w:rsidR="004332C3" w:rsidRPr="008403A9">
        <w:rPr>
          <w:rFonts w:asciiTheme="minorHAnsi" w:hAnsiTheme="minorHAnsi" w:cstheme="minorBidi"/>
          <w:b/>
          <w:bCs/>
          <w:color w:val="000000" w:themeColor="text1"/>
          <w:sz w:val="22"/>
          <w:szCs w:val="22"/>
        </w:rPr>
        <w:t>(</w:t>
      </w:r>
      <w:r w:rsidRPr="008403A9">
        <w:rPr>
          <w:rFonts w:asciiTheme="minorHAnsi" w:hAnsiTheme="minorHAnsi" w:cstheme="minorBidi"/>
          <w:b/>
          <w:bCs/>
          <w:color w:val="000000" w:themeColor="text1"/>
          <w:sz w:val="22"/>
          <w:szCs w:val="22"/>
        </w:rPr>
        <w:t>mRNA-3927</w:t>
      </w:r>
      <w:r w:rsidR="004332C3" w:rsidRPr="008403A9">
        <w:rPr>
          <w:rFonts w:asciiTheme="minorHAnsi" w:hAnsiTheme="minorHAnsi" w:cstheme="minorBidi"/>
          <w:b/>
          <w:bCs/>
          <w:color w:val="000000" w:themeColor="text1"/>
          <w:sz w:val="22"/>
          <w:szCs w:val="22"/>
        </w:rPr>
        <w:t>)</w:t>
      </w:r>
      <w:r w:rsidRPr="008403A9">
        <w:rPr>
          <w:rFonts w:asciiTheme="minorHAnsi" w:hAnsiTheme="minorHAnsi" w:cstheme="minorBidi"/>
          <w:b/>
          <w:bCs/>
          <w:color w:val="000000" w:themeColor="text1"/>
          <w:sz w:val="22"/>
          <w:szCs w:val="22"/>
        </w:rPr>
        <w:t xml:space="preserve"> </w:t>
      </w:r>
      <w:r w:rsidR="00E40BC9">
        <w:rPr>
          <w:rFonts w:asciiTheme="minorHAnsi" w:hAnsiTheme="minorHAnsi" w:cstheme="minorBidi"/>
          <w:color w:val="000000" w:themeColor="text1"/>
          <w:sz w:val="22"/>
          <w:szCs w:val="22"/>
        </w:rPr>
        <w:t xml:space="preserve">are </w:t>
      </w:r>
      <w:r w:rsidRPr="7FCC71DE">
        <w:rPr>
          <w:rFonts w:asciiTheme="minorHAnsi" w:hAnsiTheme="minorHAnsi" w:cstheme="minorBidi"/>
          <w:color w:val="000000" w:themeColor="text1"/>
          <w:sz w:val="22"/>
          <w:szCs w:val="22"/>
        </w:rPr>
        <w:t>fully enrolled</w:t>
      </w:r>
      <w:r w:rsidR="0089051C">
        <w:rPr>
          <w:rFonts w:asciiTheme="minorHAnsi" w:hAnsiTheme="minorHAnsi" w:cstheme="minorBidi"/>
          <w:color w:val="000000" w:themeColor="text1"/>
          <w:sz w:val="22"/>
          <w:szCs w:val="22"/>
        </w:rPr>
        <w:t>.</w:t>
      </w:r>
      <w:r w:rsidRPr="7FCC71DE">
        <w:rPr>
          <w:rFonts w:asciiTheme="minorHAnsi" w:hAnsiTheme="minorHAnsi" w:cstheme="minorBidi"/>
          <w:color w:val="000000" w:themeColor="text1"/>
          <w:sz w:val="22"/>
          <w:szCs w:val="22"/>
        </w:rPr>
        <w:t xml:space="preserve"> Moderna is enrolling </w:t>
      </w:r>
      <w:r w:rsidR="006A578C">
        <w:rPr>
          <w:rFonts w:asciiTheme="minorHAnsi" w:hAnsiTheme="minorHAnsi" w:cstheme="minorBidi"/>
          <w:color w:val="000000" w:themeColor="text1"/>
          <w:sz w:val="22"/>
          <w:szCs w:val="22"/>
        </w:rPr>
        <w:t>patients</w:t>
      </w:r>
      <w:r w:rsidRPr="7FCC71DE">
        <w:rPr>
          <w:rFonts w:asciiTheme="minorHAnsi" w:hAnsiTheme="minorHAnsi" w:cstheme="minorBidi"/>
          <w:color w:val="000000" w:themeColor="text1"/>
          <w:sz w:val="22"/>
          <w:szCs w:val="22"/>
        </w:rPr>
        <w:t xml:space="preserve"> into additional cohorts</w:t>
      </w:r>
      <w:r w:rsidR="0089051C">
        <w:rPr>
          <w:rFonts w:asciiTheme="minorHAnsi" w:hAnsiTheme="minorHAnsi" w:cstheme="minorBidi"/>
          <w:color w:val="000000" w:themeColor="text1"/>
          <w:sz w:val="22"/>
          <w:szCs w:val="22"/>
        </w:rPr>
        <w:t>.</w:t>
      </w:r>
      <w:r w:rsidR="004332C3">
        <w:rPr>
          <w:rFonts w:asciiTheme="minorHAnsi" w:hAnsiTheme="minorHAnsi" w:cstheme="minorBidi"/>
          <w:color w:val="000000" w:themeColor="text1"/>
          <w:sz w:val="22"/>
          <w:szCs w:val="22"/>
        </w:rPr>
        <w:t xml:space="preserve"> </w:t>
      </w:r>
      <w:r w:rsidRPr="008070FB">
        <w:br/>
      </w:r>
    </w:p>
    <w:p w14:paraId="77439771" w14:textId="6B5A171C" w:rsidR="00DF194F" w:rsidRPr="002937AF" w:rsidRDefault="00952B0B" w:rsidP="00DF194F">
      <w:pPr>
        <w:pStyle w:val="ListParagraph"/>
        <w:numPr>
          <w:ilvl w:val="0"/>
          <w:numId w:val="25"/>
        </w:numPr>
        <w:shd w:val="clear" w:color="auto" w:fill="FFFFFF" w:themeFill="background1"/>
        <w:rPr>
          <w:rFonts w:asciiTheme="minorHAnsi" w:hAnsiTheme="minorHAnsi" w:cstheme="minorBidi"/>
          <w:color w:val="000000" w:themeColor="text1"/>
          <w:sz w:val="22"/>
          <w:szCs w:val="22"/>
        </w:rPr>
      </w:pPr>
      <w:r w:rsidRPr="7FCC71DE">
        <w:rPr>
          <w:rFonts w:asciiTheme="minorHAnsi" w:hAnsiTheme="minorHAnsi" w:cstheme="minorBidi"/>
          <w:color w:val="000000" w:themeColor="text1"/>
          <w:sz w:val="22"/>
          <w:szCs w:val="22"/>
        </w:rPr>
        <w:t>The first cohort of the </w:t>
      </w:r>
      <w:hyperlink r:id="rId13">
        <w:r w:rsidRPr="7FCC71DE">
          <w:rPr>
            <w:rFonts w:asciiTheme="minorHAnsi" w:hAnsiTheme="minorHAnsi" w:cstheme="minorBidi"/>
            <w:color w:val="000000" w:themeColor="text1"/>
            <w:sz w:val="22"/>
            <w:szCs w:val="22"/>
            <w:u w:val="single"/>
          </w:rPr>
          <w:t>Phase 1/2 Landmark study</w:t>
        </w:r>
      </w:hyperlink>
      <w:r w:rsidRPr="7FCC71DE">
        <w:rPr>
          <w:rFonts w:asciiTheme="minorHAnsi" w:hAnsiTheme="minorHAnsi" w:cstheme="minorBidi"/>
          <w:color w:val="000000" w:themeColor="text1"/>
          <w:sz w:val="22"/>
          <w:szCs w:val="22"/>
        </w:rPr>
        <w:t xml:space="preserve"> of </w:t>
      </w:r>
      <w:r w:rsidR="557B6538" w:rsidRPr="008403A9">
        <w:rPr>
          <w:rFonts w:asciiTheme="minorHAnsi" w:hAnsiTheme="minorHAnsi" w:cstheme="minorBidi"/>
          <w:color w:val="000000" w:themeColor="text1"/>
          <w:sz w:val="22"/>
          <w:szCs w:val="22"/>
        </w:rPr>
        <w:t>methylmalonic acidemia</w:t>
      </w:r>
      <w:r w:rsidRPr="4861A220">
        <w:rPr>
          <w:rFonts w:asciiTheme="minorHAnsi" w:hAnsiTheme="minorHAnsi" w:cstheme="minorBidi"/>
          <w:color w:val="000000" w:themeColor="text1"/>
          <w:sz w:val="22"/>
          <w:szCs w:val="22"/>
        </w:rPr>
        <w:t xml:space="preserve"> </w:t>
      </w:r>
      <w:r w:rsidR="00260837">
        <w:rPr>
          <w:rFonts w:asciiTheme="minorHAnsi" w:hAnsiTheme="minorHAnsi" w:cstheme="minorBidi"/>
          <w:color w:val="000000" w:themeColor="text1"/>
          <w:sz w:val="22"/>
          <w:szCs w:val="22"/>
        </w:rPr>
        <w:t xml:space="preserve">(MMA) </w:t>
      </w:r>
      <w:r w:rsidRPr="4861A220">
        <w:rPr>
          <w:rFonts w:asciiTheme="minorHAnsi" w:hAnsiTheme="minorHAnsi" w:cstheme="minorBidi"/>
          <w:color w:val="000000" w:themeColor="text1"/>
          <w:sz w:val="22"/>
          <w:szCs w:val="22"/>
        </w:rPr>
        <w:t xml:space="preserve">candidate </w:t>
      </w:r>
      <w:r w:rsidRPr="008403A9">
        <w:rPr>
          <w:rFonts w:asciiTheme="minorHAnsi" w:hAnsiTheme="minorHAnsi" w:cstheme="minorBidi"/>
          <w:b/>
          <w:bCs/>
          <w:color w:val="000000" w:themeColor="text1"/>
          <w:sz w:val="22"/>
          <w:szCs w:val="22"/>
        </w:rPr>
        <w:t>(mRNA-3705)</w:t>
      </w:r>
      <w:r w:rsidRPr="002937AF">
        <w:rPr>
          <w:rFonts w:asciiTheme="minorHAnsi" w:hAnsiTheme="minorHAnsi" w:cstheme="minorBidi"/>
          <w:b/>
          <w:bCs/>
          <w:color w:val="000000" w:themeColor="text1"/>
          <w:sz w:val="22"/>
          <w:szCs w:val="22"/>
        </w:rPr>
        <w:t xml:space="preserve"> </w:t>
      </w:r>
      <w:r w:rsidRPr="00081CC8">
        <w:rPr>
          <w:rFonts w:asciiTheme="minorHAnsi" w:hAnsiTheme="minorHAnsi" w:cstheme="minorBidi"/>
          <w:color w:val="000000" w:themeColor="text1"/>
          <w:sz w:val="22"/>
          <w:szCs w:val="22"/>
        </w:rPr>
        <w:t>is fully enrolled</w:t>
      </w:r>
      <w:r w:rsidR="43F05D3E" w:rsidRPr="00081CC8">
        <w:rPr>
          <w:rFonts w:asciiTheme="minorHAnsi" w:hAnsiTheme="minorHAnsi" w:cstheme="minorBidi"/>
          <w:color w:val="000000" w:themeColor="text1"/>
          <w:sz w:val="22"/>
          <w:szCs w:val="22"/>
        </w:rPr>
        <w:t>.</w:t>
      </w:r>
      <w:r w:rsidR="0057744D" w:rsidRPr="00081CC8">
        <w:rPr>
          <w:rFonts w:asciiTheme="minorHAnsi" w:hAnsiTheme="minorHAnsi" w:cstheme="minorBidi"/>
          <w:color w:val="000000" w:themeColor="text1"/>
          <w:sz w:val="22"/>
          <w:szCs w:val="22"/>
        </w:rPr>
        <w:t xml:space="preserve"> </w:t>
      </w:r>
      <w:r w:rsidRPr="00081CC8">
        <w:rPr>
          <w:rFonts w:asciiTheme="minorHAnsi" w:hAnsiTheme="minorHAnsi" w:cstheme="minorBidi"/>
          <w:color w:val="000000" w:themeColor="text1"/>
          <w:sz w:val="22"/>
          <w:szCs w:val="22"/>
        </w:rPr>
        <w:t xml:space="preserve">Moderna is enrolling </w:t>
      </w:r>
      <w:r w:rsidR="006A578C" w:rsidRPr="00081CC8">
        <w:rPr>
          <w:rFonts w:asciiTheme="minorHAnsi" w:hAnsiTheme="minorHAnsi" w:cstheme="minorBidi"/>
          <w:color w:val="000000" w:themeColor="text1"/>
          <w:sz w:val="22"/>
          <w:szCs w:val="22"/>
        </w:rPr>
        <w:t>patients</w:t>
      </w:r>
      <w:r w:rsidRPr="00081CC8">
        <w:rPr>
          <w:rFonts w:asciiTheme="minorHAnsi" w:hAnsiTheme="minorHAnsi" w:cstheme="minorBidi"/>
          <w:color w:val="000000" w:themeColor="text1"/>
          <w:sz w:val="22"/>
          <w:szCs w:val="22"/>
        </w:rPr>
        <w:t xml:space="preserve"> into additional cohorts.</w:t>
      </w:r>
      <w:r w:rsidR="0089051C" w:rsidRPr="00081CC8">
        <w:rPr>
          <w:rFonts w:asciiTheme="minorHAnsi" w:hAnsiTheme="minorHAnsi" w:cstheme="minorBidi"/>
          <w:color w:val="000000" w:themeColor="text1"/>
          <w:sz w:val="22"/>
          <w:szCs w:val="22"/>
        </w:rPr>
        <w:t xml:space="preserve"> </w:t>
      </w:r>
    </w:p>
    <w:p w14:paraId="06E2C80B" w14:textId="77777777" w:rsidR="00ED38A4" w:rsidRDefault="00ED38A4" w:rsidP="00081CC8">
      <w:pPr>
        <w:pStyle w:val="ListParagraph"/>
        <w:shd w:val="clear" w:color="auto" w:fill="FFFFFF" w:themeFill="background1"/>
        <w:rPr>
          <w:rFonts w:asciiTheme="minorHAnsi" w:hAnsiTheme="minorHAnsi" w:cstheme="minorBidi"/>
          <w:color w:val="000000" w:themeColor="text1"/>
          <w:sz w:val="22"/>
          <w:szCs w:val="22"/>
        </w:rPr>
      </w:pPr>
    </w:p>
    <w:p w14:paraId="6BB0CA2C" w14:textId="454398D7" w:rsidR="008403A9" w:rsidRDefault="00ED38A4" w:rsidP="00ED38A4">
      <w:pPr>
        <w:pStyle w:val="ListParagraph"/>
        <w:numPr>
          <w:ilvl w:val="0"/>
          <w:numId w:val="25"/>
        </w:numPr>
        <w:shd w:val="clear" w:color="auto" w:fill="FFFFFF" w:themeFill="background1"/>
        <w:rPr>
          <w:rFonts w:asciiTheme="minorHAnsi" w:hAnsiTheme="minorHAnsi" w:cstheme="minorBidi"/>
          <w:color w:val="000000" w:themeColor="text1"/>
          <w:sz w:val="22"/>
          <w:szCs w:val="22"/>
        </w:rPr>
      </w:pPr>
      <w:r w:rsidRPr="002937AF">
        <w:rPr>
          <w:rFonts w:asciiTheme="minorHAnsi" w:hAnsiTheme="minorHAnsi" w:cstheme="minorBidi"/>
          <w:color w:val="000000" w:themeColor="text1"/>
          <w:sz w:val="22"/>
          <w:szCs w:val="22"/>
        </w:rPr>
        <w:t xml:space="preserve">GSD1a </w:t>
      </w:r>
      <w:r w:rsidR="00533DBC" w:rsidRPr="00CB5694">
        <w:rPr>
          <w:rFonts w:asciiTheme="minorHAnsi" w:hAnsiTheme="minorHAnsi" w:cstheme="minorBidi"/>
          <w:b/>
          <w:bCs/>
          <w:color w:val="000000" w:themeColor="text1"/>
          <w:sz w:val="22"/>
          <w:szCs w:val="22"/>
        </w:rPr>
        <w:t>(</w:t>
      </w:r>
      <w:r w:rsidR="00533DBC" w:rsidRPr="008403A9">
        <w:rPr>
          <w:rFonts w:asciiTheme="minorHAnsi" w:hAnsiTheme="minorHAnsi" w:cstheme="minorBidi"/>
          <w:b/>
          <w:bCs/>
          <w:color w:val="000000" w:themeColor="text1"/>
          <w:sz w:val="22"/>
          <w:szCs w:val="22"/>
        </w:rPr>
        <w:t>mRNA-3745)</w:t>
      </w:r>
      <w:r w:rsidR="00533DBC">
        <w:rPr>
          <w:rFonts w:asciiTheme="minorHAnsi" w:hAnsiTheme="minorHAnsi" w:cstheme="minorBidi"/>
          <w:b/>
          <w:bCs/>
          <w:color w:val="000000" w:themeColor="text1"/>
          <w:sz w:val="22"/>
          <w:szCs w:val="22"/>
        </w:rPr>
        <w:t xml:space="preserve"> </w:t>
      </w:r>
      <w:r>
        <w:rPr>
          <w:rFonts w:asciiTheme="minorHAnsi" w:hAnsiTheme="minorHAnsi" w:cstheme="minorBidi"/>
          <w:color w:val="000000" w:themeColor="text1"/>
          <w:sz w:val="22"/>
          <w:szCs w:val="22"/>
        </w:rPr>
        <w:t xml:space="preserve">Phase 1 trial first </w:t>
      </w:r>
      <w:r w:rsidR="00DF194F">
        <w:rPr>
          <w:rFonts w:asciiTheme="minorHAnsi" w:hAnsiTheme="minorHAnsi" w:cstheme="minorBidi"/>
          <w:color w:val="000000" w:themeColor="text1"/>
          <w:sz w:val="22"/>
          <w:szCs w:val="22"/>
        </w:rPr>
        <w:t xml:space="preserve">patient </w:t>
      </w:r>
      <w:r>
        <w:rPr>
          <w:rFonts w:asciiTheme="minorHAnsi" w:hAnsiTheme="minorHAnsi" w:cstheme="minorBidi"/>
          <w:color w:val="000000" w:themeColor="text1"/>
          <w:sz w:val="22"/>
          <w:szCs w:val="22"/>
        </w:rPr>
        <w:t>dosed</w:t>
      </w:r>
    </w:p>
    <w:p w14:paraId="300E1226" w14:textId="77777777" w:rsidR="008403A9" w:rsidRDefault="008403A9" w:rsidP="002937AF"/>
    <w:p w14:paraId="4A7F9ED7" w14:textId="732A8747" w:rsidR="008403A9" w:rsidRPr="002937AF" w:rsidRDefault="00ED38A4" w:rsidP="002937AF">
      <w:pPr>
        <w:pStyle w:val="ListParagraph"/>
        <w:numPr>
          <w:ilvl w:val="0"/>
          <w:numId w:val="25"/>
        </w:numPr>
        <w:rPr>
          <w:b/>
          <w:bCs/>
        </w:rPr>
      </w:pPr>
      <w:r w:rsidRPr="002937AF">
        <w:rPr>
          <w:rFonts w:asciiTheme="minorHAnsi" w:hAnsiTheme="minorHAnsi" w:cstheme="minorBidi"/>
          <w:color w:val="000000" w:themeColor="text1"/>
          <w:sz w:val="22"/>
          <w:szCs w:val="22"/>
        </w:rPr>
        <w:t>PKU</w:t>
      </w:r>
      <w:r w:rsidR="008403A9" w:rsidRPr="002937AF">
        <w:rPr>
          <w:rFonts w:asciiTheme="minorHAnsi" w:hAnsiTheme="minorHAnsi" w:cstheme="minorBidi"/>
          <w:color w:val="000000" w:themeColor="text1"/>
          <w:sz w:val="22"/>
          <w:szCs w:val="22"/>
        </w:rPr>
        <w:t xml:space="preserve"> </w:t>
      </w:r>
      <w:r w:rsidR="008403A9" w:rsidRPr="002937AF">
        <w:rPr>
          <w:rFonts w:asciiTheme="minorHAnsi" w:hAnsiTheme="minorHAnsi" w:cstheme="minorBidi"/>
          <w:b/>
          <w:bCs/>
          <w:color w:val="000000" w:themeColor="text1"/>
          <w:sz w:val="22"/>
          <w:szCs w:val="22"/>
        </w:rPr>
        <w:t>(mRNA-3283)</w:t>
      </w:r>
      <w:r w:rsidRPr="002937AF">
        <w:rPr>
          <w:rFonts w:asciiTheme="minorHAnsi" w:hAnsiTheme="minorHAnsi" w:cstheme="minorBidi"/>
          <w:b/>
          <w:bCs/>
          <w:color w:val="000000" w:themeColor="text1"/>
          <w:sz w:val="22"/>
          <w:szCs w:val="22"/>
        </w:rPr>
        <w:t>,</w:t>
      </w:r>
      <w:r w:rsidRPr="002937AF">
        <w:rPr>
          <w:rFonts w:asciiTheme="minorHAnsi" w:hAnsiTheme="minorHAnsi" w:cstheme="minorBidi"/>
          <w:color w:val="000000" w:themeColor="text1"/>
          <w:sz w:val="22"/>
          <w:szCs w:val="22"/>
        </w:rPr>
        <w:t xml:space="preserve"> CN-1</w:t>
      </w:r>
      <w:r w:rsidR="008403A9" w:rsidRPr="002937AF">
        <w:rPr>
          <w:rFonts w:asciiTheme="minorHAnsi" w:hAnsiTheme="minorHAnsi" w:cstheme="minorBidi"/>
          <w:color w:val="000000" w:themeColor="text1"/>
          <w:sz w:val="22"/>
          <w:szCs w:val="22"/>
        </w:rPr>
        <w:t xml:space="preserve"> </w:t>
      </w:r>
      <w:r w:rsidR="008403A9" w:rsidRPr="00CB5694">
        <w:rPr>
          <w:rFonts w:asciiTheme="minorHAnsi" w:hAnsiTheme="minorHAnsi" w:cstheme="minorBidi"/>
          <w:b/>
          <w:bCs/>
          <w:color w:val="000000" w:themeColor="text1"/>
          <w:sz w:val="22"/>
          <w:szCs w:val="22"/>
        </w:rPr>
        <w:t>(</w:t>
      </w:r>
      <w:r w:rsidR="008403A9" w:rsidRPr="002937AF">
        <w:rPr>
          <w:rFonts w:asciiTheme="minorHAnsi" w:hAnsiTheme="minorHAnsi" w:cstheme="minorBidi"/>
          <w:b/>
          <w:bCs/>
          <w:color w:val="000000" w:themeColor="text1"/>
          <w:sz w:val="22"/>
          <w:szCs w:val="22"/>
        </w:rPr>
        <w:t>mRNA-3351)</w:t>
      </w:r>
      <w:r w:rsidRPr="002937AF">
        <w:rPr>
          <w:rFonts w:asciiTheme="minorHAnsi" w:hAnsiTheme="minorHAnsi" w:cstheme="minorBidi"/>
          <w:color w:val="000000" w:themeColor="text1"/>
          <w:sz w:val="22"/>
          <w:szCs w:val="22"/>
        </w:rPr>
        <w:t xml:space="preserve"> and </w:t>
      </w:r>
      <w:r w:rsidR="00AD392E">
        <w:rPr>
          <w:rFonts w:asciiTheme="minorHAnsi" w:hAnsiTheme="minorHAnsi" w:cstheme="minorBidi"/>
          <w:color w:val="000000" w:themeColor="text1"/>
          <w:sz w:val="22"/>
          <w:szCs w:val="22"/>
        </w:rPr>
        <w:t>cystic fibrosis</w:t>
      </w:r>
      <w:r w:rsidRPr="002937AF">
        <w:rPr>
          <w:rFonts w:asciiTheme="minorHAnsi" w:hAnsiTheme="minorHAnsi" w:cstheme="minorBidi"/>
          <w:color w:val="000000" w:themeColor="text1"/>
          <w:sz w:val="22"/>
          <w:szCs w:val="22"/>
        </w:rPr>
        <w:t xml:space="preserve"> in preclinical</w:t>
      </w:r>
      <w:r w:rsidR="008403A9" w:rsidRPr="002937AF">
        <w:rPr>
          <w:rFonts w:asciiTheme="minorHAnsi" w:hAnsiTheme="minorHAnsi" w:cstheme="minorBidi"/>
          <w:color w:val="000000" w:themeColor="text1"/>
          <w:sz w:val="22"/>
          <w:szCs w:val="22"/>
        </w:rPr>
        <w:t xml:space="preserve"> </w:t>
      </w:r>
      <w:r w:rsidR="00AD392E">
        <w:rPr>
          <w:rFonts w:asciiTheme="minorHAnsi" w:hAnsiTheme="minorHAnsi" w:cstheme="minorBidi"/>
          <w:color w:val="000000" w:themeColor="text1"/>
          <w:sz w:val="22"/>
          <w:szCs w:val="22"/>
        </w:rPr>
        <w:t xml:space="preserve">studies </w:t>
      </w:r>
      <w:r w:rsidR="008403A9" w:rsidRPr="002937AF">
        <w:rPr>
          <w:rFonts w:asciiTheme="minorHAnsi" w:hAnsiTheme="minorHAnsi" w:cstheme="minorBidi"/>
          <w:color w:val="000000" w:themeColor="text1"/>
          <w:sz w:val="22"/>
          <w:szCs w:val="22"/>
        </w:rPr>
        <w:t xml:space="preserve">(with Vertex) </w:t>
      </w:r>
      <w:r w:rsidR="008403A9" w:rsidRPr="002937AF">
        <w:rPr>
          <w:rFonts w:asciiTheme="minorHAnsi" w:hAnsiTheme="minorHAnsi" w:cstheme="minorBidi"/>
          <w:b/>
          <w:bCs/>
          <w:color w:val="000000" w:themeColor="text1"/>
          <w:sz w:val="22"/>
          <w:szCs w:val="22"/>
        </w:rPr>
        <w:t>(VXc-522)</w:t>
      </w:r>
    </w:p>
    <w:p w14:paraId="683CEDD6" w14:textId="77777777" w:rsidR="005469EF" w:rsidRPr="002937AF" w:rsidRDefault="005469EF" w:rsidP="002937AF">
      <w:pPr>
        <w:rPr>
          <w:rFonts w:asciiTheme="minorHAnsi" w:hAnsiTheme="minorHAnsi" w:cstheme="minorBidi"/>
          <w:color w:val="000000" w:themeColor="text1"/>
          <w:sz w:val="22"/>
          <w:szCs w:val="22"/>
        </w:rPr>
      </w:pPr>
    </w:p>
    <w:p w14:paraId="51348E1E" w14:textId="1A52AD73" w:rsidR="005469EF" w:rsidRPr="002937AF" w:rsidRDefault="005469EF" w:rsidP="00ED38A4">
      <w:pPr>
        <w:pStyle w:val="ListParagraph"/>
        <w:numPr>
          <w:ilvl w:val="0"/>
          <w:numId w:val="25"/>
        </w:numPr>
        <w:shd w:val="clear" w:color="auto" w:fill="FFFFFF" w:themeFill="background1"/>
        <w:rPr>
          <w:rFonts w:asciiTheme="minorHAnsi" w:hAnsiTheme="minorHAnsi" w:cstheme="minorBidi"/>
          <w:color w:val="000000" w:themeColor="text1"/>
          <w:sz w:val="22"/>
          <w:szCs w:val="22"/>
        </w:rPr>
      </w:pPr>
      <w:r w:rsidRPr="008403A9">
        <w:rPr>
          <w:rFonts w:asciiTheme="minorHAnsi" w:hAnsiTheme="minorHAnsi" w:cstheme="minorBidi"/>
          <w:color w:val="000000" w:themeColor="text1"/>
          <w:sz w:val="22"/>
          <w:szCs w:val="22"/>
        </w:rPr>
        <w:t>PCV</w:t>
      </w:r>
      <w:r w:rsidRPr="002937AF">
        <w:rPr>
          <w:rFonts w:asciiTheme="minorHAnsi" w:hAnsiTheme="minorHAnsi" w:cstheme="minorBidi"/>
          <w:color w:val="000000" w:themeColor="text1"/>
          <w:sz w:val="22"/>
          <w:szCs w:val="22"/>
        </w:rPr>
        <w:t xml:space="preserve"> </w:t>
      </w:r>
      <w:r w:rsidR="00533DBC" w:rsidRPr="008403A9">
        <w:rPr>
          <w:rFonts w:asciiTheme="minorHAnsi" w:hAnsiTheme="minorHAnsi" w:cstheme="minorBidi"/>
          <w:b/>
          <w:bCs/>
          <w:color w:val="000000" w:themeColor="text1"/>
          <w:sz w:val="22"/>
          <w:szCs w:val="22"/>
        </w:rPr>
        <w:t>(mRNA-4157)</w:t>
      </w:r>
      <w:r w:rsidR="00533DBC" w:rsidRPr="002937AF">
        <w:rPr>
          <w:rFonts w:asciiTheme="minorHAnsi" w:hAnsiTheme="minorHAnsi" w:cstheme="minorBidi"/>
          <w:color w:val="000000" w:themeColor="text1"/>
          <w:sz w:val="22"/>
          <w:szCs w:val="22"/>
        </w:rPr>
        <w:t xml:space="preserve"> </w:t>
      </w:r>
      <w:r w:rsidRPr="002937AF">
        <w:rPr>
          <w:rFonts w:asciiTheme="minorHAnsi" w:hAnsiTheme="minorHAnsi" w:cstheme="minorBidi"/>
          <w:color w:val="000000" w:themeColor="text1"/>
          <w:sz w:val="22"/>
          <w:szCs w:val="22"/>
        </w:rPr>
        <w:t>Phase 1 ongoing; Phase 2 fully enrolled, data expected in 4Q 2022</w:t>
      </w:r>
    </w:p>
    <w:p w14:paraId="788F85FF" w14:textId="5E68E32D" w:rsidR="005469EF" w:rsidRPr="002937AF" w:rsidRDefault="005469EF" w:rsidP="002937AF">
      <w:pPr>
        <w:rPr>
          <w:rFonts w:asciiTheme="minorHAnsi" w:hAnsiTheme="minorHAnsi" w:cstheme="minorBidi"/>
          <w:color w:val="000000" w:themeColor="text1"/>
          <w:sz w:val="22"/>
          <w:szCs w:val="22"/>
        </w:rPr>
      </w:pPr>
    </w:p>
    <w:p w14:paraId="2B53AA1F" w14:textId="68B55945" w:rsidR="00542F4D" w:rsidRPr="00542F4D" w:rsidRDefault="005D4BD4" w:rsidP="00542F4D">
      <w:pPr>
        <w:pStyle w:val="ListParagraph"/>
        <w:numPr>
          <w:ilvl w:val="0"/>
          <w:numId w:val="25"/>
        </w:numPr>
        <w:shd w:val="clear" w:color="auto" w:fill="FFFFFF" w:themeFill="background1"/>
        <w:rPr>
          <w:rFonts w:asciiTheme="minorHAnsi" w:hAnsiTheme="minorHAnsi" w:cstheme="minorBidi"/>
          <w:color w:val="000000" w:themeColor="text1"/>
          <w:sz w:val="22"/>
          <w:szCs w:val="22"/>
        </w:rPr>
      </w:pPr>
      <w:r w:rsidRPr="00542F4D">
        <w:rPr>
          <w:rFonts w:ascii="Calibri" w:hAnsi="Calibri" w:cs="Calibri"/>
          <w:color w:val="000000"/>
          <w:sz w:val="22"/>
          <w:szCs w:val="22"/>
        </w:rPr>
        <w:t xml:space="preserve">Checkpoint vaccine </w:t>
      </w:r>
      <w:r w:rsidR="00533DBC" w:rsidRPr="00CB5694">
        <w:rPr>
          <w:rFonts w:ascii="Calibri" w:hAnsi="Calibri" w:cs="Calibri"/>
          <w:b/>
          <w:bCs/>
          <w:color w:val="000000"/>
          <w:sz w:val="22"/>
          <w:szCs w:val="22"/>
        </w:rPr>
        <w:t xml:space="preserve">(mRNA-4359) </w:t>
      </w:r>
      <w:r w:rsidR="00533DBC" w:rsidRPr="00542F4D">
        <w:rPr>
          <w:rFonts w:ascii="Calibri" w:hAnsi="Calibri" w:cs="Calibri"/>
          <w:color w:val="000000"/>
          <w:sz w:val="22"/>
          <w:szCs w:val="22"/>
        </w:rPr>
        <w:t xml:space="preserve">has received safe to proceed and has an open </w:t>
      </w:r>
      <w:r w:rsidR="00AD392E" w:rsidRPr="00542F4D">
        <w:rPr>
          <w:rFonts w:ascii="Calibri" w:hAnsi="Calibri" w:cs="Calibri"/>
          <w:color w:val="000000"/>
          <w:sz w:val="22"/>
          <w:szCs w:val="22"/>
        </w:rPr>
        <w:t xml:space="preserve">Investigational </w:t>
      </w:r>
      <w:r w:rsidR="00533DBC" w:rsidRPr="00542F4D">
        <w:rPr>
          <w:rFonts w:ascii="Calibri" w:hAnsi="Calibri" w:cs="Calibri"/>
          <w:color w:val="000000"/>
          <w:sz w:val="22"/>
          <w:szCs w:val="22"/>
        </w:rPr>
        <w:t>New</w:t>
      </w:r>
      <w:r w:rsidR="00542F4D" w:rsidRPr="00542F4D">
        <w:rPr>
          <w:rFonts w:ascii="Calibri" w:hAnsi="Calibri" w:cs="Calibri"/>
          <w:color w:val="000000"/>
          <w:sz w:val="22"/>
          <w:szCs w:val="22"/>
        </w:rPr>
        <w:t xml:space="preserve"> </w:t>
      </w:r>
      <w:r w:rsidR="00533DBC" w:rsidRPr="00542F4D">
        <w:rPr>
          <w:rFonts w:ascii="Calibri" w:hAnsi="Calibri" w:cs="Calibri"/>
          <w:color w:val="000000"/>
          <w:sz w:val="22"/>
          <w:szCs w:val="22"/>
        </w:rPr>
        <w:t xml:space="preserve">Drug </w:t>
      </w:r>
      <w:r w:rsidR="00AD392E" w:rsidRPr="00542F4D">
        <w:rPr>
          <w:rFonts w:ascii="Calibri" w:hAnsi="Calibri" w:cs="Calibri"/>
          <w:color w:val="000000"/>
          <w:sz w:val="22"/>
          <w:szCs w:val="22"/>
        </w:rPr>
        <w:t xml:space="preserve">(IND) </w:t>
      </w:r>
      <w:r w:rsidR="00533DBC" w:rsidRPr="00542F4D">
        <w:rPr>
          <w:rFonts w:ascii="Calibri" w:hAnsi="Calibri" w:cs="Calibri"/>
          <w:color w:val="000000"/>
          <w:sz w:val="22"/>
          <w:szCs w:val="22"/>
        </w:rPr>
        <w:t>designation from the U.S. FDA</w:t>
      </w:r>
    </w:p>
    <w:p w14:paraId="2E15BA90" w14:textId="77777777" w:rsidR="00542F4D" w:rsidRPr="00542F4D" w:rsidRDefault="00542F4D" w:rsidP="00542F4D">
      <w:pPr>
        <w:shd w:val="clear" w:color="auto" w:fill="FFFFFF" w:themeFill="background1"/>
        <w:rPr>
          <w:rFonts w:asciiTheme="minorHAnsi" w:hAnsiTheme="minorHAnsi" w:cstheme="minorBidi"/>
          <w:color w:val="000000" w:themeColor="text1"/>
          <w:sz w:val="22"/>
          <w:szCs w:val="22"/>
        </w:rPr>
      </w:pPr>
    </w:p>
    <w:p w14:paraId="3FD434F7" w14:textId="45A7A5EF" w:rsidR="00542F4D" w:rsidRPr="00BA04EC" w:rsidRDefault="00542F4D" w:rsidP="00542F4D">
      <w:pPr>
        <w:pStyle w:val="ListParagraph"/>
        <w:numPr>
          <w:ilvl w:val="0"/>
          <w:numId w:val="25"/>
        </w:numPr>
      </w:pPr>
      <w:r w:rsidRPr="00BA04EC">
        <w:rPr>
          <w:rFonts w:ascii="Calibri" w:hAnsi="Calibri" w:cs="Calibri"/>
          <w:b/>
          <w:bCs/>
          <w:color w:val="000000"/>
          <w:sz w:val="22"/>
          <w:szCs w:val="22"/>
        </w:rPr>
        <w:t>AZD8601</w:t>
      </w:r>
      <w:r w:rsidRPr="00BA04EC">
        <w:rPr>
          <w:rFonts w:ascii="Calibri" w:hAnsi="Calibri" w:cs="Calibri"/>
          <w:color w:val="000000"/>
          <w:sz w:val="22"/>
          <w:szCs w:val="22"/>
        </w:rPr>
        <w:t xml:space="preserve">, a mRNA </w:t>
      </w:r>
      <w:r w:rsidRPr="00BF1D32">
        <w:rPr>
          <w:rFonts w:ascii="Calibri" w:hAnsi="Calibri" w:cs="Calibri"/>
          <w:color w:val="000000"/>
          <w:sz w:val="22"/>
          <w:szCs w:val="22"/>
        </w:rPr>
        <w:t>encoding</w:t>
      </w:r>
      <w:r w:rsidR="00BF1D32">
        <w:rPr>
          <w:rFonts w:ascii="Calibri" w:hAnsi="Calibri" w:cs="Calibri"/>
          <w:color w:val="000000"/>
          <w:sz w:val="22"/>
          <w:szCs w:val="22"/>
        </w:rPr>
        <w:t xml:space="preserve"> VEGF </w:t>
      </w:r>
      <w:r w:rsidRPr="00BF1D32">
        <w:rPr>
          <w:rFonts w:ascii="Calibri" w:hAnsi="Calibri" w:cs="Calibri"/>
          <w:color w:val="000000"/>
          <w:sz w:val="22"/>
          <w:szCs w:val="22"/>
        </w:rPr>
        <w:t>therapeutic</w:t>
      </w:r>
      <w:r w:rsidRPr="00BA04EC">
        <w:rPr>
          <w:rFonts w:ascii="Calibri" w:hAnsi="Calibri" w:cs="Calibri"/>
          <w:color w:val="000000"/>
          <w:sz w:val="22"/>
          <w:szCs w:val="22"/>
        </w:rPr>
        <w:t>, has been returned to Moderna from AstraZeneca. We are evaluating next steps for the program</w:t>
      </w:r>
    </w:p>
    <w:p w14:paraId="4B00BB5A" w14:textId="77777777" w:rsidR="00542F4D" w:rsidRPr="00542F4D" w:rsidRDefault="00542F4D" w:rsidP="00542F4D">
      <w:pPr>
        <w:rPr>
          <w:highlight w:val="yellow"/>
        </w:rPr>
      </w:pPr>
    </w:p>
    <w:p w14:paraId="77BB69F1" w14:textId="3D507F8B" w:rsidR="00B8768C" w:rsidRPr="006A21DC" w:rsidRDefault="00B8768C" w:rsidP="002937AF">
      <w:pPr>
        <w:shd w:val="clear" w:color="auto" w:fill="FFFFFF" w:themeFill="background1"/>
        <w:rPr>
          <w:rFonts w:asciiTheme="minorHAnsi" w:hAnsiTheme="minorHAnsi" w:cstheme="minorBidi"/>
          <w:color w:val="000000" w:themeColor="text1"/>
          <w:sz w:val="22"/>
          <w:szCs w:val="22"/>
        </w:rPr>
      </w:pPr>
    </w:p>
    <w:p w14:paraId="53183B95" w14:textId="30D9B7E0" w:rsidR="002923FE" w:rsidRDefault="00A44B91" w:rsidP="00795A65">
      <w:pPr>
        <w:rPr>
          <w:rFonts w:asciiTheme="minorHAnsi" w:hAnsiTheme="minorHAnsi" w:cstheme="minorHAnsi"/>
          <w:color w:val="000000" w:themeColor="text1"/>
          <w:sz w:val="22"/>
          <w:szCs w:val="22"/>
        </w:rPr>
      </w:pPr>
      <w:r w:rsidRPr="003A128F">
        <w:rPr>
          <w:rFonts w:asciiTheme="minorHAnsi" w:hAnsiTheme="minorHAnsi" w:cstheme="minorHAnsi"/>
          <w:color w:val="000000" w:themeColor="text1"/>
          <w:sz w:val="22"/>
          <w:szCs w:val="22"/>
        </w:rPr>
        <w:t>Moderna</w:t>
      </w:r>
      <w:r w:rsidRPr="003A128F">
        <w:rPr>
          <w:rFonts w:asciiTheme="minorHAnsi" w:hAnsiTheme="minorHAnsi" w:cstheme="minorHAnsi"/>
          <w:color w:val="000000" w:themeColor="text1"/>
          <w:sz w:val="22"/>
          <w:szCs w:val="22"/>
          <w:shd w:val="clear" w:color="auto" w:fill="FFFFFF"/>
        </w:rPr>
        <w:t xml:space="preserve"> now </w:t>
      </w:r>
      <w:r w:rsidR="00FB72D7" w:rsidRPr="003A128F">
        <w:rPr>
          <w:rFonts w:asciiTheme="minorHAnsi" w:hAnsiTheme="minorHAnsi" w:cstheme="minorHAnsi"/>
          <w:color w:val="000000" w:themeColor="text1"/>
          <w:sz w:val="22"/>
          <w:szCs w:val="22"/>
          <w:shd w:val="clear" w:color="auto" w:fill="FFFFFF"/>
        </w:rPr>
        <w:t>has</w:t>
      </w:r>
      <w:r w:rsidRPr="003A128F">
        <w:rPr>
          <w:rFonts w:asciiTheme="minorHAnsi" w:hAnsiTheme="minorHAnsi" w:cstheme="minorHAnsi"/>
          <w:color w:val="000000" w:themeColor="text1"/>
          <w:sz w:val="22"/>
          <w:szCs w:val="22"/>
          <w:shd w:val="clear" w:color="auto" w:fill="FFFFFF"/>
        </w:rPr>
        <w:t xml:space="preserve"> </w:t>
      </w:r>
      <w:r w:rsidR="00DF3A06" w:rsidRPr="00E6680C">
        <w:rPr>
          <w:rFonts w:asciiTheme="minorHAnsi" w:hAnsiTheme="minorHAnsi"/>
          <w:color w:val="000000" w:themeColor="text1"/>
          <w:sz w:val="22"/>
          <w:shd w:val="clear" w:color="auto" w:fill="FFFFFF"/>
        </w:rPr>
        <w:t>46</w:t>
      </w:r>
      <w:r w:rsidR="00DF3A06" w:rsidRPr="003A128F">
        <w:rPr>
          <w:rFonts w:asciiTheme="minorHAnsi" w:hAnsiTheme="minorHAnsi" w:cstheme="minorHAnsi"/>
          <w:color w:val="000000" w:themeColor="text1"/>
          <w:sz w:val="22"/>
          <w:szCs w:val="22"/>
          <w:shd w:val="clear" w:color="auto" w:fill="FFFFFF"/>
        </w:rPr>
        <w:t xml:space="preserve"> </w:t>
      </w:r>
      <w:r w:rsidRPr="003A128F">
        <w:rPr>
          <w:rFonts w:asciiTheme="minorHAnsi" w:hAnsiTheme="minorHAnsi" w:cstheme="minorHAnsi"/>
          <w:color w:val="000000" w:themeColor="text1"/>
          <w:sz w:val="22"/>
          <w:szCs w:val="22"/>
          <w:shd w:val="clear" w:color="auto" w:fill="FFFFFF"/>
        </w:rPr>
        <w:t xml:space="preserve">programs in development across </w:t>
      </w:r>
      <w:r w:rsidR="00DF3A06" w:rsidRPr="003A128F">
        <w:rPr>
          <w:rFonts w:asciiTheme="minorHAnsi" w:hAnsiTheme="minorHAnsi" w:cstheme="minorHAnsi"/>
          <w:color w:val="000000" w:themeColor="text1"/>
          <w:sz w:val="22"/>
          <w:szCs w:val="22"/>
          <w:shd w:val="clear" w:color="auto" w:fill="FFFFFF"/>
        </w:rPr>
        <w:t xml:space="preserve">43 </w:t>
      </w:r>
      <w:r w:rsidRPr="003A128F">
        <w:rPr>
          <w:rFonts w:asciiTheme="minorHAnsi" w:hAnsiTheme="minorHAnsi" w:cstheme="minorHAnsi"/>
          <w:color w:val="000000" w:themeColor="text1"/>
          <w:sz w:val="22"/>
          <w:szCs w:val="22"/>
          <w:shd w:val="clear" w:color="auto" w:fill="FFFFFF"/>
        </w:rPr>
        <w:t>development candidates</w:t>
      </w:r>
      <w:r w:rsidRPr="003A128F">
        <w:rPr>
          <w:rStyle w:val="FootnoteReference"/>
          <w:rFonts w:asciiTheme="minorHAnsi" w:hAnsiTheme="minorHAnsi" w:cstheme="minorHAnsi"/>
          <w:color w:val="000000" w:themeColor="text1"/>
          <w:sz w:val="22"/>
          <w:szCs w:val="22"/>
          <w:shd w:val="clear" w:color="auto" w:fill="FFFFFF"/>
        </w:rPr>
        <w:footnoteReference w:id="2"/>
      </w:r>
      <w:r w:rsidRPr="003A128F">
        <w:rPr>
          <w:rFonts w:asciiTheme="minorHAnsi" w:hAnsiTheme="minorHAnsi" w:cstheme="minorHAnsi"/>
          <w:color w:val="000000" w:themeColor="text1"/>
          <w:sz w:val="22"/>
          <w:szCs w:val="22"/>
          <w:shd w:val="clear" w:color="auto" w:fill="FFFFFF"/>
        </w:rPr>
        <w:t xml:space="preserve">, </w:t>
      </w:r>
      <w:r w:rsidR="0049681E" w:rsidRPr="003A128F">
        <w:rPr>
          <w:rFonts w:asciiTheme="minorHAnsi" w:hAnsiTheme="minorHAnsi" w:cstheme="minorHAnsi"/>
          <w:color w:val="000000" w:themeColor="text1"/>
          <w:sz w:val="22"/>
          <w:szCs w:val="22"/>
          <w:shd w:val="clear" w:color="auto" w:fill="FFFFFF"/>
        </w:rPr>
        <w:t>of which</w:t>
      </w:r>
      <w:r w:rsidRPr="003A128F">
        <w:rPr>
          <w:rFonts w:asciiTheme="minorHAnsi" w:hAnsiTheme="minorHAnsi" w:cstheme="minorHAnsi"/>
          <w:color w:val="000000" w:themeColor="text1"/>
          <w:sz w:val="22"/>
          <w:szCs w:val="22"/>
          <w:shd w:val="clear" w:color="auto" w:fill="FFFFFF"/>
        </w:rPr>
        <w:t xml:space="preserve"> </w:t>
      </w:r>
      <w:r w:rsidR="006108D7">
        <w:rPr>
          <w:rFonts w:asciiTheme="minorHAnsi" w:hAnsiTheme="minorHAnsi" w:cstheme="minorHAnsi"/>
          <w:color w:val="000000" w:themeColor="text1"/>
          <w:sz w:val="22"/>
          <w:szCs w:val="22"/>
          <w:shd w:val="clear" w:color="auto" w:fill="FFFFFF"/>
        </w:rPr>
        <w:t>3</w:t>
      </w:r>
      <w:r w:rsidR="00082276">
        <w:rPr>
          <w:rFonts w:asciiTheme="minorHAnsi" w:hAnsiTheme="minorHAnsi" w:cstheme="minorHAnsi"/>
          <w:color w:val="000000" w:themeColor="text1"/>
          <w:sz w:val="22"/>
          <w:szCs w:val="22"/>
          <w:shd w:val="clear" w:color="auto" w:fill="FFFFFF"/>
        </w:rPr>
        <w:t>1</w:t>
      </w:r>
      <w:r w:rsidR="00DF3A06" w:rsidRPr="003A128F">
        <w:rPr>
          <w:rFonts w:asciiTheme="minorHAnsi" w:hAnsiTheme="minorHAnsi" w:cstheme="minorHAnsi"/>
          <w:color w:val="000000" w:themeColor="text1"/>
          <w:sz w:val="22"/>
          <w:szCs w:val="22"/>
          <w:shd w:val="clear" w:color="auto" w:fill="FFFFFF"/>
        </w:rPr>
        <w:t xml:space="preserve"> </w:t>
      </w:r>
      <w:r w:rsidR="00D71D60" w:rsidRPr="003A128F">
        <w:rPr>
          <w:rFonts w:asciiTheme="minorHAnsi" w:hAnsiTheme="minorHAnsi" w:cstheme="minorHAnsi"/>
          <w:color w:val="000000" w:themeColor="text1"/>
          <w:sz w:val="22"/>
          <w:szCs w:val="22"/>
          <w:shd w:val="clear" w:color="auto" w:fill="FFFFFF"/>
        </w:rPr>
        <w:t xml:space="preserve">are currently </w:t>
      </w:r>
      <w:r w:rsidRPr="003A128F">
        <w:rPr>
          <w:rFonts w:asciiTheme="minorHAnsi" w:hAnsiTheme="minorHAnsi" w:cstheme="minorHAnsi"/>
          <w:color w:val="000000" w:themeColor="text1"/>
          <w:sz w:val="22"/>
          <w:szCs w:val="22"/>
          <w:shd w:val="clear" w:color="auto" w:fill="FFFFFF"/>
        </w:rPr>
        <w:t xml:space="preserve">in </w:t>
      </w:r>
      <w:r w:rsidR="00D71D60" w:rsidRPr="003A128F">
        <w:rPr>
          <w:rFonts w:asciiTheme="minorHAnsi" w:hAnsiTheme="minorHAnsi" w:cstheme="minorHAnsi"/>
          <w:color w:val="000000" w:themeColor="text1"/>
          <w:sz w:val="22"/>
          <w:szCs w:val="22"/>
          <w:shd w:val="clear" w:color="auto" w:fill="FFFFFF"/>
        </w:rPr>
        <w:t>active</w:t>
      </w:r>
      <w:r w:rsidRPr="003A128F">
        <w:rPr>
          <w:rFonts w:asciiTheme="minorHAnsi" w:hAnsiTheme="minorHAnsi" w:cstheme="minorHAnsi"/>
          <w:color w:val="000000" w:themeColor="text1"/>
          <w:sz w:val="22"/>
          <w:szCs w:val="22"/>
          <w:shd w:val="clear" w:color="auto" w:fill="FFFFFF"/>
        </w:rPr>
        <w:t xml:space="preserve"> clinical </w:t>
      </w:r>
      <w:r w:rsidR="00D71D60" w:rsidRPr="003A128F">
        <w:rPr>
          <w:rFonts w:asciiTheme="minorHAnsi" w:hAnsiTheme="minorHAnsi" w:cstheme="minorHAnsi"/>
          <w:color w:val="000000" w:themeColor="text1"/>
          <w:sz w:val="22"/>
          <w:szCs w:val="22"/>
          <w:shd w:val="clear" w:color="auto" w:fill="FFFFFF"/>
        </w:rPr>
        <w:t>trials</w:t>
      </w:r>
      <w:r w:rsidRPr="003A128F">
        <w:rPr>
          <w:rFonts w:asciiTheme="minorHAnsi" w:hAnsiTheme="minorHAnsi" w:cstheme="minorHAnsi"/>
          <w:color w:val="000000" w:themeColor="text1"/>
          <w:sz w:val="22"/>
          <w:szCs w:val="22"/>
          <w:shd w:val="clear" w:color="auto" w:fill="FFFFFF"/>
        </w:rPr>
        <w:t xml:space="preserve">. </w:t>
      </w:r>
      <w:r w:rsidR="00697537" w:rsidRPr="003A128F">
        <w:rPr>
          <w:rFonts w:asciiTheme="minorHAnsi" w:hAnsiTheme="minorHAnsi" w:cstheme="minorHAnsi"/>
          <w:color w:val="000000" w:themeColor="text1"/>
          <w:sz w:val="22"/>
          <w:szCs w:val="22"/>
        </w:rPr>
        <w:t>The Company’s updated pipeline can be found</w:t>
      </w:r>
      <w:r w:rsidR="002923FE">
        <w:rPr>
          <w:rFonts w:asciiTheme="minorHAnsi" w:hAnsiTheme="minorHAnsi" w:cstheme="minorHAnsi"/>
          <w:color w:val="000000" w:themeColor="text1"/>
          <w:sz w:val="22"/>
          <w:szCs w:val="22"/>
        </w:rPr>
        <w:t xml:space="preserve"> at </w:t>
      </w:r>
      <w:hyperlink r:id="rId14" w:history="1">
        <w:r w:rsidR="002923FE" w:rsidRPr="00557448">
          <w:rPr>
            <w:rStyle w:val="Hyperlink"/>
            <w:rFonts w:asciiTheme="minorHAnsi" w:hAnsiTheme="minorHAnsi" w:cstheme="minorHAnsi"/>
            <w:sz w:val="22"/>
            <w:szCs w:val="22"/>
          </w:rPr>
          <w:t>www.modernatx.com/pipeline</w:t>
        </w:r>
      </w:hyperlink>
      <w:r w:rsidR="002923FE">
        <w:rPr>
          <w:rFonts w:asciiTheme="minorHAnsi" w:hAnsiTheme="minorHAnsi" w:cstheme="minorHAnsi"/>
          <w:color w:val="000000" w:themeColor="text1"/>
          <w:sz w:val="22"/>
          <w:szCs w:val="22"/>
        </w:rPr>
        <w:t xml:space="preserve">. Moderna and collaborators have published more than 120 peer reviewed manuscripts. </w:t>
      </w:r>
      <w:r w:rsidR="00697537" w:rsidRPr="003A128F">
        <w:rPr>
          <w:rFonts w:asciiTheme="minorHAnsi" w:hAnsiTheme="minorHAnsi" w:cstheme="minorHAnsi"/>
          <w:color w:val="000000" w:themeColor="text1"/>
          <w:sz w:val="22"/>
          <w:szCs w:val="22"/>
        </w:rPr>
        <w:t xml:space="preserve"> </w:t>
      </w:r>
    </w:p>
    <w:p w14:paraId="7BBC5326" w14:textId="02CED68A" w:rsidR="0071378E" w:rsidRDefault="0071378E" w:rsidP="00795A65">
      <w:pPr>
        <w:rPr>
          <w:rFonts w:asciiTheme="minorHAnsi" w:hAnsiTheme="minorHAnsi" w:cstheme="minorHAnsi"/>
          <w:color w:val="000000" w:themeColor="text1"/>
          <w:sz w:val="22"/>
          <w:szCs w:val="22"/>
        </w:rPr>
      </w:pPr>
    </w:p>
    <w:p w14:paraId="2DB4E57B" w14:textId="77777777" w:rsidR="0071378E" w:rsidRDefault="0071378E" w:rsidP="0071378E">
      <w:pPr>
        <w:keepNext/>
        <w:keepLines/>
        <w:widowControl w:val="0"/>
        <w:spacing w:after="200" w:line="288" w:lineRule="auto"/>
        <w:rPr>
          <w:rFonts w:ascii="Calibri" w:eastAsia="Calibri" w:hAnsi="Calibri" w:cs="Calibri"/>
          <w:b/>
          <w:sz w:val="22"/>
        </w:rPr>
      </w:pPr>
      <w:r>
        <w:rPr>
          <w:rFonts w:ascii="Calibri" w:eastAsia="Calibri" w:hAnsi="Calibri" w:cs="Calibri"/>
          <w:b/>
          <w:sz w:val="22"/>
        </w:rPr>
        <w:lastRenderedPageBreak/>
        <w:t>Second Quarter 2022 Financial Results</w:t>
      </w:r>
    </w:p>
    <w:p w14:paraId="37A3E795" w14:textId="3EA437CD" w:rsidR="001D45A3" w:rsidRPr="001F4511" w:rsidRDefault="0071378E" w:rsidP="00B11467">
      <w:pPr>
        <w:numPr>
          <w:ilvl w:val="0"/>
          <w:numId w:val="17"/>
        </w:numPr>
        <w:tabs>
          <w:tab w:val="clear" w:pos="450"/>
          <w:tab w:val="num" w:pos="720"/>
        </w:tabs>
        <w:spacing w:before="120"/>
        <w:rPr>
          <w:rFonts w:ascii="Calibri" w:eastAsia="Calibri" w:hAnsi="Calibri" w:cs="Calibri"/>
          <w:b/>
          <w:sz w:val="22"/>
        </w:rPr>
      </w:pPr>
      <w:r>
        <w:rPr>
          <w:rFonts w:ascii="Calibri" w:eastAsia="Calibri" w:hAnsi="Calibri" w:cs="Calibri"/>
          <w:b/>
          <w:sz w:val="22"/>
        </w:rPr>
        <w:t>Revenue:</w:t>
      </w:r>
      <w:r>
        <w:rPr>
          <w:rFonts w:ascii="Calibri" w:eastAsia="Calibri" w:hAnsi="Calibri" w:cs="Calibri"/>
          <w:sz w:val="22"/>
        </w:rPr>
        <w:t xml:space="preserve"> Total revenue was $4.7 billion and $10.8 billion for the three and six months ended June 30, 2022, respectively, compared to $4.4 billion and $6.3 billion for the same periods in 2021. The revenue increase in 2022 was primarily due to increased product sales from sales of the Company's COVID-19 vaccine. Product sales for the second quarter of 2022 were $4.5 billion, increased by $334 million, or 8%, compared to the same period in 2021, primarily driven by </w:t>
      </w:r>
      <w:r w:rsidRPr="001D45A3">
        <w:rPr>
          <w:rFonts w:ascii="Calibri" w:eastAsia="Calibri" w:hAnsi="Calibri" w:cs="Calibri"/>
          <w:sz w:val="22"/>
        </w:rPr>
        <w:t xml:space="preserve">a higher average selling price due to customer mix. Product sales for the six months ended June 30, 2022 were $10.5 billion, increased by $4.5 billion, or 76%, compared to the same period in 2021, </w:t>
      </w:r>
      <w:r w:rsidR="00047097" w:rsidRPr="001D45A3">
        <w:rPr>
          <w:rFonts w:ascii="Calibri" w:eastAsia="Calibri" w:hAnsi="Calibri" w:cs="Calibri"/>
          <w:sz w:val="22"/>
        </w:rPr>
        <w:t>driven by increased sales of the Company’s COVID-19 vaccine</w:t>
      </w:r>
      <w:r w:rsidRPr="001D45A3">
        <w:rPr>
          <w:rFonts w:ascii="Calibri" w:eastAsia="Calibri" w:hAnsi="Calibri" w:cs="Calibri"/>
          <w:sz w:val="22"/>
        </w:rPr>
        <w:t>.</w:t>
      </w:r>
      <w:r w:rsidRPr="001F4511">
        <w:rPr>
          <w:rFonts w:ascii="Calibri" w:eastAsia="Calibri" w:hAnsi="Calibri" w:cs="Calibri"/>
          <w:b/>
          <w:sz w:val="22"/>
        </w:rPr>
        <w:t xml:space="preserve"> </w:t>
      </w:r>
    </w:p>
    <w:p w14:paraId="6717486E" w14:textId="1C92BD6C" w:rsidR="00260837" w:rsidRPr="00C7427F" w:rsidRDefault="0071378E" w:rsidP="00B11467">
      <w:pPr>
        <w:numPr>
          <w:ilvl w:val="0"/>
          <w:numId w:val="17"/>
        </w:numPr>
        <w:tabs>
          <w:tab w:val="clear" w:pos="450"/>
          <w:tab w:val="num" w:pos="720"/>
        </w:tabs>
        <w:spacing w:before="120"/>
        <w:rPr>
          <w:rFonts w:ascii="Calibri" w:eastAsia="Calibri" w:hAnsi="Calibri"/>
          <w:b/>
          <w:sz w:val="22"/>
        </w:rPr>
      </w:pPr>
      <w:r w:rsidRPr="00C7427F">
        <w:rPr>
          <w:rFonts w:ascii="Calibri" w:eastAsia="Calibri" w:hAnsi="Calibri"/>
          <w:b/>
          <w:sz w:val="22"/>
        </w:rPr>
        <w:t xml:space="preserve">Cost of Sales: </w:t>
      </w:r>
      <w:r w:rsidR="001D45A3" w:rsidRPr="00C7427F">
        <w:rPr>
          <w:rFonts w:ascii="Calibri" w:eastAsia="Calibri" w:hAnsi="Calibri"/>
          <w:sz w:val="22"/>
        </w:rPr>
        <w:t>Cost of sales was $1.4 billion, or 30% of product sales, for the second quarter of 2022, including third-party royalties of $157 million. Cost of sales as a percentage of product sales for the second quarter of 2022 increased by 12</w:t>
      </w:r>
      <w:r w:rsidR="00AF65BC" w:rsidRPr="00C7427F">
        <w:rPr>
          <w:rFonts w:ascii="Calibri" w:eastAsia="Calibri" w:hAnsi="Calibri" w:cs="Calibri"/>
          <w:bCs/>
          <w:sz w:val="22"/>
        </w:rPr>
        <w:t xml:space="preserve"> percentage points</w:t>
      </w:r>
      <w:r w:rsidR="001D45A3" w:rsidRPr="00C7427F">
        <w:rPr>
          <w:rFonts w:ascii="Calibri" w:eastAsia="Calibri" w:hAnsi="Calibri"/>
          <w:sz w:val="22"/>
        </w:rPr>
        <w:t>, from 18% in the same period in 2021. This includes a charge of $499 million for inventory write-downs related to COVID-19 products that have exceeded or are expected to exceed their approved shelf-lives prior to being used, as well as a loss on firm purchase commitments of $184 million</w:t>
      </w:r>
      <w:r w:rsidR="00DC2609" w:rsidRPr="00C7427F">
        <w:rPr>
          <w:rFonts w:ascii="Calibri" w:eastAsia="Calibri" w:hAnsi="Calibri" w:cs="Calibri"/>
          <w:bCs/>
          <w:sz w:val="22"/>
        </w:rPr>
        <w:t xml:space="preserve"> and </w:t>
      </w:r>
      <w:r w:rsidR="00062738">
        <w:rPr>
          <w:rFonts w:ascii="Calibri" w:eastAsia="Calibri" w:hAnsi="Calibri" w:cs="Calibri"/>
          <w:bCs/>
          <w:sz w:val="22"/>
        </w:rPr>
        <w:t xml:space="preserve">an expense for </w:t>
      </w:r>
      <w:r w:rsidR="00DC2609" w:rsidRPr="00C7427F">
        <w:rPr>
          <w:rFonts w:ascii="Calibri" w:eastAsia="Calibri" w:hAnsi="Calibri" w:cs="Calibri"/>
          <w:bCs/>
          <w:sz w:val="22"/>
        </w:rPr>
        <w:t xml:space="preserve">unutilized </w:t>
      </w:r>
      <w:r w:rsidR="00062738">
        <w:rPr>
          <w:rFonts w:ascii="Calibri" w:eastAsia="Calibri" w:hAnsi="Calibri" w:cs="Calibri"/>
          <w:bCs/>
          <w:sz w:val="22"/>
        </w:rPr>
        <w:t xml:space="preserve">external </w:t>
      </w:r>
      <w:r w:rsidR="00DC2609" w:rsidRPr="00C7427F">
        <w:rPr>
          <w:rFonts w:ascii="Calibri" w:eastAsia="Calibri" w:hAnsi="Calibri" w:cs="Calibri"/>
          <w:bCs/>
          <w:sz w:val="22"/>
        </w:rPr>
        <w:t>manufacturing capacity of $</w:t>
      </w:r>
      <w:r w:rsidR="00062738" w:rsidRPr="00C7427F">
        <w:rPr>
          <w:rFonts w:ascii="Calibri" w:eastAsia="Calibri" w:hAnsi="Calibri" w:cs="Calibri"/>
          <w:bCs/>
          <w:sz w:val="22"/>
        </w:rPr>
        <w:t>13</w:t>
      </w:r>
      <w:r w:rsidR="00062738">
        <w:rPr>
          <w:rFonts w:ascii="Calibri" w:eastAsia="Calibri" w:hAnsi="Calibri" w:cs="Calibri"/>
          <w:bCs/>
          <w:sz w:val="22"/>
        </w:rPr>
        <w:t>1</w:t>
      </w:r>
      <w:r w:rsidR="00062738" w:rsidRPr="00C7427F">
        <w:rPr>
          <w:rFonts w:ascii="Calibri" w:eastAsia="Calibri" w:hAnsi="Calibri" w:cs="Calibri"/>
          <w:bCs/>
          <w:sz w:val="22"/>
        </w:rPr>
        <w:t xml:space="preserve"> </w:t>
      </w:r>
      <w:r w:rsidR="00DC2609" w:rsidRPr="00C7427F">
        <w:rPr>
          <w:rFonts w:ascii="Calibri" w:eastAsia="Calibri" w:hAnsi="Calibri" w:cs="Calibri"/>
          <w:bCs/>
          <w:sz w:val="22"/>
        </w:rPr>
        <w:t>million</w:t>
      </w:r>
      <w:r w:rsidR="001D45A3" w:rsidRPr="00C7427F">
        <w:rPr>
          <w:rFonts w:ascii="Calibri" w:eastAsia="Calibri" w:hAnsi="Calibri" w:cs="Calibri"/>
          <w:bCs/>
          <w:sz w:val="22"/>
        </w:rPr>
        <w:t>.</w:t>
      </w:r>
      <w:r w:rsidR="001D45A3" w:rsidRPr="00C7427F">
        <w:rPr>
          <w:rFonts w:ascii="Calibri" w:eastAsia="Calibri" w:hAnsi="Calibri"/>
          <w:sz w:val="22"/>
        </w:rPr>
        <w:t xml:space="preserve"> These charges are driven by a substantial reduction of our expected deliveries to COVAX and deferral of deliveries to other customers, particularly to the European Union.</w:t>
      </w:r>
    </w:p>
    <w:p w14:paraId="417046E3" w14:textId="77777777" w:rsidR="0071378E" w:rsidRDefault="0071378E" w:rsidP="0071378E">
      <w:pPr>
        <w:numPr>
          <w:ilvl w:val="0"/>
          <w:numId w:val="17"/>
        </w:numPr>
        <w:tabs>
          <w:tab w:val="clear" w:pos="450"/>
          <w:tab w:val="num" w:pos="720"/>
        </w:tabs>
        <w:spacing w:before="120"/>
        <w:rPr>
          <w:sz w:val="20"/>
        </w:rPr>
      </w:pPr>
      <w:r>
        <w:rPr>
          <w:rFonts w:ascii="Calibri" w:eastAsia="Calibri" w:hAnsi="Calibri" w:cs="Calibri"/>
          <w:b/>
          <w:sz w:val="22"/>
        </w:rPr>
        <w:t>Research and Development Expenses:</w:t>
      </w:r>
      <w:r>
        <w:rPr>
          <w:rFonts w:ascii="Calibri" w:eastAsia="Calibri" w:hAnsi="Calibri" w:cs="Calibri"/>
          <w:sz w:val="22"/>
        </w:rPr>
        <w:t xml:space="preserve"> Research and development expenses were $710 million and $1.3 billion for the three and six months ended June 30, 2022, respectively, compared to $421 million and $822 million for the same periods in 2021. The growth in spending in 2022 was mainly due to increases in clinical trial expenses, personnel-related costs, and consulting and outside services.</w:t>
      </w:r>
    </w:p>
    <w:p w14:paraId="0B5C5B5E" w14:textId="03D734F2" w:rsidR="0071378E" w:rsidRDefault="0071378E" w:rsidP="0071378E">
      <w:pPr>
        <w:numPr>
          <w:ilvl w:val="0"/>
          <w:numId w:val="27"/>
        </w:numPr>
        <w:tabs>
          <w:tab w:val="clear" w:pos="450"/>
          <w:tab w:val="num" w:pos="720"/>
        </w:tabs>
        <w:spacing w:before="120"/>
        <w:rPr>
          <w:sz w:val="20"/>
        </w:rPr>
      </w:pPr>
      <w:r>
        <w:rPr>
          <w:rFonts w:ascii="Calibri" w:eastAsia="Calibri" w:hAnsi="Calibri" w:cs="Calibri"/>
          <w:b/>
          <w:sz w:val="22"/>
        </w:rPr>
        <w:t>Selling, General and Administrative Expenses:</w:t>
      </w:r>
      <w:r>
        <w:rPr>
          <w:rFonts w:ascii="Calibri" w:eastAsia="Calibri" w:hAnsi="Calibri" w:cs="Calibri"/>
          <w:sz w:val="22"/>
        </w:rPr>
        <w:t xml:space="preserve"> Selling, general and administrative expenses were $211 million and $479 million for the three and six months ended June 30, 2022, respectively, compared to $121 million and $198 million for the same periods in 2021. The growth in spending in 2022 was mainly due to increases in distributor fees and marketing expenses, </w:t>
      </w:r>
      <w:r w:rsidR="002F47A7">
        <w:rPr>
          <w:rFonts w:ascii="Calibri" w:eastAsia="Calibri" w:hAnsi="Calibri" w:cs="Calibri"/>
          <w:sz w:val="22"/>
        </w:rPr>
        <w:t xml:space="preserve">ongoing </w:t>
      </w:r>
      <w:r w:rsidR="00D76FD4">
        <w:rPr>
          <w:rFonts w:ascii="Calibri" w:eastAsia="Calibri" w:hAnsi="Calibri" w:cs="Calibri"/>
          <w:sz w:val="22"/>
        </w:rPr>
        <w:t xml:space="preserve">digital investments, </w:t>
      </w:r>
      <w:r>
        <w:rPr>
          <w:rFonts w:ascii="Calibri" w:eastAsia="Calibri" w:hAnsi="Calibri" w:cs="Calibri"/>
          <w:sz w:val="22"/>
        </w:rPr>
        <w:t>personnel-related costs, and a</w:t>
      </w:r>
      <w:r w:rsidR="00D76FD4">
        <w:rPr>
          <w:rFonts w:ascii="Calibri" w:eastAsia="Calibri" w:hAnsi="Calibri" w:cs="Calibri"/>
          <w:sz w:val="22"/>
        </w:rPr>
        <w:t xml:space="preserve"> $50 million</w:t>
      </w:r>
      <w:r>
        <w:rPr>
          <w:rFonts w:ascii="Calibri" w:eastAsia="Calibri" w:hAnsi="Calibri" w:cs="Calibri"/>
          <w:sz w:val="22"/>
        </w:rPr>
        <w:t xml:space="preserve"> endowment given to the Moderna Charitable Foundation in the first quarter of 2022.</w:t>
      </w:r>
    </w:p>
    <w:p w14:paraId="7129E403" w14:textId="2794E099" w:rsidR="0071378E" w:rsidRDefault="0071378E" w:rsidP="0071378E">
      <w:pPr>
        <w:numPr>
          <w:ilvl w:val="0"/>
          <w:numId w:val="18"/>
        </w:numPr>
        <w:tabs>
          <w:tab w:val="clear" w:pos="450"/>
          <w:tab w:val="num" w:pos="720"/>
        </w:tabs>
        <w:spacing w:before="120"/>
        <w:rPr>
          <w:sz w:val="20"/>
        </w:rPr>
      </w:pPr>
      <w:r>
        <w:rPr>
          <w:rFonts w:ascii="Calibri" w:eastAsia="Calibri" w:hAnsi="Calibri" w:cs="Calibri"/>
          <w:b/>
          <w:sz w:val="22"/>
        </w:rPr>
        <w:t xml:space="preserve">Provision for Income Taxes: </w:t>
      </w:r>
      <w:r>
        <w:rPr>
          <w:rFonts w:ascii="Calibri" w:eastAsia="Calibri" w:hAnsi="Calibri" w:cs="Calibri"/>
          <w:sz w:val="22"/>
        </w:rPr>
        <w:t>The effective tax rate was 11% and 13% for the three and six months ended June 30, 2022, respectively, compared to 9% and 7% for the same periods in 2021. The increase in 2022 was primarily due to the benefit recorded in 2021 related to the release of the valuation allowance on the majority of our deferred tax assets. Income taxes were $277 million for the second quarter of 2022, decreased by $6 million compared to the same period in 2021, primarily due to a decrease in pre-tax income, partially offset by a higher effective tax rate.</w:t>
      </w:r>
      <w:r>
        <w:rPr>
          <w:rFonts w:ascii="Calibri" w:eastAsia="Calibri" w:hAnsi="Calibri" w:cs="Calibri"/>
          <w:color w:val="EE2724"/>
          <w:sz w:val="22"/>
        </w:rPr>
        <w:t xml:space="preserve"> </w:t>
      </w:r>
      <w:r>
        <w:rPr>
          <w:rFonts w:ascii="Calibri" w:eastAsia="Calibri" w:hAnsi="Calibri" w:cs="Calibri"/>
          <w:sz w:val="22"/>
        </w:rPr>
        <w:t xml:space="preserve">Income taxes were $849 million for the six months ended June 30, 2022, increased by $527 million compared to the same period in 2021, mainly due to an increase in pre-tax income and a higher effective tax rate. </w:t>
      </w:r>
    </w:p>
    <w:p w14:paraId="6F1D3023" w14:textId="77777777" w:rsidR="0071378E" w:rsidRDefault="0071378E" w:rsidP="0071378E">
      <w:pPr>
        <w:numPr>
          <w:ilvl w:val="0"/>
          <w:numId w:val="19"/>
        </w:numPr>
        <w:tabs>
          <w:tab w:val="clear" w:pos="450"/>
          <w:tab w:val="num" w:pos="720"/>
        </w:tabs>
        <w:spacing w:before="120"/>
        <w:rPr>
          <w:sz w:val="20"/>
        </w:rPr>
      </w:pPr>
      <w:r>
        <w:rPr>
          <w:rFonts w:ascii="Calibri" w:eastAsia="Calibri" w:hAnsi="Calibri" w:cs="Calibri"/>
          <w:b/>
          <w:sz w:val="22"/>
        </w:rPr>
        <w:t>Net Income:</w:t>
      </w:r>
      <w:r>
        <w:rPr>
          <w:rFonts w:ascii="Calibri" w:eastAsia="Calibri" w:hAnsi="Calibri" w:cs="Calibri"/>
          <w:sz w:val="22"/>
        </w:rPr>
        <w:t xml:space="preserve"> Net income was $2.2 billion and $5.9 billion for the three and six months ended June 30, 2022, respectively, compared to $2.8 billion and $4.0 billion for the same periods in 2021. </w:t>
      </w:r>
    </w:p>
    <w:p w14:paraId="4DCCA207" w14:textId="77777777" w:rsidR="0071378E" w:rsidRDefault="0071378E" w:rsidP="0071378E">
      <w:pPr>
        <w:numPr>
          <w:ilvl w:val="0"/>
          <w:numId w:val="20"/>
        </w:numPr>
        <w:tabs>
          <w:tab w:val="clear" w:pos="450"/>
          <w:tab w:val="num" w:pos="720"/>
        </w:tabs>
        <w:spacing w:before="120"/>
        <w:rPr>
          <w:sz w:val="20"/>
        </w:rPr>
      </w:pPr>
      <w:r>
        <w:rPr>
          <w:rFonts w:ascii="Calibri" w:eastAsia="Calibri" w:hAnsi="Calibri" w:cs="Calibri"/>
          <w:b/>
          <w:sz w:val="22"/>
        </w:rPr>
        <w:t>Earnings Per Share:</w:t>
      </w:r>
      <w:r>
        <w:rPr>
          <w:rFonts w:ascii="Calibri" w:eastAsia="Calibri" w:hAnsi="Calibri" w:cs="Calibri"/>
          <w:sz w:val="22"/>
        </w:rPr>
        <w:t xml:space="preserve"> Diluted EPS was $5.24 and $13.85 for the three and six months ended June 30, 2022, respectively, compared to $6.46 and $9.30 for the same periods in 2021. </w:t>
      </w:r>
    </w:p>
    <w:p w14:paraId="3E70D55D" w14:textId="77777777" w:rsidR="0071378E" w:rsidRDefault="0071378E" w:rsidP="0071378E">
      <w:pPr>
        <w:numPr>
          <w:ilvl w:val="0"/>
          <w:numId w:val="21"/>
        </w:numPr>
        <w:tabs>
          <w:tab w:val="clear" w:pos="450"/>
          <w:tab w:val="num" w:pos="720"/>
        </w:tabs>
        <w:spacing w:before="120"/>
        <w:rPr>
          <w:sz w:val="20"/>
        </w:rPr>
      </w:pPr>
      <w:r>
        <w:rPr>
          <w:rFonts w:ascii="Calibri" w:eastAsia="Calibri" w:hAnsi="Calibri" w:cs="Calibri"/>
          <w:b/>
          <w:sz w:val="22"/>
        </w:rPr>
        <w:t xml:space="preserve">Cash Position: </w:t>
      </w:r>
      <w:r>
        <w:rPr>
          <w:rFonts w:ascii="Calibri" w:eastAsia="Calibri" w:hAnsi="Calibri" w:cs="Calibri"/>
          <w:sz w:val="22"/>
        </w:rPr>
        <w:t>Cash, cash equivalents and investments as of June 30, 2022 and December 31, 2021 were $18.1 billion and $17.6 billion, respectively.</w:t>
      </w:r>
    </w:p>
    <w:p w14:paraId="09B61D11" w14:textId="77777777" w:rsidR="0071378E" w:rsidRDefault="0071378E" w:rsidP="0071378E">
      <w:pPr>
        <w:numPr>
          <w:ilvl w:val="0"/>
          <w:numId w:val="22"/>
        </w:numPr>
        <w:tabs>
          <w:tab w:val="clear" w:pos="450"/>
          <w:tab w:val="num" w:pos="720"/>
        </w:tabs>
        <w:spacing w:before="120"/>
        <w:rPr>
          <w:sz w:val="20"/>
        </w:rPr>
      </w:pPr>
      <w:r>
        <w:rPr>
          <w:rFonts w:ascii="Calibri" w:eastAsia="Calibri" w:hAnsi="Calibri" w:cs="Calibri"/>
          <w:b/>
          <w:sz w:val="22"/>
        </w:rPr>
        <w:t xml:space="preserve">Net Cash Provided By Operating Activities: </w:t>
      </w:r>
      <w:r>
        <w:rPr>
          <w:rFonts w:ascii="Calibri" w:eastAsia="Calibri" w:hAnsi="Calibri" w:cs="Calibri"/>
          <w:sz w:val="22"/>
        </w:rPr>
        <w:t>Net cash provided by operating activities was $3.1 billion for the six months ended June 30, 2022, compared to $7.0 billion for the same period in 2021. Net cash provided by operating activities decreased in 2022, primarily attributable to revenue recognized from deferred revenue in excess of customer deposits received and increased income tax payments, partially offset by increased product sales and higher collection of receivables.</w:t>
      </w:r>
    </w:p>
    <w:p w14:paraId="2A85C535" w14:textId="77777777" w:rsidR="0071378E" w:rsidRDefault="0071378E" w:rsidP="0071378E">
      <w:pPr>
        <w:numPr>
          <w:ilvl w:val="0"/>
          <w:numId w:val="23"/>
        </w:numPr>
        <w:tabs>
          <w:tab w:val="clear" w:pos="450"/>
          <w:tab w:val="num" w:pos="720"/>
        </w:tabs>
        <w:spacing w:before="120"/>
        <w:rPr>
          <w:sz w:val="20"/>
        </w:rPr>
      </w:pPr>
      <w:r>
        <w:rPr>
          <w:rFonts w:ascii="Calibri" w:eastAsia="Calibri" w:hAnsi="Calibri" w:cs="Calibri"/>
          <w:b/>
          <w:sz w:val="22"/>
        </w:rPr>
        <w:lastRenderedPageBreak/>
        <w:t>Cash Used for Purchases of Property and Equipment:</w:t>
      </w:r>
      <w:r>
        <w:rPr>
          <w:rFonts w:ascii="Calibri" w:eastAsia="Calibri" w:hAnsi="Calibri" w:cs="Calibri"/>
          <w:sz w:val="22"/>
        </w:rPr>
        <w:t xml:space="preserve"> Cash used for purchases of property and equipment was $219 million for the six months ended June 30, 2022, compared to $65 million for the same period in 2021. The increase was primarily driven by the Company’s business expansion.</w:t>
      </w:r>
    </w:p>
    <w:p w14:paraId="68EB4649" w14:textId="4B460E7E" w:rsidR="0071378E" w:rsidRDefault="0071378E" w:rsidP="0071378E">
      <w:pPr>
        <w:numPr>
          <w:ilvl w:val="0"/>
          <w:numId w:val="24"/>
        </w:numPr>
        <w:tabs>
          <w:tab w:val="clear" w:pos="450"/>
          <w:tab w:val="num" w:pos="720"/>
        </w:tabs>
        <w:spacing w:before="120"/>
        <w:rPr>
          <w:sz w:val="20"/>
        </w:rPr>
      </w:pPr>
      <w:r>
        <w:rPr>
          <w:rFonts w:ascii="Calibri" w:eastAsia="Calibri" w:hAnsi="Calibri" w:cs="Calibri"/>
          <w:b/>
          <w:sz w:val="22"/>
        </w:rPr>
        <w:t>Cash Used for Repurchase</w:t>
      </w:r>
      <w:r w:rsidR="00D3769E">
        <w:rPr>
          <w:rFonts w:ascii="Calibri" w:eastAsia="Calibri" w:hAnsi="Calibri" w:cs="Calibri"/>
          <w:b/>
          <w:sz w:val="22"/>
        </w:rPr>
        <w:t>s</w:t>
      </w:r>
      <w:r>
        <w:rPr>
          <w:rFonts w:ascii="Calibri" w:eastAsia="Calibri" w:hAnsi="Calibri" w:cs="Calibri"/>
          <w:b/>
          <w:sz w:val="22"/>
        </w:rPr>
        <w:t xml:space="preserve"> of Common Stock:</w:t>
      </w:r>
      <w:r>
        <w:rPr>
          <w:rFonts w:ascii="Calibri" w:eastAsia="Calibri" w:hAnsi="Calibri" w:cs="Calibri"/>
          <w:sz w:val="22"/>
        </w:rPr>
        <w:t xml:space="preserve"> Cash used for repurchases of common stock was $1.9 billion for the six months ended June 30, 2022. Moderna did not conduct share repurchases prior to the fourth quarter of 2021. From the end of the third quarter of 2021 to the end of the second quarter of 2022, the Company repurchased 16 million shares, reducing the number of common shares outstanding from 405 million to 392 million, more than offsetting 3 million shares of common stock issued in connection with equity compensation over this period.</w:t>
      </w:r>
    </w:p>
    <w:p w14:paraId="6683C2D5" w14:textId="77777777" w:rsidR="002923FE" w:rsidRDefault="002923FE" w:rsidP="00795A65">
      <w:pPr>
        <w:rPr>
          <w:rFonts w:asciiTheme="minorHAnsi" w:hAnsiTheme="minorHAnsi" w:cstheme="minorHAnsi"/>
          <w:color w:val="000000" w:themeColor="text1"/>
          <w:sz w:val="22"/>
          <w:szCs w:val="22"/>
        </w:rPr>
      </w:pPr>
    </w:p>
    <w:p w14:paraId="7D98FBBC" w14:textId="7AB4B0B9" w:rsidR="00E91EF1" w:rsidRDefault="00E91EF1" w:rsidP="00795A65">
      <w:pPr>
        <w:rPr>
          <w:rFonts w:asciiTheme="minorHAnsi" w:hAnsiTheme="minorHAnsi" w:cstheme="minorHAnsi"/>
          <w:color w:val="000000" w:themeColor="text1"/>
          <w:sz w:val="22"/>
          <w:szCs w:val="22"/>
        </w:rPr>
      </w:pPr>
    </w:p>
    <w:p w14:paraId="117F3075" w14:textId="6FBDB616" w:rsidR="0053468E" w:rsidRPr="00B11467" w:rsidRDefault="00D32EA9" w:rsidP="001F4511">
      <w:pPr>
        <w:shd w:val="clear" w:color="auto" w:fill="FFFFFF"/>
        <w:rPr>
          <w:rFonts w:ascii="Calibri" w:hAnsi="Calibri" w:cs="Calibri"/>
          <w:b/>
          <w:bCs/>
          <w:color w:val="000000"/>
          <w:sz w:val="22"/>
          <w:szCs w:val="22"/>
        </w:rPr>
      </w:pPr>
      <w:r w:rsidRPr="00AC7D70">
        <w:rPr>
          <w:rFonts w:asciiTheme="minorHAnsi" w:hAnsiTheme="minorHAnsi" w:cstheme="minorHAnsi"/>
          <w:b/>
          <w:bCs/>
          <w:sz w:val="22"/>
          <w:szCs w:val="22"/>
        </w:rPr>
        <w:t>2022 Financial Framewor</w:t>
      </w:r>
      <w:r>
        <w:rPr>
          <w:rFonts w:asciiTheme="minorHAnsi" w:hAnsiTheme="minorHAnsi" w:cstheme="minorHAnsi"/>
          <w:b/>
          <w:bCs/>
          <w:sz w:val="22"/>
          <w:szCs w:val="22"/>
        </w:rPr>
        <w:t>k</w:t>
      </w:r>
      <w:r>
        <w:rPr>
          <w:rFonts w:asciiTheme="minorHAnsi" w:hAnsiTheme="minorHAnsi" w:cstheme="minorHAnsi"/>
          <w:b/>
          <w:bCs/>
          <w:sz w:val="22"/>
          <w:szCs w:val="22"/>
        </w:rPr>
        <w:br/>
      </w:r>
    </w:p>
    <w:p w14:paraId="3C55CBAA" w14:textId="18033F69" w:rsidR="00D32EA9" w:rsidRPr="00C7427F" w:rsidRDefault="0053468E" w:rsidP="00C7427F">
      <w:pPr>
        <w:pStyle w:val="ListParagraph"/>
        <w:numPr>
          <w:ilvl w:val="0"/>
          <w:numId w:val="13"/>
        </w:numPr>
        <w:rPr>
          <w:rFonts w:ascii="Calibri" w:hAnsi="Calibri" w:cs="Calibri"/>
          <w:b/>
          <w:bCs/>
          <w:color w:val="000000"/>
          <w:sz w:val="22"/>
          <w:szCs w:val="22"/>
        </w:rPr>
      </w:pPr>
      <w:r w:rsidRPr="00B11467">
        <w:rPr>
          <w:rFonts w:ascii="Calibri" w:hAnsi="Calibri" w:cs="Calibri"/>
          <w:b/>
          <w:bCs/>
          <w:color w:val="000000"/>
          <w:sz w:val="22"/>
          <w:szCs w:val="22"/>
        </w:rPr>
        <w:t xml:space="preserve">Advance Purchase Agreements (APAs): </w:t>
      </w:r>
      <w:r w:rsidRPr="00B11467">
        <w:rPr>
          <w:rFonts w:ascii="Calibri" w:hAnsi="Calibri" w:cs="Calibri"/>
          <w:color w:val="000000"/>
          <w:sz w:val="22"/>
          <w:szCs w:val="22"/>
        </w:rPr>
        <w:t xml:space="preserve">Moderna’s APAs for product sales for which we expect to make delivery in 2022 are approximately $21 billion. This includes the recently announced agreement </w:t>
      </w:r>
      <w:r w:rsidR="004037CA">
        <w:rPr>
          <w:rFonts w:ascii="Calibri" w:hAnsi="Calibri" w:cs="Calibri"/>
          <w:color w:val="000000"/>
          <w:sz w:val="22"/>
          <w:szCs w:val="22"/>
        </w:rPr>
        <w:t>with</w:t>
      </w:r>
      <w:r w:rsidRPr="00B11467">
        <w:rPr>
          <w:rFonts w:ascii="Calibri" w:hAnsi="Calibri" w:cs="Calibri"/>
          <w:color w:val="000000"/>
          <w:sz w:val="22"/>
          <w:szCs w:val="22"/>
        </w:rPr>
        <w:t xml:space="preserve"> the U</w:t>
      </w:r>
      <w:r w:rsidR="0005479A">
        <w:rPr>
          <w:rFonts w:ascii="Calibri" w:hAnsi="Calibri" w:cs="Calibri"/>
          <w:color w:val="000000"/>
          <w:sz w:val="22"/>
          <w:szCs w:val="22"/>
        </w:rPr>
        <w:t>.</w:t>
      </w:r>
      <w:r w:rsidRPr="00B11467">
        <w:rPr>
          <w:rFonts w:ascii="Calibri" w:hAnsi="Calibri" w:cs="Calibri"/>
          <w:color w:val="000000"/>
          <w:sz w:val="22"/>
          <w:szCs w:val="22"/>
        </w:rPr>
        <w:t>S</w:t>
      </w:r>
      <w:r w:rsidR="0005479A">
        <w:rPr>
          <w:rFonts w:ascii="Calibri" w:hAnsi="Calibri" w:cs="Calibri"/>
          <w:color w:val="000000"/>
          <w:sz w:val="22"/>
          <w:szCs w:val="22"/>
        </w:rPr>
        <w:t>.</w:t>
      </w:r>
      <w:r w:rsidRPr="00B11467">
        <w:rPr>
          <w:rFonts w:ascii="Calibri" w:hAnsi="Calibri" w:cs="Calibri"/>
          <w:color w:val="000000"/>
          <w:sz w:val="22"/>
          <w:szCs w:val="22"/>
        </w:rPr>
        <w:t xml:space="preserve"> government</w:t>
      </w:r>
      <w:r w:rsidR="00082276">
        <w:rPr>
          <w:rFonts w:ascii="Calibri" w:hAnsi="Calibri" w:cs="Calibri"/>
          <w:color w:val="000000"/>
          <w:sz w:val="22"/>
          <w:szCs w:val="22"/>
        </w:rPr>
        <w:t xml:space="preserve"> for 70 million doses (option for 4 million pediatric doses has been exercised)</w:t>
      </w:r>
      <w:r w:rsidRPr="00B11467">
        <w:rPr>
          <w:rFonts w:ascii="Calibri" w:hAnsi="Calibri" w:cs="Calibri"/>
          <w:color w:val="000000"/>
          <w:sz w:val="22"/>
          <w:szCs w:val="22"/>
        </w:rPr>
        <w:t xml:space="preserve"> and </w:t>
      </w:r>
      <w:bookmarkStart w:id="0" w:name="_Hlk110247633"/>
      <w:r w:rsidR="0076209B">
        <w:rPr>
          <w:rFonts w:ascii="Calibri" w:hAnsi="Calibri" w:cs="Calibri"/>
          <w:color w:val="000000"/>
          <w:sz w:val="22"/>
          <w:szCs w:val="22"/>
        </w:rPr>
        <w:t xml:space="preserve">an adjustment for </w:t>
      </w:r>
      <w:r w:rsidRPr="00B11467">
        <w:rPr>
          <w:rFonts w:ascii="Calibri" w:hAnsi="Calibri" w:cs="Calibri"/>
          <w:color w:val="000000"/>
          <w:sz w:val="22"/>
          <w:szCs w:val="22"/>
        </w:rPr>
        <w:t xml:space="preserve">doses that remain unallocated by COVAX due to lack of demand. </w:t>
      </w:r>
      <w:bookmarkEnd w:id="0"/>
      <w:r w:rsidRPr="00B11467">
        <w:rPr>
          <w:rFonts w:ascii="Calibri" w:hAnsi="Calibri" w:cs="Calibri"/>
          <w:color w:val="000000"/>
          <w:sz w:val="22"/>
          <w:szCs w:val="22"/>
        </w:rPr>
        <w:t>Moderna anticipates that for sales in the second half, sales will be greater in the fourth quarter than the third quarter, driven by the timing for approval of our updated COVID-19 vaccines</w:t>
      </w:r>
      <w:r w:rsidR="00F47E5D" w:rsidRPr="00F47E5D">
        <w:rPr>
          <w:rFonts w:ascii="Calibri" w:hAnsi="Calibri" w:cs="Calibri"/>
          <w:color w:val="000000"/>
          <w:sz w:val="22"/>
          <w:szCs w:val="22"/>
        </w:rPr>
        <w:t xml:space="preserve"> and the related manufacturing ramp-up of new products.</w:t>
      </w:r>
    </w:p>
    <w:p w14:paraId="39C67704" w14:textId="77777777" w:rsidR="00DB40D6" w:rsidRPr="002D344E" w:rsidRDefault="00DB40D6" w:rsidP="002D344E">
      <w:pPr>
        <w:shd w:val="clear" w:color="auto" w:fill="FFFFFF"/>
        <w:ind w:left="720"/>
        <w:rPr>
          <w:rFonts w:ascii="Calibri" w:hAnsi="Calibri" w:cs="Calibri"/>
          <w:color w:val="000000"/>
          <w:sz w:val="22"/>
          <w:szCs w:val="22"/>
        </w:rPr>
      </w:pPr>
    </w:p>
    <w:p w14:paraId="42731A04" w14:textId="31ACD65B" w:rsidR="00D32EA9" w:rsidRPr="005B1694" w:rsidRDefault="00D32EA9" w:rsidP="00E83FF2">
      <w:pPr>
        <w:numPr>
          <w:ilvl w:val="0"/>
          <w:numId w:val="13"/>
        </w:numPr>
        <w:shd w:val="clear" w:color="auto" w:fill="FFFFFF"/>
        <w:rPr>
          <w:rFonts w:ascii="Calibri" w:hAnsi="Calibri" w:cs="Calibri"/>
          <w:color w:val="000000"/>
          <w:sz w:val="22"/>
          <w:szCs w:val="22"/>
        </w:rPr>
      </w:pPr>
      <w:r w:rsidRPr="00461EAC">
        <w:rPr>
          <w:rFonts w:ascii="Calibri" w:hAnsi="Calibri" w:cs="Calibri"/>
          <w:b/>
          <w:bCs/>
          <w:color w:val="000000"/>
          <w:sz w:val="22"/>
          <w:szCs w:val="22"/>
        </w:rPr>
        <w:t>Cost of Sales: </w:t>
      </w:r>
      <w:r w:rsidRPr="005B1694">
        <w:rPr>
          <w:rFonts w:ascii="Calibri" w:hAnsi="Calibri" w:cs="Calibri"/>
          <w:color w:val="000000"/>
          <w:sz w:val="22"/>
          <w:szCs w:val="22"/>
        </w:rPr>
        <w:t xml:space="preserve">Cost of sales as percentage of product sales are expected to be in the </w:t>
      </w:r>
      <w:r w:rsidR="00D6404A">
        <w:rPr>
          <w:rFonts w:ascii="Calibri" w:hAnsi="Calibri" w:cs="Calibri"/>
          <w:color w:val="000000"/>
          <w:sz w:val="22"/>
          <w:szCs w:val="22"/>
        </w:rPr>
        <w:t>mid-</w:t>
      </w:r>
      <w:r w:rsidRPr="005B1694">
        <w:rPr>
          <w:rFonts w:ascii="Calibri" w:hAnsi="Calibri" w:cs="Calibri"/>
          <w:color w:val="000000"/>
          <w:sz w:val="22"/>
          <w:szCs w:val="22"/>
        </w:rPr>
        <w:t xml:space="preserve"> 20s percentage range</w:t>
      </w:r>
      <w:r w:rsidR="005A31CD">
        <w:rPr>
          <w:rFonts w:ascii="Calibri" w:hAnsi="Calibri" w:cs="Calibri"/>
          <w:color w:val="000000"/>
          <w:sz w:val="22"/>
          <w:szCs w:val="22"/>
        </w:rPr>
        <w:t xml:space="preserve">, with possible cost of sales in the </w:t>
      </w:r>
      <w:r w:rsidR="00DB40D6">
        <w:rPr>
          <w:rFonts w:ascii="Calibri" w:hAnsi="Calibri" w:cs="Calibri"/>
          <w:color w:val="000000"/>
          <w:sz w:val="22"/>
          <w:szCs w:val="22"/>
        </w:rPr>
        <w:t>high-</w:t>
      </w:r>
      <w:r w:rsidR="005A31CD">
        <w:rPr>
          <w:rFonts w:ascii="Calibri" w:hAnsi="Calibri" w:cs="Calibri"/>
          <w:color w:val="000000"/>
          <w:sz w:val="22"/>
          <w:szCs w:val="22"/>
        </w:rPr>
        <w:t xml:space="preserve">20s in the event of further </w:t>
      </w:r>
      <w:r w:rsidR="00F47E5D">
        <w:rPr>
          <w:rFonts w:ascii="Calibri" w:hAnsi="Calibri" w:cs="Calibri"/>
          <w:color w:val="000000"/>
          <w:sz w:val="22"/>
          <w:szCs w:val="22"/>
        </w:rPr>
        <w:t>charges due to product updates.</w:t>
      </w:r>
      <w:r w:rsidRPr="005B1694">
        <w:rPr>
          <w:rFonts w:ascii="Calibri" w:hAnsi="Calibri" w:cs="Calibri"/>
          <w:color w:val="000000"/>
          <w:sz w:val="22"/>
          <w:szCs w:val="22"/>
        </w:rPr>
        <w:br/>
      </w:r>
    </w:p>
    <w:p w14:paraId="54B9DC73" w14:textId="1B7D713E" w:rsidR="00D32EA9" w:rsidRPr="00461EAC" w:rsidRDefault="00D32EA9" w:rsidP="00E83FF2">
      <w:pPr>
        <w:numPr>
          <w:ilvl w:val="0"/>
          <w:numId w:val="13"/>
        </w:numPr>
        <w:shd w:val="clear" w:color="auto" w:fill="FFFFFF"/>
        <w:rPr>
          <w:rFonts w:ascii="Calibri" w:hAnsi="Calibri" w:cs="Calibri"/>
          <w:color w:val="000000"/>
          <w:sz w:val="22"/>
          <w:szCs w:val="22"/>
        </w:rPr>
      </w:pPr>
      <w:r w:rsidRPr="00461EAC">
        <w:rPr>
          <w:rFonts w:ascii="Calibri" w:hAnsi="Calibri" w:cs="Calibri"/>
          <w:b/>
          <w:bCs/>
          <w:color w:val="000000"/>
          <w:sz w:val="22"/>
          <w:szCs w:val="22"/>
        </w:rPr>
        <w:t>Research &amp; Development (R&amp;D) and Selling, General &amp; Administrative (SG&amp;A) Expenses</w:t>
      </w:r>
      <w:r w:rsidRPr="00461EAC">
        <w:rPr>
          <w:rFonts w:ascii="Calibri" w:hAnsi="Calibri" w:cs="Calibri"/>
          <w:color w:val="000000"/>
          <w:sz w:val="22"/>
          <w:szCs w:val="22"/>
        </w:rPr>
        <w:t>: Full year expenses</w:t>
      </w:r>
      <w:r w:rsidR="008246A6">
        <w:rPr>
          <w:rFonts w:ascii="Calibri" w:hAnsi="Calibri" w:cs="Calibri"/>
          <w:color w:val="000000"/>
          <w:sz w:val="22"/>
          <w:szCs w:val="22"/>
        </w:rPr>
        <w:t xml:space="preserve"> are</w:t>
      </w:r>
      <w:r w:rsidRPr="00461EAC">
        <w:rPr>
          <w:rFonts w:ascii="Calibri" w:hAnsi="Calibri" w:cs="Calibri"/>
          <w:color w:val="000000"/>
          <w:sz w:val="22"/>
          <w:szCs w:val="22"/>
        </w:rPr>
        <w:t xml:space="preserve"> expected to be approximately $4 billion</w:t>
      </w:r>
      <w:r>
        <w:rPr>
          <w:rFonts w:ascii="Calibri" w:hAnsi="Calibri" w:cs="Calibri"/>
          <w:color w:val="000000"/>
          <w:sz w:val="22"/>
          <w:szCs w:val="22"/>
        </w:rPr>
        <w:t>.</w:t>
      </w:r>
      <w:r>
        <w:rPr>
          <w:rFonts w:ascii="Calibri" w:hAnsi="Calibri" w:cs="Calibri"/>
          <w:color w:val="000000"/>
          <w:sz w:val="22"/>
          <w:szCs w:val="22"/>
        </w:rPr>
        <w:br/>
      </w:r>
    </w:p>
    <w:p w14:paraId="794B0F2D" w14:textId="753D5C0C" w:rsidR="00D32EA9" w:rsidRPr="00461EAC" w:rsidRDefault="00D32EA9" w:rsidP="00E83FF2">
      <w:pPr>
        <w:numPr>
          <w:ilvl w:val="0"/>
          <w:numId w:val="13"/>
        </w:numPr>
        <w:shd w:val="clear" w:color="auto" w:fill="FFFFFF" w:themeFill="background1"/>
        <w:rPr>
          <w:rFonts w:ascii="Calibri" w:hAnsi="Calibri" w:cs="Calibri"/>
          <w:color w:val="000000"/>
          <w:sz w:val="22"/>
          <w:szCs w:val="22"/>
        </w:rPr>
      </w:pPr>
      <w:r w:rsidRPr="51D3CC2F">
        <w:rPr>
          <w:rFonts w:ascii="Calibri" w:hAnsi="Calibri" w:cs="Calibri"/>
          <w:b/>
          <w:color w:val="000000" w:themeColor="text1"/>
          <w:sz w:val="22"/>
          <w:szCs w:val="22"/>
        </w:rPr>
        <w:t>Tax Rate: </w:t>
      </w:r>
      <w:r w:rsidRPr="51D3CC2F">
        <w:rPr>
          <w:rFonts w:ascii="Calibri" w:hAnsi="Calibri" w:cs="Calibri"/>
          <w:color w:val="000000" w:themeColor="text1"/>
          <w:sz w:val="22"/>
          <w:szCs w:val="22"/>
        </w:rPr>
        <w:t xml:space="preserve">The Company expects an effective tax </w:t>
      </w:r>
      <w:r w:rsidRPr="2D697AB1">
        <w:rPr>
          <w:rFonts w:ascii="Calibri" w:hAnsi="Calibri" w:cs="Calibri"/>
          <w:color w:val="000000" w:themeColor="text1"/>
          <w:sz w:val="22"/>
          <w:szCs w:val="22"/>
        </w:rPr>
        <w:t>rate</w:t>
      </w:r>
      <w:r w:rsidRPr="51D3CC2F">
        <w:rPr>
          <w:rFonts w:ascii="Calibri" w:hAnsi="Calibri" w:cs="Calibri"/>
          <w:color w:val="000000" w:themeColor="text1"/>
          <w:sz w:val="22"/>
          <w:szCs w:val="22"/>
        </w:rPr>
        <w:t xml:space="preserve"> for the full year in the </w:t>
      </w:r>
      <w:r w:rsidR="00337B69">
        <w:rPr>
          <w:rFonts w:ascii="Calibri" w:hAnsi="Calibri" w:cs="Calibri"/>
          <w:color w:val="000000" w:themeColor="text1"/>
          <w:sz w:val="22"/>
          <w:szCs w:val="22"/>
        </w:rPr>
        <w:t xml:space="preserve">low- to </w:t>
      </w:r>
      <w:r w:rsidRPr="51D3CC2F">
        <w:rPr>
          <w:rFonts w:ascii="Calibri" w:hAnsi="Calibri" w:cs="Calibri"/>
          <w:color w:val="000000" w:themeColor="text1"/>
          <w:sz w:val="22"/>
          <w:szCs w:val="22"/>
        </w:rPr>
        <w:t>mid-teen percentage range.</w:t>
      </w:r>
    </w:p>
    <w:p w14:paraId="4F9224A9" w14:textId="77777777" w:rsidR="00D32EA9" w:rsidRPr="00864239" w:rsidRDefault="00D32EA9" w:rsidP="00D32EA9">
      <w:pPr>
        <w:shd w:val="clear" w:color="auto" w:fill="FFFFFF"/>
        <w:ind w:left="720"/>
        <w:rPr>
          <w:rFonts w:ascii="Calibri" w:hAnsi="Calibri" w:cs="Calibri"/>
          <w:color w:val="000000"/>
          <w:sz w:val="22"/>
          <w:szCs w:val="22"/>
        </w:rPr>
      </w:pPr>
    </w:p>
    <w:p w14:paraId="34955637" w14:textId="77777777" w:rsidR="00D32EA9" w:rsidRPr="00461EAC" w:rsidRDefault="00D32EA9" w:rsidP="00E83FF2">
      <w:pPr>
        <w:numPr>
          <w:ilvl w:val="0"/>
          <w:numId w:val="13"/>
        </w:numPr>
        <w:shd w:val="clear" w:color="auto" w:fill="FFFFFF"/>
        <w:rPr>
          <w:rFonts w:ascii="Calibri" w:hAnsi="Calibri" w:cs="Calibri"/>
          <w:color w:val="000000"/>
          <w:sz w:val="22"/>
          <w:szCs w:val="22"/>
        </w:rPr>
      </w:pPr>
      <w:r w:rsidRPr="00461EAC">
        <w:rPr>
          <w:rFonts w:ascii="Calibri" w:hAnsi="Calibri" w:cs="Calibri"/>
          <w:b/>
          <w:bCs/>
          <w:color w:val="000000"/>
          <w:sz w:val="22"/>
          <w:szCs w:val="22"/>
        </w:rPr>
        <w:t>Capital Expenditures: </w:t>
      </w:r>
      <w:r w:rsidRPr="00461EAC">
        <w:rPr>
          <w:rFonts w:ascii="Calibri" w:hAnsi="Calibri" w:cs="Calibri"/>
          <w:color w:val="000000"/>
          <w:sz w:val="22"/>
          <w:szCs w:val="22"/>
        </w:rPr>
        <w:t>Expect capital investments for 2022 in the range of $0.6-$0.8 billion.</w:t>
      </w:r>
      <w:r>
        <w:rPr>
          <w:rFonts w:ascii="Calibri" w:hAnsi="Calibri" w:cs="Calibri"/>
          <w:color w:val="000000"/>
          <w:sz w:val="22"/>
          <w:szCs w:val="22"/>
        </w:rPr>
        <w:br/>
      </w:r>
    </w:p>
    <w:p w14:paraId="6645525A" w14:textId="1A157DAC" w:rsidR="00D32EA9" w:rsidRPr="003E335F" w:rsidRDefault="00D32EA9" w:rsidP="00E83FF2">
      <w:pPr>
        <w:numPr>
          <w:ilvl w:val="0"/>
          <w:numId w:val="13"/>
        </w:numPr>
        <w:shd w:val="clear" w:color="auto" w:fill="FFFFFF" w:themeFill="background1"/>
        <w:rPr>
          <w:rFonts w:asciiTheme="minorHAnsi" w:eastAsiaTheme="minorEastAsia" w:hAnsiTheme="minorHAnsi" w:cstheme="minorBidi"/>
          <w:color w:val="000000"/>
          <w:sz w:val="22"/>
          <w:szCs w:val="22"/>
        </w:rPr>
      </w:pPr>
      <w:r w:rsidRPr="41463B85">
        <w:rPr>
          <w:rFonts w:ascii="Calibri" w:hAnsi="Calibri" w:cs="Calibri"/>
          <w:b/>
          <w:color w:val="000000" w:themeColor="text1"/>
          <w:sz w:val="22"/>
          <w:szCs w:val="22"/>
        </w:rPr>
        <w:t>Share Repurchase Program: </w:t>
      </w:r>
      <w:r w:rsidR="00D6404A">
        <w:rPr>
          <w:rFonts w:asciiTheme="minorHAnsi" w:eastAsia="Calibri" w:hAnsiTheme="minorHAnsi" w:cstheme="minorBidi"/>
          <w:sz w:val="22"/>
          <w:szCs w:val="22"/>
        </w:rPr>
        <w:t>T</w:t>
      </w:r>
      <w:r w:rsidR="6698CCFE" w:rsidRPr="41463B85">
        <w:rPr>
          <w:rFonts w:asciiTheme="minorHAnsi" w:eastAsia="Calibri" w:hAnsiTheme="minorHAnsi" w:cstheme="minorBidi"/>
          <w:sz w:val="22"/>
          <w:szCs w:val="22"/>
        </w:rPr>
        <w:t xml:space="preserve">he </w:t>
      </w:r>
      <w:r w:rsidRPr="41463B85">
        <w:rPr>
          <w:rFonts w:asciiTheme="minorHAnsi" w:hAnsiTheme="minorHAnsi" w:cstheme="minorBidi"/>
          <w:sz w:val="22"/>
          <w:szCs w:val="22"/>
        </w:rPr>
        <w:t xml:space="preserve">Board of Directors </w:t>
      </w:r>
      <w:r w:rsidR="00D6404A">
        <w:rPr>
          <w:rFonts w:asciiTheme="minorHAnsi" w:hAnsiTheme="minorHAnsi" w:cstheme="minorBidi"/>
          <w:sz w:val="22"/>
          <w:szCs w:val="22"/>
        </w:rPr>
        <w:t xml:space="preserve">has </w:t>
      </w:r>
      <w:r w:rsidRPr="41463B85">
        <w:rPr>
          <w:rFonts w:asciiTheme="minorHAnsi" w:hAnsiTheme="minorHAnsi" w:cstheme="minorBidi"/>
          <w:sz w:val="22"/>
          <w:szCs w:val="22"/>
        </w:rPr>
        <w:t xml:space="preserve">authorized </w:t>
      </w:r>
      <w:r w:rsidR="00D6404A">
        <w:rPr>
          <w:rFonts w:asciiTheme="minorHAnsi" w:hAnsiTheme="minorHAnsi" w:cstheme="minorBidi"/>
          <w:sz w:val="22"/>
          <w:szCs w:val="22"/>
        </w:rPr>
        <w:t>an additional</w:t>
      </w:r>
      <w:r w:rsidR="00086189">
        <w:rPr>
          <w:rFonts w:asciiTheme="minorHAnsi" w:hAnsiTheme="minorHAnsi" w:cstheme="minorBidi"/>
          <w:sz w:val="22"/>
          <w:szCs w:val="22"/>
        </w:rPr>
        <w:t xml:space="preserve"> </w:t>
      </w:r>
      <w:r w:rsidRPr="41463B85">
        <w:rPr>
          <w:rFonts w:asciiTheme="minorHAnsi" w:hAnsiTheme="minorHAnsi" w:cstheme="minorBidi"/>
          <w:sz w:val="22"/>
          <w:szCs w:val="22"/>
        </w:rPr>
        <w:t xml:space="preserve">share repurchase program for $3 billion </w:t>
      </w:r>
      <w:r w:rsidR="6698CCFE" w:rsidRPr="41463B85">
        <w:rPr>
          <w:rFonts w:asciiTheme="minorHAnsi" w:eastAsia="Calibri" w:hAnsiTheme="minorHAnsi" w:cstheme="minorBidi"/>
          <w:sz w:val="22"/>
          <w:szCs w:val="22"/>
        </w:rPr>
        <w:t>in</w:t>
      </w:r>
      <w:r w:rsidR="00086189">
        <w:rPr>
          <w:rFonts w:asciiTheme="minorHAnsi" w:eastAsia="Calibri" w:hAnsiTheme="minorHAnsi" w:cstheme="minorBidi"/>
          <w:sz w:val="22"/>
          <w:szCs w:val="22"/>
        </w:rPr>
        <w:t xml:space="preserve"> </w:t>
      </w:r>
      <w:r w:rsidR="00D6404A">
        <w:rPr>
          <w:rFonts w:asciiTheme="minorHAnsi" w:eastAsia="Calibri" w:hAnsiTheme="minorHAnsi" w:cstheme="minorBidi"/>
          <w:sz w:val="22"/>
          <w:szCs w:val="22"/>
        </w:rPr>
        <w:t xml:space="preserve">August </w:t>
      </w:r>
      <w:r w:rsidR="6698CCFE" w:rsidRPr="41463B85">
        <w:rPr>
          <w:rFonts w:asciiTheme="minorHAnsi" w:eastAsia="Calibri" w:hAnsiTheme="minorHAnsi" w:cstheme="minorBidi"/>
          <w:sz w:val="22"/>
          <w:szCs w:val="22"/>
        </w:rPr>
        <w:t xml:space="preserve">2022 </w:t>
      </w:r>
      <w:r w:rsidRPr="41463B85">
        <w:rPr>
          <w:rFonts w:asciiTheme="minorHAnsi" w:hAnsiTheme="minorHAnsi" w:cstheme="minorBidi"/>
          <w:sz w:val="22"/>
          <w:szCs w:val="22"/>
        </w:rPr>
        <w:t>to return excess capital to shareholders. The previous program of $1 billion announced in August 2021</w:t>
      </w:r>
      <w:r w:rsidR="00086189">
        <w:rPr>
          <w:rFonts w:asciiTheme="minorHAnsi" w:hAnsiTheme="minorHAnsi" w:cstheme="minorBidi"/>
          <w:sz w:val="22"/>
          <w:szCs w:val="22"/>
        </w:rPr>
        <w:t xml:space="preserve"> </w:t>
      </w:r>
      <w:r w:rsidR="00D6404A">
        <w:rPr>
          <w:rFonts w:asciiTheme="minorHAnsi" w:hAnsiTheme="minorHAnsi" w:cstheme="minorBidi"/>
          <w:sz w:val="22"/>
          <w:szCs w:val="22"/>
        </w:rPr>
        <w:t>was</w:t>
      </w:r>
      <w:r w:rsidRPr="006E4189">
        <w:rPr>
          <w:rFonts w:asciiTheme="minorHAnsi" w:hAnsiTheme="minorHAnsi" w:cstheme="minorBidi"/>
          <w:sz w:val="22"/>
          <w:szCs w:val="22"/>
        </w:rPr>
        <w:t xml:space="preserve"> fully utilized as of the end of January 2022</w:t>
      </w:r>
      <w:r w:rsidR="00086189">
        <w:rPr>
          <w:rFonts w:asciiTheme="minorHAnsi" w:hAnsiTheme="minorHAnsi" w:cstheme="minorBidi"/>
          <w:sz w:val="22"/>
          <w:szCs w:val="22"/>
        </w:rPr>
        <w:t xml:space="preserve"> and </w:t>
      </w:r>
      <w:r w:rsidR="00D6404A">
        <w:rPr>
          <w:rFonts w:asciiTheme="minorHAnsi" w:hAnsiTheme="minorHAnsi" w:cstheme="minorBidi"/>
          <w:sz w:val="22"/>
          <w:szCs w:val="22"/>
        </w:rPr>
        <w:t xml:space="preserve">the </w:t>
      </w:r>
      <w:r w:rsidR="00B8145F">
        <w:rPr>
          <w:rFonts w:asciiTheme="minorHAnsi" w:hAnsiTheme="minorHAnsi" w:cstheme="minorBidi"/>
          <w:sz w:val="22"/>
          <w:szCs w:val="22"/>
        </w:rPr>
        <w:t>$3 billion repurchase program announced in February 2022 is continuing</w:t>
      </w:r>
      <w:r w:rsidR="008246A6">
        <w:rPr>
          <w:rFonts w:asciiTheme="minorHAnsi" w:hAnsiTheme="minorHAnsi" w:cstheme="minorBidi"/>
          <w:sz w:val="22"/>
          <w:szCs w:val="22"/>
        </w:rPr>
        <w:t xml:space="preserve"> and currently has approximately $1 billion outstanding</w:t>
      </w:r>
      <w:r w:rsidR="00B8145F">
        <w:rPr>
          <w:rFonts w:asciiTheme="minorHAnsi" w:hAnsiTheme="minorHAnsi" w:cstheme="minorBidi"/>
          <w:sz w:val="22"/>
          <w:szCs w:val="22"/>
        </w:rPr>
        <w:t xml:space="preserve">. </w:t>
      </w:r>
      <w:r>
        <w:br/>
      </w:r>
    </w:p>
    <w:p w14:paraId="066AC28E" w14:textId="1212BA5E" w:rsidR="00D32EA9" w:rsidRPr="007F4180" w:rsidRDefault="00D32EA9" w:rsidP="00081CC8">
      <w:pPr>
        <w:rPr>
          <w:rFonts w:asciiTheme="minorHAnsi" w:hAnsiTheme="minorHAnsi" w:cstheme="minorBidi"/>
          <w:sz w:val="22"/>
          <w:szCs w:val="22"/>
        </w:rPr>
      </w:pPr>
    </w:p>
    <w:p w14:paraId="1A905A2B" w14:textId="77777777" w:rsidR="00D32EA9" w:rsidRDefault="00D32EA9" w:rsidP="00D32EA9">
      <w:pPr>
        <w:shd w:val="clear" w:color="auto" w:fill="FFFFFF"/>
        <w:spacing w:before="100" w:beforeAutospacing="1" w:after="100" w:afterAutospacing="1"/>
        <w:rPr>
          <w:rFonts w:asciiTheme="minorHAnsi" w:hAnsiTheme="minorHAnsi" w:cstheme="minorHAnsi"/>
          <w:b/>
          <w:bCs/>
          <w:color w:val="000000" w:themeColor="text1"/>
          <w:sz w:val="22"/>
          <w:szCs w:val="22"/>
        </w:rPr>
      </w:pPr>
      <w:r w:rsidRPr="00E547E7">
        <w:rPr>
          <w:rFonts w:asciiTheme="minorHAnsi" w:hAnsiTheme="minorHAnsi" w:cstheme="minorHAnsi"/>
          <w:b/>
          <w:bCs/>
          <w:color w:val="000000" w:themeColor="text1"/>
          <w:sz w:val="22"/>
          <w:szCs w:val="22"/>
        </w:rPr>
        <w:t>Corp</w:t>
      </w:r>
      <w:r>
        <w:rPr>
          <w:rFonts w:asciiTheme="minorHAnsi" w:hAnsiTheme="minorHAnsi" w:cstheme="minorHAnsi"/>
          <w:b/>
          <w:bCs/>
          <w:color w:val="000000" w:themeColor="text1"/>
          <w:sz w:val="22"/>
          <w:szCs w:val="22"/>
        </w:rPr>
        <w:t>o</w:t>
      </w:r>
      <w:r w:rsidRPr="00E547E7">
        <w:rPr>
          <w:rFonts w:asciiTheme="minorHAnsi" w:hAnsiTheme="minorHAnsi" w:cstheme="minorHAnsi"/>
          <w:b/>
          <w:bCs/>
          <w:color w:val="000000" w:themeColor="text1"/>
          <w:sz w:val="22"/>
          <w:szCs w:val="22"/>
        </w:rPr>
        <w:t>rate Updates</w:t>
      </w:r>
    </w:p>
    <w:p w14:paraId="052901CB" w14:textId="137FA6B4" w:rsidR="002D31AD" w:rsidRDefault="00D32EA9" w:rsidP="002D31AD">
      <w:pPr>
        <w:numPr>
          <w:ilvl w:val="0"/>
          <w:numId w:val="13"/>
        </w:numPr>
        <w:shd w:val="clear" w:color="auto" w:fill="FFFFFF"/>
        <w:rPr>
          <w:rFonts w:ascii="Calibri" w:hAnsi="Calibri" w:cs="Calibri"/>
          <w:color w:val="000000"/>
          <w:sz w:val="22"/>
          <w:szCs w:val="22"/>
        </w:rPr>
      </w:pPr>
      <w:r w:rsidRPr="00081CC8">
        <w:rPr>
          <w:rFonts w:ascii="Calibri" w:hAnsi="Calibri" w:cs="Calibri"/>
          <w:b/>
          <w:bCs/>
          <w:color w:val="000000"/>
          <w:sz w:val="22"/>
          <w:szCs w:val="22"/>
        </w:rPr>
        <w:t>Continued Growth:</w:t>
      </w:r>
      <w:r w:rsidRPr="00081CC8">
        <w:rPr>
          <w:rFonts w:ascii="Calibri" w:hAnsi="Calibri" w:cs="Calibri"/>
          <w:color w:val="000000"/>
          <w:sz w:val="22"/>
          <w:szCs w:val="22"/>
        </w:rPr>
        <w:t> Moderna ha</w:t>
      </w:r>
      <w:r w:rsidR="005D6AA2">
        <w:rPr>
          <w:rFonts w:ascii="Calibri" w:hAnsi="Calibri" w:cs="Calibri"/>
          <w:color w:val="000000"/>
          <w:sz w:val="22"/>
          <w:szCs w:val="22"/>
        </w:rPr>
        <w:t>d</w:t>
      </w:r>
      <w:r w:rsidRPr="00081CC8">
        <w:rPr>
          <w:rFonts w:ascii="Calibri" w:hAnsi="Calibri" w:cs="Calibri"/>
          <w:color w:val="000000"/>
          <w:sz w:val="22"/>
          <w:szCs w:val="22"/>
        </w:rPr>
        <w:t xml:space="preserve"> approximately </w:t>
      </w:r>
      <w:r w:rsidR="002203F1">
        <w:rPr>
          <w:rFonts w:ascii="Calibri" w:hAnsi="Calibri" w:cs="Calibri"/>
          <w:color w:val="000000"/>
          <w:sz w:val="22"/>
          <w:szCs w:val="22"/>
        </w:rPr>
        <w:t>3</w:t>
      </w:r>
      <w:r w:rsidR="00EB3859">
        <w:rPr>
          <w:rFonts w:ascii="Calibri" w:hAnsi="Calibri" w:cs="Calibri"/>
          <w:color w:val="000000"/>
          <w:sz w:val="22"/>
          <w:szCs w:val="22"/>
        </w:rPr>
        <w:t>,</w:t>
      </w:r>
      <w:r w:rsidR="002203F1">
        <w:rPr>
          <w:rFonts w:ascii="Calibri" w:hAnsi="Calibri" w:cs="Calibri"/>
          <w:color w:val="000000"/>
          <w:sz w:val="22"/>
          <w:szCs w:val="22"/>
        </w:rPr>
        <w:t xml:space="preserve">400 </w:t>
      </w:r>
      <w:r w:rsidRPr="00081CC8">
        <w:rPr>
          <w:rFonts w:ascii="Calibri" w:hAnsi="Calibri" w:cs="Calibri"/>
          <w:color w:val="000000"/>
          <w:sz w:val="22"/>
          <w:szCs w:val="22"/>
        </w:rPr>
        <w:t>employees</w:t>
      </w:r>
      <w:r w:rsidR="002923FE">
        <w:rPr>
          <w:rFonts w:ascii="Calibri" w:hAnsi="Calibri" w:cs="Calibri"/>
          <w:color w:val="000000"/>
          <w:sz w:val="22"/>
          <w:szCs w:val="22"/>
        </w:rPr>
        <w:t xml:space="preserve"> as of June 30, 202</w:t>
      </w:r>
      <w:r w:rsidR="005D6AA2">
        <w:rPr>
          <w:rFonts w:ascii="Calibri" w:hAnsi="Calibri" w:cs="Calibri"/>
          <w:color w:val="000000"/>
          <w:sz w:val="22"/>
          <w:szCs w:val="22"/>
        </w:rPr>
        <w:t>2</w:t>
      </w:r>
      <w:r w:rsidRPr="00081CC8">
        <w:rPr>
          <w:rFonts w:ascii="Calibri" w:hAnsi="Calibri" w:cs="Calibri"/>
          <w:color w:val="000000"/>
          <w:sz w:val="22"/>
          <w:szCs w:val="22"/>
        </w:rPr>
        <w:t>, compared t</w:t>
      </w:r>
      <w:r w:rsidR="002D31AD" w:rsidRPr="00081CC8">
        <w:rPr>
          <w:rFonts w:ascii="Calibri" w:hAnsi="Calibri" w:cs="Calibri"/>
          <w:color w:val="000000"/>
          <w:sz w:val="22"/>
          <w:szCs w:val="22"/>
        </w:rPr>
        <w:t xml:space="preserve">o </w:t>
      </w:r>
      <w:r w:rsidRPr="00081CC8">
        <w:rPr>
          <w:rFonts w:ascii="Calibri" w:hAnsi="Calibri" w:cs="Calibri"/>
          <w:color w:val="000000"/>
          <w:sz w:val="22"/>
          <w:szCs w:val="22"/>
        </w:rPr>
        <w:t>approximately 1,</w:t>
      </w:r>
      <w:r w:rsidR="008471C4" w:rsidRPr="00081CC8">
        <w:rPr>
          <w:rFonts w:ascii="Calibri" w:hAnsi="Calibri" w:cs="Calibri"/>
          <w:color w:val="000000"/>
          <w:sz w:val="22"/>
          <w:szCs w:val="22"/>
        </w:rPr>
        <w:t>8</w:t>
      </w:r>
      <w:r w:rsidRPr="00081CC8">
        <w:rPr>
          <w:rFonts w:ascii="Calibri" w:hAnsi="Calibri" w:cs="Calibri"/>
          <w:color w:val="000000"/>
          <w:sz w:val="22"/>
          <w:szCs w:val="22"/>
        </w:rPr>
        <w:t>00 employees as of </w:t>
      </w:r>
      <w:r w:rsidR="008000B4" w:rsidRPr="00081CC8">
        <w:rPr>
          <w:rFonts w:ascii="Calibri" w:hAnsi="Calibri" w:cs="Calibri"/>
          <w:color w:val="000000"/>
          <w:sz w:val="22"/>
          <w:szCs w:val="22"/>
        </w:rPr>
        <w:t>June</w:t>
      </w:r>
      <w:r w:rsidRPr="00081CC8">
        <w:rPr>
          <w:rFonts w:ascii="Calibri" w:hAnsi="Calibri" w:cs="Calibri"/>
          <w:color w:val="000000"/>
          <w:sz w:val="22"/>
          <w:szCs w:val="22"/>
        </w:rPr>
        <w:t xml:space="preserve"> 3</w:t>
      </w:r>
      <w:r w:rsidR="008000B4" w:rsidRPr="00081CC8">
        <w:rPr>
          <w:rFonts w:ascii="Calibri" w:hAnsi="Calibri" w:cs="Calibri"/>
          <w:color w:val="000000"/>
          <w:sz w:val="22"/>
          <w:szCs w:val="22"/>
        </w:rPr>
        <w:t>0</w:t>
      </w:r>
      <w:r w:rsidRPr="00081CC8">
        <w:rPr>
          <w:rFonts w:ascii="Calibri" w:hAnsi="Calibri" w:cs="Calibri"/>
          <w:color w:val="000000"/>
          <w:sz w:val="22"/>
          <w:szCs w:val="22"/>
        </w:rPr>
        <w:t>, 2021</w:t>
      </w:r>
    </w:p>
    <w:p w14:paraId="3825DBB1" w14:textId="77777777" w:rsidR="00B514FC" w:rsidRDefault="00B514FC" w:rsidP="00525A1B">
      <w:pPr>
        <w:shd w:val="clear" w:color="auto" w:fill="FFFFFF"/>
        <w:ind w:left="720"/>
        <w:rPr>
          <w:rFonts w:ascii="Calibri" w:hAnsi="Calibri" w:cs="Calibri"/>
          <w:color w:val="000000"/>
          <w:sz w:val="22"/>
          <w:szCs w:val="22"/>
        </w:rPr>
      </w:pPr>
    </w:p>
    <w:p w14:paraId="7B1943ED" w14:textId="09B1E72F" w:rsidR="00B514FC" w:rsidRPr="002937AF" w:rsidRDefault="00B514FC" w:rsidP="002D31AD">
      <w:pPr>
        <w:numPr>
          <w:ilvl w:val="0"/>
          <w:numId w:val="13"/>
        </w:numPr>
        <w:shd w:val="clear" w:color="auto" w:fill="FFFFFF"/>
        <w:rPr>
          <w:rFonts w:ascii="Calibri" w:hAnsi="Calibri" w:cs="Calibri"/>
          <w:b/>
          <w:bCs/>
          <w:color w:val="000000"/>
          <w:sz w:val="22"/>
          <w:szCs w:val="22"/>
        </w:rPr>
      </w:pPr>
      <w:r w:rsidRPr="00525A1B">
        <w:rPr>
          <w:rFonts w:ascii="Calibri" w:hAnsi="Calibri" w:cs="Calibri"/>
          <w:b/>
          <w:bCs/>
          <w:color w:val="000000"/>
          <w:sz w:val="22"/>
          <w:szCs w:val="22"/>
        </w:rPr>
        <w:t xml:space="preserve">ESG Report: </w:t>
      </w:r>
      <w:r w:rsidRPr="00525A1B">
        <w:rPr>
          <w:rFonts w:ascii="Calibri" w:hAnsi="Calibri" w:cs="Calibri"/>
          <w:color w:val="000000"/>
          <w:sz w:val="22"/>
          <w:szCs w:val="22"/>
        </w:rPr>
        <w:t xml:space="preserve">Moderna </w:t>
      </w:r>
      <w:hyperlink r:id="rId15" w:history="1">
        <w:r w:rsidRPr="00B514FC">
          <w:rPr>
            <w:rStyle w:val="Hyperlink"/>
            <w:rFonts w:ascii="Calibri" w:hAnsi="Calibri" w:cs="Calibri"/>
            <w:sz w:val="22"/>
            <w:szCs w:val="22"/>
          </w:rPr>
          <w:t>released</w:t>
        </w:r>
      </w:hyperlink>
      <w:r>
        <w:rPr>
          <w:rFonts w:ascii="Calibri" w:hAnsi="Calibri" w:cs="Calibri"/>
          <w:color w:val="000000"/>
          <w:sz w:val="22"/>
          <w:szCs w:val="22"/>
        </w:rPr>
        <w:t xml:space="preserve"> </w:t>
      </w:r>
      <w:r w:rsidRPr="00525A1B">
        <w:rPr>
          <w:rFonts w:ascii="Calibri" w:hAnsi="Calibri" w:cs="Calibri"/>
          <w:color w:val="000000"/>
          <w:sz w:val="22"/>
          <w:szCs w:val="22"/>
        </w:rPr>
        <w:t>its first annual ESG report, highlighting the company’s effort</w:t>
      </w:r>
      <w:r w:rsidR="00E1716B">
        <w:rPr>
          <w:rFonts w:ascii="Calibri" w:hAnsi="Calibri" w:cs="Calibri"/>
          <w:color w:val="000000"/>
          <w:sz w:val="22"/>
          <w:szCs w:val="22"/>
        </w:rPr>
        <w:t>s</w:t>
      </w:r>
      <w:r w:rsidRPr="00525A1B">
        <w:rPr>
          <w:rFonts w:ascii="Calibri" w:hAnsi="Calibri" w:cs="Calibri"/>
          <w:color w:val="000000"/>
          <w:sz w:val="22"/>
          <w:szCs w:val="22"/>
        </w:rPr>
        <w:t xml:space="preserve"> and commitment </w:t>
      </w:r>
      <w:r w:rsidR="00E1716B">
        <w:rPr>
          <w:rFonts w:ascii="Calibri" w:hAnsi="Calibri" w:cs="Calibri"/>
          <w:color w:val="000000"/>
          <w:sz w:val="22"/>
          <w:szCs w:val="22"/>
        </w:rPr>
        <w:t>to the environment, sustainability and governance</w:t>
      </w:r>
    </w:p>
    <w:p w14:paraId="67CF5B71" w14:textId="77777777" w:rsidR="008403A9" w:rsidRDefault="008403A9" w:rsidP="002937AF">
      <w:pPr>
        <w:pStyle w:val="ListParagraph"/>
        <w:rPr>
          <w:rFonts w:ascii="Calibri" w:hAnsi="Calibri" w:cs="Calibri"/>
          <w:b/>
          <w:bCs/>
          <w:color w:val="000000"/>
          <w:sz w:val="22"/>
          <w:szCs w:val="22"/>
        </w:rPr>
      </w:pPr>
    </w:p>
    <w:p w14:paraId="005213D4" w14:textId="555C9B91" w:rsidR="008403A9" w:rsidRPr="002937AF" w:rsidRDefault="008403A9" w:rsidP="008403A9">
      <w:pPr>
        <w:numPr>
          <w:ilvl w:val="0"/>
          <w:numId w:val="13"/>
        </w:numPr>
        <w:shd w:val="clear" w:color="auto" w:fill="FFFFFF"/>
        <w:rPr>
          <w:rFonts w:asciiTheme="minorHAnsi" w:hAnsiTheme="minorHAnsi" w:cstheme="minorBidi"/>
          <w:color w:val="000000" w:themeColor="text1"/>
          <w:sz w:val="22"/>
          <w:szCs w:val="22"/>
        </w:rPr>
      </w:pPr>
      <w:r w:rsidRPr="00081CC8">
        <w:rPr>
          <w:rFonts w:ascii="Calibri" w:hAnsi="Calibri" w:cs="Calibri"/>
          <w:b/>
          <w:bCs/>
          <w:color w:val="000000"/>
          <w:sz w:val="22"/>
          <w:szCs w:val="22"/>
        </w:rPr>
        <w:lastRenderedPageBreak/>
        <w:t>Company Recognition:</w:t>
      </w:r>
      <w:r w:rsidRPr="00081CC8">
        <w:rPr>
          <w:rFonts w:ascii="Calibri" w:hAnsi="Calibri" w:cs="Calibri"/>
          <w:color w:val="000000"/>
          <w:sz w:val="22"/>
          <w:szCs w:val="22"/>
        </w:rPr>
        <w:t xml:space="preserve"> Moderna made its </w:t>
      </w:r>
      <w:hyperlink r:id="rId16" w:history="1">
        <w:r w:rsidRPr="00833097">
          <w:rPr>
            <w:rStyle w:val="Hyperlink"/>
            <w:rFonts w:asciiTheme="minorHAnsi" w:hAnsiTheme="minorHAnsi" w:cstheme="minorBidi"/>
            <w:sz w:val="22"/>
            <w:szCs w:val="22"/>
          </w:rPr>
          <w:t>Fortune 500</w:t>
        </w:r>
      </w:hyperlink>
      <w:r>
        <w:rPr>
          <w:rFonts w:asciiTheme="minorHAnsi" w:hAnsiTheme="minorHAnsi" w:cstheme="minorBidi"/>
          <w:color w:val="000000" w:themeColor="text1"/>
          <w:sz w:val="22"/>
          <w:szCs w:val="22"/>
        </w:rPr>
        <w:t xml:space="preserve"> </w:t>
      </w:r>
      <w:r w:rsidRPr="00081CC8">
        <w:rPr>
          <w:rFonts w:ascii="Calibri" w:hAnsi="Calibri" w:cs="Calibri"/>
          <w:color w:val="000000"/>
          <w:sz w:val="22"/>
          <w:szCs w:val="22"/>
        </w:rPr>
        <w:t>debut</w:t>
      </w:r>
      <w:r>
        <w:rPr>
          <w:rFonts w:ascii="Calibri" w:hAnsi="Calibri" w:cs="Calibri"/>
          <w:color w:val="000000"/>
          <w:sz w:val="22"/>
          <w:szCs w:val="22"/>
        </w:rPr>
        <w:t xml:space="preserve"> and was listed in the </w:t>
      </w:r>
      <w:hyperlink r:id="rId17" w:history="1">
        <w:r w:rsidRPr="00CD5817">
          <w:rPr>
            <w:rStyle w:val="Hyperlink"/>
            <w:rFonts w:ascii="Calibri" w:hAnsi="Calibri" w:cs="Calibri"/>
            <w:sz w:val="22"/>
            <w:szCs w:val="22"/>
          </w:rPr>
          <w:t>Financial Times</w:t>
        </w:r>
      </w:hyperlink>
      <w:r>
        <w:rPr>
          <w:rFonts w:ascii="Calibri" w:hAnsi="Calibri" w:cs="Calibri"/>
          <w:color w:val="000000"/>
          <w:sz w:val="22"/>
          <w:szCs w:val="22"/>
        </w:rPr>
        <w:t xml:space="preserve"> list of the Americas’ Fastest Growing Companies of 2022</w:t>
      </w:r>
    </w:p>
    <w:p w14:paraId="1420DC1B" w14:textId="77777777" w:rsidR="006515CA" w:rsidRDefault="006515CA" w:rsidP="00081CC8">
      <w:pPr>
        <w:shd w:val="clear" w:color="auto" w:fill="FFFFFF"/>
        <w:ind w:left="720"/>
        <w:rPr>
          <w:rFonts w:ascii="Calibri" w:hAnsi="Calibri" w:cs="Calibri"/>
          <w:color w:val="000000"/>
          <w:sz w:val="22"/>
          <w:szCs w:val="22"/>
        </w:rPr>
      </w:pPr>
    </w:p>
    <w:p w14:paraId="73309CA0" w14:textId="4ED22C79" w:rsidR="006515CA" w:rsidRPr="00081CC8" w:rsidRDefault="006515CA" w:rsidP="00081CC8">
      <w:pPr>
        <w:pStyle w:val="ListParagraph"/>
        <w:numPr>
          <w:ilvl w:val="0"/>
          <w:numId w:val="11"/>
        </w:numPr>
      </w:pPr>
      <w:r w:rsidRPr="00081CC8">
        <w:rPr>
          <w:rFonts w:ascii="Calibri" w:hAnsi="Calibri" w:cs="Calibri"/>
          <w:b/>
          <w:bCs/>
          <w:color w:val="000000"/>
          <w:sz w:val="22"/>
          <w:szCs w:val="22"/>
        </w:rPr>
        <w:t>Science &amp; Technology Day:</w:t>
      </w:r>
      <w:r w:rsidRPr="00081CC8">
        <w:rPr>
          <w:rFonts w:ascii="Calibri" w:hAnsi="Calibri" w:cs="Calibri"/>
          <w:color w:val="000000"/>
          <w:sz w:val="22"/>
          <w:szCs w:val="22"/>
        </w:rPr>
        <w:t xml:space="preserve"> Moderna </w:t>
      </w:r>
      <w:hyperlink r:id="rId18" w:history="1">
        <w:r w:rsidRPr="006515CA">
          <w:rPr>
            <w:rStyle w:val="Hyperlink"/>
            <w:rFonts w:ascii="Calibri" w:hAnsi="Calibri" w:cs="Calibri"/>
            <w:sz w:val="22"/>
            <w:szCs w:val="22"/>
          </w:rPr>
          <w:t>hosted</w:t>
        </w:r>
      </w:hyperlink>
      <w:r w:rsidRPr="00081CC8">
        <w:rPr>
          <w:rFonts w:ascii="Calibri" w:hAnsi="Calibri" w:cs="Calibri"/>
          <w:color w:val="000000"/>
          <w:sz w:val="22"/>
          <w:szCs w:val="22"/>
        </w:rPr>
        <w:t xml:space="preserve"> its 5</w:t>
      </w:r>
      <w:r w:rsidRPr="00081CC8">
        <w:rPr>
          <w:rFonts w:ascii="Calibri" w:hAnsi="Calibri" w:cs="Calibri"/>
          <w:color w:val="000000"/>
          <w:sz w:val="22"/>
          <w:szCs w:val="22"/>
          <w:vertAlign w:val="superscript"/>
        </w:rPr>
        <w:t>th</w:t>
      </w:r>
      <w:r w:rsidRPr="00081CC8">
        <w:rPr>
          <w:rFonts w:ascii="Calibri" w:hAnsi="Calibri" w:cs="Calibri"/>
          <w:color w:val="000000"/>
          <w:sz w:val="22"/>
          <w:szCs w:val="22"/>
        </w:rPr>
        <w:t xml:space="preserve"> Science and Technology Day, highlighting advances from its commitment to basic and applied sciences </w:t>
      </w:r>
    </w:p>
    <w:p w14:paraId="1F300759" w14:textId="77777777" w:rsidR="002D31AD" w:rsidRPr="00081CC8" w:rsidRDefault="002D31AD" w:rsidP="00081CC8">
      <w:pPr>
        <w:shd w:val="clear" w:color="auto" w:fill="FFFFFF"/>
        <w:ind w:left="720"/>
        <w:rPr>
          <w:rFonts w:ascii="Calibri" w:hAnsi="Calibri" w:cs="Calibri"/>
          <w:color w:val="000000"/>
          <w:sz w:val="22"/>
          <w:szCs w:val="22"/>
        </w:rPr>
      </w:pPr>
    </w:p>
    <w:p w14:paraId="5CEAD06A" w14:textId="5F91D243" w:rsidR="00833097" w:rsidRPr="00081CC8" w:rsidRDefault="00E1716B" w:rsidP="002D31AD">
      <w:pPr>
        <w:numPr>
          <w:ilvl w:val="0"/>
          <w:numId w:val="13"/>
        </w:numPr>
        <w:shd w:val="clear" w:color="auto" w:fill="FFFFFF"/>
        <w:rPr>
          <w:rFonts w:ascii="Calibri" w:hAnsi="Calibri" w:cs="Calibri"/>
          <w:color w:val="000000"/>
        </w:rPr>
      </w:pPr>
      <w:r w:rsidRPr="00081CC8">
        <w:rPr>
          <w:rFonts w:ascii="Calibri" w:hAnsi="Calibri" w:cs="Calibri"/>
          <w:b/>
          <w:bCs/>
          <w:color w:val="000000"/>
          <w:sz w:val="22"/>
          <w:szCs w:val="22"/>
        </w:rPr>
        <w:t xml:space="preserve">Strategic Partnership with Government of </w:t>
      </w:r>
      <w:r>
        <w:rPr>
          <w:rFonts w:ascii="Calibri" w:hAnsi="Calibri" w:cs="Calibri"/>
          <w:b/>
          <w:bCs/>
          <w:color w:val="000000"/>
          <w:sz w:val="22"/>
          <w:szCs w:val="22"/>
        </w:rPr>
        <w:t>the United Kingdom</w:t>
      </w:r>
      <w:r w:rsidR="002D31AD" w:rsidRPr="00081CC8">
        <w:rPr>
          <w:rFonts w:ascii="Calibri" w:hAnsi="Calibri" w:cs="Calibri"/>
          <w:b/>
          <w:bCs/>
          <w:color w:val="000000"/>
          <w:sz w:val="22"/>
          <w:szCs w:val="22"/>
        </w:rPr>
        <w:t>:</w:t>
      </w:r>
      <w:r w:rsidR="002D31AD" w:rsidRPr="00081CC8">
        <w:rPr>
          <w:rFonts w:ascii="Calibri" w:hAnsi="Calibri" w:cs="Calibri"/>
          <w:color w:val="000000"/>
        </w:rPr>
        <w:t xml:space="preserve"> </w:t>
      </w:r>
      <w:r w:rsidR="002D31AD" w:rsidRPr="00081CC8">
        <w:rPr>
          <w:rFonts w:ascii="Calibri" w:hAnsi="Calibri" w:cs="Calibri"/>
          <w:color w:val="000000"/>
          <w:sz w:val="22"/>
          <w:szCs w:val="22"/>
        </w:rPr>
        <w:t>Moderna and the United Kingdom government</w:t>
      </w:r>
      <w:r w:rsidR="002D31AD" w:rsidRPr="00081CC8">
        <w:rPr>
          <w:rFonts w:ascii="Calibri" w:hAnsi="Calibri" w:cs="Calibri"/>
          <w:color w:val="000000"/>
        </w:rPr>
        <w:t xml:space="preserve"> </w:t>
      </w:r>
      <w:hyperlink r:id="rId19" w:history="1">
        <w:r w:rsidR="00C31CCE" w:rsidRPr="00C31CCE">
          <w:rPr>
            <w:rStyle w:val="Hyperlink"/>
            <w:rFonts w:ascii="Calibri" w:hAnsi="Calibri" w:cs="Calibri"/>
            <w:sz w:val="22"/>
            <w:szCs w:val="22"/>
          </w:rPr>
          <w:t>announced</w:t>
        </w:r>
      </w:hyperlink>
      <w:r w:rsidR="002D31AD" w:rsidRPr="00081CC8">
        <w:rPr>
          <w:rFonts w:ascii="Calibri" w:hAnsi="Calibri" w:cs="Calibri"/>
          <w:color w:val="000000"/>
        </w:rPr>
        <w:t xml:space="preserve"> </w:t>
      </w:r>
      <w:r w:rsidR="002D31AD" w:rsidRPr="00081CC8">
        <w:rPr>
          <w:rFonts w:ascii="Calibri" w:hAnsi="Calibri" w:cs="Calibri"/>
          <w:color w:val="000000"/>
          <w:sz w:val="22"/>
          <w:szCs w:val="22"/>
        </w:rPr>
        <w:t>an agreement in principle to establish an mRNA Innovation and Technology Center in the UK</w:t>
      </w:r>
    </w:p>
    <w:p w14:paraId="026F0DFC" w14:textId="77777777" w:rsidR="00A27A68" w:rsidRPr="00081CC8" w:rsidRDefault="00A27A68" w:rsidP="00081CC8">
      <w:pPr>
        <w:shd w:val="clear" w:color="auto" w:fill="FFFFFF"/>
        <w:ind w:left="720"/>
        <w:rPr>
          <w:rFonts w:ascii="Calibri" w:hAnsi="Calibri" w:cs="Calibri"/>
          <w:color w:val="000000"/>
        </w:rPr>
      </w:pPr>
    </w:p>
    <w:p w14:paraId="3C73B5BC" w14:textId="2A4CB86B" w:rsidR="00A27A68" w:rsidRPr="00081CC8" w:rsidRDefault="00A27A68" w:rsidP="00081CC8">
      <w:pPr>
        <w:pStyle w:val="ListParagraph"/>
        <w:numPr>
          <w:ilvl w:val="0"/>
          <w:numId w:val="11"/>
        </w:numPr>
      </w:pPr>
      <w:r w:rsidRPr="00081CC8">
        <w:rPr>
          <w:rFonts w:ascii="Calibri" w:hAnsi="Calibri" w:cs="Calibri"/>
          <w:b/>
          <w:bCs/>
          <w:color w:val="000000"/>
          <w:sz w:val="22"/>
          <w:szCs w:val="22"/>
        </w:rPr>
        <w:t>Strategic Partnership with Government of Canada:</w:t>
      </w:r>
      <w:r w:rsidRPr="00081CC8">
        <w:rPr>
          <w:rFonts w:ascii="Calibri" w:hAnsi="Calibri" w:cs="Calibri"/>
          <w:color w:val="000000"/>
        </w:rPr>
        <w:t xml:space="preserve"> </w:t>
      </w:r>
      <w:r w:rsidRPr="00081CC8">
        <w:rPr>
          <w:rFonts w:ascii="Calibri" w:hAnsi="Calibri" w:cs="Calibri"/>
          <w:color w:val="000000"/>
          <w:sz w:val="22"/>
          <w:szCs w:val="22"/>
        </w:rPr>
        <w:t xml:space="preserve">Moderna </w:t>
      </w:r>
      <w:hyperlink r:id="rId20" w:history="1">
        <w:r w:rsidRPr="00A27A68">
          <w:rPr>
            <w:rStyle w:val="Hyperlink"/>
            <w:rFonts w:ascii="Calibri" w:hAnsi="Calibri" w:cs="Calibri"/>
            <w:sz w:val="22"/>
            <w:szCs w:val="22"/>
          </w:rPr>
          <w:t>announced</w:t>
        </w:r>
      </w:hyperlink>
      <w:r w:rsidRPr="00081CC8">
        <w:rPr>
          <w:rFonts w:ascii="Calibri" w:hAnsi="Calibri" w:cs="Calibri"/>
          <w:color w:val="000000"/>
          <w:sz w:val="22"/>
          <w:szCs w:val="22"/>
        </w:rPr>
        <w:t xml:space="preserve"> its plan to build a state-of-the-art mRNA vaccine manufacturing facility in Quebec that will support a long-term strategic partnership with the Government of Canada to enhance pandemic preparedness</w:t>
      </w:r>
    </w:p>
    <w:p w14:paraId="3A11FAC4" w14:textId="77777777" w:rsidR="00C670A5" w:rsidRDefault="00C670A5" w:rsidP="00081CC8">
      <w:pPr>
        <w:pStyle w:val="ListParagraph"/>
        <w:rPr>
          <w:rFonts w:ascii="Calibri" w:hAnsi="Calibri" w:cs="Calibri"/>
          <w:color w:val="000000"/>
        </w:rPr>
      </w:pPr>
    </w:p>
    <w:p w14:paraId="2400498A" w14:textId="5F7CDD4C" w:rsidR="00C670A5" w:rsidRPr="00CD5817" w:rsidRDefault="00C670A5" w:rsidP="002D31AD">
      <w:pPr>
        <w:numPr>
          <w:ilvl w:val="0"/>
          <w:numId w:val="13"/>
        </w:numPr>
        <w:shd w:val="clear" w:color="auto" w:fill="FFFFFF"/>
        <w:rPr>
          <w:rFonts w:ascii="Calibri" w:hAnsi="Calibri" w:cs="Calibri"/>
          <w:color w:val="000000"/>
          <w:sz w:val="22"/>
          <w:szCs w:val="22"/>
        </w:rPr>
      </w:pPr>
      <w:r w:rsidRPr="00CD5817">
        <w:rPr>
          <w:rFonts w:ascii="Calibri" w:hAnsi="Calibri" w:cs="Calibri"/>
          <w:b/>
          <w:bCs/>
          <w:color w:val="000000"/>
          <w:sz w:val="22"/>
          <w:szCs w:val="22"/>
        </w:rPr>
        <w:t>Japan Marketing Authorization:</w:t>
      </w:r>
      <w:r w:rsidRPr="00CD5817">
        <w:rPr>
          <w:rFonts w:ascii="Calibri" w:hAnsi="Calibri" w:cs="Calibri"/>
          <w:color w:val="000000"/>
          <w:sz w:val="22"/>
          <w:szCs w:val="22"/>
        </w:rPr>
        <w:t xml:space="preserve"> </w:t>
      </w:r>
      <w:r w:rsidR="005D4BD4" w:rsidRPr="00525A1B">
        <w:rPr>
          <w:rFonts w:ascii="Calibri" w:hAnsi="Calibri" w:cs="Calibri"/>
          <w:color w:val="000000"/>
          <w:sz w:val="22"/>
          <w:szCs w:val="22"/>
        </w:rPr>
        <w:t xml:space="preserve">Moderna </w:t>
      </w:r>
      <w:r w:rsidR="0005479A">
        <w:rPr>
          <w:rFonts w:ascii="Calibri" w:hAnsi="Calibri" w:cs="Calibri"/>
          <w:color w:val="000000"/>
          <w:sz w:val="22"/>
          <w:szCs w:val="22"/>
        </w:rPr>
        <w:t>has</w:t>
      </w:r>
      <w:r w:rsidRPr="00CD5817">
        <w:rPr>
          <w:rFonts w:ascii="Calibri" w:hAnsi="Calibri" w:cs="Calibri"/>
          <w:color w:val="000000"/>
          <w:sz w:val="22"/>
          <w:szCs w:val="22"/>
        </w:rPr>
        <w:t xml:space="preserve"> </w:t>
      </w:r>
      <w:hyperlink r:id="rId21" w:history="1">
        <w:r w:rsidR="00CD5817" w:rsidRPr="00525A1B">
          <w:rPr>
            <w:rStyle w:val="Hyperlink"/>
            <w:rFonts w:ascii="Calibri" w:hAnsi="Calibri" w:cs="Calibri"/>
            <w:sz w:val="22"/>
            <w:szCs w:val="22"/>
          </w:rPr>
          <w:t>become the marketing authorization holder</w:t>
        </w:r>
      </w:hyperlink>
      <w:r w:rsidR="00C31CCE" w:rsidRPr="00CD5817">
        <w:rPr>
          <w:rFonts w:ascii="Calibri" w:hAnsi="Calibri" w:cs="Calibri"/>
          <w:color w:val="000000"/>
          <w:sz w:val="22"/>
          <w:szCs w:val="22"/>
        </w:rPr>
        <w:t xml:space="preserve"> </w:t>
      </w:r>
      <w:r w:rsidR="00CD5817" w:rsidRPr="00525A1B">
        <w:rPr>
          <w:rFonts w:ascii="Calibri" w:hAnsi="Calibri" w:cs="Calibri"/>
          <w:color w:val="000000"/>
          <w:sz w:val="22"/>
          <w:szCs w:val="22"/>
        </w:rPr>
        <w:t>for</w:t>
      </w:r>
      <w:r w:rsidRPr="00CD5817">
        <w:rPr>
          <w:rFonts w:ascii="Calibri" w:hAnsi="Calibri" w:cs="Calibri"/>
          <w:color w:val="000000"/>
          <w:sz w:val="22"/>
          <w:szCs w:val="22"/>
        </w:rPr>
        <w:t xml:space="preserve"> Spikevax</w:t>
      </w:r>
      <w:r w:rsidR="00055913">
        <w:rPr>
          <w:rFonts w:ascii="Calibri" w:hAnsi="Calibri" w:cs="Calibri"/>
          <w:color w:val="000000"/>
          <w:sz w:val="22"/>
          <w:szCs w:val="22"/>
        </w:rPr>
        <w:t>®</w:t>
      </w:r>
      <w:r w:rsidRPr="00CD5817">
        <w:rPr>
          <w:rFonts w:ascii="Calibri" w:hAnsi="Calibri" w:cs="Calibri"/>
          <w:color w:val="000000"/>
          <w:sz w:val="22"/>
          <w:szCs w:val="22"/>
        </w:rPr>
        <w:t xml:space="preserve"> in Japan</w:t>
      </w:r>
      <w:r w:rsidR="0005479A">
        <w:rPr>
          <w:rFonts w:ascii="Calibri" w:hAnsi="Calibri" w:cs="Calibri"/>
          <w:color w:val="000000"/>
          <w:sz w:val="22"/>
          <w:szCs w:val="22"/>
        </w:rPr>
        <w:t>, following a</w:t>
      </w:r>
      <w:r w:rsidR="00CD5817" w:rsidRPr="00525A1B">
        <w:rPr>
          <w:rFonts w:ascii="Calibri" w:hAnsi="Calibri" w:cs="Calibri"/>
          <w:color w:val="000000"/>
          <w:sz w:val="22"/>
          <w:szCs w:val="22"/>
        </w:rPr>
        <w:t xml:space="preserve"> transition f</w:t>
      </w:r>
      <w:r w:rsidRPr="00CD5817">
        <w:rPr>
          <w:rFonts w:ascii="Calibri" w:hAnsi="Calibri" w:cs="Calibri"/>
          <w:color w:val="000000"/>
          <w:sz w:val="22"/>
          <w:szCs w:val="22"/>
        </w:rPr>
        <w:t>rom Takeda</w:t>
      </w:r>
      <w:r w:rsidR="005D4BD4" w:rsidRPr="00525A1B">
        <w:rPr>
          <w:rFonts w:ascii="Calibri" w:hAnsi="Calibri" w:cs="Calibri"/>
          <w:color w:val="000000"/>
          <w:sz w:val="22"/>
          <w:szCs w:val="22"/>
        </w:rPr>
        <w:t>. Moderna continues to grow its footprint in Japan</w:t>
      </w:r>
    </w:p>
    <w:p w14:paraId="2594C564" w14:textId="77777777" w:rsidR="00571C5C" w:rsidRDefault="00571C5C" w:rsidP="00081CC8">
      <w:pPr>
        <w:pStyle w:val="ListParagraph"/>
        <w:rPr>
          <w:rFonts w:ascii="Calibri" w:hAnsi="Calibri" w:cs="Calibri"/>
          <w:color w:val="000000"/>
          <w:sz w:val="22"/>
          <w:szCs w:val="22"/>
        </w:rPr>
      </w:pPr>
    </w:p>
    <w:p w14:paraId="53DE0108" w14:textId="186D0EA0" w:rsidR="00C50B38" w:rsidRPr="00E6680C" w:rsidRDefault="00571C5C" w:rsidP="00081CC8">
      <w:pPr>
        <w:pStyle w:val="ListParagraph"/>
        <w:numPr>
          <w:ilvl w:val="0"/>
          <w:numId w:val="13"/>
        </w:numPr>
      </w:pPr>
      <w:r w:rsidRPr="00571C5C">
        <w:rPr>
          <w:rFonts w:ascii="Calibri" w:hAnsi="Calibri" w:cs="Calibri"/>
          <w:b/>
          <w:bCs/>
          <w:color w:val="000000"/>
          <w:sz w:val="22"/>
          <w:szCs w:val="22"/>
        </w:rPr>
        <w:t xml:space="preserve">Moderna &amp; IAVI Partner on Global Health: </w:t>
      </w:r>
      <w:r w:rsidRPr="00571C5C">
        <w:rPr>
          <w:rFonts w:ascii="Calibri" w:hAnsi="Calibri" w:cs="Calibri"/>
          <w:color w:val="000000"/>
          <w:sz w:val="22"/>
          <w:szCs w:val="22"/>
        </w:rPr>
        <w:t>Moderna and nonprofit scientific research organization IAVI</w:t>
      </w:r>
      <w:r w:rsidR="00A27A68">
        <w:rPr>
          <w:rFonts w:ascii="Calibri" w:hAnsi="Calibri" w:cs="Calibri"/>
          <w:color w:val="000000"/>
          <w:sz w:val="22"/>
          <w:szCs w:val="22"/>
        </w:rPr>
        <w:t xml:space="preserve"> </w:t>
      </w:r>
      <w:hyperlink r:id="rId22" w:history="1">
        <w:r w:rsidR="00A27A68" w:rsidRPr="00A27A68">
          <w:rPr>
            <w:rStyle w:val="Hyperlink"/>
            <w:rFonts w:ascii="Calibri" w:hAnsi="Calibri" w:cs="Calibri"/>
            <w:sz w:val="22"/>
            <w:szCs w:val="22"/>
          </w:rPr>
          <w:t>announced</w:t>
        </w:r>
      </w:hyperlink>
      <w:r w:rsidRPr="00571C5C">
        <w:rPr>
          <w:rFonts w:ascii="Calibri" w:hAnsi="Calibri" w:cs="Calibri"/>
          <w:color w:val="000000"/>
          <w:sz w:val="22"/>
          <w:szCs w:val="22"/>
        </w:rPr>
        <w:t xml:space="preserve"> a new collaboration to employ mRNA technology to meet the challenge of a range of global health threats</w:t>
      </w:r>
      <w:r w:rsidR="00A27A68">
        <w:rPr>
          <w:rFonts w:ascii="Calibri" w:hAnsi="Calibri" w:cs="Calibri"/>
          <w:color w:val="000000"/>
          <w:sz w:val="22"/>
          <w:szCs w:val="22"/>
        </w:rPr>
        <w:t xml:space="preserve">; Moderna and IAVI subsequently </w:t>
      </w:r>
      <w:hyperlink r:id="rId23" w:history="1">
        <w:r w:rsidR="00A73F5C" w:rsidRPr="00A27A68">
          <w:rPr>
            <w:rStyle w:val="Hyperlink"/>
            <w:rFonts w:ascii="Calibri" w:hAnsi="Calibri" w:cs="Calibri"/>
            <w:sz w:val="22"/>
            <w:szCs w:val="22"/>
          </w:rPr>
          <w:t>launched</w:t>
        </w:r>
      </w:hyperlink>
      <w:r w:rsidR="00EA2326" w:rsidRPr="00081CC8">
        <w:rPr>
          <w:rFonts w:ascii="Calibri" w:hAnsi="Calibri" w:cs="Calibri"/>
          <w:color w:val="000000"/>
          <w:sz w:val="22"/>
          <w:szCs w:val="22"/>
        </w:rPr>
        <w:t xml:space="preserve"> </w:t>
      </w:r>
      <w:r w:rsidR="00A27A68">
        <w:rPr>
          <w:rFonts w:ascii="Calibri" w:hAnsi="Calibri" w:cs="Calibri"/>
          <w:color w:val="000000"/>
          <w:sz w:val="22"/>
          <w:szCs w:val="22"/>
        </w:rPr>
        <w:t>a f</w:t>
      </w:r>
      <w:r w:rsidR="00EA2326" w:rsidRPr="00081CC8">
        <w:rPr>
          <w:rFonts w:ascii="Calibri" w:hAnsi="Calibri" w:cs="Calibri"/>
          <w:color w:val="000000"/>
          <w:sz w:val="22"/>
          <w:szCs w:val="22"/>
        </w:rPr>
        <w:t>irst-in-Africa clinical trial of mRNA HIV vaccine development program</w:t>
      </w:r>
      <w:r w:rsidR="0021311E">
        <w:rPr>
          <w:rFonts w:ascii="Calibri" w:hAnsi="Calibri" w:cs="Calibri"/>
          <w:color w:val="000000"/>
          <w:sz w:val="22"/>
          <w:szCs w:val="22"/>
        </w:rPr>
        <w:t xml:space="preserve"> </w:t>
      </w:r>
      <w:r w:rsidR="0021311E" w:rsidRPr="002937AF">
        <w:rPr>
          <w:rFonts w:ascii="Calibri" w:hAnsi="Calibri" w:cs="Calibri"/>
          <w:b/>
          <w:bCs/>
          <w:color w:val="000000"/>
          <w:sz w:val="22"/>
          <w:szCs w:val="22"/>
        </w:rPr>
        <w:t>(mRNA-1644)</w:t>
      </w:r>
    </w:p>
    <w:p w14:paraId="2CF8DB81" w14:textId="77777777" w:rsidR="008E56C4" w:rsidRPr="002B4A0F" w:rsidRDefault="008E56C4" w:rsidP="008E56C4">
      <w:pPr>
        <w:shd w:val="clear" w:color="auto" w:fill="FFFFFF"/>
        <w:spacing w:before="100" w:beforeAutospacing="1" w:after="100" w:afterAutospacing="1"/>
        <w:rPr>
          <w:rFonts w:asciiTheme="minorHAnsi" w:hAnsiTheme="minorHAnsi" w:cstheme="minorHAnsi"/>
          <w:b/>
          <w:bCs/>
          <w:color w:val="000000" w:themeColor="text1"/>
          <w:sz w:val="22"/>
          <w:szCs w:val="22"/>
        </w:rPr>
      </w:pPr>
      <w:r w:rsidRPr="007B2D05">
        <w:rPr>
          <w:rFonts w:asciiTheme="minorHAnsi" w:hAnsiTheme="minorHAnsi" w:cstheme="minorHAnsi"/>
          <w:b/>
          <w:bCs/>
          <w:color w:val="000000" w:themeColor="text1"/>
          <w:sz w:val="22"/>
          <w:szCs w:val="22"/>
        </w:rPr>
        <w:t>Key 2022 Investor and Analyst Event Dates</w:t>
      </w:r>
    </w:p>
    <w:p w14:paraId="2658A6C3" w14:textId="77777777" w:rsidR="008E56C4" w:rsidRDefault="008E56C4" w:rsidP="00E83FF2">
      <w:pPr>
        <w:pStyle w:val="ListParagraph"/>
        <w:numPr>
          <w:ilvl w:val="0"/>
          <w:numId w:val="12"/>
        </w:numPr>
        <w:shd w:val="clear" w:color="auto" w:fill="FFFFFF"/>
        <w:spacing w:before="100" w:beforeAutospacing="1" w:after="100" w:afterAutospacing="1"/>
        <w:rPr>
          <w:rFonts w:asciiTheme="minorHAnsi" w:hAnsiTheme="minorHAnsi" w:cstheme="minorHAnsi"/>
          <w:color w:val="000000" w:themeColor="text1"/>
          <w:sz w:val="22"/>
          <w:szCs w:val="22"/>
        </w:rPr>
      </w:pPr>
      <w:r w:rsidRPr="002B4A0F">
        <w:rPr>
          <w:rFonts w:asciiTheme="minorHAnsi" w:hAnsiTheme="minorHAnsi" w:cstheme="minorHAnsi"/>
          <w:color w:val="000000" w:themeColor="text1"/>
          <w:sz w:val="22"/>
          <w:szCs w:val="22"/>
        </w:rPr>
        <w:t xml:space="preserve">R&amp;D Day: September </w:t>
      </w:r>
      <w:r>
        <w:rPr>
          <w:rFonts w:asciiTheme="minorHAnsi" w:hAnsiTheme="minorHAnsi" w:cstheme="minorHAnsi"/>
          <w:color w:val="000000" w:themeColor="text1"/>
          <w:sz w:val="22"/>
          <w:szCs w:val="22"/>
        </w:rPr>
        <w:t>8</w:t>
      </w:r>
    </w:p>
    <w:p w14:paraId="6A129822" w14:textId="2C5398A4" w:rsidR="7FCC71DE" w:rsidRPr="00795A65" w:rsidRDefault="008E56C4" w:rsidP="00E83FF2">
      <w:pPr>
        <w:pStyle w:val="ListParagraph"/>
        <w:numPr>
          <w:ilvl w:val="0"/>
          <w:numId w:val="12"/>
        </w:numPr>
        <w:shd w:val="clear" w:color="auto" w:fill="FFFFFF"/>
        <w:spacing w:before="100" w:beforeAutospacing="1" w:after="100" w:afterAutospacing="1"/>
        <w:rPr>
          <w:rFonts w:asciiTheme="minorHAnsi" w:hAnsiTheme="minorHAnsi" w:cstheme="minorBidi"/>
          <w:color w:val="000000" w:themeColor="text1"/>
          <w:sz w:val="22"/>
          <w:szCs w:val="22"/>
        </w:rPr>
      </w:pPr>
      <w:r w:rsidRPr="287B4302">
        <w:rPr>
          <w:rFonts w:asciiTheme="minorHAnsi" w:hAnsiTheme="minorHAnsi" w:cstheme="minorBidi"/>
          <w:color w:val="000000" w:themeColor="text1"/>
          <w:sz w:val="22"/>
          <w:szCs w:val="22"/>
        </w:rPr>
        <w:t>ESG Day: November 10</w:t>
      </w:r>
    </w:p>
    <w:p w14:paraId="04F73149" w14:textId="73DBA1EF" w:rsidR="00697537" w:rsidRPr="00E26E7C" w:rsidRDefault="00697537" w:rsidP="00697537">
      <w:pPr>
        <w:shd w:val="clear" w:color="auto" w:fill="FFFFFF"/>
        <w:spacing w:before="100" w:beforeAutospacing="1" w:after="100" w:afterAutospacing="1"/>
        <w:rPr>
          <w:rFonts w:asciiTheme="minorHAnsi" w:hAnsiTheme="minorHAnsi" w:cstheme="minorHAnsi"/>
          <w:b/>
          <w:bCs/>
          <w:color w:val="000000" w:themeColor="text1"/>
          <w:sz w:val="22"/>
          <w:szCs w:val="22"/>
        </w:rPr>
      </w:pPr>
      <w:r w:rsidRPr="00E26E7C">
        <w:rPr>
          <w:rFonts w:asciiTheme="minorHAnsi" w:hAnsiTheme="minorHAnsi" w:cstheme="minorHAnsi"/>
          <w:b/>
          <w:bCs/>
          <w:color w:val="000000" w:themeColor="text1"/>
          <w:sz w:val="22"/>
          <w:szCs w:val="22"/>
        </w:rPr>
        <w:t>Investor Call and Webcast Information</w:t>
      </w:r>
    </w:p>
    <w:p w14:paraId="7A509691" w14:textId="2CCFE5D0" w:rsidR="0061675D" w:rsidRDefault="00B041DE" w:rsidP="007772AE">
      <w:pPr>
        <w:shd w:val="clear" w:color="auto" w:fill="FFFFFF"/>
        <w:spacing w:before="100" w:beforeAutospacing="1" w:after="100" w:afterAutospacing="1"/>
        <w:rPr>
          <w:rFonts w:asciiTheme="minorHAnsi" w:hAnsiTheme="minorHAnsi" w:cstheme="minorBidi"/>
          <w:color w:val="000000" w:themeColor="text1"/>
          <w:sz w:val="22"/>
          <w:szCs w:val="22"/>
        </w:rPr>
      </w:pPr>
      <w:r w:rsidRPr="60E41E49">
        <w:rPr>
          <w:rFonts w:asciiTheme="minorHAnsi" w:hAnsiTheme="minorHAnsi" w:cstheme="minorBidi"/>
          <w:color w:val="000000" w:themeColor="text1"/>
          <w:sz w:val="22"/>
          <w:szCs w:val="22"/>
        </w:rPr>
        <w:t xml:space="preserve">Moderna will host a live conference call and webcast at 8:00 a.m. ET on </w:t>
      </w:r>
      <w:r w:rsidR="00150DD1" w:rsidRPr="60E41E49">
        <w:rPr>
          <w:rFonts w:asciiTheme="minorHAnsi" w:hAnsiTheme="minorHAnsi" w:cstheme="minorBidi"/>
          <w:color w:val="000000" w:themeColor="text1"/>
          <w:sz w:val="22"/>
          <w:szCs w:val="22"/>
        </w:rPr>
        <w:t>Wednesday</w:t>
      </w:r>
      <w:r w:rsidR="00612739" w:rsidRPr="60E41E49">
        <w:rPr>
          <w:rFonts w:asciiTheme="minorHAnsi" w:hAnsiTheme="minorHAnsi" w:cstheme="minorBidi"/>
          <w:color w:val="000000" w:themeColor="text1"/>
          <w:sz w:val="22"/>
          <w:szCs w:val="22"/>
        </w:rPr>
        <w:t xml:space="preserve">, </w:t>
      </w:r>
      <w:r w:rsidR="0061675D">
        <w:rPr>
          <w:rFonts w:asciiTheme="minorHAnsi" w:hAnsiTheme="minorHAnsi" w:cstheme="minorBidi"/>
          <w:color w:val="000000" w:themeColor="text1"/>
          <w:sz w:val="22"/>
          <w:szCs w:val="22"/>
        </w:rPr>
        <w:t>August 3</w:t>
      </w:r>
      <w:r w:rsidRPr="60E41E49">
        <w:rPr>
          <w:rFonts w:asciiTheme="minorHAnsi" w:hAnsiTheme="minorHAnsi" w:cstheme="minorBidi"/>
          <w:color w:val="000000" w:themeColor="text1"/>
          <w:sz w:val="22"/>
          <w:szCs w:val="22"/>
        </w:rPr>
        <w:t>, 202</w:t>
      </w:r>
      <w:r w:rsidR="00612739" w:rsidRPr="60E41E49">
        <w:rPr>
          <w:rFonts w:asciiTheme="minorHAnsi" w:hAnsiTheme="minorHAnsi" w:cstheme="minorBidi"/>
          <w:color w:val="000000" w:themeColor="text1"/>
          <w:sz w:val="22"/>
          <w:szCs w:val="22"/>
        </w:rPr>
        <w:t>2</w:t>
      </w:r>
      <w:r w:rsidRPr="60E41E49">
        <w:rPr>
          <w:rFonts w:asciiTheme="minorHAnsi" w:hAnsiTheme="minorHAnsi" w:cstheme="minorBidi"/>
          <w:color w:val="000000" w:themeColor="text1"/>
          <w:sz w:val="22"/>
          <w:szCs w:val="22"/>
        </w:rPr>
        <w:t xml:space="preserve">. </w:t>
      </w:r>
    </w:p>
    <w:p w14:paraId="14C45E29" w14:textId="77777777" w:rsidR="0061675D" w:rsidRPr="00633817" w:rsidRDefault="0061675D" w:rsidP="0061675D">
      <w:pPr>
        <w:pStyle w:val="NormalWeb"/>
        <w:rPr>
          <w:rFonts w:asciiTheme="minorHAnsi" w:hAnsiTheme="minorHAnsi" w:cstheme="minorBidi"/>
          <w:sz w:val="22"/>
          <w:szCs w:val="22"/>
        </w:rPr>
      </w:pPr>
      <w:r w:rsidRPr="00525A1B">
        <w:rPr>
          <w:rFonts w:asciiTheme="minorHAnsi" w:hAnsiTheme="minorHAnsi" w:cstheme="minorBidi"/>
          <w:color w:val="000000" w:themeColor="text1"/>
          <w:sz w:val="22"/>
          <w:szCs w:val="22"/>
        </w:rPr>
        <w:t>To access the live conference call via telephone, please register at the link below. Once registered, dial-in numbers and a unique pin number will be provided</w:t>
      </w:r>
      <w:r w:rsidRPr="00633817">
        <w:rPr>
          <w:rFonts w:asciiTheme="minorHAnsi" w:hAnsiTheme="minorHAnsi" w:cstheme="minorBidi"/>
          <w:sz w:val="22"/>
          <w:szCs w:val="22"/>
        </w:rPr>
        <w:t>. A live webcast of the call will also be available under "Events and Presentations" in the Investors section of the Moderna website.</w:t>
      </w:r>
    </w:p>
    <w:p w14:paraId="4C5CFF7F" w14:textId="77777777" w:rsidR="0061675D" w:rsidRPr="00633817" w:rsidRDefault="0061675D" w:rsidP="0061675D">
      <w:pPr>
        <w:numPr>
          <w:ilvl w:val="0"/>
          <w:numId w:val="31"/>
        </w:numPr>
        <w:spacing w:beforeAutospacing="1" w:afterAutospacing="1"/>
        <w:rPr>
          <w:rFonts w:asciiTheme="minorHAnsi" w:hAnsiTheme="minorHAnsi" w:cstheme="minorHAnsi"/>
          <w:sz w:val="22"/>
          <w:szCs w:val="22"/>
        </w:rPr>
      </w:pPr>
      <w:r w:rsidRPr="00633817">
        <w:rPr>
          <w:rStyle w:val="Strong"/>
          <w:rFonts w:asciiTheme="minorHAnsi" w:hAnsiTheme="minorHAnsi" w:cstheme="minorHAnsi"/>
          <w:sz w:val="22"/>
          <w:szCs w:val="22"/>
          <w:bdr w:val="none" w:sz="0" w:space="0" w:color="auto" w:frame="1"/>
        </w:rPr>
        <w:t>Telephone:</w:t>
      </w:r>
      <w:r w:rsidRPr="00633817">
        <w:rPr>
          <w:rStyle w:val="Strong"/>
          <w:rFonts w:asciiTheme="minorHAnsi" w:hAnsiTheme="minorHAnsi" w:cstheme="minorHAnsi" w:hint="eastAsia"/>
          <w:sz w:val="22"/>
          <w:szCs w:val="22"/>
          <w:bdr w:val="none" w:sz="0" w:space="0" w:color="auto" w:frame="1"/>
        </w:rPr>
        <w:t> </w:t>
      </w:r>
      <w:hyperlink r:id="rId24" w:history="1">
        <w:r w:rsidRPr="00633817">
          <w:rPr>
            <w:rStyle w:val="Hyperlink"/>
            <w:rFonts w:asciiTheme="minorHAnsi" w:hAnsiTheme="minorHAnsi" w:cstheme="minorHAnsi"/>
            <w:color w:val="auto"/>
            <w:sz w:val="22"/>
            <w:szCs w:val="22"/>
          </w:rPr>
          <w:t>https://register.vevent.com/register/BI56aa5dacc77e41ebbba622851ac67f30</w:t>
        </w:r>
      </w:hyperlink>
    </w:p>
    <w:p w14:paraId="26C2809D" w14:textId="77777777" w:rsidR="0061675D" w:rsidRPr="00633817" w:rsidRDefault="0061675D" w:rsidP="0061675D">
      <w:pPr>
        <w:numPr>
          <w:ilvl w:val="0"/>
          <w:numId w:val="31"/>
        </w:numPr>
        <w:spacing w:beforeAutospacing="1" w:afterAutospacing="1"/>
        <w:rPr>
          <w:rFonts w:asciiTheme="minorHAnsi" w:hAnsiTheme="minorHAnsi" w:cstheme="minorHAnsi"/>
          <w:sz w:val="22"/>
          <w:szCs w:val="22"/>
        </w:rPr>
      </w:pPr>
      <w:r w:rsidRPr="00633817">
        <w:rPr>
          <w:rStyle w:val="Strong"/>
          <w:rFonts w:asciiTheme="minorHAnsi" w:hAnsiTheme="minorHAnsi" w:cstheme="minorHAnsi"/>
          <w:sz w:val="22"/>
          <w:szCs w:val="22"/>
          <w:bdr w:val="none" w:sz="0" w:space="0" w:color="auto" w:frame="1"/>
        </w:rPr>
        <w:t>Webcast:</w:t>
      </w:r>
      <w:r w:rsidRPr="00633817">
        <w:rPr>
          <w:rFonts w:asciiTheme="minorHAnsi" w:hAnsiTheme="minorHAnsi" w:cstheme="minorHAnsi"/>
          <w:sz w:val="22"/>
          <w:szCs w:val="22"/>
        </w:rPr>
        <w:t> </w:t>
      </w:r>
      <w:hyperlink r:id="rId25" w:history="1">
        <w:r w:rsidRPr="00633817">
          <w:rPr>
            <w:rStyle w:val="Hyperlink"/>
            <w:rFonts w:asciiTheme="minorHAnsi" w:hAnsiTheme="minorHAnsi" w:cstheme="minorHAnsi"/>
            <w:color w:val="auto"/>
            <w:sz w:val="22"/>
            <w:szCs w:val="22"/>
          </w:rPr>
          <w:t>https://investors.modernatx.com</w:t>
        </w:r>
      </w:hyperlink>
    </w:p>
    <w:p w14:paraId="0D5E04AA" w14:textId="51E7F7D2" w:rsidR="0061675D" w:rsidRPr="007772AE" w:rsidRDefault="0061675D" w:rsidP="007772AE">
      <w:pPr>
        <w:shd w:val="clear" w:color="auto" w:fill="FFFFFF"/>
        <w:spacing w:before="100" w:beforeAutospacing="1" w:after="100" w:afterAutospacing="1"/>
        <w:rPr>
          <w:rFonts w:asciiTheme="minorHAnsi" w:hAnsiTheme="minorHAnsi" w:cstheme="minorHAnsi"/>
          <w:color w:val="000000" w:themeColor="text1"/>
          <w:sz w:val="22"/>
          <w:szCs w:val="22"/>
        </w:rPr>
      </w:pPr>
      <w:r w:rsidRPr="00633817">
        <w:rPr>
          <w:rFonts w:asciiTheme="minorHAnsi" w:hAnsiTheme="minorHAnsi" w:cstheme="minorBidi"/>
          <w:sz w:val="22"/>
          <w:szCs w:val="22"/>
        </w:rPr>
        <w:t xml:space="preserve">The archived webcast will be available on Moderna's </w:t>
      </w:r>
      <w:r w:rsidRPr="00525A1B">
        <w:rPr>
          <w:rFonts w:asciiTheme="minorHAnsi" w:hAnsiTheme="minorHAnsi" w:cstheme="minorBidi"/>
          <w:color w:val="000000" w:themeColor="text1"/>
          <w:sz w:val="22"/>
          <w:szCs w:val="22"/>
        </w:rPr>
        <w:t>website approximately two hours after the conference call and will be available for one year following the call.</w:t>
      </w:r>
    </w:p>
    <w:p w14:paraId="750E3633" w14:textId="1BFAD057" w:rsidR="00590A00" w:rsidRPr="00E547E7" w:rsidRDefault="00DB73EF">
      <w:pPr>
        <w:rPr>
          <w:rFonts w:asciiTheme="minorHAnsi" w:hAnsiTheme="minorHAnsi" w:cstheme="minorBidi"/>
          <w:b/>
          <w:sz w:val="22"/>
          <w:szCs w:val="22"/>
        </w:rPr>
      </w:pPr>
      <w:r w:rsidRPr="68A219E3">
        <w:rPr>
          <w:rFonts w:asciiTheme="minorHAnsi" w:hAnsiTheme="minorHAnsi" w:cstheme="minorBidi"/>
          <w:b/>
          <w:sz w:val="22"/>
          <w:szCs w:val="22"/>
        </w:rPr>
        <w:t>About Moderna</w:t>
      </w:r>
    </w:p>
    <w:p w14:paraId="5E66C53B" w14:textId="27A9407A" w:rsidR="00C8017D" w:rsidRPr="00E547E7" w:rsidRDefault="00C8017D">
      <w:pPr>
        <w:rPr>
          <w:rFonts w:asciiTheme="minorHAnsi" w:hAnsiTheme="minorHAnsi" w:cstheme="minorHAnsi"/>
          <w:b/>
          <w:bCs/>
          <w:sz w:val="22"/>
          <w:szCs w:val="22"/>
        </w:rPr>
      </w:pPr>
    </w:p>
    <w:p w14:paraId="5C9BB164" w14:textId="0C5DFAB2" w:rsidR="00C8017D" w:rsidRPr="00C94190" w:rsidRDefault="00C8017D" w:rsidP="00C8017D">
      <w:pPr>
        <w:rPr>
          <w:rFonts w:asciiTheme="minorHAnsi" w:eastAsia="Calibri" w:hAnsiTheme="minorHAnsi" w:cstheme="minorBidi"/>
          <w:sz w:val="22"/>
          <w:szCs w:val="22"/>
        </w:rPr>
      </w:pPr>
      <w:r w:rsidRPr="00C94190">
        <w:rPr>
          <w:rFonts w:asciiTheme="minorHAnsi" w:eastAsia="Calibri" w:hAnsiTheme="minorHAnsi" w:cstheme="minorBidi"/>
          <w:sz w:val="22"/>
          <w:szCs w:val="22"/>
        </w:rPr>
        <w:t xml:space="preserve">In </w:t>
      </w:r>
      <w:r w:rsidR="0003066A" w:rsidRPr="00C94190">
        <w:rPr>
          <w:rFonts w:asciiTheme="minorHAnsi" w:eastAsia="Calibri" w:hAnsiTheme="minorHAnsi" w:cstheme="minorBidi"/>
          <w:sz w:val="22"/>
          <w:szCs w:val="22"/>
        </w:rPr>
        <w:t xml:space="preserve">over </w:t>
      </w:r>
      <w:r w:rsidRPr="00C94190">
        <w:rPr>
          <w:rFonts w:asciiTheme="minorHAnsi" w:eastAsia="Calibri" w:hAnsiTheme="minorHAnsi" w:cstheme="minorBidi"/>
          <w:sz w:val="22"/>
          <w:szCs w:val="22"/>
        </w:rPr>
        <w:t xml:space="preserve">10 years since its inception, Moderna has transformed from a research-stage company advancing programs in the field of messenger RNA (mRNA), to an enterprise with a diverse clinical portfolio of vaccines and therapeutics across </w:t>
      </w:r>
      <w:r w:rsidR="0003066A" w:rsidRPr="00C94190">
        <w:rPr>
          <w:rFonts w:asciiTheme="minorHAnsi" w:eastAsia="Calibri" w:hAnsiTheme="minorHAnsi" w:cstheme="minorBidi"/>
          <w:sz w:val="22"/>
          <w:szCs w:val="22"/>
        </w:rPr>
        <w:t xml:space="preserve">seven </w:t>
      </w:r>
      <w:r w:rsidRPr="00C94190">
        <w:rPr>
          <w:rFonts w:asciiTheme="minorHAnsi" w:eastAsia="Calibri" w:hAnsiTheme="minorHAnsi" w:cstheme="minorBidi"/>
          <w:sz w:val="22"/>
          <w:szCs w:val="22"/>
        </w:rPr>
        <w:t xml:space="preserve">modalities, a broad intellectual property portfolio in areas including mRNA and lipid nanoparticle formulation, and an integrated manufacturing plant that allows for </w:t>
      </w:r>
      <w:r w:rsidR="0003066A" w:rsidRPr="00C94190">
        <w:rPr>
          <w:rFonts w:asciiTheme="minorHAnsi" w:eastAsia="Calibri" w:hAnsiTheme="minorHAnsi" w:cstheme="minorBidi"/>
          <w:sz w:val="22"/>
          <w:szCs w:val="22"/>
        </w:rPr>
        <w:t xml:space="preserve">rapid </w:t>
      </w:r>
      <w:r w:rsidRPr="00C94190">
        <w:rPr>
          <w:rFonts w:asciiTheme="minorHAnsi" w:eastAsia="Calibri" w:hAnsiTheme="minorHAnsi" w:cstheme="minorBidi"/>
          <w:sz w:val="22"/>
          <w:szCs w:val="22"/>
        </w:rPr>
        <w:t>clinical and commercial production at scale</w:t>
      </w:r>
      <w:r w:rsidR="0003066A" w:rsidRPr="00C94190">
        <w:rPr>
          <w:rFonts w:asciiTheme="minorHAnsi" w:eastAsia="Calibri" w:hAnsiTheme="minorHAnsi" w:cstheme="minorBidi"/>
          <w:sz w:val="22"/>
          <w:szCs w:val="22"/>
        </w:rPr>
        <w:t>.</w:t>
      </w:r>
      <w:r w:rsidRPr="00C94190">
        <w:rPr>
          <w:rFonts w:asciiTheme="minorHAnsi" w:eastAsia="Calibri" w:hAnsiTheme="minorHAnsi" w:cstheme="minorBidi"/>
          <w:sz w:val="22"/>
          <w:szCs w:val="22"/>
        </w:rPr>
        <w:t xml:space="preserve"> Moderna maintains alliances with a broad range of domestic and overseas government and commercial collaborators, which has allowed for the pursuit of both groundbreaking science and rapid scaling of manufacturing. Most recently, Moderna’s capabilities have come together to allow the authorized use </w:t>
      </w:r>
      <w:r w:rsidR="0003066A" w:rsidRPr="00C94190">
        <w:rPr>
          <w:rFonts w:asciiTheme="minorHAnsi" w:eastAsia="Calibri" w:hAnsiTheme="minorHAnsi" w:cstheme="minorBidi"/>
          <w:sz w:val="22"/>
          <w:szCs w:val="22"/>
        </w:rPr>
        <w:t xml:space="preserve">and </w:t>
      </w:r>
      <w:r w:rsidR="0003066A" w:rsidRPr="00C94190">
        <w:rPr>
          <w:rFonts w:asciiTheme="minorHAnsi" w:eastAsia="Calibri" w:hAnsiTheme="minorHAnsi" w:cstheme="minorBidi"/>
          <w:sz w:val="22"/>
          <w:szCs w:val="22"/>
        </w:rPr>
        <w:lastRenderedPageBreak/>
        <w:t xml:space="preserve">approval </w:t>
      </w:r>
      <w:r w:rsidRPr="00C94190">
        <w:rPr>
          <w:rFonts w:asciiTheme="minorHAnsi" w:eastAsia="Calibri" w:hAnsiTheme="minorHAnsi" w:cstheme="minorBidi"/>
          <w:sz w:val="22"/>
          <w:szCs w:val="22"/>
        </w:rPr>
        <w:t>of one of the earliest and most effective vaccines against the COVID pandemic.</w:t>
      </w:r>
      <w:r w:rsidRPr="00C94190">
        <w:rPr>
          <w:rFonts w:asciiTheme="minorHAnsi" w:eastAsia="Calibri" w:hAnsiTheme="minorHAnsi" w:cstheme="minorBidi"/>
          <w:sz w:val="22"/>
          <w:szCs w:val="22"/>
        </w:rPr>
        <w:br/>
      </w:r>
    </w:p>
    <w:p w14:paraId="339C79F0" w14:textId="4D5F1140" w:rsidR="00DB73EF" w:rsidRPr="00E547E7" w:rsidRDefault="00C8017D" w:rsidP="004C0A84">
      <w:pPr>
        <w:spacing w:line="288" w:lineRule="auto"/>
        <w:rPr>
          <w:rFonts w:asciiTheme="minorHAnsi" w:hAnsiTheme="minorHAnsi" w:cstheme="minorHAnsi"/>
          <w:sz w:val="22"/>
          <w:szCs w:val="22"/>
        </w:rPr>
        <w:sectPr w:rsidR="00DB73EF" w:rsidRPr="00E547E7" w:rsidSect="00DB73EF">
          <w:headerReference w:type="default" r:id="rId26"/>
          <w:footerReference w:type="default" r:id="rId27"/>
          <w:headerReference w:type="first" r:id="rId28"/>
          <w:footerReference w:type="first" r:id="rId29"/>
          <w:pgSz w:w="12240" w:h="15840"/>
          <w:pgMar w:top="1080" w:right="1080" w:bottom="1080" w:left="1080" w:header="270" w:footer="270" w:gutter="0"/>
          <w:pgNumType w:start="1"/>
          <w:cols w:space="708"/>
          <w:titlePg/>
          <w:docGrid w:linePitch="360"/>
        </w:sectPr>
      </w:pPr>
      <w:r w:rsidRPr="00C94190">
        <w:rPr>
          <w:rFonts w:asciiTheme="minorHAnsi" w:eastAsia="Calibri" w:hAnsiTheme="minorHAnsi" w:cstheme="minorBidi"/>
          <w:sz w:val="22"/>
          <w:szCs w:val="22"/>
        </w:rPr>
        <w:t>Moderna’s mRNA platform builds on continuous advances in basic and applied mRNA science, delivery technology and manufacturing, and has allowed the development of therapeutics and vaccines for infectious diseases, immuno-oncology, rare diseases, cardiovascular diseases and auto-immune diseases. Moderna has been named a top biopharmaceutical employer by Science for the past seven years. To learn more, visit</w:t>
      </w:r>
      <w:r w:rsidRPr="00E547E7">
        <w:rPr>
          <w:rFonts w:asciiTheme="minorHAnsi" w:hAnsiTheme="minorHAnsi" w:cstheme="minorHAnsi"/>
          <w:sz w:val="22"/>
          <w:szCs w:val="22"/>
        </w:rPr>
        <w:t> </w:t>
      </w:r>
      <w:hyperlink r:id="rId30" w:tgtFrame="_blank" w:history="1">
        <w:r w:rsidRPr="00E547E7">
          <w:rPr>
            <w:rStyle w:val="Hyperlink"/>
            <w:rFonts w:asciiTheme="minorHAnsi" w:hAnsiTheme="minorHAnsi" w:cstheme="minorHAnsi"/>
            <w:sz w:val="22"/>
            <w:szCs w:val="22"/>
          </w:rPr>
          <w:t>www.modernatx.com</w:t>
        </w:r>
      </w:hyperlink>
      <w:r w:rsidRPr="00E547E7">
        <w:rPr>
          <w:rFonts w:asciiTheme="minorHAnsi" w:hAnsiTheme="minorHAnsi" w:cstheme="minorHAnsi"/>
          <w:sz w:val="22"/>
          <w:szCs w:val="22"/>
        </w:rPr>
        <w:t>.</w:t>
      </w:r>
      <w:bookmarkStart w:id="1" w:name="Section1"/>
      <w:bookmarkEnd w:id="1"/>
    </w:p>
    <w:p w14:paraId="22FFDEF4" w14:textId="77777777" w:rsidR="00DB73EF" w:rsidRPr="00E547E7" w:rsidRDefault="00DB73EF" w:rsidP="004C0A84">
      <w:pPr>
        <w:spacing w:before="180" w:line="276" w:lineRule="auto"/>
        <w:rPr>
          <w:rFonts w:asciiTheme="minorHAnsi" w:hAnsiTheme="minorHAnsi" w:cstheme="minorHAnsi"/>
          <w:sz w:val="22"/>
          <w:szCs w:val="22"/>
        </w:rPr>
        <w:sectPr w:rsidR="00DB73EF" w:rsidRPr="00E547E7">
          <w:headerReference w:type="first" r:id="rId31"/>
          <w:footerReference w:type="first" r:id="rId32"/>
          <w:type w:val="continuous"/>
          <w:pgSz w:w="12240" w:h="15840"/>
          <w:pgMar w:top="1080" w:right="1080" w:bottom="1080" w:left="1080" w:header="270" w:footer="270" w:gutter="0"/>
          <w:cols w:space="708"/>
          <w:titlePg/>
        </w:sectPr>
      </w:pPr>
      <w:bookmarkStart w:id="2" w:name="Section2"/>
      <w:bookmarkEnd w:id="2"/>
    </w:p>
    <w:p w14:paraId="07EC22C7" w14:textId="002FC30C" w:rsidR="00AA2C1D" w:rsidRPr="00E547E7" w:rsidRDefault="00AA2C1D">
      <w:pPr>
        <w:rPr>
          <w:rFonts w:asciiTheme="minorHAnsi" w:hAnsiTheme="minorHAnsi" w:cstheme="minorHAnsi"/>
          <w:b/>
          <w:sz w:val="22"/>
          <w:szCs w:val="22"/>
        </w:rPr>
      </w:pPr>
      <w:bookmarkStart w:id="3" w:name="Section3"/>
      <w:bookmarkEnd w:id="3"/>
    </w:p>
    <w:p w14:paraId="7865E1DC" w14:textId="77777777" w:rsidR="009E4DA7" w:rsidRDefault="009E4DA7" w:rsidP="009E4DA7">
      <w:pPr>
        <w:spacing w:line="288" w:lineRule="auto"/>
        <w:jc w:val="center"/>
        <w:outlineLvl w:val="0"/>
        <w:rPr>
          <w:b/>
          <w:sz w:val="20"/>
        </w:rPr>
      </w:pPr>
      <w:r>
        <w:rPr>
          <w:b/>
          <w:sz w:val="20"/>
        </w:rPr>
        <w:t>MODERNA, INC.</w:t>
      </w:r>
    </w:p>
    <w:p w14:paraId="7796B2B9" w14:textId="77777777" w:rsidR="009E4DA7" w:rsidRDefault="009E4DA7" w:rsidP="009E4DA7">
      <w:pPr>
        <w:spacing w:line="288" w:lineRule="auto"/>
        <w:jc w:val="center"/>
        <w:rPr>
          <w:b/>
          <w:sz w:val="20"/>
        </w:rPr>
      </w:pPr>
      <w:r>
        <w:rPr>
          <w:b/>
          <w:sz w:val="20"/>
        </w:rPr>
        <w:t>CONDENSED CONSOLIDATED STATEMENTS OF INCOME</w:t>
      </w:r>
    </w:p>
    <w:p w14:paraId="6B536282" w14:textId="77777777" w:rsidR="009E4DA7" w:rsidRDefault="009E4DA7" w:rsidP="009E4DA7">
      <w:pPr>
        <w:spacing w:line="288" w:lineRule="auto"/>
        <w:jc w:val="center"/>
        <w:rPr>
          <w:b/>
          <w:sz w:val="20"/>
        </w:rPr>
      </w:pPr>
      <w:r>
        <w:rPr>
          <w:b/>
          <w:sz w:val="20"/>
        </w:rPr>
        <w:t>(Unaudited, in millions, except per share data)</w:t>
      </w:r>
    </w:p>
    <w:p w14:paraId="1E7BF1C3" w14:textId="77777777" w:rsidR="009E4DA7" w:rsidRDefault="009E4DA7" w:rsidP="009E4DA7">
      <w:pPr>
        <w:spacing w:before="60" w:line="288" w:lineRule="auto"/>
        <w:rPr>
          <w:rFonts w:ascii="Arial" w:eastAsia="Arial" w:hAnsi="Arial" w:cs="Arial"/>
          <w:sz w:val="20"/>
        </w:rPr>
      </w:pPr>
    </w:p>
    <w:p w14:paraId="13F67606" w14:textId="77777777" w:rsidR="009E4DA7" w:rsidRDefault="009E4DA7" w:rsidP="009E4DA7">
      <w:pPr>
        <w:spacing w:line="288" w:lineRule="auto"/>
        <w:rPr>
          <w:sz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5"/>
        <w:gridCol w:w="75"/>
        <w:gridCol w:w="1305"/>
        <w:gridCol w:w="75"/>
        <w:gridCol w:w="1305"/>
        <w:gridCol w:w="135"/>
        <w:gridCol w:w="1515"/>
        <w:gridCol w:w="75"/>
        <w:gridCol w:w="1380"/>
      </w:tblGrid>
      <w:tr w:rsidR="00B52D58" w14:paraId="365DE363" w14:textId="77777777" w:rsidTr="00D47172">
        <w:trPr>
          <w:cantSplit/>
          <w:trHeight w:hRule="exact" w:val="300"/>
          <w:jc w:val="center"/>
        </w:trPr>
        <w:tc>
          <w:tcPr>
            <w:tcW w:w="4215" w:type="dxa"/>
            <w:tcBorders>
              <w:top w:val="nil"/>
              <w:left w:val="nil"/>
              <w:bottom w:val="nil"/>
              <w:right w:val="nil"/>
            </w:tcBorders>
            <w:tcMar>
              <w:top w:w="0" w:type="dxa"/>
              <w:left w:w="0" w:type="dxa"/>
              <w:bottom w:w="0" w:type="dxa"/>
              <w:right w:w="0" w:type="dxa"/>
            </w:tcMar>
            <w:vAlign w:val="bottom"/>
          </w:tcPr>
          <w:p w14:paraId="7EF08701" w14:textId="77777777" w:rsidR="00B52D58" w:rsidRDefault="00B52D58" w:rsidP="00D47172">
            <w:pPr>
              <w:keepNext/>
            </w:pPr>
          </w:p>
        </w:tc>
        <w:tc>
          <w:tcPr>
            <w:tcW w:w="75" w:type="dxa"/>
            <w:tcBorders>
              <w:top w:val="nil"/>
              <w:left w:val="nil"/>
              <w:bottom w:val="nil"/>
              <w:right w:val="nil"/>
            </w:tcBorders>
            <w:tcMar>
              <w:top w:w="0" w:type="dxa"/>
              <w:left w:w="0" w:type="dxa"/>
              <w:bottom w:w="0" w:type="dxa"/>
              <w:right w:w="0" w:type="dxa"/>
            </w:tcMar>
            <w:vAlign w:val="bottom"/>
          </w:tcPr>
          <w:p w14:paraId="6C783203" w14:textId="77777777" w:rsidR="00B52D58" w:rsidRDefault="00B52D58" w:rsidP="00D47172">
            <w:pPr>
              <w:keepNext/>
            </w:pPr>
          </w:p>
        </w:tc>
        <w:tc>
          <w:tcPr>
            <w:tcW w:w="2685" w:type="dxa"/>
            <w:gridSpan w:val="3"/>
            <w:tcBorders>
              <w:top w:val="nil"/>
              <w:left w:val="nil"/>
              <w:bottom w:val="single" w:sz="8" w:space="0" w:color="000000"/>
              <w:right w:val="nil"/>
            </w:tcBorders>
            <w:tcMar>
              <w:top w:w="0" w:type="dxa"/>
              <w:left w:w="53" w:type="dxa"/>
              <w:bottom w:w="0" w:type="dxa"/>
              <w:right w:w="53" w:type="dxa"/>
            </w:tcMar>
            <w:vAlign w:val="bottom"/>
          </w:tcPr>
          <w:p w14:paraId="5A2398A5" w14:textId="77777777" w:rsidR="00B52D58" w:rsidRDefault="00B52D58" w:rsidP="00D47172">
            <w:pPr>
              <w:keepNext/>
              <w:spacing w:before="75" w:after="30"/>
              <w:jc w:val="center"/>
            </w:pPr>
            <w:r>
              <w:rPr>
                <w:b/>
                <w:color w:val="000000"/>
                <w:sz w:val="16"/>
              </w:rPr>
              <w:t>Three Months Ended June 30,</w:t>
            </w:r>
          </w:p>
        </w:tc>
        <w:tc>
          <w:tcPr>
            <w:tcW w:w="135" w:type="dxa"/>
            <w:tcBorders>
              <w:top w:val="nil"/>
              <w:left w:val="nil"/>
              <w:bottom w:val="nil"/>
              <w:right w:val="nil"/>
            </w:tcBorders>
            <w:tcMar>
              <w:top w:w="0" w:type="dxa"/>
              <w:left w:w="0" w:type="dxa"/>
              <w:bottom w:w="0" w:type="dxa"/>
              <w:right w:w="0" w:type="dxa"/>
            </w:tcMar>
            <w:vAlign w:val="bottom"/>
          </w:tcPr>
          <w:p w14:paraId="22A3E003" w14:textId="77777777" w:rsidR="00B52D58" w:rsidRDefault="00B52D58" w:rsidP="00D47172">
            <w:pPr>
              <w:keepNext/>
            </w:pPr>
          </w:p>
        </w:tc>
        <w:tc>
          <w:tcPr>
            <w:tcW w:w="2970" w:type="dxa"/>
            <w:gridSpan w:val="3"/>
            <w:tcBorders>
              <w:top w:val="nil"/>
              <w:left w:val="nil"/>
              <w:bottom w:val="single" w:sz="8" w:space="0" w:color="000000"/>
              <w:right w:val="nil"/>
            </w:tcBorders>
            <w:tcMar>
              <w:top w:w="0" w:type="dxa"/>
              <w:left w:w="53" w:type="dxa"/>
              <w:bottom w:w="0" w:type="dxa"/>
              <w:right w:w="53" w:type="dxa"/>
            </w:tcMar>
            <w:vAlign w:val="bottom"/>
          </w:tcPr>
          <w:p w14:paraId="03D5A66A" w14:textId="77777777" w:rsidR="00B52D58" w:rsidRDefault="00B52D58" w:rsidP="00D47172">
            <w:pPr>
              <w:keepNext/>
              <w:spacing w:before="75" w:after="30"/>
              <w:jc w:val="center"/>
            </w:pPr>
            <w:r>
              <w:rPr>
                <w:b/>
                <w:color w:val="000000"/>
                <w:sz w:val="16"/>
              </w:rPr>
              <w:t>Six Months Ended June 30,</w:t>
            </w:r>
          </w:p>
        </w:tc>
      </w:tr>
      <w:tr w:rsidR="00B52D58" w14:paraId="10933926" w14:textId="77777777" w:rsidTr="00D47172">
        <w:trPr>
          <w:cantSplit/>
          <w:trHeight w:hRule="exact" w:val="300"/>
          <w:jc w:val="center"/>
        </w:trPr>
        <w:tc>
          <w:tcPr>
            <w:tcW w:w="4215" w:type="dxa"/>
            <w:tcBorders>
              <w:top w:val="nil"/>
              <w:left w:val="nil"/>
              <w:bottom w:val="nil"/>
              <w:right w:val="nil"/>
            </w:tcBorders>
            <w:tcMar>
              <w:top w:w="0" w:type="dxa"/>
              <w:left w:w="0" w:type="dxa"/>
              <w:bottom w:w="0" w:type="dxa"/>
              <w:right w:w="0" w:type="dxa"/>
            </w:tcMar>
            <w:vAlign w:val="bottom"/>
          </w:tcPr>
          <w:p w14:paraId="4AE90D41" w14:textId="77777777" w:rsidR="00B52D58" w:rsidRDefault="00B52D58" w:rsidP="00D47172">
            <w:pPr>
              <w:keepNext/>
            </w:pPr>
          </w:p>
        </w:tc>
        <w:tc>
          <w:tcPr>
            <w:tcW w:w="75" w:type="dxa"/>
            <w:tcBorders>
              <w:top w:val="nil"/>
              <w:left w:val="nil"/>
              <w:bottom w:val="nil"/>
              <w:right w:val="nil"/>
            </w:tcBorders>
            <w:tcMar>
              <w:top w:w="0" w:type="dxa"/>
              <w:left w:w="0" w:type="dxa"/>
              <w:bottom w:w="0" w:type="dxa"/>
              <w:right w:w="0" w:type="dxa"/>
            </w:tcMar>
            <w:vAlign w:val="bottom"/>
          </w:tcPr>
          <w:p w14:paraId="69AE4A9B" w14:textId="77777777" w:rsidR="00B52D58" w:rsidRDefault="00B52D58" w:rsidP="00D47172">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5E710DE6" w14:textId="77777777" w:rsidR="00B52D58" w:rsidRDefault="00B52D58" w:rsidP="00D47172">
            <w:pPr>
              <w:keepNext/>
              <w:spacing w:before="55" w:after="30"/>
              <w:jc w:val="center"/>
            </w:pPr>
            <w:r>
              <w:rPr>
                <w:b/>
                <w:color w:val="000000"/>
                <w:sz w:val="16"/>
              </w:rPr>
              <w:t>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322F187B" w14:textId="77777777" w:rsidR="00B52D58" w:rsidRDefault="00B52D58" w:rsidP="00D47172">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3CAFE0D" w14:textId="77777777" w:rsidR="00B52D58" w:rsidRDefault="00B52D58" w:rsidP="00D47172">
            <w:pPr>
              <w:keepNext/>
              <w:spacing w:before="55" w:after="30"/>
              <w:jc w:val="center"/>
            </w:pPr>
            <w:r>
              <w:rPr>
                <w:b/>
                <w:color w:val="000000"/>
                <w:sz w:val="16"/>
              </w:rPr>
              <w:t>2021</w:t>
            </w:r>
          </w:p>
        </w:tc>
        <w:tc>
          <w:tcPr>
            <w:tcW w:w="135" w:type="dxa"/>
            <w:tcBorders>
              <w:top w:val="nil"/>
              <w:left w:val="nil"/>
              <w:bottom w:val="nil"/>
              <w:right w:val="nil"/>
            </w:tcBorders>
            <w:tcMar>
              <w:top w:w="0" w:type="dxa"/>
              <w:left w:w="0" w:type="dxa"/>
              <w:bottom w:w="0" w:type="dxa"/>
              <w:right w:w="0" w:type="dxa"/>
            </w:tcMar>
            <w:vAlign w:val="bottom"/>
          </w:tcPr>
          <w:p w14:paraId="2D810A9F" w14:textId="77777777" w:rsidR="00B52D58" w:rsidRDefault="00B52D58" w:rsidP="00D47172">
            <w:pPr>
              <w:keepNext/>
            </w:pPr>
          </w:p>
        </w:tc>
        <w:tc>
          <w:tcPr>
            <w:tcW w:w="1515" w:type="dxa"/>
            <w:tcBorders>
              <w:top w:val="nil"/>
              <w:left w:val="nil"/>
              <w:bottom w:val="single" w:sz="8" w:space="0" w:color="000000"/>
              <w:right w:val="nil"/>
            </w:tcBorders>
            <w:tcMar>
              <w:top w:w="0" w:type="dxa"/>
              <w:left w:w="53" w:type="dxa"/>
              <w:bottom w:w="0" w:type="dxa"/>
              <w:right w:w="53" w:type="dxa"/>
            </w:tcMar>
            <w:vAlign w:val="bottom"/>
          </w:tcPr>
          <w:p w14:paraId="4A813DB1" w14:textId="77777777" w:rsidR="00B52D58" w:rsidRDefault="00B52D58" w:rsidP="00D47172">
            <w:pPr>
              <w:keepNext/>
              <w:spacing w:before="55" w:after="30"/>
              <w:jc w:val="center"/>
            </w:pPr>
            <w:r>
              <w:rPr>
                <w:b/>
                <w:color w:val="000000"/>
                <w:sz w:val="16"/>
              </w:rPr>
              <w:t>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5B289786" w14:textId="77777777" w:rsidR="00B52D58" w:rsidRDefault="00B52D58" w:rsidP="00D47172">
            <w:pPr>
              <w:keepNext/>
            </w:pPr>
          </w:p>
        </w:tc>
        <w:tc>
          <w:tcPr>
            <w:tcW w:w="138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F49E2EB" w14:textId="77777777" w:rsidR="00B52D58" w:rsidRDefault="00B52D58" w:rsidP="00D47172">
            <w:pPr>
              <w:keepNext/>
              <w:spacing w:before="55" w:after="30"/>
              <w:jc w:val="center"/>
            </w:pPr>
            <w:r>
              <w:rPr>
                <w:b/>
                <w:color w:val="000000"/>
                <w:sz w:val="16"/>
              </w:rPr>
              <w:t>2021</w:t>
            </w:r>
          </w:p>
        </w:tc>
      </w:tr>
      <w:tr w:rsidR="00B52D58" w14:paraId="63785DCA" w14:textId="77777777" w:rsidTr="00D47172">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center"/>
          </w:tcPr>
          <w:p w14:paraId="7B04303B" w14:textId="77777777" w:rsidR="00B52D58" w:rsidRDefault="00B52D58" w:rsidP="00D47172">
            <w:pPr>
              <w:keepNext/>
              <w:ind w:left="180" w:hanging="180"/>
              <w:rPr>
                <w:sz w:val="20"/>
              </w:rPr>
            </w:pPr>
            <w:r>
              <w:rPr>
                <w:sz w:val="20"/>
              </w:rPr>
              <w:t>Revenue: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BB47EF" w14:textId="77777777" w:rsidR="00B52D58" w:rsidRDefault="00B52D58" w:rsidP="00D47172">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DC38972"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17CAA4A" w14:textId="77777777" w:rsidR="00B52D58" w:rsidRDefault="00B52D58" w:rsidP="00D47172">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69DA47C" w14:textId="77777777" w:rsidR="00B52D58" w:rsidRDefault="00B52D58" w:rsidP="00D47172">
            <w:pPr>
              <w:keepNext/>
            </w:pPr>
          </w:p>
        </w:tc>
        <w:tc>
          <w:tcPr>
            <w:tcW w:w="135" w:type="dxa"/>
            <w:tcBorders>
              <w:top w:val="nil"/>
              <w:left w:val="nil"/>
              <w:bottom w:val="nil"/>
              <w:right w:val="nil"/>
            </w:tcBorders>
            <w:shd w:val="clear" w:color="auto" w:fill="CCEEFF"/>
            <w:tcMar>
              <w:top w:w="0" w:type="dxa"/>
              <w:left w:w="0" w:type="dxa"/>
              <w:bottom w:w="0" w:type="dxa"/>
              <w:right w:w="0" w:type="dxa"/>
            </w:tcMar>
            <w:vAlign w:val="bottom"/>
          </w:tcPr>
          <w:p w14:paraId="48BC0D73" w14:textId="77777777" w:rsidR="00B52D58" w:rsidRDefault="00B52D58" w:rsidP="00D47172">
            <w:pPr>
              <w:keepNext/>
            </w:pPr>
          </w:p>
        </w:tc>
        <w:tc>
          <w:tcPr>
            <w:tcW w:w="151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15CDDE6"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B9BAB1" w14:textId="77777777" w:rsidR="00B52D58" w:rsidRDefault="00B52D58" w:rsidP="00D47172">
            <w:pPr>
              <w:keepNext/>
            </w:pPr>
          </w:p>
        </w:tc>
        <w:tc>
          <w:tcPr>
            <w:tcW w:w="13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A3BCEC5" w14:textId="77777777" w:rsidR="00B52D58" w:rsidRDefault="00B52D58" w:rsidP="00D47172">
            <w:pPr>
              <w:keepNext/>
            </w:pPr>
          </w:p>
        </w:tc>
      </w:tr>
      <w:tr w:rsidR="00B52D58" w14:paraId="28D549FA" w14:textId="77777777" w:rsidTr="00D47172">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center"/>
          </w:tcPr>
          <w:p w14:paraId="1BB302E6" w14:textId="77777777" w:rsidR="00B52D58" w:rsidRDefault="00B52D58" w:rsidP="00D47172">
            <w:pPr>
              <w:keepNext/>
              <w:ind w:left="360"/>
            </w:pPr>
            <w:r>
              <w:rPr>
                <w:color w:val="000000"/>
                <w:sz w:val="20"/>
              </w:rPr>
              <w:t>Product sales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D82F657"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43137B4" w14:textId="77777777" w:rsidR="00B52D58" w:rsidRDefault="00B52D58" w:rsidP="00D47172">
            <w:pPr>
              <w:keepNext/>
              <w:tabs>
                <w:tab w:val="left" w:pos="722"/>
                <w:tab w:val="left" w:pos="1237"/>
              </w:tabs>
              <w:spacing w:before="75" w:after="30"/>
              <w:jc w:val="right"/>
            </w:pPr>
            <w:r>
              <w:rPr>
                <w:color w:val="000000"/>
                <w:sz w:val="20"/>
              </w:rPr>
              <w:t>$</w:t>
            </w:r>
            <w:r>
              <w:rPr>
                <w:color w:val="000000"/>
                <w:sz w:val="20"/>
              </w:rPr>
              <w:tab/>
              <w:t>4,531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32D4E6"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C1E5398" w14:textId="77777777" w:rsidR="00B52D58" w:rsidRDefault="00B52D58" w:rsidP="00D47172">
            <w:pPr>
              <w:keepNext/>
              <w:tabs>
                <w:tab w:val="left" w:pos="722"/>
                <w:tab w:val="left" w:pos="1237"/>
              </w:tabs>
              <w:spacing w:before="75" w:after="30"/>
              <w:jc w:val="right"/>
            </w:pPr>
            <w:r>
              <w:rPr>
                <w:color w:val="000000"/>
                <w:sz w:val="20"/>
              </w:rPr>
              <w:t>$</w:t>
            </w:r>
            <w:r>
              <w:rPr>
                <w:color w:val="000000"/>
                <w:sz w:val="20"/>
              </w:rPr>
              <w:tab/>
              <w:t>4,197</w:t>
            </w:r>
            <w:r>
              <w:rPr>
                <w:color w:val="000000"/>
                <w:sz w:val="20"/>
              </w:rPr>
              <w:tab/>
            </w:r>
          </w:p>
        </w:tc>
        <w:tc>
          <w:tcPr>
            <w:tcW w:w="135" w:type="dxa"/>
            <w:tcBorders>
              <w:top w:val="nil"/>
              <w:left w:val="nil"/>
              <w:bottom w:val="nil"/>
              <w:right w:val="nil"/>
            </w:tcBorders>
            <w:shd w:val="clear" w:color="auto" w:fill="FFFFFF"/>
            <w:tcMar>
              <w:top w:w="0" w:type="dxa"/>
              <w:left w:w="0" w:type="dxa"/>
              <w:bottom w:w="0" w:type="dxa"/>
              <w:right w:w="0" w:type="dxa"/>
            </w:tcMar>
            <w:vAlign w:val="bottom"/>
          </w:tcPr>
          <w:p w14:paraId="6279D877" w14:textId="77777777" w:rsidR="00B52D58" w:rsidRDefault="00B52D58" w:rsidP="00D47172">
            <w:pPr>
              <w:keepNext/>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14:paraId="77723CF2" w14:textId="77777777" w:rsidR="00B52D58" w:rsidRDefault="00B52D58" w:rsidP="00D47172">
            <w:pPr>
              <w:keepNext/>
              <w:tabs>
                <w:tab w:val="left" w:pos="832"/>
                <w:tab w:val="left" w:pos="1447"/>
              </w:tabs>
              <w:spacing w:before="75" w:after="30"/>
              <w:jc w:val="right"/>
            </w:pPr>
            <w:r>
              <w:rPr>
                <w:color w:val="000000"/>
                <w:sz w:val="20"/>
              </w:rPr>
              <w:t>$</w:t>
            </w:r>
            <w:r>
              <w:rPr>
                <w:color w:val="000000"/>
                <w:sz w:val="20"/>
              </w:rPr>
              <w:tab/>
              <w:t>10,456</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990972" w14:textId="77777777" w:rsidR="00B52D58" w:rsidRDefault="00B52D58" w:rsidP="00D47172">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2E0C4C3B" w14:textId="77777777" w:rsidR="00B52D58" w:rsidRDefault="00B52D58" w:rsidP="00D47172">
            <w:pPr>
              <w:keepNext/>
              <w:tabs>
                <w:tab w:val="left" w:pos="797"/>
                <w:tab w:val="left" w:pos="1312"/>
              </w:tabs>
              <w:spacing w:before="75" w:after="30"/>
              <w:jc w:val="right"/>
            </w:pPr>
            <w:r>
              <w:rPr>
                <w:color w:val="000000"/>
                <w:sz w:val="20"/>
              </w:rPr>
              <w:t>$</w:t>
            </w:r>
            <w:r>
              <w:rPr>
                <w:color w:val="000000"/>
                <w:sz w:val="20"/>
              </w:rPr>
              <w:tab/>
              <w:t>5,930</w:t>
            </w:r>
            <w:r>
              <w:rPr>
                <w:color w:val="000000"/>
                <w:sz w:val="20"/>
              </w:rPr>
              <w:tab/>
            </w:r>
          </w:p>
        </w:tc>
      </w:tr>
      <w:tr w:rsidR="00B52D58" w14:paraId="465AC433" w14:textId="77777777" w:rsidTr="00D47172">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center"/>
          </w:tcPr>
          <w:p w14:paraId="1983CDCB" w14:textId="77777777" w:rsidR="00B52D58" w:rsidRDefault="00B52D58" w:rsidP="00D47172">
            <w:pPr>
              <w:keepNext/>
              <w:ind w:left="360"/>
            </w:pPr>
            <w:r>
              <w:rPr>
                <w:color w:val="000000"/>
                <w:sz w:val="20"/>
              </w:rPr>
              <w:t>Grant revenue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7AB3A5"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E4AA50C" w14:textId="77777777" w:rsidR="00B52D58" w:rsidRDefault="00B52D58" w:rsidP="00D47172">
            <w:pPr>
              <w:keepNext/>
              <w:tabs>
                <w:tab w:val="left" w:pos="872"/>
                <w:tab w:val="left" w:pos="1237"/>
              </w:tabs>
              <w:spacing w:before="75" w:after="30"/>
              <w:jc w:val="right"/>
            </w:pPr>
            <w:r>
              <w:rPr>
                <w:color w:val="000000"/>
                <w:sz w:val="20"/>
              </w:rPr>
              <w:tab/>
              <w:t>183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0AA8A9D"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99466ED" w14:textId="77777777" w:rsidR="00B52D58" w:rsidRDefault="00B52D58" w:rsidP="00D47172">
            <w:pPr>
              <w:keepNext/>
              <w:tabs>
                <w:tab w:val="left" w:pos="872"/>
                <w:tab w:val="left" w:pos="1237"/>
              </w:tabs>
              <w:spacing w:before="75" w:after="30"/>
              <w:jc w:val="right"/>
            </w:pPr>
            <w:r>
              <w:rPr>
                <w:color w:val="000000"/>
                <w:sz w:val="20"/>
              </w:rPr>
              <w:tab/>
              <w:t>139</w:t>
            </w:r>
            <w:r>
              <w:rPr>
                <w:color w:val="000000"/>
                <w:sz w:val="20"/>
              </w:rPr>
              <w:tab/>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14:paraId="3D3D6D49" w14:textId="77777777" w:rsidR="00B52D58" w:rsidRDefault="00B52D58" w:rsidP="00D47172">
            <w:pPr>
              <w:keepNext/>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78967108" w14:textId="77777777" w:rsidR="00B52D58" w:rsidRDefault="00B52D58" w:rsidP="00D47172">
            <w:pPr>
              <w:keepNext/>
              <w:tabs>
                <w:tab w:val="left" w:pos="1082"/>
                <w:tab w:val="left" w:pos="1447"/>
              </w:tabs>
              <w:spacing w:before="75" w:after="30"/>
              <w:jc w:val="right"/>
            </w:pPr>
            <w:r>
              <w:rPr>
                <w:color w:val="000000"/>
                <w:sz w:val="20"/>
              </w:rPr>
              <w:tab/>
              <w:t>309</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7B2A74" w14:textId="77777777" w:rsidR="00B52D58" w:rsidRDefault="00B52D58" w:rsidP="00D47172">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1618895F" w14:textId="77777777" w:rsidR="00B52D58" w:rsidRDefault="00B52D58" w:rsidP="00D47172">
            <w:pPr>
              <w:keepNext/>
              <w:tabs>
                <w:tab w:val="left" w:pos="947"/>
                <w:tab w:val="left" w:pos="1312"/>
              </w:tabs>
              <w:spacing w:before="75" w:after="30"/>
              <w:jc w:val="right"/>
            </w:pPr>
            <w:r>
              <w:rPr>
                <w:color w:val="000000"/>
                <w:sz w:val="20"/>
              </w:rPr>
              <w:tab/>
              <w:t>333</w:t>
            </w:r>
            <w:r>
              <w:rPr>
                <w:color w:val="000000"/>
                <w:sz w:val="20"/>
              </w:rPr>
              <w:tab/>
            </w:r>
          </w:p>
        </w:tc>
      </w:tr>
      <w:tr w:rsidR="00B52D58" w14:paraId="33A80202" w14:textId="77777777" w:rsidTr="00D47172">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center"/>
          </w:tcPr>
          <w:p w14:paraId="2325A555" w14:textId="77777777" w:rsidR="00B52D58" w:rsidRDefault="00B52D58" w:rsidP="00D47172">
            <w:pPr>
              <w:keepNext/>
              <w:ind w:left="360"/>
            </w:pPr>
            <w:r>
              <w:rPr>
                <w:color w:val="000000"/>
                <w:sz w:val="20"/>
              </w:rPr>
              <w:t>Collaboration revenue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6446852" w14:textId="77777777" w:rsidR="00B52D58" w:rsidRDefault="00B52D58" w:rsidP="00D47172">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96305B4" w14:textId="77777777" w:rsidR="00B52D58" w:rsidRDefault="00B52D58" w:rsidP="00D47172">
            <w:pPr>
              <w:keepNext/>
              <w:tabs>
                <w:tab w:val="left" w:pos="972"/>
                <w:tab w:val="left" w:pos="1237"/>
              </w:tabs>
              <w:spacing w:before="75" w:after="30"/>
              <w:jc w:val="right"/>
            </w:pPr>
            <w:r>
              <w:rPr>
                <w:color w:val="000000"/>
                <w:sz w:val="20"/>
              </w:rPr>
              <w:tab/>
              <w:t>35</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6DEA43B" w14:textId="77777777" w:rsidR="00B52D58" w:rsidRDefault="00B52D58" w:rsidP="00D47172">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64F3D1B" w14:textId="77777777" w:rsidR="00B52D58" w:rsidRDefault="00B52D58" w:rsidP="00D47172">
            <w:pPr>
              <w:keepNext/>
              <w:tabs>
                <w:tab w:val="left" w:pos="972"/>
                <w:tab w:val="left" w:pos="1237"/>
              </w:tabs>
              <w:spacing w:before="75" w:after="30"/>
              <w:jc w:val="right"/>
            </w:pPr>
            <w:r>
              <w:rPr>
                <w:color w:val="000000"/>
                <w:sz w:val="20"/>
              </w:rPr>
              <w:tab/>
              <w:t>18</w:t>
            </w:r>
            <w:r>
              <w:rPr>
                <w:color w:val="000000"/>
                <w:sz w:val="20"/>
              </w:rPr>
              <w:tab/>
            </w:r>
          </w:p>
        </w:tc>
        <w:tc>
          <w:tcPr>
            <w:tcW w:w="135" w:type="dxa"/>
            <w:tcBorders>
              <w:top w:val="nil"/>
              <w:left w:val="nil"/>
              <w:bottom w:val="nil"/>
              <w:right w:val="nil"/>
            </w:tcBorders>
            <w:shd w:val="clear" w:color="auto" w:fill="FFFFFF"/>
            <w:tcMar>
              <w:top w:w="0" w:type="dxa"/>
              <w:left w:w="0" w:type="dxa"/>
              <w:bottom w:w="0" w:type="dxa"/>
              <w:right w:w="0" w:type="dxa"/>
            </w:tcMar>
            <w:vAlign w:val="bottom"/>
          </w:tcPr>
          <w:p w14:paraId="68E80E32" w14:textId="77777777" w:rsidR="00B52D58" w:rsidRDefault="00B52D58" w:rsidP="00D47172">
            <w:pPr>
              <w:keepNext/>
            </w:pPr>
          </w:p>
        </w:tc>
        <w:tc>
          <w:tcPr>
            <w:tcW w:w="151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97588C1" w14:textId="77777777" w:rsidR="00B52D58" w:rsidRDefault="00B52D58" w:rsidP="00D47172">
            <w:pPr>
              <w:keepNext/>
              <w:tabs>
                <w:tab w:val="left" w:pos="1182"/>
                <w:tab w:val="left" w:pos="1447"/>
              </w:tabs>
              <w:spacing w:before="75" w:after="30"/>
              <w:jc w:val="right"/>
            </w:pPr>
            <w:r>
              <w:rPr>
                <w:color w:val="000000"/>
                <w:sz w:val="20"/>
              </w:rPr>
              <w:tab/>
              <w:t>50</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0C1FDE" w14:textId="77777777" w:rsidR="00B52D58" w:rsidRDefault="00B52D58" w:rsidP="00D47172">
            <w:pPr>
              <w:keepNext/>
            </w:pPr>
          </w:p>
        </w:tc>
        <w:tc>
          <w:tcPr>
            <w:tcW w:w="13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52F539F" w14:textId="77777777" w:rsidR="00B52D58" w:rsidRDefault="00B52D58" w:rsidP="00D47172">
            <w:pPr>
              <w:keepNext/>
              <w:tabs>
                <w:tab w:val="left" w:pos="1047"/>
                <w:tab w:val="left" w:pos="1312"/>
              </w:tabs>
              <w:spacing w:before="75" w:after="30"/>
              <w:jc w:val="right"/>
            </w:pPr>
            <w:r>
              <w:rPr>
                <w:color w:val="000000"/>
                <w:sz w:val="20"/>
              </w:rPr>
              <w:tab/>
              <w:t>28</w:t>
            </w:r>
            <w:r>
              <w:rPr>
                <w:color w:val="000000"/>
                <w:sz w:val="20"/>
              </w:rPr>
              <w:tab/>
            </w:r>
          </w:p>
        </w:tc>
      </w:tr>
      <w:tr w:rsidR="00B52D58" w14:paraId="1A813A8F" w14:textId="77777777" w:rsidTr="00D47172">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center"/>
          </w:tcPr>
          <w:p w14:paraId="4F61DB52" w14:textId="77777777" w:rsidR="00B52D58" w:rsidRDefault="00B52D58" w:rsidP="00D47172">
            <w:pPr>
              <w:keepNext/>
              <w:ind w:left="720"/>
            </w:pPr>
            <w:r>
              <w:rPr>
                <w:color w:val="000000"/>
                <w:sz w:val="20"/>
              </w:rPr>
              <w:t>Total revenue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827B566" w14:textId="77777777" w:rsidR="00B52D58" w:rsidRDefault="00B52D58" w:rsidP="00D47172">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666F761" w14:textId="77777777" w:rsidR="00B52D58" w:rsidRDefault="00B52D58" w:rsidP="00D47172">
            <w:pPr>
              <w:keepNext/>
              <w:tabs>
                <w:tab w:val="left" w:pos="722"/>
                <w:tab w:val="left" w:pos="1237"/>
              </w:tabs>
              <w:spacing w:before="55" w:after="30"/>
              <w:jc w:val="right"/>
            </w:pPr>
            <w:r>
              <w:rPr>
                <w:color w:val="000000"/>
                <w:sz w:val="20"/>
              </w:rPr>
              <w:tab/>
              <w:t>4,749</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2CF850" w14:textId="77777777" w:rsidR="00B52D58" w:rsidRDefault="00B52D58" w:rsidP="00D47172">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33EF81D" w14:textId="77777777" w:rsidR="00B52D58" w:rsidRDefault="00B52D58" w:rsidP="00D47172">
            <w:pPr>
              <w:keepNext/>
              <w:tabs>
                <w:tab w:val="left" w:pos="722"/>
                <w:tab w:val="left" w:pos="1237"/>
              </w:tabs>
              <w:spacing w:before="55" w:after="30"/>
              <w:jc w:val="right"/>
            </w:pPr>
            <w:r>
              <w:rPr>
                <w:color w:val="000000"/>
                <w:sz w:val="20"/>
              </w:rPr>
              <w:tab/>
              <w:t>4,354</w:t>
            </w:r>
            <w:r>
              <w:rPr>
                <w:color w:val="000000"/>
                <w:sz w:val="20"/>
              </w:rPr>
              <w:tab/>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14:paraId="51C175AF" w14:textId="77777777" w:rsidR="00B52D58" w:rsidRDefault="00B52D58" w:rsidP="00D47172">
            <w:pPr>
              <w:keepNext/>
            </w:pPr>
          </w:p>
        </w:tc>
        <w:tc>
          <w:tcPr>
            <w:tcW w:w="151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5CC8BE0" w14:textId="77777777" w:rsidR="00B52D58" w:rsidRDefault="00B52D58" w:rsidP="00D47172">
            <w:pPr>
              <w:keepNext/>
              <w:tabs>
                <w:tab w:val="left" w:pos="832"/>
                <w:tab w:val="left" w:pos="1447"/>
              </w:tabs>
              <w:spacing w:before="55" w:after="30"/>
              <w:jc w:val="right"/>
            </w:pPr>
            <w:r>
              <w:rPr>
                <w:color w:val="000000"/>
                <w:sz w:val="20"/>
              </w:rPr>
              <w:tab/>
              <w:t>10,815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1EC6ED" w14:textId="77777777" w:rsidR="00B52D58" w:rsidRDefault="00B52D58" w:rsidP="00D47172">
            <w:pPr>
              <w:keepNext/>
            </w:pPr>
          </w:p>
        </w:tc>
        <w:tc>
          <w:tcPr>
            <w:tcW w:w="138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EC22E91" w14:textId="77777777" w:rsidR="00B52D58" w:rsidRDefault="00B52D58" w:rsidP="00D47172">
            <w:pPr>
              <w:keepNext/>
              <w:tabs>
                <w:tab w:val="left" w:pos="797"/>
                <w:tab w:val="left" w:pos="1312"/>
              </w:tabs>
              <w:spacing w:before="55" w:after="30"/>
              <w:jc w:val="right"/>
            </w:pPr>
            <w:r>
              <w:rPr>
                <w:color w:val="000000"/>
                <w:sz w:val="20"/>
              </w:rPr>
              <w:tab/>
              <w:t>6,291</w:t>
            </w:r>
            <w:r>
              <w:rPr>
                <w:color w:val="000000"/>
                <w:sz w:val="20"/>
              </w:rPr>
              <w:tab/>
            </w:r>
          </w:p>
        </w:tc>
      </w:tr>
      <w:tr w:rsidR="00B52D58" w14:paraId="720D18AB" w14:textId="77777777" w:rsidTr="00D47172">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center"/>
          </w:tcPr>
          <w:p w14:paraId="6AB0372B" w14:textId="77777777" w:rsidR="00B52D58" w:rsidRDefault="00B52D58" w:rsidP="00D47172">
            <w:pPr>
              <w:keepNext/>
              <w:ind w:left="180" w:hanging="180"/>
              <w:rPr>
                <w:sz w:val="20"/>
              </w:rPr>
            </w:pPr>
            <w:r>
              <w:rPr>
                <w:sz w:val="20"/>
              </w:rPr>
              <w:t>Operating expenses: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4167CF" w14:textId="77777777" w:rsidR="00B52D58" w:rsidRDefault="00B52D58" w:rsidP="00D47172">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93814FD" w14:textId="77777777" w:rsidR="00B52D58" w:rsidRDefault="00B52D58" w:rsidP="00D47172">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8A0EDE" w14:textId="77777777" w:rsidR="00B52D58" w:rsidRDefault="00B52D58" w:rsidP="00D47172">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6693623" w14:textId="77777777" w:rsidR="00B52D58" w:rsidRDefault="00B52D58" w:rsidP="00D47172">
            <w:pPr>
              <w:keepNext/>
            </w:pPr>
          </w:p>
        </w:tc>
        <w:tc>
          <w:tcPr>
            <w:tcW w:w="135" w:type="dxa"/>
            <w:tcBorders>
              <w:top w:val="nil"/>
              <w:left w:val="nil"/>
              <w:bottom w:val="nil"/>
              <w:right w:val="nil"/>
            </w:tcBorders>
            <w:shd w:val="clear" w:color="auto" w:fill="FFFFFF"/>
            <w:tcMar>
              <w:top w:w="0" w:type="dxa"/>
              <w:left w:w="0" w:type="dxa"/>
              <w:bottom w:w="0" w:type="dxa"/>
              <w:right w:w="0" w:type="dxa"/>
            </w:tcMar>
            <w:vAlign w:val="bottom"/>
          </w:tcPr>
          <w:p w14:paraId="4D4EAE3D" w14:textId="77777777" w:rsidR="00B52D58" w:rsidRDefault="00B52D58" w:rsidP="00D47172">
            <w:pPr>
              <w:keepNext/>
            </w:pPr>
          </w:p>
        </w:tc>
        <w:tc>
          <w:tcPr>
            <w:tcW w:w="151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E7F259D" w14:textId="77777777" w:rsidR="00B52D58" w:rsidRDefault="00B52D58" w:rsidP="00D47172">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D2CE80" w14:textId="77777777" w:rsidR="00B52D58" w:rsidRDefault="00B52D58" w:rsidP="00D47172">
            <w:pPr>
              <w:keepNext/>
            </w:pPr>
          </w:p>
        </w:tc>
        <w:tc>
          <w:tcPr>
            <w:tcW w:w="13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848F5DF" w14:textId="77777777" w:rsidR="00B52D58" w:rsidRDefault="00B52D58" w:rsidP="00D47172">
            <w:pPr>
              <w:keepNext/>
            </w:pPr>
          </w:p>
        </w:tc>
      </w:tr>
      <w:tr w:rsidR="00B52D58" w14:paraId="35068FA8" w14:textId="77777777" w:rsidTr="00D47172">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center"/>
          </w:tcPr>
          <w:p w14:paraId="7B783BD9" w14:textId="77777777" w:rsidR="00B52D58" w:rsidRDefault="00B52D58" w:rsidP="00D47172">
            <w:pPr>
              <w:keepNext/>
              <w:ind w:left="360"/>
            </w:pPr>
            <w:r>
              <w:rPr>
                <w:color w:val="000000"/>
                <w:sz w:val="20"/>
              </w:rPr>
              <w:t>Cost of sales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E9CEB0B"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4F1DE88" w14:textId="77777777" w:rsidR="00B52D58" w:rsidRDefault="00B52D58" w:rsidP="00D47172">
            <w:pPr>
              <w:keepNext/>
              <w:tabs>
                <w:tab w:val="left" w:pos="722"/>
                <w:tab w:val="left" w:pos="1237"/>
              </w:tabs>
              <w:spacing w:before="75" w:after="30"/>
              <w:jc w:val="right"/>
            </w:pPr>
            <w:r>
              <w:rPr>
                <w:color w:val="000000"/>
                <w:sz w:val="20"/>
              </w:rPr>
              <w:tab/>
              <w:t>1,381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F309EE"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FD0D97B" w14:textId="77777777" w:rsidR="00B52D58" w:rsidRDefault="00B52D58" w:rsidP="00D47172">
            <w:pPr>
              <w:keepNext/>
              <w:tabs>
                <w:tab w:val="left" w:pos="872"/>
                <w:tab w:val="left" w:pos="1237"/>
              </w:tabs>
              <w:spacing w:before="75" w:after="30"/>
              <w:jc w:val="right"/>
            </w:pPr>
            <w:r>
              <w:rPr>
                <w:color w:val="000000"/>
                <w:sz w:val="20"/>
              </w:rPr>
              <w:tab/>
              <w:t>750</w:t>
            </w:r>
            <w:r>
              <w:rPr>
                <w:color w:val="000000"/>
                <w:sz w:val="20"/>
              </w:rPr>
              <w:tab/>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14:paraId="3A3444C9" w14:textId="77777777" w:rsidR="00B52D58" w:rsidRDefault="00B52D58" w:rsidP="00D47172">
            <w:pPr>
              <w:keepNext/>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023FABAA" w14:textId="77777777" w:rsidR="00B52D58" w:rsidRDefault="00B52D58" w:rsidP="00D47172">
            <w:pPr>
              <w:keepNext/>
              <w:tabs>
                <w:tab w:val="left" w:pos="932"/>
                <w:tab w:val="left" w:pos="1447"/>
              </w:tabs>
              <w:spacing w:before="75" w:after="30"/>
              <w:jc w:val="right"/>
            </w:pPr>
            <w:r>
              <w:rPr>
                <w:color w:val="000000"/>
                <w:sz w:val="20"/>
              </w:rPr>
              <w:tab/>
              <w:t>2,398</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A947A9" w14:textId="77777777" w:rsidR="00B52D58" w:rsidRDefault="00B52D58" w:rsidP="00D47172">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7C2F135B" w14:textId="77777777" w:rsidR="00B52D58" w:rsidRDefault="00B52D58" w:rsidP="00D47172">
            <w:pPr>
              <w:keepNext/>
              <w:tabs>
                <w:tab w:val="left" w:pos="947"/>
                <w:tab w:val="left" w:pos="1312"/>
              </w:tabs>
              <w:spacing w:before="75" w:after="30"/>
              <w:jc w:val="right"/>
            </w:pPr>
            <w:r>
              <w:rPr>
                <w:color w:val="000000"/>
                <w:sz w:val="20"/>
              </w:rPr>
              <w:tab/>
              <w:t>943</w:t>
            </w:r>
            <w:r>
              <w:rPr>
                <w:color w:val="000000"/>
                <w:sz w:val="20"/>
              </w:rPr>
              <w:tab/>
            </w:r>
          </w:p>
        </w:tc>
      </w:tr>
      <w:tr w:rsidR="00B52D58" w14:paraId="78A46E3B" w14:textId="77777777" w:rsidTr="00D47172">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center"/>
          </w:tcPr>
          <w:p w14:paraId="57C1F4C6" w14:textId="77777777" w:rsidR="00B52D58" w:rsidRDefault="00B52D58" w:rsidP="00D47172">
            <w:pPr>
              <w:keepNext/>
              <w:ind w:left="360"/>
            </w:pPr>
            <w:r>
              <w:rPr>
                <w:color w:val="000000"/>
                <w:sz w:val="20"/>
              </w:rPr>
              <w:t>Research and development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D83A7A"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0483F65" w14:textId="77777777" w:rsidR="00B52D58" w:rsidRDefault="00B52D58" w:rsidP="00D47172">
            <w:pPr>
              <w:keepNext/>
              <w:tabs>
                <w:tab w:val="left" w:pos="872"/>
                <w:tab w:val="left" w:pos="1237"/>
              </w:tabs>
              <w:spacing w:before="75" w:after="30"/>
              <w:jc w:val="right"/>
            </w:pPr>
            <w:r>
              <w:rPr>
                <w:color w:val="000000"/>
                <w:sz w:val="20"/>
              </w:rPr>
              <w:tab/>
              <w:t>710</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B5072B"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1E0D1AB" w14:textId="77777777" w:rsidR="00B52D58" w:rsidRDefault="00B52D58" w:rsidP="00D47172">
            <w:pPr>
              <w:keepNext/>
              <w:tabs>
                <w:tab w:val="left" w:pos="872"/>
                <w:tab w:val="left" w:pos="1237"/>
              </w:tabs>
              <w:spacing w:before="75" w:after="30"/>
              <w:jc w:val="right"/>
            </w:pPr>
            <w:r>
              <w:rPr>
                <w:color w:val="000000"/>
                <w:sz w:val="20"/>
              </w:rPr>
              <w:tab/>
              <w:t>421</w:t>
            </w:r>
            <w:r>
              <w:rPr>
                <w:color w:val="000000"/>
                <w:sz w:val="20"/>
              </w:rPr>
              <w:tab/>
            </w:r>
          </w:p>
        </w:tc>
        <w:tc>
          <w:tcPr>
            <w:tcW w:w="135" w:type="dxa"/>
            <w:tcBorders>
              <w:top w:val="nil"/>
              <w:left w:val="nil"/>
              <w:bottom w:val="nil"/>
              <w:right w:val="nil"/>
            </w:tcBorders>
            <w:shd w:val="clear" w:color="auto" w:fill="FFFFFF"/>
            <w:tcMar>
              <w:top w:w="0" w:type="dxa"/>
              <w:left w:w="0" w:type="dxa"/>
              <w:bottom w:w="0" w:type="dxa"/>
              <w:right w:w="0" w:type="dxa"/>
            </w:tcMar>
            <w:vAlign w:val="bottom"/>
          </w:tcPr>
          <w:p w14:paraId="48D846D1" w14:textId="77777777" w:rsidR="00B52D58" w:rsidRDefault="00B52D58" w:rsidP="00D47172">
            <w:pPr>
              <w:keepNext/>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14:paraId="2C219485" w14:textId="77777777" w:rsidR="00B52D58" w:rsidRDefault="00B52D58" w:rsidP="00D47172">
            <w:pPr>
              <w:keepNext/>
              <w:tabs>
                <w:tab w:val="left" w:pos="932"/>
                <w:tab w:val="left" w:pos="1447"/>
              </w:tabs>
              <w:spacing w:before="75" w:after="30"/>
              <w:jc w:val="right"/>
            </w:pPr>
            <w:r>
              <w:rPr>
                <w:color w:val="000000"/>
                <w:sz w:val="20"/>
              </w:rPr>
              <w:tab/>
              <w:t>1,264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4B8EEE" w14:textId="77777777" w:rsidR="00B52D58" w:rsidRDefault="00B52D58" w:rsidP="00D47172">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30B7076B" w14:textId="77777777" w:rsidR="00B52D58" w:rsidRDefault="00B52D58" w:rsidP="00D47172">
            <w:pPr>
              <w:keepNext/>
              <w:tabs>
                <w:tab w:val="left" w:pos="947"/>
                <w:tab w:val="left" w:pos="1312"/>
              </w:tabs>
              <w:spacing w:before="75" w:after="30"/>
              <w:jc w:val="right"/>
            </w:pPr>
            <w:r>
              <w:rPr>
                <w:color w:val="000000"/>
                <w:sz w:val="20"/>
              </w:rPr>
              <w:tab/>
              <w:t>822</w:t>
            </w:r>
            <w:r>
              <w:rPr>
                <w:color w:val="000000"/>
                <w:sz w:val="20"/>
              </w:rPr>
              <w:tab/>
            </w:r>
          </w:p>
        </w:tc>
      </w:tr>
      <w:tr w:rsidR="00B52D58" w14:paraId="550C6153" w14:textId="77777777" w:rsidTr="00D47172">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center"/>
          </w:tcPr>
          <w:p w14:paraId="5725CFE2" w14:textId="77777777" w:rsidR="00B52D58" w:rsidRDefault="00B52D58" w:rsidP="00D47172">
            <w:pPr>
              <w:keepNext/>
              <w:ind w:left="360"/>
            </w:pPr>
            <w:r>
              <w:rPr>
                <w:color w:val="000000"/>
                <w:sz w:val="20"/>
              </w:rPr>
              <w:t>Selling, general and administrative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A4F415" w14:textId="77777777" w:rsidR="00B52D58" w:rsidRDefault="00B52D58" w:rsidP="00D47172">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334A172" w14:textId="77777777" w:rsidR="00B52D58" w:rsidRDefault="00B52D58" w:rsidP="00D47172">
            <w:pPr>
              <w:keepNext/>
              <w:tabs>
                <w:tab w:val="left" w:pos="872"/>
                <w:tab w:val="left" w:pos="1237"/>
              </w:tabs>
              <w:spacing w:before="75" w:after="30"/>
              <w:jc w:val="right"/>
            </w:pPr>
            <w:r>
              <w:rPr>
                <w:color w:val="000000"/>
                <w:sz w:val="20"/>
              </w:rPr>
              <w:tab/>
              <w:t>211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2267C3" w14:textId="77777777" w:rsidR="00B52D58" w:rsidRDefault="00B52D58" w:rsidP="00D47172">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3F3530C" w14:textId="77777777" w:rsidR="00B52D58" w:rsidRDefault="00B52D58" w:rsidP="00D47172">
            <w:pPr>
              <w:keepNext/>
              <w:tabs>
                <w:tab w:val="left" w:pos="872"/>
                <w:tab w:val="left" w:pos="1237"/>
              </w:tabs>
              <w:spacing w:before="75" w:after="30"/>
              <w:jc w:val="right"/>
            </w:pPr>
            <w:r>
              <w:rPr>
                <w:color w:val="000000"/>
                <w:sz w:val="20"/>
              </w:rPr>
              <w:tab/>
              <w:t>121</w:t>
            </w:r>
            <w:r>
              <w:rPr>
                <w:color w:val="000000"/>
                <w:sz w:val="20"/>
              </w:rPr>
              <w:tab/>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14:paraId="78C5B777" w14:textId="77777777" w:rsidR="00B52D58" w:rsidRDefault="00B52D58" w:rsidP="00D47172">
            <w:pPr>
              <w:keepNext/>
            </w:pP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41C54B4" w14:textId="77777777" w:rsidR="00B52D58" w:rsidRDefault="00B52D58" w:rsidP="00D47172">
            <w:pPr>
              <w:keepNext/>
              <w:tabs>
                <w:tab w:val="left" w:pos="1082"/>
                <w:tab w:val="left" w:pos="1447"/>
              </w:tabs>
              <w:spacing w:before="75" w:after="30"/>
              <w:jc w:val="right"/>
            </w:pPr>
            <w:r>
              <w:rPr>
                <w:color w:val="000000"/>
                <w:sz w:val="20"/>
              </w:rPr>
              <w:tab/>
              <w:t>479</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EA5C9F" w14:textId="77777777" w:rsidR="00B52D58" w:rsidRDefault="00B52D58" w:rsidP="00D47172">
            <w:pPr>
              <w:keepNext/>
            </w:pPr>
          </w:p>
        </w:tc>
        <w:tc>
          <w:tcPr>
            <w:tcW w:w="13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F03ACC" w14:textId="77777777" w:rsidR="00B52D58" w:rsidRDefault="00B52D58" w:rsidP="00D47172">
            <w:pPr>
              <w:keepNext/>
              <w:tabs>
                <w:tab w:val="left" w:pos="947"/>
                <w:tab w:val="left" w:pos="1312"/>
              </w:tabs>
              <w:spacing w:before="75" w:after="30"/>
              <w:jc w:val="right"/>
            </w:pPr>
            <w:r>
              <w:rPr>
                <w:color w:val="000000"/>
                <w:sz w:val="20"/>
              </w:rPr>
              <w:tab/>
              <w:t>198</w:t>
            </w:r>
            <w:r>
              <w:rPr>
                <w:color w:val="000000"/>
                <w:sz w:val="20"/>
              </w:rPr>
              <w:tab/>
            </w:r>
          </w:p>
        </w:tc>
      </w:tr>
      <w:tr w:rsidR="00B52D58" w14:paraId="21D1D38F" w14:textId="77777777" w:rsidTr="00D47172">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center"/>
          </w:tcPr>
          <w:p w14:paraId="56FE965A" w14:textId="77777777" w:rsidR="00B52D58" w:rsidRDefault="00B52D58" w:rsidP="00D47172">
            <w:pPr>
              <w:keepNext/>
              <w:ind w:left="720"/>
            </w:pPr>
            <w:r>
              <w:rPr>
                <w:color w:val="000000"/>
                <w:sz w:val="20"/>
              </w:rPr>
              <w:t>Total operating expenses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DAEC6F" w14:textId="77777777" w:rsidR="00B52D58" w:rsidRDefault="00B52D58" w:rsidP="00D47172">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0CAD5431" w14:textId="77777777" w:rsidR="00B52D58" w:rsidRDefault="00B52D58" w:rsidP="00D47172">
            <w:pPr>
              <w:keepNext/>
              <w:tabs>
                <w:tab w:val="left" w:pos="722"/>
                <w:tab w:val="left" w:pos="1237"/>
              </w:tabs>
              <w:jc w:val="right"/>
            </w:pPr>
            <w:r>
              <w:rPr>
                <w:color w:val="000000"/>
                <w:sz w:val="20"/>
              </w:rPr>
              <w:tab/>
              <w:t>2,302</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08384A2" w14:textId="77777777" w:rsidR="00B52D58" w:rsidRDefault="00B52D58" w:rsidP="00D47172">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00843AD5" w14:textId="77777777" w:rsidR="00B52D58" w:rsidRDefault="00B52D58" w:rsidP="00D47172">
            <w:pPr>
              <w:keepNext/>
              <w:tabs>
                <w:tab w:val="left" w:pos="722"/>
                <w:tab w:val="left" w:pos="1237"/>
              </w:tabs>
              <w:jc w:val="right"/>
            </w:pPr>
            <w:r>
              <w:rPr>
                <w:color w:val="000000"/>
                <w:sz w:val="20"/>
              </w:rPr>
              <w:tab/>
              <w:t>1,292</w:t>
            </w:r>
            <w:r>
              <w:rPr>
                <w:color w:val="000000"/>
                <w:sz w:val="20"/>
              </w:rPr>
              <w:tab/>
            </w:r>
          </w:p>
        </w:tc>
        <w:tc>
          <w:tcPr>
            <w:tcW w:w="135" w:type="dxa"/>
            <w:tcBorders>
              <w:top w:val="nil"/>
              <w:left w:val="nil"/>
              <w:bottom w:val="nil"/>
              <w:right w:val="nil"/>
            </w:tcBorders>
            <w:shd w:val="clear" w:color="auto" w:fill="FFFFFF"/>
            <w:tcMar>
              <w:top w:w="0" w:type="dxa"/>
              <w:left w:w="0" w:type="dxa"/>
              <w:bottom w:w="0" w:type="dxa"/>
              <w:right w:w="0" w:type="dxa"/>
            </w:tcMar>
            <w:vAlign w:val="bottom"/>
          </w:tcPr>
          <w:p w14:paraId="6BD1BA25" w14:textId="77777777" w:rsidR="00B52D58" w:rsidRDefault="00B52D58" w:rsidP="00D47172">
            <w:pPr>
              <w:keepNext/>
            </w:pPr>
          </w:p>
        </w:tc>
        <w:tc>
          <w:tcPr>
            <w:tcW w:w="151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7DF0331" w14:textId="77777777" w:rsidR="00B52D58" w:rsidRDefault="00B52D58" w:rsidP="00D47172">
            <w:pPr>
              <w:keepNext/>
              <w:tabs>
                <w:tab w:val="left" w:pos="932"/>
                <w:tab w:val="left" w:pos="1447"/>
              </w:tabs>
              <w:jc w:val="right"/>
            </w:pPr>
            <w:r>
              <w:rPr>
                <w:color w:val="000000"/>
                <w:sz w:val="20"/>
              </w:rPr>
              <w:tab/>
              <w:t>4,141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18A6DCD" w14:textId="77777777" w:rsidR="00B52D58" w:rsidRDefault="00B52D58" w:rsidP="00D47172">
            <w:pPr>
              <w:keepNext/>
            </w:pPr>
          </w:p>
        </w:tc>
        <w:tc>
          <w:tcPr>
            <w:tcW w:w="138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center"/>
          </w:tcPr>
          <w:p w14:paraId="66A34D1A" w14:textId="77777777" w:rsidR="00B52D58" w:rsidRDefault="00B52D58" w:rsidP="00D47172">
            <w:pPr>
              <w:keepNext/>
              <w:tabs>
                <w:tab w:val="left" w:pos="797"/>
                <w:tab w:val="left" w:pos="1312"/>
              </w:tabs>
              <w:jc w:val="right"/>
            </w:pPr>
            <w:r>
              <w:rPr>
                <w:color w:val="000000"/>
                <w:sz w:val="20"/>
              </w:rPr>
              <w:tab/>
              <w:t>1,963</w:t>
            </w:r>
            <w:r>
              <w:rPr>
                <w:color w:val="000000"/>
                <w:sz w:val="20"/>
              </w:rPr>
              <w:tab/>
            </w:r>
          </w:p>
        </w:tc>
      </w:tr>
      <w:tr w:rsidR="00B52D58" w14:paraId="283C0A38" w14:textId="77777777" w:rsidTr="00D47172">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center"/>
          </w:tcPr>
          <w:p w14:paraId="09ADEB1F" w14:textId="77777777" w:rsidR="00B52D58" w:rsidRDefault="00B52D58" w:rsidP="00D47172">
            <w:pPr>
              <w:keepNext/>
              <w:ind w:left="180" w:hanging="180"/>
            </w:pPr>
            <w:r>
              <w:rPr>
                <w:color w:val="000000"/>
                <w:sz w:val="20"/>
              </w:rPr>
              <w:t>Income from operations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21B364" w14:textId="77777777" w:rsidR="00B52D58" w:rsidRDefault="00B52D58" w:rsidP="00D47172">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57EBE6D5" w14:textId="77777777" w:rsidR="00B52D58" w:rsidRDefault="00B52D58" w:rsidP="00D47172">
            <w:pPr>
              <w:keepNext/>
              <w:tabs>
                <w:tab w:val="left" w:pos="722"/>
                <w:tab w:val="left" w:pos="1237"/>
              </w:tabs>
              <w:jc w:val="right"/>
            </w:pPr>
            <w:r>
              <w:rPr>
                <w:color w:val="000000"/>
                <w:sz w:val="20"/>
              </w:rPr>
              <w:tab/>
              <w:t>2,447</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035B9D" w14:textId="77777777" w:rsidR="00B52D58" w:rsidRDefault="00B52D58" w:rsidP="00D47172">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6BDE4E87" w14:textId="77777777" w:rsidR="00B52D58" w:rsidRDefault="00B52D58" w:rsidP="00D47172">
            <w:pPr>
              <w:keepNext/>
              <w:tabs>
                <w:tab w:val="left" w:pos="722"/>
                <w:tab w:val="left" w:pos="1237"/>
              </w:tabs>
              <w:jc w:val="right"/>
            </w:pPr>
            <w:r>
              <w:rPr>
                <w:color w:val="000000"/>
                <w:sz w:val="20"/>
              </w:rPr>
              <w:tab/>
              <w:t>3,062</w:t>
            </w:r>
            <w:r>
              <w:rPr>
                <w:color w:val="000000"/>
                <w:sz w:val="20"/>
              </w:rPr>
              <w:tab/>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14:paraId="4A778F99" w14:textId="77777777" w:rsidR="00B52D58" w:rsidRDefault="00B52D58" w:rsidP="00D47172">
            <w:pPr>
              <w:keepNext/>
            </w:pP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67CCB27A" w14:textId="77777777" w:rsidR="00B52D58" w:rsidRDefault="00B52D58" w:rsidP="00D47172">
            <w:pPr>
              <w:keepNext/>
              <w:tabs>
                <w:tab w:val="left" w:pos="932"/>
                <w:tab w:val="left" w:pos="1447"/>
              </w:tabs>
              <w:jc w:val="right"/>
            </w:pPr>
            <w:r>
              <w:rPr>
                <w:color w:val="000000"/>
                <w:sz w:val="20"/>
              </w:rPr>
              <w:tab/>
              <w:t>6,674</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E7E09E" w14:textId="77777777" w:rsidR="00B52D58" w:rsidRDefault="00B52D58" w:rsidP="00D47172">
            <w:pPr>
              <w:keepNext/>
            </w:pPr>
          </w:p>
        </w:tc>
        <w:tc>
          <w:tcPr>
            <w:tcW w:w="1380" w:type="dxa"/>
            <w:tcBorders>
              <w:top w:val="single" w:sz="8" w:space="0" w:color="000000"/>
              <w:left w:val="nil"/>
              <w:bottom w:val="nil"/>
              <w:right w:val="nil"/>
            </w:tcBorders>
            <w:shd w:val="clear" w:color="auto" w:fill="CCEEFF"/>
            <w:tcMar>
              <w:top w:w="0" w:type="dxa"/>
              <w:left w:w="0" w:type="dxa"/>
              <w:bottom w:w="0" w:type="dxa"/>
              <w:right w:w="15" w:type="dxa"/>
            </w:tcMar>
            <w:vAlign w:val="center"/>
          </w:tcPr>
          <w:p w14:paraId="04A0CF44" w14:textId="77777777" w:rsidR="00B52D58" w:rsidRDefault="00B52D58" w:rsidP="00D47172">
            <w:pPr>
              <w:keepNext/>
              <w:tabs>
                <w:tab w:val="left" w:pos="797"/>
                <w:tab w:val="left" w:pos="1312"/>
              </w:tabs>
              <w:jc w:val="right"/>
            </w:pPr>
            <w:r>
              <w:rPr>
                <w:color w:val="000000"/>
                <w:sz w:val="20"/>
              </w:rPr>
              <w:tab/>
              <w:t>4,328</w:t>
            </w:r>
            <w:r>
              <w:rPr>
                <w:color w:val="000000"/>
                <w:sz w:val="20"/>
              </w:rPr>
              <w:tab/>
            </w:r>
          </w:p>
        </w:tc>
      </w:tr>
      <w:tr w:rsidR="00B52D58" w14:paraId="173F9F7B" w14:textId="77777777" w:rsidTr="00D47172">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center"/>
          </w:tcPr>
          <w:p w14:paraId="2260C7C2" w14:textId="77777777" w:rsidR="00B52D58" w:rsidRDefault="00B52D58" w:rsidP="00D47172">
            <w:pPr>
              <w:keepNext/>
              <w:ind w:left="180" w:hanging="180"/>
              <w:rPr>
                <w:sz w:val="20"/>
              </w:rPr>
            </w:pPr>
            <w:r>
              <w:rPr>
                <w:sz w:val="20"/>
              </w:rPr>
              <w:t>Interest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DC26E7"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9CD6C6C" w14:textId="77777777" w:rsidR="00B52D58" w:rsidRDefault="00B52D58" w:rsidP="00D47172">
            <w:pPr>
              <w:keepNext/>
              <w:tabs>
                <w:tab w:val="left" w:pos="972"/>
                <w:tab w:val="left" w:pos="1237"/>
              </w:tabs>
              <w:spacing w:before="75" w:after="30"/>
              <w:jc w:val="right"/>
            </w:pPr>
            <w:r>
              <w:rPr>
                <w:color w:val="000000"/>
                <w:sz w:val="20"/>
              </w:rPr>
              <w:tab/>
              <w:t>40</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C5327D"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02EDBA6" w14:textId="77777777" w:rsidR="00B52D58" w:rsidRDefault="00B52D58" w:rsidP="00D47172">
            <w:pPr>
              <w:keepNext/>
              <w:tabs>
                <w:tab w:val="left" w:pos="1072"/>
                <w:tab w:val="left" w:pos="1237"/>
              </w:tabs>
              <w:spacing w:before="75" w:after="30"/>
              <w:jc w:val="right"/>
            </w:pPr>
            <w:r>
              <w:rPr>
                <w:color w:val="000000"/>
                <w:sz w:val="20"/>
              </w:rPr>
              <w:tab/>
              <w:t>3</w:t>
            </w:r>
            <w:r>
              <w:rPr>
                <w:color w:val="000000"/>
                <w:sz w:val="20"/>
              </w:rPr>
              <w:tab/>
            </w:r>
          </w:p>
        </w:tc>
        <w:tc>
          <w:tcPr>
            <w:tcW w:w="135" w:type="dxa"/>
            <w:tcBorders>
              <w:top w:val="nil"/>
              <w:left w:val="nil"/>
              <w:bottom w:val="nil"/>
              <w:right w:val="nil"/>
            </w:tcBorders>
            <w:shd w:val="clear" w:color="auto" w:fill="FFFFFF"/>
            <w:tcMar>
              <w:top w:w="0" w:type="dxa"/>
              <w:left w:w="0" w:type="dxa"/>
              <w:bottom w:w="0" w:type="dxa"/>
              <w:right w:w="0" w:type="dxa"/>
            </w:tcMar>
            <w:vAlign w:val="bottom"/>
          </w:tcPr>
          <w:p w14:paraId="60AD3B0E" w14:textId="77777777" w:rsidR="00B52D58" w:rsidRDefault="00B52D58" w:rsidP="00D47172">
            <w:pPr>
              <w:keepNext/>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14:paraId="70BF7A6D" w14:textId="77777777" w:rsidR="00B52D58" w:rsidRDefault="00B52D58" w:rsidP="00D47172">
            <w:pPr>
              <w:keepNext/>
              <w:tabs>
                <w:tab w:val="left" w:pos="1182"/>
                <w:tab w:val="left" w:pos="1447"/>
              </w:tabs>
              <w:spacing w:before="75" w:after="30"/>
              <w:jc w:val="right"/>
            </w:pPr>
            <w:r>
              <w:rPr>
                <w:color w:val="000000"/>
                <w:sz w:val="20"/>
              </w:rPr>
              <w:tab/>
              <w:t>55</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CC8887A" w14:textId="77777777" w:rsidR="00B52D58" w:rsidRDefault="00B52D58" w:rsidP="00D47172">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3428AB47" w14:textId="77777777" w:rsidR="00B52D58" w:rsidRDefault="00B52D58" w:rsidP="00D47172">
            <w:pPr>
              <w:keepNext/>
              <w:tabs>
                <w:tab w:val="left" w:pos="1147"/>
                <w:tab w:val="left" w:pos="1312"/>
              </w:tabs>
              <w:spacing w:before="75" w:after="30"/>
              <w:jc w:val="right"/>
            </w:pPr>
            <w:r>
              <w:rPr>
                <w:color w:val="000000"/>
                <w:sz w:val="20"/>
              </w:rPr>
              <w:tab/>
              <w:t>7</w:t>
            </w:r>
            <w:r>
              <w:rPr>
                <w:color w:val="000000"/>
                <w:sz w:val="20"/>
              </w:rPr>
              <w:tab/>
            </w:r>
          </w:p>
        </w:tc>
      </w:tr>
      <w:tr w:rsidR="00B52D58" w14:paraId="2D5BF298" w14:textId="77777777" w:rsidTr="00D47172">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center"/>
          </w:tcPr>
          <w:p w14:paraId="7ED5FF9B" w14:textId="77777777" w:rsidR="00B52D58" w:rsidRDefault="00B52D58" w:rsidP="00D47172">
            <w:pPr>
              <w:keepNext/>
              <w:ind w:left="180" w:hanging="180"/>
              <w:rPr>
                <w:sz w:val="20"/>
              </w:rPr>
            </w:pPr>
            <w:r>
              <w:rPr>
                <w:sz w:val="20"/>
              </w:rPr>
              <w:t>Other expense,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BBD9E9" w14:textId="77777777" w:rsidR="00B52D58" w:rsidRDefault="00B52D58" w:rsidP="00D47172">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BA3C28C" w14:textId="77777777" w:rsidR="00B52D58" w:rsidRDefault="00B52D58" w:rsidP="00D47172">
            <w:pPr>
              <w:keepNext/>
              <w:tabs>
                <w:tab w:val="left" w:pos="906"/>
              </w:tabs>
              <w:spacing w:before="75" w:after="30"/>
              <w:jc w:val="right"/>
            </w:pPr>
            <w:r>
              <w:rPr>
                <w:color w:val="000000"/>
                <w:sz w:val="20"/>
              </w:rPr>
              <w:tab/>
              <w:t>(13)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46B34EC" w14:textId="77777777" w:rsidR="00B52D58" w:rsidRDefault="00B52D58" w:rsidP="00D47172">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FDA2730" w14:textId="77777777" w:rsidR="00B52D58" w:rsidRDefault="00B52D58" w:rsidP="00D47172">
            <w:pPr>
              <w:keepNext/>
              <w:tabs>
                <w:tab w:val="left" w:pos="1006"/>
              </w:tabs>
              <w:spacing w:before="75" w:after="30"/>
              <w:jc w:val="right"/>
            </w:pPr>
            <w:r>
              <w:rPr>
                <w:color w:val="000000"/>
                <w:sz w:val="20"/>
              </w:rPr>
              <w:tab/>
              <w:t>(2)</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14:paraId="4F1E3407" w14:textId="77777777" w:rsidR="00B52D58" w:rsidRDefault="00B52D58" w:rsidP="00D47172">
            <w:pPr>
              <w:keepNext/>
            </w:pP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4BED758" w14:textId="77777777" w:rsidR="00B52D58" w:rsidRDefault="00B52D58" w:rsidP="00D47172">
            <w:pPr>
              <w:keepNext/>
              <w:tabs>
                <w:tab w:val="left" w:pos="1116"/>
              </w:tabs>
              <w:spacing w:before="75" w:after="30"/>
              <w:jc w:val="right"/>
            </w:pPr>
            <w:r>
              <w:rPr>
                <w:color w:val="000000"/>
                <w:sz w:val="20"/>
              </w:rPr>
              <w:tab/>
              <w:t>(26)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8582CE7" w14:textId="77777777" w:rsidR="00B52D58" w:rsidRDefault="00B52D58" w:rsidP="00D47172">
            <w:pPr>
              <w:keepNext/>
            </w:pPr>
          </w:p>
        </w:tc>
        <w:tc>
          <w:tcPr>
            <w:tcW w:w="13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9BF5CE8" w14:textId="77777777" w:rsidR="00B52D58" w:rsidRDefault="00B52D58" w:rsidP="00D47172">
            <w:pPr>
              <w:keepNext/>
              <w:tabs>
                <w:tab w:val="left" w:pos="981"/>
              </w:tabs>
              <w:spacing w:before="75" w:after="30"/>
              <w:jc w:val="right"/>
            </w:pPr>
            <w:r>
              <w:rPr>
                <w:color w:val="000000"/>
                <w:sz w:val="20"/>
              </w:rPr>
              <w:tab/>
              <w:t>(12)</w:t>
            </w:r>
          </w:p>
        </w:tc>
      </w:tr>
      <w:tr w:rsidR="00B52D58" w14:paraId="6B6E927E" w14:textId="77777777" w:rsidTr="00D47172">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center"/>
          </w:tcPr>
          <w:p w14:paraId="3B76818B" w14:textId="77777777" w:rsidR="00B52D58" w:rsidRDefault="00B52D58" w:rsidP="00D47172">
            <w:pPr>
              <w:keepNext/>
              <w:ind w:left="180" w:hanging="180"/>
            </w:pPr>
            <w:r>
              <w:rPr>
                <w:color w:val="000000"/>
                <w:sz w:val="20"/>
              </w:rPr>
              <w:t>Income before income taxes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54808C" w14:textId="77777777" w:rsidR="00B52D58" w:rsidRDefault="00B52D58" w:rsidP="00D47172">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60D44689" w14:textId="77777777" w:rsidR="00B52D58" w:rsidRDefault="00B52D58" w:rsidP="00D47172">
            <w:pPr>
              <w:keepNext/>
              <w:tabs>
                <w:tab w:val="left" w:pos="722"/>
                <w:tab w:val="left" w:pos="1237"/>
              </w:tabs>
              <w:jc w:val="right"/>
            </w:pPr>
            <w:r>
              <w:rPr>
                <w:color w:val="000000"/>
                <w:sz w:val="20"/>
              </w:rPr>
              <w:tab/>
              <w:t>2,474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AA2E124" w14:textId="77777777" w:rsidR="00B52D58" w:rsidRDefault="00B52D58" w:rsidP="00D47172">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65A40714" w14:textId="77777777" w:rsidR="00B52D58" w:rsidRDefault="00B52D58" w:rsidP="00D47172">
            <w:pPr>
              <w:keepNext/>
              <w:tabs>
                <w:tab w:val="left" w:pos="722"/>
                <w:tab w:val="left" w:pos="1237"/>
              </w:tabs>
              <w:jc w:val="right"/>
            </w:pPr>
            <w:r>
              <w:rPr>
                <w:color w:val="000000"/>
                <w:sz w:val="20"/>
              </w:rPr>
              <w:tab/>
              <w:t>3,063</w:t>
            </w:r>
            <w:r>
              <w:rPr>
                <w:color w:val="000000"/>
                <w:sz w:val="20"/>
              </w:rPr>
              <w:tab/>
            </w:r>
          </w:p>
        </w:tc>
        <w:tc>
          <w:tcPr>
            <w:tcW w:w="135" w:type="dxa"/>
            <w:tcBorders>
              <w:top w:val="nil"/>
              <w:left w:val="nil"/>
              <w:bottom w:val="nil"/>
              <w:right w:val="nil"/>
            </w:tcBorders>
            <w:shd w:val="clear" w:color="auto" w:fill="FFFFFF"/>
            <w:tcMar>
              <w:top w:w="0" w:type="dxa"/>
              <w:left w:w="0" w:type="dxa"/>
              <w:bottom w:w="0" w:type="dxa"/>
              <w:right w:w="0" w:type="dxa"/>
            </w:tcMar>
            <w:vAlign w:val="bottom"/>
          </w:tcPr>
          <w:p w14:paraId="60B084C6" w14:textId="77777777" w:rsidR="00B52D58" w:rsidRDefault="00B52D58" w:rsidP="00D47172">
            <w:pPr>
              <w:keepNext/>
            </w:pPr>
          </w:p>
        </w:tc>
        <w:tc>
          <w:tcPr>
            <w:tcW w:w="1515"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6EE27918" w14:textId="77777777" w:rsidR="00B52D58" w:rsidRDefault="00B52D58" w:rsidP="00D47172">
            <w:pPr>
              <w:keepNext/>
              <w:tabs>
                <w:tab w:val="left" w:pos="932"/>
                <w:tab w:val="left" w:pos="1447"/>
              </w:tabs>
              <w:jc w:val="right"/>
            </w:pPr>
            <w:r>
              <w:rPr>
                <w:color w:val="000000"/>
                <w:sz w:val="20"/>
              </w:rPr>
              <w:tab/>
              <w:t>6,703</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14C6D68" w14:textId="77777777" w:rsidR="00B52D58" w:rsidRDefault="00B52D58" w:rsidP="00D47172">
            <w:pPr>
              <w:keepNext/>
            </w:pPr>
          </w:p>
        </w:tc>
        <w:tc>
          <w:tcPr>
            <w:tcW w:w="1380" w:type="dxa"/>
            <w:tcBorders>
              <w:top w:val="single" w:sz="8" w:space="0" w:color="000000"/>
              <w:left w:val="nil"/>
              <w:bottom w:val="nil"/>
              <w:right w:val="nil"/>
            </w:tcBorders>
            <w:shd w:val="clear" w:color="auto" w:fill="FFFFFF"/>
            <w:tcMar>
              <w:top w:w="0" w:type="dxa"/>
              <w:left w:w="0" w:type="dxa"/>
              <w:bottom w:w="0" w:type="dxa"/>
              <w:right w:w="15" w:type="dxa"/>
            </w:tcMar>
            <w:vAlign w:val="center"/>
          </w:tcPr>
          <w:p w14:paraId="6C0DE09B" w14:textId="77777777" w:rsidR="00B52D58" w:rsidRDefault="00B52D58" w:rsidP="00D47172">
            <w:pPr>
              <w:keepNext/>
              <w:tabs>
                <w:tab w:val="left" w:pos="797"/>
                <w:tab w:val="left" w:pos="1312"/>
              </w:tabs>
              <w:jc w:val="right"/>
            </w:pPr>
            <w:r>
              <w:rPr>
                <w:color w:val="000000"/>
                <w:sz w:val="20"/>
              </w:rPr>
              <w:tab/>
              <w:t>4,323</w:t>
            </w:r>
            <w:r>
              <w:rPr>
                <w:color w:val="000000"/>
                <w:sz w:val="20"/>
              </w:rPr>
              <w:tab/>
            </w:r>
          </w:p>
        </w:tc>
      </w:tr>
      <w:tr w:rsidR="00B52D58" w14:paraId="149596CB" w14:textId="77777777" w:rsidTr="00D47172">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center"/>
          </w:tcPr>
          <w:p w14:paraId="0BF6DEA4" w14:textId="77777777" w:rsidR="00B52D58" w:rsidRDefault="00B52D58" w:rsidP="00D47172">
            <w:pPr>
              <w:keepNext/>
            </w:pPr>
            <w:r>
              <w:rPr>
                <w:color w:val="000000"/>
                <w:sz w:val="20"/>
              </w:rPr>
              <w:t>Provision for income taxes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C7FE97" w14:textId="77777777" w:rsidR="00B52D58" w:rsidRDefault="00B52D58" w:rsidP="00D47172">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center"/>
          </w:tcPr>
          <w:p w14:paraId="4B7EA57F" w14:textId="77777777" w:rsidR="00B52D58" w:rsidRDefault="00B52D58" w:rsidP="00D47172">
            <w:pPr>
              <w:keepNext/>
              <w:tabs>
                <w:tab w:val="left" w:pos="872"/>
                <w:tab w:val="left" w:pos="1237"/>
              </w:tabs>
              <w:jc w:val="right"/>
            </w:pPr>
            <w:r>
              <w:rPr>
                <w:color w:val="000000"/>
                <w:sz w:val="20"/>
              </w:rPr>
              <w:tab/>
              <w:t>277</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9FCD48" w14:textId="77777777" w:rsidR="00B52D58" w:rsidRDefault="00B52D58" w:rsidP="00D47172">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center"/>
          </w:tcPr>
          <w:p w14:paraId="11931C53" w14:textId="77777777" w:rsidR="00B52D58" w:rsidRDefault="00B52D58" w:rsidP="00D47172">
            <w:pPr>
              <w:keepNext/>
              <w:tabs>
                <w:tab w:val="left" w:pos="872"/>
                <w:tab w:val="left" w:pos="1237"/>
              </w:tabs>
              <w:jc w:val="right"/>
            </w:pPr>
            <w:r>
              <w:rPr>
                <w:color w:val="000000"/>
                <w:sz w:val="20"/>
              </w:rPr>
              <w:tab/>
              <w:t>283</w:t>
            </w:r>
            <w:r>
              <w:rPr>
                <w:color w:val="000000"/>
                <w:sz w:val="20"/>
              </w:rPr>
              <w:tab/>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14:paraId="53B25579" w14:textId="77777777" w:rsidR="00B52D58" w:rsidRDefault="00B52D58" w:rsidP="00D47172">
            <w:pPr>
              <w:keepNext/>
            </w:pP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center"/>
          </w:tcPr>
          <w:p w14:paraId="7B85DB12" w14:textId="77777777" w:rsidR="00B52D58" w:rsidRDefault="00B52D58" w:rsidP="00D47172">
            <w:pPr>
              <w:keepNext/>
              <w:tabs>
                <w:tab w:val="left" w:pos="1082"/>
                <w:tab w:val="left" w:pos="1447"/>
              </w:tabs>
              <w:jc w:val="right"/>
            </w:pPr>
            <w:r>
              <w:rPr>
                <w:color w:val="000000"/>
                <w:sz w:val="20"/>
              </w:rPr>
              <w:tab/>
              <w:t>849</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3232C1" w14:textId="77777777" w:rsidR="00B52D58" w:rsidRDefault="00B52D58" w:rsidP="00D47172">
            <w:pPr>
              <w:keepNext/>
            </w:pPr>
          </w:p>
        </w:tc>
        <w:tc>
          <w:tcPr>
            <w:tcW w:w="1380" w:type="dxa"/>
            <w:tcBorders>
              <w:top w:val="nil"/>
              <w:left w:val="nil"/>
              <w:bottom w:val="single" w:sz="8" w:space="0" w:color="000000"/>
              <w:right w:val="nil"/>
            </w:tcBorders>
            <w:shd w:val="clear" w:color="auto" w:fill="CCEEFF"/>
            <w:tcMar>
              <w:top w:w="0" w:type="dxa"/>
              <w:left w:w="0" w:type="dxa"/>
              <w:bottom w:w="0" w:type="dxa"/>
              <w:right w:w="15" w:type="dxa"/>
            </w:tcMar>
            <w:vAlign w:val="center"/>
          </w:tcPr>
          <w:p w14:paraId="75D201A2" w14:textId="77777777" w:rsidR="00B52D58" w:rsidRDefault="00B52D58" w:rsidP="00D47172">
            <w:pPr>
              <w:keepNext/>
              <w:tabs>
                <w:tab w:val="left" w:pos="947"/>
                <w:tab w:val="left" w:pos="1312"/>
              </w:tabs>
              <w:jc w:val="right"/>
            </w:pPr>
            <w:r>
              <w:rPr>
                <w:color w:val="000000"/>
                <w:sz w:val="20"/>
              </w:rPr>
              <w:tab/>
              <w:t>322</w:t>
            </w:r>
            <w:r>
              <w:rPr>
                <w:color w:val="000000"/>
                <w:sz w:val="20"/>
              </w:rPr>
              <w:tab/>
            </w:r>
          </w:p>
        </w:tc>
      </w:tr>
      <w:tr w:rsidR="00B52D58" w14:paraId="76E4C4CF" w14:textId="77777777" w:rsidTr="00D47172">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center"/>
          </w:tcPr>
          <w:p w14:paraId="49C6B5CC" w14:textId="77777777" w:rsidR="00B52D58" w:rsidRDefault="00B52D58" w:rsidP="00D47172">
            <w:pPr>
              <w:keepNext/>
              <w:ind w:left="180" w:hanging="180"/>
            </w:pPr>
            <w:r>
              <w:rPr>
                <w:color w:val="000000"/>
                <w:sz w:val="20"/>
              </w:rPr>
              <w:t>Net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7393AF5" w14:textId="77777777" w:rsidR="00B52D58" w:rsidRDefault="00B52D58" w:rsidP="00D47172">
            <w:pPr>
              <w:keepNext/>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center"/>
          </w:tcPr>
          <w:p w14:paraId="1997BFC5" w14:textId="77777777" w:rsidR="00B52D58" w:rsidRDefault="00B52D58" w:rsidP="00D47172">
            <w:pPr>
              <w:keepNext/>
              <w:tabs>
                <w:tab w:val="left" w:pos="722"/>
                <w:tab w:val="left" w:pos="1237"/>
              </w:tabs>
              <w:jc w:val="right"/>
            </w:pPr>
            <w:r>
              <w:rPr>
                <w:color w:val="000000"/>
                <w:sz w:val="20"/>
              </w:rPr>
              <w:t>$</w:t>
            </w:r>
            <w:r>
              <w:rPr>
                <w:color w:val="000000"/>
                <w:sz w:val="20"/>
              </w:rPr>
              <w:tab/>
              <w:t>2,197</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A49838" w14:textId="77777777" w:rsidR="00B52D58" w:rsidRDefault="00B52D58" w:rsidP="00D47172">
            <w:pPr>
              <w:keepNext/>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center"/>
          </w:tcPr>
          <w:p w14:paraId="5E708A43" w14:textId="77777777" w:rsidR="00B52D58" w:rsidRDefault="00B52D58" w:rsidP="00D47172">
            <w:pPr>
              <w:keepNext/>
              <w:tabs>
                <w:tab w:val="left" w:pos="722"/>
                <w:tab w:val="left" w:pos="1237"/>
              </w:tabs>
              <w:jc w:val="right"/>
            </w:pPr>
            <w:r>
              <w:rPr>
                <w:color w:val="000000"/>
                <w:sz w:val="20"/>
              </w:rPr>
              <w:t>$</w:t>
            </w:r>
            <w:r>
              <w:rPr>
                <w:color w:val="000000"/>
                <w:sz w:val="20"/>
              </w:rPr>
              <w:tab/>
              <w:t>2,780</w:t>
            </w:r>
            <w:r>
              <w:rPr>
                <w:color w:val="000000"/>
                <w:sz w:val="20"/>
              </w:rPr>
              <w:tab/>
            </w:r>
          </w:p>
        </w:tc>
        <w:tc>
          <w:tcPr>
            <w:tcW w:w="135" w:type="dxa"/>
            <w:tcBorders>
              <w:top w:val="nil"/>
              <w:left w:val="nil"/>
              <w:bottom w:val="nil"/>
              <w:right w:val="nil"/>
            </w:tcBorders>
            <w:shd w:val="clear" w:color="auto" w:fill="FFFFFF"/>
            <w:tcMar>
              <w:top w:w="0" w:type="dxa"/>
              <w:left w:w="0" w:type="dxa"/>
              <w:bottom w:w="0" w:type="dxa"/>
              <w:right w:w="0" w:type="dxa"/>
            </w:tcMar>
            <w:vAlign w:val="bottom"/>
          </w:tcPr>
          <w:p w14:paraId="1E75182A" w14:textId="77777777" w:rsidR="00B52D58" w:rsidRDefault="00B52D58" w:rsidP="00D47172">
            <w:pPr>
              <w:keepNext/>
            </w:pPr>
          </w:p>
        </w:tc>
        <w:tc>
          <w:tcPr>
            <w:tcW w:w="151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center"/>
          </w:tcPr>
          <w:p w14:paraId="0D2CC559" w14:textId="77777777" w:rsidR="00B52D58" w:rsidRDefault="00B52D58" w:rsidP="00D47172">
            <w:pPr>
              <w:keepNext/>
              <w:tabs>
                <w:tab w:val="left" w:pos="932"/>
                <w:tab w:val="left" w:pos="1447"/>
              </w:tabs>
              <w:jc w:val="right"/>
            </w:pPr>
            <w:r>
              <w:rPr>
                <w:color w:val="000000"/>
                <w:sz w:val="20"/>
              </w:rPr>
              <w:t>$</w:t>
            </w:r>
            <w:r>
              <w:rPr>
                <w:color w:val="000000"/>
                <w:sz w:val="20"/>
              </w:rPr>
              <w:tab/>
              <w:t>5,854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9BA2C1" w14:textId="77777777" w:rsidR="00B52D58" w:rsidRDefault="00B52D58" w:rsidP="00D47172">
            <w:pPr>
              <w:keepNext/>
            </w:pPr>
          </w:p>
        </w:tc>
        <w:tc>
          <w:tcPr>
            <w:tcW w:w="138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center"/>
          </w:tcPr>
          <w:p w14:paraId="32BF7B2A" w14:textId="77777777" w:rsidR="00B52D58" w:rsidRDefault="00B52D58" w:rsidP="00D47172">
            <w:pPr>
              <w:keepNext/>
              <w:tabs>
                <w:tab w:val="left" w:pos="797"/>
                <w:tab w:val="left" w:pos="1312"/>
              </w:tabs>
              <w:jc w:val="right"/>
            </w:pPr>
            <w:r>
              <w:rPr>
                <w:color w:val="000000"/>
                <w:sz w:val="20"/>
              </w:rPr>
              <w:t>$</w:t>
            </w:r>
            <w:r>
              <w:rPr>
                <w:color w:val="000000"/>
                <w:sz w:val="20"/>
              </w:rPr>
              <w:tab/>
              <w:t>4,001</w:t>
            </w:r>
            <w:r>
              <w:rPr>
                <w:color w:val="000000"/>
                <w:sz w:val="20"/>
              </w:rPr>
              <w:tab/>
            </w:r>
          </w:p>
        </w:tc>
      </w:tr>
      <w:tr w:rsidR="00B52D58" w14:paraId="0DA262BF" w14:textId="77777777" w:rsidTr="00D47172">
        <w:trPr>
          <w:cantSplit/>
          <w:trHeight w:hRule="exact" w:val="315"/>
          <w:jc w:val="center"/>
        </w:trPr>
        <w:tc>
          <w:tcPr>
            <w:tcW w:w="4215" w:type="dxa"/>
            <w:tcBorders>
              <w:top w:val="nil"/>
              <w:left w:val="nil"/>
              <w:bottom w:val="nil"/>
              <w:right w:val="nil"/>
            </w:tcBorders>
            <w:shd w:val="clear" w:color="auto" w:fill="CCEEFF"/>
            <w:tcMar>
              <w:top w:w="0" w:type="dxa"/>
              <w:left w:w="0" w:type="dxa"/>
              <w:bottom w:w="0" w:type="dxa"/>
              <w:right w:w="0" w:type="dxa"/>
            </w:tcMar>
            <w:vAlign w:val="bottom"/>
          </w:tcPr>
          <w:p w14:paraId="415F2F23"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A027F4" w14:textId="77777777" w:rsidR="00B52D58" w:rsidRDefault="00B52D58" w:rsidP="00D47172">
            <w:pPr>
              <w:keepNext/>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4A29BE77"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7CBAC4" w14:textId="77777777" w:rsidR="00B52D58" w:rsidRDefault="00B52D58" w:rsidP="00D47172">
            <w:pPr>
              <w:keepNext/>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215BB62" w14:textId="77777777" w:rsidR="00B52D58" w:rsidRDefault="00B52D58" w:rsidP="00D47172">
            <w:pPr>
              <w:keepNext/>
            </w:pPr>
          </w:p>
        </w:tc>
        <w:tc>
          <w:tcPr>
            <w:tcW w:w="135" w:type="dxa"/>
            <w:tcBorders>
              <w:top w:val="nil"/>
              <w:left w:val="nil"/>
              <w:bottom w:val="nil"/>
              <w:right w:val="nil"/>
            </w:tcBorders>
            <w:shd w:val="clear" w:color="auto" w:fill="CCEEFF"/>
            <w:tcMar>
              <w:top w:w="0" w:type="dxa"/>
              <w:left w:w="0" w:type="dxa"/>
              <w:bottom w:w="0" w:type="dxa"/>
              <w:right w:w="0" w:type="dxa"/>
            </w:tcMar>
            <w:vAlign w:val="bottom"/>
          </w:tcPr>
          <w:p w14:paraId="26C271B3" w14:textId="77777777" w:rsidR="00B52D58" w:rsidRDefault="00B52D58" w:rsidP="00D47172">
            <w:pPr>
              <w:keepNext/>
            </w:pPr>
          </w:p>
        </w:tc>
        <w:tc>
          <w:tcPr>
            <w:tcW w:w="151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C90A45E"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FE5070" w14:textId="77777777" w:rsidR="00B52D58" w:rsidRDefault="00B52D58" w:rsidP="00D47172">
            <w:pPr>
              <w:keepNext/>
            </w:pPr>
          </w:p>
        </w:tc>
        <w:tc>
          <w:tcPr>
            <w:tcW w:w="138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6E60AB8E" w14:textId="77777777" w:rsidR="00B52D58" w:rsidRDefault="00B52D58" w:rsidP="00D47172">
            <w:pPr>
              <w:keepNext/>
            </w:pPr>
          </w:p>
        </w:tc>
      </w:tr>
      <w:tr w:rsidR="00B52D58" w14:paraId="68CDF792" w14:textId="77777777" w:rsidTr="00D47172">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center"/>
          </w:tcPr>
          <w:p w14:paraId="29B2EC1D" w14:textId="77777777" w:rsidR="00B52D58" w:rsidRDefault="00B52D58" w:rsidP="00D47172">
            <w:pPr>
              <w:keepNext/>
            </w:pPr>
            <w:r>
              <w:rPr>
                <w:color w:val="000000"/>
                <w:sz w:val="20"/>
              </w:rPr>
              <w:t>Earnings per share: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18ED40"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67528C7C" w14:textId="77777777" w:rsidR="00B52D58" w:rsidRDefault="00B52D58" w:rsidP="00D47172">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E461E3"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288C306F" w14:textId="77777777" w:rsidR="00B52D58" w:rsidRDefault="00B52D58" w:rsidP="00D47172">
            <w:pPr>
              <w:keepNext/>
            </w:pPr>
          </w:p>
        </w:tc>
        <w:tc>
          <w:tcPr>
            <w:tcW w:w="135" w:type="dxa"/>
            <w:tcBorders>
              <w:top w:val="nil"/>
              <w:left w:val="nil"/>
              <w:bottom w:val="nil"/>
              <w:right w:val="nil"/>
            </w:tcBorders>
            <w:shd w:val="clear" w:color="auto" w:fill="FFFFFF"/>
            <w:tcMar>
              <w:top w:w="0" w:type="dxa"/>
              <w:left w:w="0" w:type="dxa"/>
              <w:bottom w:w="0" w:type="dxa"/>
              <w:right w:w="0" w:type="dxa"/>
            </w:tcMar>
            <w:vAlign w:val="bottom"/>
          </w:tcPr>
          <w:p w14:paraId="252AEC8A" w14:textId="77777777" w:rsidR="00B52D58" w:rsidRDefault="00B52D58" w:rsidP="00D47172">
            <w:pPr>
              <w:keepNext/>
            </w:pPr>
          </w:p>
        </w:tc>
        <w:tc>
          <w:tcPr>
            <w:tcW w:w="1515" w:type="dxa"/>
            <w:tcBorders>
              <w:top w:val="nil"/>
              <w:left w:val="nil"/>
              <w:bottom w:val="nil"/>
              <w:right w:val="nil"/>
            </w:tcBorders>
            <w:shd w:val="clear" w:color="auto" w:fill="FFFFFF"/>
            <w:tcMar>
              <w:top w:w="0" w:type="dxa"/>
              <w:left w:w="0" w:type="dxa"/>
              <w:bottom w:w="0" w:type="dxa"/>
              <w:right w:w="0" w:type="dxa"/>
            </w:tcMar>
            <w:vAlign w:val="bottom"/>
          </w:tcPr>
          <w:p w14:paraId="7AC13848" w14:textId="77777777" w:rsidR="00B52D58" w:rsidRDefault="00B52D58" w:rsidP="00D47172">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990D4D" w14:textId="77777777" w:rsidR="00B52D58" w:rsidRDefault="00B52D58" w:rsidP="00D47172">
            <w:pPr>
              <w:keepNext/>
            </w:pPr>
          </w:p>
        </w:tc>
        <w:tc>
          <w:tcPr>
            <w:tcW w:w="1380" w:type="dxa"/>
            <w:tcBorders>
              <w:top w:val="nil"/>
              <w:left w:val="nil"/>
              <w:bottom w:val="nil"/>
              <w:right w:val="nil"/>
            </w:tcBorders>
            <w:shd w:val="clear" w:color="auto" w:fill="FFFFFF"/>
            <w:tcMar>
              <w:top w:w="0" w:type="dxa"/>
              <w:left w:w="0" w:type="dxa"/>
              <w:bottom w:w="0" w:type="dxa"/>
              <w:right w:w="0" w:type="dxa"/>
            </w:tcMar>
            <w:vAlign w:val="bottom"/>
          </w:tcPr>
          <w:p w14:paraId="47A03996" w14:textId="77777777" w:rsidR="00B52D58" w:rsidRDefault="00B52D58" w:rsidP="00D47172">
            <w:pPr>
              <w:keepNext/>
            </w:pPr>
          </w:p>
        </w:tc>
      </w:tr>
      <w:tr w:rsidR="00B52D58" w14:paraId="6E0256F2" w14:textId="77777777" w:rsidTr="00D47172">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center"/>
          </w:tcPr>
          <w:p w14:paraId="409F9234" w14:textId="77777777" w:rsidR="00B52D58" w:rsidRDefault="00B52D58" w:rsidP="00D47172">
            <w:pPr>
              <w:keepNext/>
              <w:ind w:left="360"/>
            </w:pPr>
            <w:r>
              <w:rPr>
                <w:color w:val="000000"/>
                <w:sz w:val="20"/>
              </w:rPr>
              <w:t>Basic</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4B89986"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8E69234" w14:textId="77777777" w:rsidR="00B52D58" w:rsidRDefault="00B52D58" w:rsidP="00D47172">
            <w:pPr>
              <w:keepNext/>
              <w:tabs>
                <w:tab w:val="left" w:pos="822"/>
                <w:tab w:val="left" w:pos="1237"/>
              </w:tabs>
              <w:spacing w:before="75" w:after="30"/>
              <w:jc w:val="right"/>
            </w:pPr>
            <w:r>
              <w:rPr>
                <w:color w:val="000000"/>
                <w:sz w:val="20"/>
              </w:rPr>
              <w:t>$</w:t>
            </w:r>
            <w:r>
              <w:rPr>
                <w:color w:val="000000"/>
                <w:sz w:val="20"/>
              </w:rPr>
              <w:tab/>
              <w:t>5.55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83BDA4"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90F1406" w14:textId="77777777" w:rsidR="00B52D58" w:rsidRDefault="00B52D58" w:rsidP="00D47172">
            <w:pPr>
              <w:keepNext/>
              <w:tabs>
                <w:tab w:val="left" w:pos="822"/>
                <w:tab w:val="left" w:pos="1237"/>
              </w:tabs>
              <w:spacing w:before="75" w:after="30"/>
              <w:jc w:val="right"/>
            </w:pPr>
            <w:r>
              <w:rPr>
                <w:color w:val="000000"/>
                <w:sz w:val="20"/>
              </w:rPr>
              <w:t>$</w:t>
            </w:r>
            <w:r>
              <w:rPr>
                <w:color w:val="000000"/>
                <w:sz w:val="20"/>
              </w:rPr>
              <w:tab/>
              <w:t>6.93</w:t>
            </w:r>
            <w:r>
              <w:rPr>
                <w:color w:val="000000"/>
                <w:sz w:val="20"/>
              </w:rPr>
              <w:tab/>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14:paraId="727FDCAE" w14:textId="77777777" w:rsidR="00B52D58" w:rsidRDefault="00B52D58" w:rsidP="00D47172">
            <w:pPr>
              <w:keepNext/>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2E41E963" w14:textId="77777777" w:rsidR="00B52D58" w:rsidRDefault="00B52D58" w:rsidP="00D47172">
            <w:pPr>
              <w:keepNext/>
              <w:tabs>
                <w:tab w:val="left" w:pos="932"/>
                <w:tab w:val="left" w:pos="1447"/>
              </w:tabs>
              <w:spacing w:before="75" w:after="30"/>
              <w:jc w:val="right"/>
            </w:pPr>
            <w:r>
              <w:rPr>
                <w:color w:val="000000"/>
                <w:sz w:val="20"/>
              </w:rPr>
              <w:t>$</w:t>
            </w:r>
            <w:r>
              <w:rPr>
                <w:color w:val="000000"/>
                <w:sz w:val="20"/>
              </w:rPr>
              <w:tab/>
              <w:t>14.66</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A33D47" w14:textId="77777777" w:rsidR="00B52D58" w:rsidRDefault="00B52D58" w:rsidP="00D47172">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5E729D1D" w14:textId="77777777" w:rsidR="00B52D58" w:rsidRDefault="00B52D58" w:rsidP="00D47172">
            <w:pPr>
              <w:keepNext/>
              <w:tabs>
                <w:tab w:val="left" w:pos="897"/>
                <w:tab w:val="left" w:pos="1312"/>
              </w:tabs>
              <w:spacing w:before="75" w:after="30"/>
              <w:jc w:val="right"/>
            </w:pPr>
            <w:r>
              <w:rPr>
                <w:color w:val="000000"/>
                <w:sz w:val="20"/>
              </w:rPr>
              <w:t>$</w:t>
            </w:r>
            <w:r>
              <w:rPr>
                <w:color w:val="000000"/>
                <w:sz w:val="20"/>
              </w:rPr>
              <w:tab/>
              <w:t>9.98</w:t>
            </w:r>
            <w:r>
              <w:rPr>
                <w:color w:val="000000"/>
                <w:sz w:val="20"/>
              </w:rPr>
              <w:tab/>
            </w:r>
          </w:p>
        </w:tc>
      </w:tr>
      <w:tr w:rsidR="00B52D58" w14:paraId="50832FFD" w14:textId="77777777" w:rsidTr="00D47172">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center"/>
          </w:tcPr>
          <w:p w14:paraId="6ACE73F4" w14:textId="77777777" w:rsidR="00B52D58" w:rsidRDefault="00B52D58" w:rsidP="00D47172">
            <w:pPr>
              <w:keepNext/>
              <w:ind w:left="360"/>
            </w:pPr>
            <w:r>
              <w:rPr>
                <w:color w:val="000000"/>
                <w:sz w:val="20"/>
              </w:rPr>
              <w:t>Diluted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43432B"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8746EE8" w14:textId="77777777" w:rsidR="00B52D58" w:rsidRDefault="00B52D58" w:rsidP="00D47172">
            <w:pPr>
              <w:keepNext/>
              <w:tabs>
                <w:tab w:val="left" w:pos="822"/>
                <w:tab w:val="left" w:pos="1237"/>
              </w:tabs>
              <w:spacing w:before="75" w:after="30"/>
              <w:jc w:val="right"/>
            </w:pPr>
            <w:r>
              <w:rPr>
                <w:color w:val="000000"/>
                <w:sz w:val="20"/>
              </w:rPr>
              <w:t>$</w:t>
            </w:r>
            <w:r>
              <w:rPr>
                <w:color w:val="000000"/>
                <w:sz w:val="20"/>
              </w:rPr>
              <w:tab/>
              <w:t>5.24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CFB384"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C26A4C0" w14:textId="77777777" w:rsidR="00B52D58" w:rsidRDefault="00B52D58" w:rsidP="00D47172">
            <w:pPr>
              <w:keepNext/>
              <w:tabs>
                <w:tab w:val="left" w:pos="822"/>
                <w:tab w:val="left" w:pos="1237"/>
              </w:tabs>
              <w:spacing w:before="75" w:after="30"/>
              <w:jc w:val="right"/>
            </w:pPr>
            <w:r>
              <w:rPr>
                <w:color w:val="000000"/>
                <w:sz w:val="20"/>
              </w:rPr>
              <w:t>$</w:t>
            </w:r>
            <w:r>
              <w:rPr>
                <w:color w:val="000000"/>
                <w:sz w:val="20"/>
              </w:rPr>
              <w:tab/>
              <w:t>6.46</w:t>
            </w:r>
            <w:r>
              <w:rPr>
                <w:color w:val="000000"/>
                <w:sz w:val="20"/>
              </w:rPr>
              <w:tab/>
            </w:r>
          </w:p>
        </w:tc>
        <w:tc>
          <w:tcPr>
            <w:tcW w:w="135" w:type="dxa"/>
            <w:tcBorders>
              <w:top w:val="nil"/>
              <w:left w:val="nil"/>
              <w:bottom w:val="nil"/>
              <w:right w:val="nil"/>
            </w:tcBorders>
            <w:shd w:val="clear" w:color="auto" w:fill="FFFFFF"/>
            <w:tcMar>
              <w:top w:w="0" w:type="dxa"/>
              <w:left w:w="0" w:type="dxa"/>
              <w:bottom w:w="0" w:type="dxa"/>
              <w:right w:w="0" w:type="dxa"/>
            </w:tcMar>
            <w:vAlign w:val="bottom"/>
          </w:tcPr>
          <w:p w14:paraId="118B0C68" w14:textId="77777777" w:rsidR="00B52D58" w:rsidRDefault="00B52D58" w:rsidP="00D47172">
            <w:pPr>
              <w:keepNext/>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14:paraId="1E679D2B" w14:textId="77777777" w:rsidR="00B52D58" w:rsidRDefault="00B52D58" w:rsidP="00D47172">
            <w:pPr>
              <w:keepNext/>
              <w:tabs>
                <w:tab w:val="left" w:pos="932"/>
                <w:tab w:val="left" w:pos="1447"/>
              </w:tabs>
              <w:spacing w:before="75" w:after="30"/>
              <w:jc w:val="right"/>
            </w:pPr>
            <w:r>
              <w:rPr>
                <w:color w:val="000000"/>
                <w:sz w:val="20"/>
              </w:rPr>
              <w:t>$</w:t>
            </w:r>
            <w:r>
              <w:rPr>
                <w:color w:val="000000"/>
                <w:sz w:val="20"/>
              </w:rPr>
              <w:tab/>
              <w:t>13.85</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05349F" w14:textId="77777777" w:rsidR="00B52D58" w:rsidRDefault="00B52D58" w:rsidP="00D47172">
            <w:pPr>
              <w:keepNext/>
            </w:pP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4AC05B81" w14:textId="77777777" w:rsidR="00B52D58" w:rsidRDefault="00B52D58" w:rsidP="00D47172">
            <w:pPr>
              <w:keepNext/>
              <w:tabs>
                <w:tab w:val="left" w:pos="897"/>
                <w:tab w:val="left" w:pos="1312"/>
              </w:tabs>
              <w:spacing w:before="75" w:after="30"/>
              <w:jc w:val="right"/>
            </w:pPr>
            <w:r>
              <w:rPr>
                <w:color w:val="000000"/>
                <w:sz w:val="20"/>
              </w:rPr>
              <w:t>$</w:t>
            </w:r>
            <w:r>
              <w:rPr>
                <w:color w:val="000000"/>
                <w:sz w:val="20"/>
              </w:rPr>
              <w:tab/>
              <w:t>9.30</w:t>
            </w:r>
            <w:r>
              <w:rPr>
                <w:color w:val="000000"/>
                <w:sz w:val="20"/>
              </w:rPr>
              <w:tab/>
            </w:r>
          </w:p>
        </w:tc>
      </w:tr>
      <w:tr w:rsidR="00B52D58" w14:paraId="3F34D58B" w14:textId="77777777" w:rsidTr="00D47172">
        <w:trPr>
          <w:cantSplit/>
          <w:trHeight w:hRule="exact" w:val="315"/>
          <w:jc w:val="center"/>
        </w:trPr>
        <w:tc>
          <w:tcPr>
            <w:tcW w:w="4215" w:type="dxa"/>
            <w:tcBorders>
              <w:top w:val="nil"/>
              <w:left w:val="nil"/>
              <w:bottom w:val="nil"/>
              <w:right w:val="nil"/>
            </w:tcBorders>
            <w:shd w:val="clear" w:color="auto" w:fill="CCEEFF"/>
            <w:tcMar>
              <w:top w:w="0" w:type="dxa"/>
              <w:left w:w="0" w:type="dxa"/>
              <w:bottom w:w="0" w:type="dxa"/>
              <w:right w:w="0" w:type="dxa"/>
            </w:tcMar>
            <w:vAlign w:val="bottom"/>
          </w:tcPr>
          <w:p w14:paraId="53D4EBBA"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A643136"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60C0BB02"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D32620"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2B6A70C5" w14:textId="77777777" w:rsidR="00B52D58" w:rsidRDefault="00B52D58" w:rsidP="00D47172">
            <w:pPr>
              <w:keepNext/>
            </w:pPr>
          </w:p>
        </w:tc>
        <w:tc>
          <w:tcPr>
            <w:tcW w:w="135" w:type="dxa"/>
            <w:tcBorders>
              <w:top w:val="nil"/>
              <w:left w:val="nil"/>
              <w:bottom w:val="nil"/>
              <w:right w:val="nil"/>
            </w:tcBorders>
            <w:shd w:val="clear" w:color="auto" w:fill="CCEEFF"/>
            <w:tcMar>
              <w:top w:w="0" w:type="dxa"/>
              <w:left w:w="0" w:type="dxa"/>
              <w:bottom w:w="0" w:type="dxa"/>
              <w:right w:w="0" w:type="dxa"/>
            </w:tcMar>
            <w:vAlign w:val="bottom"/>
          </w:tcPr>
          <w:p w14:paraId="2D74F28F" w14:textId="77777777" w:rsidR="00B52D58" w:rsidRDefault="00B52D58" w:rsidP="00D47172">
            <w:pPr>
              <w:keepNext/>
            </w:pPr>
          </w:p>
        </w:tc>
        <w:tc>
          <w:tcPr>
            <w:tcW w:w="1515" w:type="dxa"/>
            <w:tcBorders>
              <w:top w:val="nil"/>
              <w:left w:val="nil"/>
              <w:bottom w:val="nil"/>
              <w:right w:val="nil"/>
            </w:tcBorders>
            <w:shd w:val="clear" w:color="auto" w:fill="CCEEFF"/>
            <w:tcMar>
              <w:top w:w="0" w:type="dxa"/>
              <w:left w:w="0" w:type="dxa"/>
              <w:bottom w:w="0" w:type="dxa"/>
              <w:right w:w="0" w:type="dxa"/>
            </w:tcMar>
            <w:vAlign w:val="bottom"/>
          </w:tcPr>
          <w:p w14:paraId="7A8A2C3E"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D02DA0" w14:textId="77777777" w:rsidR="00B52D58" w:rsidRDefault="00B52D58" w:rsidP="00D47172">
            <w:pPr>
              <w:keepNext/>
            </w:pPr>
          </w:p>
        </w:tc>
        <w:tc>
          <w:tcPr>
            <w:tcW w:w="1380" w:type="dxa"/>
            <w:tcBorders>
              <w:top w:val="nil"/>
              <w:left w:val="nil"/>
              <w:bottom w:val="nil"/>
              <w:right w:val="nil"/>
            </w:tcBorders>
            <w:shd w:val="clear" w:color="auto" w:fill="CCEEFF"/>
            <w:tcMar>
              <w:top w:w="0" w:type="dxa"/>
              <w:left w:w="0" w:type="dxa"/>
              <w:bottom w:w="0" w:type="dxa"/>
              <w:right w:w="0" w:type="dxa"/>
            </w:tcMar>
            <w:vAlign w:val="bottom"/>
          </w:tcPr>
          <w:p w14:paraId="4A732A91" w14:textId="77777777" w:rsidR="00B52D58" w:rsidRDefault="00B52D58" w:rsidP="00D47172">
            <w:pPr>
              <w:keepNext/>
            </w:pPr>
          </w:p>
        </w:tc>
      </w:tr>
      <w:tr w:rsidR="00B52D58" w14:paraId="28CAADED" w14:textId="77777777" w:rsidTr="00D47172">
        <w:trPr>
          <w:cantSplit/>
          <w:trHeight w:hRule="exact" w:val="495"/>
          <w:jc w:val="center"/>
        </w:trPr>
        <w:tc>
          <w:tcPr>
            <w:tcW w:w="4215" w:type="dxa"/>
            <w:tcBorders>
              <w:top w:val="nil"/>
              <w:left w:val="nil"/>
              <w:bottom w:val="nil"/>
              <w:right w:val="nil"/>
            </w:tcBorders>
            <w:shd w:val="clear" w:color="auto" w:fill="FFFFFF"/>
            <w:tcMar>
              <w:top w:w="0" w:type="dxa"/>
              <w:left w:w="53" w:type="dxa"/>
              <w:bottom w:w="0" w:type="dxa"/>
              <w:right w:w="53" w:type="dxa"/>
            </w:tcMar>
            <w:vAlign w:val="center"/>
          </w:tcPr>
          <w:p w14:paraId="68F0F94E" w14:textId="77777777" w:rsidR="00B52D58" w:rsidRDefault="00B52D58" w:rsidP="00D47172">
            <w:pPr>
              <w:keepNext/>
            </w:pPr>
            <w:r>
              <w:rPr>
                <w:color w:val="000000"/>
                <w:sz w:val="20"/>
              </w:rPr>
              <w:t>Weighted average common shares used in calculation of earnings per share: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990DEF"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2DB8798B" w14:textId="77777777" w:rsidR="00B52D58" w:rsidRDefault="00B52D58" w:rsidP="00D47172">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91B9CBE"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5358F74B" w14:textId="77777777" w:rsidR="00B52D58" w:rsidRDefault="00B52D58" w:rsidP="00D47172">
            <w:pPr>
              <w:keepNext/>
            </w:pPr>
          </w:p>
        </w:tc>
        <w:tc>
          <w:tcPr>
            <w:tcW w:w="135" w:type="dxa"/>
            <w:tcBorders>
              <w:top w:val="nil"/>
              <w:left w:val="nil"/>
              <w:bottom w:val="nil"/>
              <w:right w:val="nil"/>
            </w:tcBorders>
            <w:shd w:val="clear" w:color="auto" w:fill="FFFFFF"/>
            <w:tcMar>
              <w:top w:w="0" w:type="dxa"/>
              <w:left w:w="0" w:type="dxa"/>
              <w:bottom w:w="0" w:type="dxa"/>
              <w:right w:w="0" w:type="dxa"/>
            </w:tcMar>
            <w:vAlign w:val="bottom"/>
          </w:tcPr>
          <w:p w14:paraId="1713E306" w14:textId="77777777" w:rsidR="00B52D58" w:rsidRDefault="00B52D58" w:rsidP="00D47172">
            <w:pPr>
              <w:keepNext/>
            </w:pPr>
          </w:p>
        </w:tc>
        <w:tc>
          <w:tcPr>
            <w:tcW w:w="1515" w:type="dxa"/>
            <w:tcBorders>
              <w:top w:val="nil"/>
              <w:left w:val="nil"/>
              <w:bottom w:val="nil"/>
              <w:right w:val="nil"/>
            </w:tcBorders>
            <w:shd w:val="clear" w:color="auto" w:fill="FFFFFF"/>
            <w:tcMar>
              <w:top w:w="0" w:type="dxa"/>
              <w:left w:w="0" w:type="dxa"/>
              <w:bottom w:w="0" w:type="dxa"/>
              <w:right w:w="0" w:type="dxa"/>
            </w:tcMar>
            <w:vAlign w:val="bottom"/>
          </w:tcPr>
          <w:p w14:paraId="70F90A6F" w14:textId="77777777" w:rsidR="00B52D58" w:rsidRDefault="00B52D58" w:rsidP="00D47172">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123971" w14:textId="77777777" w:rsidR="00B52D58" w:rsidRDefault="00B52D58" w:rsidP="00D47172">
            <w:pPr>
              <w:keepNext/>
            </w:pPr>
          </w:p>
        </w:tc>
        <w:tc>
          <w:tcPr>
            <w:tcW w:w="1380" w:type="dxa"/>
            <w:tcBorders>
              <w:top w:val="nil"/>
              <w:left w:val="nil"/>
              <w:bottom w:val="nil"/>
              <w:right w:val="nil"/>
            </w:tcBorders>
            <w:shd w:val="clear" w:color="auto" w:fill="FFFFFF"/>
            <w:tcMar>
              <w:top w:w="0" w:type="dxa"/>
              <w:left w:w="0" w:type="dxa"/>
              <w:bottom w:w="0" w:type="dxa"/>
              <w:right w:w="0" w:type="dxa"/>
            </w:tcMar>
            <w:vAlign w:val="bottom"/>
          </w:tcPr>
          <w:p w14:paraId="5F3253EE" w14:textId="77777777" w:rsidR="00B52D58" w:rsidRDefault="00B52D58" w:rsidP="00D47172">
            <w:pPr>
              <w:keepNext/>
            </w:pPr>
          </w:p>
        </w:tc>
      </w:tr>
      <w:tr w:rsidR="00B52D58" w14:paraId="2F001EED" w14:textId="77777777" w:rsidTr="00D47172">
        <w:trPr>
          <w:cantSplit/>
          <w:trHeight w:hRule="exact" w:val="315"/>
          <w:jc w:val="center"/>
        </w:trPr>
        <w:tc>
          <w:tcPr>
            <w:tcW w:w="4215" w:type="dxa"/>
            <w:tcBorders>
              <w:top w:val="nil"/>
              <w:left w:val="nil"/>
              <w:bottom w:val="nil"/>
              <w:right w:val="nil"/>
            </w:tcBorders>
            <w:shd w:val="clear" w:color="auto" w:fill="CCEEFF"/>
            <w:tcMar>
              <w:top w:w="0" w:type="dxa"/>
              <w:left w:w="53" w:type="dxa"/>
              <w:bottom w:w="0" w:type="dxa"/>
              <w:right w:w="53" w:type="dxa"/>
            </w:tcMar>
            <w:vAlign w:val="center"/>
          </w:tcPr>
          <w:p w14:paraId="027F161F" w14:textId="77777777" w:rsidR="00B52D58" w:rsidRDefault="00B52D58" w:rsidP="00D47172">
            <w:pPr>
              <w:keepNext/>
              <w:ind w:left="360"/>
            </w:pPr>
            <w:r>
              <w:rPr>
                <w:color w:val="000000"/>
                <w:sz w:val="20"/>
              </w:rPr>
              <w:t>Basic</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805F81"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7DCB334" w14:textId="77777777" w:rsidR="00B52D58" w:rsidRDefault="00B52D58" w:rsidP="00D47172">
            <w:pPr>
              <w:keepNext/>
              <w:tabs>
                <w:tab w:val="left" w:pos="872"/>
                <w:tab w:val="left" w:pos="1237"/>
              </w:tabs>
              <w:spacing w:before="75" w:after="30"/>
              <w:jc w:val="right"/>
            </w:pPr>
            <w:r>
              <w:rPr>
                <w:color w:val="000000"/>
                <w:sz w:val="20"/>
              </w:rPr>
              <w:tab/>
              <w:t>396</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8D3AC7B"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B8CB550" w14:textId="77777777" w:rsidR="00B52D58" w:rsidRDefault="00B52D58" w:rsidP="00D47172">
            <w:pPr>
              <w:keepNext/>
              <w:tabs>
                <w:tab w:val="left" w:pos="872"/>
                <w:tab w:val="left" w:pos="1237"/>
              </w:tabs>
              <w:spacing w:before="75" w:after="30"/>
              <w:jc w:val="right"/>
            </w:pPr>
            <w:r>
              <w:rPr>
                <w:color w:val="000000"/>
                <w:sz w:val="20"/>
              </w:rPr>
              <w:tab/>
              <w:t>402</w:t>
            </w:r>
            <w:r>
              <w:rPr>
                <w:color w:val="000000"/>
                <w:sz w:val="20"/>
              </w:rPr>
              <w:tab/>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14:paraId="4014949B" w14:textId="77777777" w:rsidR="00B52D58" w:rsidRDefault="00B52D58" w:rsidP="00D47172">
            <w:pPr>
              <w:keepNext/>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7095D047" w14:textId="77777777" w:rsidR="00B52D58" w:rsidRDefault="00B52D58" w:rsidP="00D47172">
            <w:pPr>
              <w:keepNext/>
              <w:tabs>
                <w:tab w:val="left" w:pos="1082"/>
                <w:tab w:val="left" w:pos="1447"/>
              </w:tabs>
              <w:spacing w:before="75" w:after="30"/>
              <w:jc w:val="right"/>
            </w:pPr>
            <w:r>
              <w:rPr>
                <w:color w:val="000000"/>
                <w:sz w:val="20"/>
              </w:rPr>
              <w:tab/>
              <w:t>399</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64290E" w14:textId="77777777" w:rsidR="00B52D58" w:rsidRDefault="00B52D58" w:rsidP="00D47172">
            <w:pPr>
              <w:keepNext/>
            </w:pP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14:paraId="2387E244" w14:textId="77777777" w:rsidR="00B52D58" w:rsidRDefault="00B52D58" w:rsidP="00D47172">
            <w:pPr>
              <w:keepNext/>
              <w:tabs>
                <w:tab w:val="left" w:pos="947"/>
                <w:tab w:val="left" w:pos="1312"/>
              </w:tabs>
              <w:spacing w:before="75" w:after="30"/>
              <w:jc w:val="right"/>
            </w:pPr>
            <w:r>
              <w:rPr>
                <w:color w:val="000000"/>
                <w:sz w:val="20"/>
              </w:rPr>
              <w:tab/>
              <w:t>401</w:t>
            </w:r>
            <w:r>
              <w:rPr>
                <w:color w:val="000000"/>
                <w:sz w:val="20"/>
              </w:rPr>
              <w:tab/>
            </w:r>
          </w:p>
        </w:tc>
      </w:tr>
      <w:tr w:rsidR="00B52D58" w14:paraId="607FFCC1" w14:textId="77777777" w:rsidTr="00D47172">
        <w:trPr>
          <w:cantSplit/>
          <w:trHeight w:hRule="exact" w:val="315"/>
          <w:jc w:val="center"/>
        </w:trPr>
        <w:tc>
          <w:tcPr>
            <w:tcW w:w="4215" w:type="dxa"/>
            <w:tcBorders>
              <w:top w:val="nil"/>
              <w:left w:val="nil"/>
              <w:bottom w:val="nil"/>
              <w:right w:val="nil"/>
            </w:tcBorders>
            <w:shd w:val="clear" w:color="auto" w:fill="FFFFFF"/>
            <w:tcMar>
              <w:top w:w="0" w:type="dxa"/>
              <w:left w:w="53" w:type="dxa"/>
              <w:bottom w:w="0" w:type="dxa"/>
              <w:right w:w="53" w:type="dxa"/>
            </w:tcMar>
            <w:vAlign w:val="center"/>
          </w:tcPr>
          <w:p w14:paraId="32AF23DE" w14:textId="77777777" w:rsidR="00B52D58" w:rsidRDefault="00B52D58" w:rsidP="00D47172">
            <w:pPr>
              <w:ind w:left="360"/>
            </w:pPr>
            <w:r>
              <w:rPr>
                <w:color w:val="000000"/>
                <w:sz w:val="20"/>
              </w:rPr>
              <w:t>Diluted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FFD737" w14:textId="77777777" w:rsidR="00B52D58" w:rsidRDefault="00B52D58" w:rsidP="00D47172"/>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8F00B1C" w14:textId="77777777" w:rsidR="00B52D58" w:rsidRDefault="00B52D58" w:rsidP="00D47172">
            <w:pPr>
              <w:tabs>
                <w:tab w:val="left" w:pos="872"/>
                <w:tab w:val="left" w:pos="1237"/>
              </w:tabs>
              <w:spacing w:before="75" w:after="30"/>
              <w:jc w:val="right"/>
            </w:pPr>
            <w:r>
              <w:rPr>
                <w:color w:val="000000"/>
                <w:sz w:val="20"/>
              </w:rPr>
              <w:tab/>
              <w:t>419</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E6F880" w14:textId="77777777" w:rsidR="00B52D58" w:rsidRDefault="00B52D58" w:rsidP="00D47172"/>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6D843B4" w14:textId="77777777" w:rsidR="00B52D58" w:rsidRDefault="00B52D58" w:rsidP="00D47172">
            <w:pPr>
              <w:tabs>
                <w:tab w:val="left" w:pos="872"/>
                <w:tab w:val="left" w:pos="1237"/>
              </w:tabs>
              <w:spacing w:before="75" w:after="30"/>
              <w:jc w:val="right"/>
            </w:pPr>
            <w:r>
              <w:rPr>
                <w:color w:val="000000"/>
                <w:sz w:val="20"/>
              </w:rPr>
              <w:tab/>
              <w:t>431</w:t>
            </w:r>
            <w:r>
              <w:rPr>
                <w:color w:val="000000"/>
                <w:sz w:val="20"/>
              </w:rPr>
              <w:tab/>
            </w:r>
          </w:p>
        </w:tc>
        <w:tc>
          <w:tcPr>
            <w:tcW w:w="135" w:type="dxa"/>
            <w:tcBorders>
              <w:top w:val="nil"/>
              <w:left w:val="nil"/>
              <w:bottom w:val="nil"/>
              <w:right w:val="nil"/>
            </w:tcBorders>
            <w:shd w:val="clear" w:color="auto" w:fill="FFFFFF"/>
            <w:tcMar>
              <w:top w:w="0" w:type="dxa"/>
              <w:left w:w="0" w:type="dxa"/>
              <w:bottom w:w="0" w:type="dxa"/>
              <w:right w:w="0" w:type="dxa"/>
            </w:tcMar>
            <w:vAlign w:val="bottom"/>
          </w:tcPr>
          <w:p w14:paraId="11AA3E50" w14:textId="77777777" w:rsidR="00B52D58" w:rsidRDefault="00B52D58" w:rsidP="00D47172"/>
        </w:tc>
        <w:tc>
          <w:tcPr>
            <w:tcW w:w="1515" w:type="dxa"/>
            <w:tcBorders>
              <w:top w:val="nil"/>
              <w:left w:val="nil"/>
              <w:bottom w:val="nil"/>
              <w:right w:val="nil"/>
            </w:tcBorders>
            <w:shd w:val="clear" w:color="auto" w:fill="FFFFFF"/>
            <w:tcMar>
              <w:top w:w="0" w:type="dxa"/>
              <w:left w:w="0" w:type="dxa"/>
              <w:bottom w:w="0" w:type="dxa"/>
              <w:right w:w="15" w:type="dxa"/>
            </w:tcMar>
            <w:vAlign w:val="bottom"/>
          </w:tcPr>
          <w:p w14:paraId="4B254872" w14:textId="77777777" w:rsidR="00B52D58" w:rsidRDefault="00B52D58" w:rsidP="00D47172">
            <w:pPr>
              <w:tabs>
                <w:tab w:val="left" w:pos="1082"/>
                <w:tab w:val="left" w:pos="1447"/>
              </w:tabs>
              <w:spacing w:before="75" w:after="30"/>
              <w:jc w:val="right"/>
            </w:pPr>
            <w:r>
              <w:rPr>
                <w:color w:val="000000"/>
                <w:sz w:val="20"/>
              </w:rPr>
              <w:tab/>
              <w:t>423</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0591EE5" w14:textId="77777777" w:rsidR="00B52D58" w:rsidRDefault="00B52D58" w:rsidP="00D47172"/>
        </w:tc>
        <w:tc>
          <w:tcPr>
            <w:tcW w:w="1380" w:type="dxa"/>
            <w:tcBorders>
              <w:top w:val="nil"/>
              <w:left w:val="nil"/>
              <w:bottom w:val="nil"/>
              <w:right w:val="nil"/>
            </w:tcBorders>
            <w:shd w:val="clear" w:color="auto" w:fill="FFFFFF"/>
            <w:tcMar>
              <w:top w:w="0" w:type="dxa"/>
              <w:left w:w="0" w:type="dxa"/>
              <w:bottom w:w="0" w:type="dxa"/>
              <w:right w:w="15" w:type="dxa"/>
            </w:tcMar>
            <w:vAlign w:val="bottom"/>
          </w:tcPr>
          <w:p w14:paraId="26031D19" w14:textId="77777777" w:rsidR="00B52D58" w:rsidRDefault="00B52D58" w:rsidP="00D47172">
            <w:pPr>
              <w:tabs>
                <w:tab w:val="left" w:pos="947"/>
                <w:tab w:val="left" w:pos="1312"/>
              </w:tabs>
              <w:spacing w:before="75" w:after="30"/>
              <w:jc w:val="right"/>
            </w:pPr>
            <w:r>
              <w:rPr>
                <w:color w:val="000000"/>
                <w:sz w:val="20"/>
              </w:rPr>
              <w:tab/>
              <w:t>430</w:t>
            </w:r>
            <w:r>
              <w:rPr>
                <w:color w:val="000000"/>
                <w:sz w:val="20"/>
              </w:rPr>
              <w:tab/>
            </w:r>
          </w:p>
        </w:tc>
      </w:tr>
    </w:tbl>
    <w:p w14:paraId="711A6FC9" w14:textId="77777777" w:rsidR="009E4DA7" w:rsidRDefault="009E4DA7" w:rsidP="009E4DA7">
      <w:pPr>
        <w:spacing w:line="288" w:lineRule="auto"/>
        <w:rPr>
          <w:rFonts w:ascii="Arial" w:eastAsia="Arial" w:hAnsi="Arial" w:cs="Arial"/>
          <w:sz w:val="20"/>
        </w:rPr>
        <w:sectPr w:rsidR="009E4DA7">
          <w:headerReference w:type="default" r:id="rId33"/>
          <w:footerReference w:type="default" r:id="rId34"/>
          <w:type w:val="continuous"/>
          <w:pgSz w:w="12240" w:h="15840"/>
          <w:pgMar w:top="1080" w:right="1080" w:bottom="1080" w:left="1080" w:header="270" w:footer="270" w:gutter="0"/>
          <w:cols w:space="708"/>
          <w:docGrid w:linePitch="360"/>
        </w:sectPr>
      </w:pPr>
    </w:p>
    <w:p w14:paraId="19D25E20" w14:textId="77777777" w:rsidR="00247433" w:rsidRDefault="00247433">
      <w:pPr>
        <w:rPr>
          <w:b/>
          <w:sz w:val="20"/>
        </w:rPr>
      </w:pPr>
      <w:r>
        <w:rPr>
          <w:b/>
          <w:sz w:val="20"/>
        </w:rPr>
        <w:br w:type="page"/>
      </w:r>
    </w:p>
    <w:p w14:paraId="1E3F6749" w14:textId="7B2D7444" w:rsidR="009E4DA7" w:rsidRDefault="009E4DA7" w:rsidP="009E4DA7">
      <w:pPr>
        <w:keepNext/>
        <w:spacing w:line="288" w:lineRule="auto"/>
        <w:jc w:val="center"/>
        <w:outlineLvl w:val="0"/>
        <w:rPr>
          <w:b/>
          <w:sz w:val="20"/>
        </w:rPr>
      </w:pPr>
      <w:r>
        <w:rPr>
          <w:b/>
          <w:sz w:val="20"/>
        </w:rPr>
        <w:lastRenderedPageBreak/>
        <w:t>MODERNA, INC.</w:t>
      </w:r>
    </w:p>
    <w:p w14:paraId="016A1957" w14:textId="77777777" w:rsidR="009E4DA7" w:rsidRDefault="009E4DA7" w:rsidP="009E4DA7">
      <w:pPr>
        <w:keepNext/>
        <w:spacing w:line="288" w:lineRule="auto"/>
        <w:jc w:val="center"/>
        <w:rPr>
          <w:b/>
          <w:sz w:val="20"/>
        </w:rPr>
      </w:pPr>
      <w:r>
        <w:rPr>
          <w:b/>
          <w:sz w:val="20"/>
        </w:rPr>
        <w:t>CONDENSED CONSOLIDATED BALANCE SHEETS</w:t>
      </w:r>
    </w:p>
    <w:p w14:paraId="5E5ACC76" w14:textId="77777777" w:rsidR="009E4DA7" w:rsidRDefault="009E4DA7" w:rsidP="009E4DA7">
      <w:pPr>
        <w:keepNext/>
        <w:spacing w:after="60" w:line="288" w:lineRule="auto"/>
        <w:jc w:val="center"/>
        <w:rPr>
          <w:b/>
          <w:sz w:val="20"/>
        </w:rPr>
      </w:pPr>
      <w:r>
        <w:rPr>
          <w:b/>
          <w:sz w:val="20"/>
        </w:rPr>
        <w:t>(Unaudited, in millions, except per share data)</w:t>
      </w:r>
    </w:p>
    <w:p w14:paraId="3E1072E4" w14:textId="77777777" w:rsidR="009E4DA7" w:rsidRDefault="009E4DA7" w:rsidP="009E4DA7">
      <w:pPr>
        <w:spacing w:before="20" w:line="288" w:lineRule="auto"/>
        <w:rPr>
          <w:sz w:val="20"/>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5"/>
        <w:gridCol w:w="1305"/>
        <w:gridCol w:w="75"/>
        <w:gridCol w:w="1305"/>
      </w:tblGrid>
      <w:tr w:rsidR="00B52D58" w14:paraId="3723FCAC" w14:textId="77777777" w:rsidTr="00D47172">
        <w:trPr>
          <w:cantSplit/>
          <w:trHeight w:hRule="exact" w:val="255"/>
        </w:trPr>
        <w:tc>
          <w:tcPr>
            <w:tcW w:w="7395" w:type="dxa"/>
            <w:tcBorders>
              <w:top w:val="nil"/>
              <w:left w:val="nil"/>
              <w:bottom w:val="nil"/>
              <w:right w:val="nil"/>
            </w:tcBorders>
            <w:tcMar>
              <w:top w:w="0" w:type="dxa"/>
              <w:left w:w="0" w:type="dxa"/>
              <w:bottom w:w="0" w:type="dxa"/>
              <w:right w:w="0" w:type="dxa"/>
            </w:tcMar>
            <w:vAlign w:val="bottom"/>
          </w:tcPr>
          <w:p w14:paraId="1F00047F" w14:textId="77777777" w:rsidR="00B52D58" w:rsidRDefault="00B52D58" w:rsidP="00D47172">
            <w:pPr>
              <w:keepNext/>
            </w:pPr>
          </w:p>
        </w:tc>
        <w:tc>
          <w:tcPr>
            <w:tcW w:w="1305" w:type="dxa"/>
            <w:tcBorders>
              <w:top w:val="nil"/>
              <w:left w:val="nil"/>
              <w:bottom w:val="nil"/>
              <w:right w:val="nil"/>
            </w:tcBorders>
            <w:tcMar>
              <w:top w:w="0" w:type="dxa"/>
              <w:left w:w="53" w:type="dxa"/>
              <w:bottom w:w="0" w:type="dxa"/>
              <w:right w:w="53" w:type="dxa"/>
            </w:tcMar>
            <w:vAlign w:val="bottom"/>
          </w:tcPr>
          <w:p w14:paraId="5EB9456A" w14:textId="77777777" w:rsidR="00B52D58" w:rsidRDefault="00B52D58" w:rsidP="00D47172">
            <w:pPr>
              <w:keepNext/>
              <w:spacing w:before="75" w:after="30"/>
              <w:jc w:val="center"/>
            </w:pPr>
            <w:r>
              <w:rPr>
                <w:b/>
                <w:color w:val="000000"/>
                <w:sz w:val="16"/>
              </w:rPr>
              <w:t>June 30,</w:t>
            </w:r>
          </w:p>
        </w:tc>
        <w:tc>
          <w:tcPr>
            <w:tcW w:w="75" w:type="dxa"/>
            <w:tcBorders>
              <w:top w:val="nil"/>
              <w:left w:val="nil"/>
              <w:bottom w:val="nil"/>
              <w:right w:val="nil"/>
            </w:tcBorders>
            <w:tcMar>
              <w:top w:w="0" w:type="dxa"/>
              <w:left w:w="0" w:type="dxa"/>
              <w:bottom w:w="0" w:type="dxa"/>
              <w:right w:w="0" w:type="dxa"/>
            </w:tcMar>
            <w:vAlign w:val="bottom"/>
          </w:tcPr>
          <w:p w14:paraId="04A8E614" w14:textId="77777777" w:rsidR="00B52D58" w:rsidRDefault="00B52D58" w:rsidP="00D47172">
            <w:pPr>
              <w:keepNext/>
            </w:pPr>
          </w:p>
        </w:tc>
        <w:tc>
          <w:tcPr>
            <w:tcW w:w="1305" w:type="dxa"/>
            <w:tcBorders>
              <w:top w:val="nil"/>
              <w:left w:val="nil"/>
              <w:bottom w:val="nil"/>
              <w:right w:val="nil"/>
            </w:tcBorders>
            <w:tcMar>
              <w:top w:w="0" w:type="dxa"/>
              <w:left w:w="53" w:type="dxa"/>
              <w:bottom w:w="0" w:type="dxa"/>
              <w:right w:w="53" w:type="dxa"/>
            </w:tcMar>
            <w:vAlign w:val="bottom"/>
          </w:tcPr>
          <w:p w14:paraId="5E8F3653" w14:textId="77777777" w:rsidR="00B52D58" w:rsidRDefault="00B52D58" w:rsidP="00D47172">
            <w:pPr>
              <w:keepNext/>
              <w:spacing w:before="75" w:after="30"/>
              <w:jc w:val="center"/>
            </w:pPr>
            <w:r>
              <w:rPr>
                <w:b/>
                <w:color w:val="000000"/>
                <w:sz w:val="16"/>
              </w:rPr>
              <w:t>December 31,</w:t>
            </w:r>
          </w:p>
        </w:tc>
      </w:tr>
      <w:tr w:rsidR="00B52D58" w14:paraId="7122CF38" w14:textId="77777777" w:rsidTr="00D47172">
        <w:trPr>
          <w:cantSplit/>
          <w:trHeight w:hRule="exact" w:val="255"/>
        </w:trPr>
        <w:tc>
          <w:tcPr>
            <w:tcW w:w="7395" w:type="dxa"/>
            <w:tcBorders>
              <w:top w:val="nil"/>
              <w:left w:val="nil"/>
              <w:bottom w:val="nil"/>
              <w:right w:val="nil"/>
            </w:tcBorders>
            <w:tcMar>
              <w:top w:w="0" w:type="dxa"/>
              <w:left w:w="0" w:type="dxa"/>
              <w:bottom w:w="0" w:type="dxa"/>
              <w:right w:w="0" w:type="dxa"/>
            </w:tcMar>
            <w:vAlign w:val="bottom"/>
          </w:tcPr>
          <w:p w14:paraId="7AA12940" w14:textId="77777777" w:rsidR="00B52D58" w:rsidRDefault="00B52D58" w:rsidP="00D47172">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13B86321" w14:textId="77777777" w:rsidR="00B52D58" w:rsidRDefault="00B52D58" w:rsidP="00D47172">
            <w:pPr>
              <w:keepNext/>
              <w:spacing w:before="75" w:after="30"/>
              <w:jc w:val="center"/>
            </w:pPr>
            <w:r>
              <w:rPr>
                <w:b/>
                <w:color w:val="000000"/>
                <w:sz w:val="16"/>
              </w:rPr>
              <w:t>2022</w:t>
            </w:r>
          </w:p>
        </w:tc>
        <w:tc>
          <w:tcPr>
            <w:tcW w:w="75" w:type="dxa"/>
            <w:tcBorders>
              <w:top w:val="nil"/>
              <w:left w:val="nil"/>
              <w:bottom w:val="nil"/>
              <w:right w:val="nil"/>
            </w:tcBorders>
            <w:tcMar>
              <w:top w:w="0" w:type="dxa"/>
              <w:left w:w="0" w:type="dxa"/>
              <w:bottom w:w="0" w:type="dxa"/>
              <w:right w:w="0" w:type="dxa"/>
            </w:tcMar>
            <w:vAlign w:val="bottom"/>
          </w:tcPr>
          <w:p w14:paraId="23BFAB9A" w14:textId="77777777" w:rsidR="00B52D58" w:rsidRDefault="00B52D58" w:rsidP="00D47172">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0B26F8C8" w14:textId="77777777" w:rsidR="00B52D58" w:rsidRDefault="00B52D58" w:rsidP="00D47172">
            <w:pPr>
              <w:keepNext/>
              <w:spacing w:before="75" w:after="30"/>
              <w:jc w:val="center"/>
            </w:pPr>
            <w:r>
              <w:rPr>
                <w:b/>
                <w:color w:val="000000"/>
                <w:sz w:val="16"/>
              </w:rPr>
              <w:t>2021</w:t>
            </w:r>
          </w:p>
        </w:tc>
      </w:tr>
      <w:tr w:rsidR="00B52D58" w14:paraId="7567CF09"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5F748AE2" w14:textId="77777777" w:rsidR="00B52D58" w:rsidRDefault="00B52D58" w:rsidP="00D47172">
            <w:pPr>
              <w:keepNext/>
              <w:ind w:left="180" w:hanging="180"/>
              <w:rPr>
                <w:b/>
                <w:sz w:val="20"/>
              </w:rPr>
            </w:pPr>
            <w:r>
              <w:rPr>
                <w:b/>
                <w:sz w:val="20"/>
              </w:rPr>
              <w:t>Assets</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500DD8A"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3FBE03" w14:textId="77777777" w:rsidR="00B52D58" w:rsidRDefault="00B52D58" w:rsidP="00D47172">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16972D8" w14:textId="77777777" w:rsidR="00B52D58" w:rsidRDefault="00B52D58" w:rsidP="00D47172">
            <w:pPr>
              <w:keepNext/>
            </w:pPr>
          </w:p>
        </w:tc>
      </w:tr>
      <w:tr w:rsidR="00B52D58" w14:paraId="63F7937D"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2A7E952A" w14:textId="77777777" w:rsidR="00B52D58" w:rsidRDefault="00B52D58" w:rsidP="00D47172">
            <w:pPr>
              <w:keepNext/>
              <w:ind w:left="180" w:hanging="180"/>
              <w:rPr>
                <w:sz w:val="20"/>
              </w:rPr>
            </w:pPr>
            <w:r>
              <w:rPr>
                <w:sz w:val="20"/>
              </w:rPr>
              <w:t>Current assets: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552D40B3" w14:textId="77777777" w:rsidR="00B52D58" w:rsidRDefault="00B52D58" w:rsidP="00D47172">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180811"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68FA435F" w14:textId="77777777" w:rsidR="00B52D58" w:rsidRDefault="00B52D58" w:rsidP="00D47172">
            <w:pPr>
              <w:keepNext/>
            </w:pPr>
          </w:p>
        </w:tc>
      </w:tr>
      <w:tr w:rsidR="00B52D58" w14:paraId="3E3950B4"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2BE2058B" w14:textId="77777777" w:rsidR="00B52D58" w:rsidRDefault="00B52D58" w:rsidP="00D47172">
            <w:pPr>
              <w:keepNext/>
              <w:ind w:left="540" w:hanging="180"/>
              <w:rPr>
                <w:sz w:val="20"/>
              </w:rPr>
            </w:pPr>
            <w:r>
              <w:rPr>
                <w:sz w:val="20"/>
              </w:rPr>
              <w:t>Cash and cash equivalents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8FB64E3" w14:textId="77777777" w:rsidR="00B52D58" w:rsidRDefault="00B52D58" w:rsidP="00D47172">
            <w:pPr>
              <w:keepNext/>
              <w:tabs>
                <w:tab w:val="left" w:pos="722"/>
                <w:tab w:val="left" w:pos="1237"/>
              </w:tabs>
              <w:spacing w:before="75" w:after="30"/>
              <w:jc w:val="right"/>
            </w:pPr>
            <w:r>
              <w:rPr>
                <w:color w:val="000000"/>
                <w:sz w:val="20"/>
              </w:rPr>
              <w:t>$</w:t>
            </w:r>
            <w:r>
              <w:rPr>
                <w:color w:val="000000"/>
                <w:sz w:val="20"/>
              </w:rPr>
              <w:tab/>
              <w:t>2,873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F5A2590"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06001FE" w14:textId="77777777" w:rsidR="00B52D58" w:rsidRDefault="00B52D58" w:rsidP="00D47172">
            <w:pPr>
              <w:keepNext/>
              <w:tabs>
                <w:tab w:val="left" w:pos="722"/>
                <w:tab w:val="left" w:pos="1237"/>
              </w:tabs>
              <w:spacing w:before="75" w:after="30"/>
              <w:jc w:val="right"/>
            </w:pPr>
            <w:r>
              <w:rPr>
                <w:color w:val="000000"/>
                <w:sz w:val="20"/>
              </w:rPr>
              <w:t>$</w:t>
            </w:r>
            <w:r>
              <w:rPr>
                <w:color w:val="000000"/>
                <w:sz w:val="20"/>
              </w:rPr>
              <w:tab/>
              <w:t>6,848</w:t>
            </w:r>
            <w:r>
              <w:rPr>
                <w:color w:val="000000"/>
                <w:sz w:val="20"/>
              </w:rPr>
              <w:tab/>
            </w:r>
          </w:p>
        </w:tc>
      </w:tr>
      <w:tr w:rsidR="00B52D58" w14:paraId="6E738AF3"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37D9E4A7" w14:textId="77777777" w:rsidR="00B52D58" w:rsidRDefault="00B52D58" w:rsidP="00D47172">
            <w:pPr>
              <w:keepNext/>
              <w:ind w:left="540" w:hanging="180"/>
              <w:rPr>
                <w:sz w:val="20"/>
              </w:rPr>
            </w:pPr>
            <w:r>
              <w:rPr>
                <w:sz w:val="20"/>
              </w:rPr>
              <w:t>Investments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D25BDA6" w14:textId="77777777" w:rsidR="00B52D58" w:rsidRDefault="00B52D58" w:rsidP="00D47172">
            <w:pPr>
              <w:keepNext/>
              <w:tabs>
                <w:tab w:val="left" w:pos="722"/>
                <w:tab w:val="left" w:pos="1237"/>
              </w:tabs>
              <w:spacing w:before="75" w:after="30"/>
              <w:jc w:val="right"/>
            </w:pPr>
            <w:r>
              <w:rPr>
                <w:color w:val="000000"/>
                <w:sz w:val="20"/>
              </w:rPr>
              <w:tab/>
              <w:t>5,024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E9611E"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33FB79A" w14:textId="77777777" w:rsidR="00B52D58" w:rsidRDefault="00B52D58" w:rsidP="00D47172">
            <w:pPr>
              <w:keepNext/>
              <w:tabs>
                <w:tab w:val="left" w:pos="722"/>
                <w:tab w:val="left" w:pos="1237"/>
              </w:tabs>
              <w:spacing w:before="75" w:after="30"/>
              <w:jc w:val="right"/>
            </w:pPr>
            <w:r>
              <w:rPr>
                <w:color w:val="000000"/>
                <w:sz w:val="20"/>
              </w:rPr>
              <w:tab/>
              <w:t>3,879</w:t>
            </w:r>
            <w:r>
              <w:rPr>
                <w:color w:val="000000"/>
                <w:sz w:val="20"/>
              </w:rPr>
              <w:tab/>
            </w:r>
          </w:p>
        </w:tc>
      </w:tr>
      <w:tr w:rsidR="00B52D58" w14:paraId="20D9E7FF"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61A67DCB" w14:textId="77777777" w:rsidR="00B52D58" w:rsidRDefault="00B52D58" w:rsidP="00D47172">
            <w:pPr>
              <w:keepNext/>
              <w:ind w:left="540" w:hanging="180"/>
              <w:rPr>
                <w:sz w:val="20"/>
              </w:rPr>
            </w:pPr>
            <w:r>
              <w:rPr>
                <w:sz w:val="20"/>
              </w:rPr>
              <w:t>Accounts receivable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B34B5C7" w14:textId="77777777" w:rsidR="00B52D58" w:rsidRDefault="00B52D58" w:rsidP="00D47172">
            <w:pPr>
              <w:keepNext/>
              <w:tabs>
                <w:tab w:val="left" w:pos="722"/>
                <w:tab w:val="left" w:pos="1237"/>
              </w:tabs>
              <w:spacing w:before="75" w:after="30"/>
              <w:jc w:val="right"/>
            </w:pPr>
            <w:r>
              <w:rPr>
                <w:color w:val="000000"/>
                <w:sz w:val="20"/>
              </w:rPr>
              <w:tab/>
              <w:t>2,691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2E75C0"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1681426" w14:textId="77777777" w:rsidR="00B52D58" w:rsidRDefault="00B52D58" w:rsidP="00D47172">
            <w:pPr>
              <w:keepNext/>
              <w:tabs>
                <w:tab w:val="left" w:pos="722"/>
                <w:tab w:val="left" w:pos="1237"/>
              </w:tabs>
              <w:spacing w:before="75" w:after="30"/>
              <w:jc w:val="right"/>
            </w:pPr>
            <w:r>
              <w:rPr>
                <w:color w:val="000000"/>
                <w:sz w:val="20"/>
              </w:rPr>
              <w:tab/>
              <w:t>3,175</w:t>
            </w:r>
            <w:r>
              <w:rPr>
                <w:color w:val="000000"/>
                <w:sz w:val="20"/>
              </w:rPr>
              <w:tab/>
            </w:r>
          </w:p>
        </w:tc>
      </w:tr>
      <w:tr w:rsidR="00B52D58" w14:paraId="2C774D5A"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62A5F495" w14:textId="77777777" w:rsidR="00B52D58" w:rsidRDefault="00B52D58" w:rsidP="00D47172">
            <w:pPr>
              <w:keepNext/>
              <w:ind w:left="540" w:hanging="180"/>
            </w:pPr>
            <w:r>
              <w:rPr>
                <w:color w:val="000000"/>
                <w:sz w:val="20"/>
              </w:rPr>
              <w:t>Inventory</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3A4D4E5" w14:textId="77777777" w:rsidR="00B52D58" w:rsidRDefault="00B52D58" w:rsidP="00D47172">
            <w:pPr>
              <w:keepNext/>
              <w:tabs>
                <w:tab w:val="left" w:pos="722"/>
                <w:tab w:val="left" w:pos="1237"/>
              </w:tabs>
              <w:spacing w:before="75" w:after="30"/>
              <w:jc w:val="right"/>
            </w:pPr>
            <w:r>
              <w:rPr>
                <w:color w:val="000000"/>
                <w:sz w:val="20"/>
              </w:rPr>
              <w:tab/>
              <w:t>1,921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8803B9"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E03A254" w14:textId="77777777" w:rsidR="00B52D58" w:rsidRDefault="00B52D58" w:rsidP="00D47172">
            <w:pPr>
              <w:keepNext/>
              <w:tabs>
                <w:tab w:val="left" w:pos="722"/>
                <w:tab w:val="left" w:pos="1237"/>
              </w:tabs>
              <w:spacing w:before="75" w:after="30"/>
              <w:jc w:val="right"/>
            </w:pPr>
            <w:r>
              <w:rPr>
                <w:color w:val="000000"/>
                <w:sz w:val="20"/>
              </w:rPr>
              <w:tab/>
              <w:t>1,441</w:t>
            </w:r>
            <w:r>
              <w:rPr>
                <w:color w:val="000000"/>
                <w:sz w:val="20"/>
              </w:rPr>
              <w:tab/>
            </w:r>
          </w:p>
        </w:tc>
      </w:tr>
      <w:tr w:rsidR="00B52D58" w14:paraId="05817D67"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77DF518E" w14:textId="77777777" w:rsidR="00B52D58" w:rsidRDefault="00B52D58" w:rsidP="00D47172">
            <w:pPr>
              <w:keepNext/>
              <w:ind w:left="540" w:hanging="180"/>
              <w:rPr>
                <w:sz w:val="20"/>
              </w:rPr>
            </w:pPr>
            <w:r>
              <w:rPr>
                <w:sz w:val="20"/>
              </w:rPr>
              <w:t>Prepaid expenses and other current assets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D48A8F3" w14:textId="77777777" w:rsidR="00B52D58" w:rsidRDefault="00B52D58" w:rsidP="00D47172">
            <w:pPr>
              <w:keepNext/>
              <w:tabs>
                <w:tab w:val="left" w:pos="722"/>
                <w:tab w:val="left" w:pos="1237"/>
              </w:tabs>
              <w:spacing w:before="75" w:after="30"/>
              <w:jc w:val="right"/>
            </w:pPr>
            <w:r>
              <w:rPr>
                <w:color w:val="000000"/>
                <w:sz w:val="20"/>
              </w:rPr>
              <w:tab/>
              <w:t>1,054</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7864F8F" w14:textId="77777777" w:rsidR="00B52D58" w:rsidRDefault="00B52D58" w:rsidP="00D47172">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6A7269E" w14:textId="77777777" w:rsidR="00B52D58" w:rsidRDefault="00B52D58" w:rsidP="00D47172">
            <w:pPr>
              <w:keepNext/>
              <w:tabs>
                <w:tab w:val="left" w:pos="872"/>
                <w:tab w:val="left" w:pos="1237"/>
              </w:tabs>
              <w:spacing w:before="75" w:after="30"/>
              <w:jc w:val="right"/>
            </w:pPr>
            <w:r>
              <w:rPr>
                <w:color w:val="000000"/>
                <w:sz w:val="20"/>
              </w:rPr>
              <w:tab/>
              <w:t>728</w:t>
            </w:r>
            <w:r>
              <w:rPr>
                <w:color w:val="000000"/>
                <w:sz w:val="20"/>
              </w:rPr>
              <w:tab/>
            </w:r>
          </w:p>
        </w:tc>
      </w:tr>
      <w:tr w:rsidR="00B52D58" w14:paraId="79E397B2"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53B49196" w14:textId="77777777" w:rsidR="00B52D58" w:rsidRDefault="00B52D58" w:rsidP="00D47172">
            <w:pPr>
              <w:keepNext/>
              <w:ind w:left="900" w:hanging="180"/>
              <w:rPr>
                <w:sz w:val="20"/>
              </w:rPr>
            </w:pPr>
            <w:r>
              <w:rPr>
                <w:sz w:val="20"/>
              </w:rPr>
              <w:t>Total current assets</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1421809" w14:textId="77777777" w:rsidR="00B52D58" w:rsidRDefault="00B52D58" w:rsidP="00D47172">
            <w:pPr>
              <w:keepNext/>
              <w:tabs>
                <w:tab w:val="left" w:pos="622"/>
                <w:tab w:val="left" w:pos="1237"/>
              </w:tabs>
              <w:spacing w:before="55" w:after="30"/>
              <w:jc w:val="right"/>
            </w:pPr>
            <w:r>
              <w:rPr>
                <w:color w:val="000000"/>
                <w:sz w:val="20"/>
              </w:rPr>
              <w:tab/>
              <w:t>13,563</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A0E45D" w14:textId="77777777" w:rsidR="00B52D58" w:rsidRDefault="00B52D58" w:rsidP="00D47172">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A65AE7D" w14:textId="77777777" w:rsidR="00B52D58" w:rsidRDefault="00B52D58" w:rsidP="00D47172">
            <w:pPr>
              <w:keepNext/>
              <w:tabs>
                <w:tab w:val="left" w:pos="622"/>
                <w:tab w:val="left" w:pos="1237"/>
              </w:tabs>
              <w:spacing w:before="55" w:after="30"/>
              <w:jc w:val="right"/>
            </w:pPr>
            <w:r>
              <w:rPr>
                <w:color w:val="000000"/>
                <w:sz w:val="20"/>
              </w:rPr>
              <w:tab/>
              <w:t>16,071</w:t>
            </w:r>
            <w:r>
              <w:rPr>
                <w:color w:val="000000"/>
                <w:sz w:val="20"/>
              </w:rPr>
              <w:tab/>
            </w:r>
          </w:p>
        </w:tc>
      </w:tr>
      <w:tr w:rsidR="00B52D58" w14:paraId="57C6F007"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2B3F80E6" w14:textId="77777777" w:rsidR="00B52D58" w:rsidRDefault="00B52D58" w:rsidP="00D47172">
            <w:pPr>
              <w:keepNext/>
              <w:ind w:left="180" w:hanging="180"/>
              <w:rPr>
                <w:sz w:val="20"/>
              </w:rPr>
            </w:pPr>
            <w:r>
              <w:rPr>
                <w:sz w:val="20"/>
              </w:rPr>
              <w:t>Investments, non-current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E40CD7F" w14:textId="77777777" w:rsidR="00B52D58" w:rsidRDefault="00B52D58" w:rsidP="00D47172">
            <w:pPr>
              <w:keepNext/>
              <w:tabs>
                <w:tab w:val="left" w:pos="622"/>
                <w:tab w:val="left" w:pos="1237"/>
              </w:tabs>
              <w:spacing w:before="75" w:after="30"/>
              <w:jc w:val="right"/>
            </w:pPr>
            <w:r>
              <w:rPr>
                <w:color w:val="000000"/>
                <w:sz w:val="20"/>
              </w:rPr>
              <w:tab/>
              <w:t>10,162</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186816"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E5E03DC" w14:textId="77777777" w:rsidR="00B52D58" w:rsidRDefault="00B52D58" w:rsidP="00D47172">
            <w:pPr>
              <w:keepNext/>
              <w:tabs>
                <w:tab w:val="left" w:pos="722"/>
                <w:tab w:val="left" w:pos="1237"/>
              </w:tabs>
              <w:spacing w:before="75" w:after="30"/>
              <w:jc w:val="right"/>
            </w:pPr>
            <w:r>
              <w:rPr>
                <w:color w:val="000000"/>
                <w:sz w:val="20"/>
              </w:rPr>
              <w:tab/>
              <w:t>6,843</w:t>
            </w:r>
            <w:r>
              <w:rPr>
                <w:color w:val="000000"/>
                <w:sz w:val="20"/>
              </w:rPr>
              <w:tab/>
            </w:r>
          </w:p>
        </w:tc>
      </w:tr>
      <w:tr w:rsidR="00B52D58" w14:paraId="59B9FF75"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05F325F9" w14:textId="77777777" w:rsidR="00B52D58" w:rsidRDefault="00B52D58" w:rsidP="00D47172">
            <w:pPr>
              <w:keepNext/>
              <w:ind w:left="180" w:hanging="180"/>
              <w:rPr>
                <w:sz w:val="20"/>
              </w:rPr>
            </w:pPr>
            <w:r>
              <w:rPr>
                <w:sz w:val="20"/>
              </w:rPr>
              <w:t>Property and equipment, net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C04645F" w14:textId="77777777" w:rsidR="00B52D58" w:rsidRDefault="00B52D58" w:rsidP="00D47172">
            <w:pPr>
              <w:keepNext/>
              <w:tabs>
                <w:tab w:val="left" w:pos="722"/>
                <w:tab w:val="left" w:pos="1237"/>
              </w:tabs>
              <w:spacing w:before="75" w:after="30"/>
              <w:jc w:val="right"/>
            </w:pPr>
            <w:r>
              <w:rPr>
                <w:color w:val="000000"/>
                <w:sz w:val="20"/>
              </w:rPr>
              <w:tab/>
              <w:t>1,324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8B8314"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63065B1" w14:textId="77777777" w:rsidR="00B52D58" w:rsidRDefault="00B52D58" w:rsidP="00D47172">
            <w:pPr>
              <w:keepNext/>
              <w:tabs>
                <w:tab w:val="left" w:pos="722"/>
                <w:tab w:val="left" w:pos="1237"/>
              </w:tabs>
              <w:spacing w:before="75" w:after="30"/>
              <w:jc w:val="right"/>
            </w:pPr>
            <w:r>
              <w:rPr>
                <w:color w:val="000000"/>
                <w:sz w:val="20"/>
              </w:rPr>
              <w:tab/>
              <w:t>1,241</w:t>
            </w:r>
            <w:r>
              <w:rPr>
                <w:color w:val="000000"/>
                <w:sz w:val="20"/>
              </w:rPr>
              <w:tab/>
            </w:r>
          </w:p>
        </w:tc>
      </w:tr>
      <w:tr w:rsidR="00B52D58" w14:paraId="1F66956A"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4F8A0245" w14:textId="77777777" w:rsidR="00B52D58" w:rsidRDefault="00B52D58" w:rsidP="00D47172">
            <w:pPr>
              <w:keepNext/>
            </w:pPr>
            <w:r>
              <w:rPr>
                <w:color w:val="000000"/>
                <w:sz w:val="20"/>
              </w:rPr>
              <w:t>Right-of-use assets, operating leases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C85F7F1" w14:textId="77777777" w:rsidR="00B52D58" w:rsidRDefault="00B52D58" w:rsidP="00D47172">
            <w:pPr>
              <w:keepNext/>
              <w:tabs>
                <w:tab w:val="left" w:pos="872"/>
                <w:tab w:val="left" w:pos="1237"/>
              </w:tabs>
              <w:spacing w:before="75" w:after="30"/>
              <w:jc w:val="right"/>
            </w:pPr>
            <w:r>
              <w:rPr>
                <w:color w:val="000000"/>
                <w:sz w:val="20"/>
              </w:rPr>
              <w:tab/>
              <w:t>122</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85C173"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85B3E02" w14:textId="77777777" w:rsidR="00B52D58" w:rsidRDefault="00B52D58" w:rsidP="00D47172">
            <w:pPr>
              <w:keepNext/>
              <w:tabs>
                <w:tab w:val="left" w:pos="872"/>
                <w:tab w:val="left" w:pos="1237"/>
              </w:tabs>
              <w:spacing w:before="75" w:after="30"/>
              <w:jc w:val="right"/>
            </w:pPr>
            <w:r>
              <w:rPr>
                <w:color w:val="000000"/>
                <w:sz w:val="20"/>
              </w:rPr>
              <w:tab/>
              <w:t>142</w:t>
            </w:r>
            <w:r>
              <w:rPr>
                <w:color w:val="000000"/>
                <w:sz w:val="20"/>
              </w:rPr>
              <w:tab/>
            </w:r>
          </w:p>
        </w:tc>
      </w:tr>
      <w:tr w:rsidR="00B52D58" w14:paraId="0E437128"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3D7ED04F" w14:textId="77777777" w:rsidR="00B52D58" w:rsidRDefault="00B52D58" w:rsidP="00D47172">
            <w:pPr>
              <w:keepNext/>
              <w:ind w:left="180" w:hanging="180"/>
              <w:rPr>
                <w:sz w:val="20"/>
              </w:rPr>
            </w:pPr>
            <w:r>
              <w:rPr>
                <w:sz w:val="20"/>
              </w:rPr>
              <w:t>Restricted cash, non-current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50A4782" w14:textId="77777777" w:rsidR="00B52D58" w:rsidRDefault="00B52D58" w:rsidP="00D47172">
            <w:pPr>
              <w:keepNext/>
              <w:tabs>
                <w:tab w:val="left" w:pos="972"/>
                <w:tab w:val="left" w:pos="1237"/>
              </w:tabs>
              <w:spacing w:before="75" w:after="30"/>
              <w:jc w:val="right"/>
            </w:pPr>
            <w:r>
              <w:rPr>
                <w:color w:val="000000"/>
                <w:sz w:val="20"/>
              </w:rPr>
              <w:tab/>
              <w:t>12</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6613C7"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5119310" w14:textId="77777777" w:rsidR="00B52D58" w:rsidRDefault="00B52D58" w:rsidP="00D47172">
            <w:pPr>
              <w:keepNext/>
              <w:tabs>
                <w:tab w:val="left" w:pos="972"/>
                <w:tab w:val="left" w:pos="1237"/>
              </w:tabs>
              <w:spacing w:before="75" w:after="30"/>
              <w:jc w:val="right"/>
            </w:pPr>
            <w:r>
              <w:rPr>
                <w:color w:val="000000"/>
                <w:sz w:val="20"/>
              </w:rPr>
              <w:tab/>
              <w:t>12</w:t>
            </w:r>
            <w:r>
              <w:rPr>
                <w:color w:val="000000"/>
                <w:sz w:val="20"/>
              </w:rPr>
              <w:tab/>
            </w:r>
          </w:p>
        </w:tc>
      </w:tr>
      <w:tr w:rsidR="00B52D58" w14:paraId="7FAB467C"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4C58C2AE" w14:textId="77777777" w:rsidR="00B52D58" w:rsidRDefault="00B52D58" w:rsidP="00D47172">
            <w:pPr>
              <w:keepNext/>
              <w:ind w:left="180" w:hanging="180"/>
            </w:pPr>
            <w:r>
              <w:rPr>
                <w:color w:val="000000"/>
                <w:sz w:val="20"/>
              </w:rPr>
              <w:t>Deferred tax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4315B11" w14:textId="77777777" w:rsidR="00B52D58" w:rsidRDefault="00B52D58" w:rsidP="00D47172">
            <w:pPr>
              <w:keepNext/>
              <w:tabs>
                <w:tab w:val="left" w:pos="872"/>
                <w:tab w:val="left" w:pos="1237"/>
              </w:tabs>
              <w:spacing w:before="75" w:after="30"/>
              <w:jc w:val="right"/>
            </w:pPr>
            <w:r>
              <w:rPr>
                <w:color w:val="000000"/>
                <w:sz w:val="20"/>
              </w:rPr>
              <w:tab/>
              <w:t>785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7F4415"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163E093" w14:textId="77777777" w:rsidR="00B52D58" w:rsidRDefault="00B52D58" w:rsidP="00D47172">
            <w:pPr>
              <w:keepNext/>
              <w:tabs>
                <w:tab w:val="left" w:pos="902"/>
                <w:tab w:val="left" w:pos="1237"/>
              </w:tabs>
              <w:spacing w:before="75" w:after="30"/>
              <w:jc w:val="right"/>
            </w:pPr>
            <w:r>
              <w:rPr>
                <w:color w:val="000000"/>
                <w:sz w:val="18"/>
              </w:rPr>
              <w:tab/>
              <w:t>326</w:t>
            </w:r>
            <w:r>
              <w:rPr>
                <w:color w:val="000000"/>
                <w:sz w:val="18"/>
              </w:rPr>
              <w:tab/>
            </w:r>
          </w:p>
        </w:tc>
      </w:tr>
      <w:tr w:rsidR="00B52D58" w14:paraId="34EB2EDB"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68BBF024" w14:textId="77777777" w:rsidR="00B52D58" w:rsidRDefault="00B52D58" w:rsidP="00D47172">
            <w:pPr>
              <w:keepNext/>
              <w:ind w:left="180" w:hanging="180"/>
              <w:rPr>
                <w:sz w:val="20"/>
              </w:rPr>
            </w:pPr>
            <w:r>
              <w:rPr>
                <w:sz w:val="20"/>
              </w:rPr>
              <w:t xml:space="preserve">Other non-current assets </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CF880E7" w14:textId="77777777" w:rsidR="00B52D58" w:rsidRDefault="00B52D58" w:rsidP="00D47172">
            <w:pPr>
              <w:keepNext/>
              <w:tabs>
                <w:tab w:val="left" w:pos="972"/>
                <w:tab w:val="left" w:pos="1237"/>
              </w:tabs>
              <w:spacing w:before="75" w:after="30"/>
              <w:jc w:val="right"/>
            </w:pPr>
            <w:r>
              <w:rPr>
                <w:color w:val="000000"/>
                <w:sz w:val="20"/>
              </w:rPr>
              <w:tab/>
              <w:t>75</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75E001" w14:textId="77777777" w:rsidR="00B52D58" w:rsidRDefault="00B52D58" w:rsidP="00D47172">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91F6825" w14:textId="77777777" w:rsidR="00B52D58" w:rsidRDefault="00B52D58" w:rsidP="00D47172">
            <w:pPr>
              <w:keepNext/>
              <w:tabs>
                <w:tab w:val="left" w:pos="972"/>
                <w:tab w:val="left" w:pos="1237"/>
              </w:tabs>
              <w:spacing w:before="75" w:after="30"/>
              <w:jc w:val="right"/>
            </w:pPr>
            <w:r>
              <w:rPr>
                <w:color w:val="000000"/>
                <w:sz w:val="20"/>
              </w:rPr>
              <w:tab/>
              <w:t>34</w:t>
            </w:r>
            <w:r>
              <w:rPr>
                <w:color w:val="000000"/>
                <w:sz w:val="20"/>
              </w:rPr>
              <w:tab/>
            </w:r>
          </w:p>
        </w:tc>
      </w:tr>
      <w:tr w:rsidR="00B52D58" w14:paraId="0FA93DB3"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3D71521D" w14:textId="77777777" w:rsidR="00B52D58" w:rsidRDefault="00B52D58" w:rsidP="00D47172">
            <w:pPr>
              <w:keepNext/>
              <w:ind w:left="180" w:hanging="180"/>
              <w:rPr>
                <w:sz w:val="20"/>
              </w:rPr>
            </w:pPr>
            <w:r>
              <w:rPr>
                <w:sz w:val="20"/>
              </w:rPr>
              <w:t>Total assets</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F67F21C" w14:textId="77777777" w:rsidR="00B52D58" w:rsidRDefault="00B52D58" w:rsidP="00D47172">
            <w:pPr>
              <w:keepNext/>
              <w:tabs>
                <w:tab w:val="left" w:pos="622"/>
                <w:tab w:val="left" w:pos="1237"/>
              </w:tabs>
              <w:spacing w:before="55" w:after="30"/>
              <w:jc w:val="right"/>
            </w:pPr>
            <w:r>
              <w:rPr>
                <w:color w:val="000000"/>
                <w:sz w:val="20"/>
              </w:rPr>
              <w:t>$</w:t>
            </w:r>
            <w:r>
              <w:rPr>
                <w:color w:val="000000"/>
                <w:sz w:val="20"/>
              </w:rPr>
              <w:tab/>
              <w:t>26,043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BFF245" w14:textId="77777777" w:rsidR="00B52D58" w:rsidRDefault="00B52D58" w:rsidP="00D47172">
            <w:pPr>
              <w:keepNext/>
            </w:pP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BBDE93B" w14:textId="77777777" w:rsidR="00B52D58" w:rsidRDefault="00B52D58" w:rsidP="00D47172">
            <w:pPr>
              <w:keepNext/>
              <w:tabs>
                <w:tab w:val="left" w:pos="622"/>
                <w:tab w:val="left" w:pos="1237"/>
              </w:tabs>
              <w:spacing w:before="55" w:after="30"/>
              <w:jc w:val="right"/>
            </w:pPr>
            <w:r>
              <w:rPr>
                <w:color w:val="000000"/>
                <w:sz w:val="20"/>
              </w:rPr>
              <w:t>$</w:t>
            </w:r>
            <w:r>
              <w:rPr>
                <w:color w:val="000000"/>
                <w:sz w:val="20"/>
              </w:rPr>
              <w:tab/>
              <w:t>24,669</w:t>
            </w:r>
            <w:r>
              <w:rPr>
                <w:color w:val="000000"/>
                <w:sz w:val="20"/>
              </w:rPr>
              <w:tab/>
            </w:r>
          </w:p>
        </w:tc>
      </w:tr>
      <w:tr w:rsidR="00B52D58" w14:paraId="5F0A827F" w14:textId="77777777" w:rsidTr="00D47172">
        <w:trPr>
          <w:cantSplit/>
          <w:trHeight w:hRule="exact" w:val="46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6AB0B785" w14:textId="77777777" w:rsidR="00B52D58" w:rsidRDefault="00B52D58" w:rsidP="00D47172">
            <w:pPr>
              <w:keepNext/>
              <w:ind w:left="180" w:hanging="180"/>
              <w:rPr>
                <w:b/>
                <w:sz w:val="20"/>
              </w:rPr>
            </w:pPr>
            <w:r>
              <w:rPr>
                <w:b/>
                <w:sz w:val="20"/>
              </w:rPr>
              <w:t>Liabilities and Stockholders’ Equity</w:t>
            </w:r>
          </w:p>
        </w:tc>
        <w:tc>
          <w:tcPr>
            <w:tcW w:w="130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187D4BB3" w14:textId="77777777" w:rsidR="00B52D58" w:rsidRDefault="00B52D58" w:rsidP="00D47172">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9CDD876" w14:textId="77777777" w:rsidR="00B52D58" w:rsidRDefault="00B52D58" w:rsidP="00D47172">
            <w:pPr>
              <w:keepNext/>
            </w:pPr>
          </w:p>
        </w:tc>
        <w:tc>
          <w:tcPr>
            <w:tcW w:w="130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8F5F6D2" w14:textId="77777777" w:rsidR="00B52D58" w:rsidRDefault="00B52D58" w:rsidP="00D47172">
            <w:pPr>
              <w:keepNext/>
            </w:pPr>
          </w:p>
        </w:tc>
      </w:tr>
      <w:tr w:rsidR="00B52D58" w14:paraId="0FC21589"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313D226C" w14:textId="77777777" w:rsidR="00B52D58" w:rsidRDefault="00B52D58" w:rsidP="00D47172">
            <w:pPr>
              <w:keepNext/>
              <w:ind w:left="180" w:hanging="180"/>
              <w:rPr>
                <w:sz w:val="20"/>
              </w:rPr>
            </w:pPr>
            <w:r>
              <w:rPr>
                <w:sz w:val="20"/>
              </w:rPr>
              <w:t>Current liabilities: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115E4C60"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A4A8C2"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6CEB08EB" w14:textId="77777777" w:rsidR="00B52D58" w:rsidRDefault="00B52D58" w:rsidP="00D47172">
            <w:pPr>
              <w:keepNext/>
            </w:pPr>
          </w:p>
        </w:tc>
      </w:tr>
      <w:tr w:rsidR="00B52D58" w14:paraId="6D46F626"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23C0ED7B" w14:textId="77777777" w:rsidR="00B52D58" w:rsidRDefault="00B52D58" w:rsidP="00D47172">
            <w:pPr>
              <w:keepNext/>
              <w:ind w:left="540" w:hanging="180"/>
              <w:rPr>
                <w:sz w:val="20"/>
              </w:rPr>
            </w:pPr>
            <w:r>
              <w:rPr>
                <w:sz w:val="20"/>
              </w:rPr>
              <w:t>Accounts payable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B6350D0" w14:textId="77777777" w:rsidR="00B52D58" w:rsidRDefault="00B52D58" w:rsidP="00D47172">
            <w:pPr>
              <w:keepNext/>
              <w:tabs>
                <w:tab w:val="left" w:pos="872"/>
                <w:tab w:val="left" w:pos="1237"/>
              </w:tabs>
              <w:spacing w:before="75" w:after="30"/>
              <w:jc w:val="right"/>
            </w:pPr>
            <w:r>
              <w:rPr>
                <w:color w:val="000000"/>
                <w:sz w:val="20"/>
              </w:rPr>
              <w:t>$</w:t>
            </w:r>
            <w:r>
              <w:rPr>
                <w:color w:val="000000"/>
                <w:sz w:val="20"/>
              </w:rPr>
              <w:tab/>
              <w:t>181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202030"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77FCF78" w14:textId="77777777" w:rsidR="00B52D58" w:rsidRDefault="00B52D58" w:rsidP="00D47172">
            <w:pPr>
              <w:keepNext/>
              <w:tabs>
                <w:tab w:val="left" w:pos="872"/>
                <w:tab w:val="left" w:pos="1237"/>
              </w:tabs>
              <w:spacing w:before="75" w:after="30"/>
              <w:jc w:val="right"/>
            </w:pPr>
            <w:r>
              <w:rPr>
                <w:color w:val="000000"/>
                <w:sz w:val="20"/>
              </w:rPr>
              <w:t>$</w:t>
            </w:r>
            <w:r>
              <w:rPr>
                <w:color w:val="000000"/>
                <w:sz w:val="20"/>
              </w:rPr>
              <w:tab/>
              <w:t>302</w:t>
            </w:r>
            <w:r>
              <w:rPr>
                <w:color w:val="000000"/>
                <w:sz w:val="20"/>
              </w:rPr>
              <w:tab/>
            </w:r>
          </w:p>
        </w:tc>
      </w:tr>
      <w:tr w:rsidR="00B52D58" w14:paraId="21E8E2D2"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565DFB8D" w14:textId="77777777" w:rsidR="00B52D58" w:rsidRDefault="00B52D58" w:rsidP="00D47172">
            <w:pPr>
              <w:keepNext/>
              <w:ind w:left="540" w:hanging="180"/>
              <w:rPr>
                <w:sz w:val="20"/>
              </w:rPr>
            </w:pPr>
            <w:r>
              <w:rPr>
                <w:sz w:val="20"/>
              </w:rPr>
              <w:t>Accrued liabilities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E8831DA" w14:textId="77777777" w:rsidR="00B52D58" w:rsidRDefault="00B52D58" w:rsidP="00D47172">
            <w:pPr>
              <w:keepNext/>
              <w:tabs>
                <w:tab w:val="left" w:pos="722"/>
                <w:tab w:val="left" w:pos="1237"/>
              </w:tabs>
              <w:spacing w:before="75" w:after="30"/>
              <w:jc w:val="right"/>
            </w:pPr>
            <w:r>
              <w:rPr>
                <w:color w:val="000000"/>
                <w:sz w:val="20"/>
              </w:rPr>
              <w:tab/>
              <w:t>1,780</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9ED6C08"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4566838" w14:textId="77777777" w:rsidR="00B52D58" w:rsidRDefault="00B52D58" w:rsidP="00D47172">
            <w:pPr>
              <w:keepNext/>
              <w:tabs>
                <w:tab w:val="left" w:pos="722"/>
                <w:tab w:val="left" w:pos="1237"/>
              </w:tabs>
              <w:spacing w:before="75" w:after="30"/>
              <w:jc w:val="right"/>
            </w:pPr>
            <w:r>
              <w:rPr>
                <w:color w:val="000000"/>
                <w:sz w:val="20"/>
              </w:rPr>
              <w:tab/>
              <w:t>1,472</w:t>
            </w:r>
            <w:r>
              <w:rPr>
                <w:color w:val="000000"/>
                <w:sz w:val="20"/>
              </w:rPr>
              <w:tab/>
            </w:r>
          </w:p>
        </w:tc>
      </w:tr>
      <w:tr w:rsidR="00B52D58" w14:paraId="774E4090"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7E5247C9" w14:textId="77777777" w:rsidR="00B52D58" w:rsidRDefault="00B52D58" w:rsidP="00D47172">
            <w:pPr>
              <w:keepNext/>
              <w:ind w:left="540" w:hanging="180"/>
              <w:rPr>
                <w:sz w:val="20"/>
              </w:rPr>
            </w:pPr>
            <w:r>
              <w:rPr>
                <w:sz w:val="20"/>
              </w:rPr>
              <w:t>Deferred revenue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598DE62" w14:textId="77777777" w:rsidR="00B52D58" w:rsidRDefault="00B52D58" w:rsidP="00D47172">
            <w:pPr>
              <w:keepNext/>
              <w:tabs>
                <w:tab w:val="left" w:pos="722"/>
                <w:tab w:val="left" w:pos="1237"/>
              </w:tabs>
              <w:spacing w:before="75" w:after="30"/>
              <w:jc w:val="right"/>
            </w:pPr>
            <w:r>
              <w:rPr>
                <w:color w:val="000000"/>
                <w:sz w:val="20"/>
              </w:rPr>
              <w:tab/>
              <w:t>4,093</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9832E3"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DE50DC7" w14:textId="77777777" w:rsidR="00B52D58" w:rsidRDefault="00B52D58" w:rsidP="00D47172">
            <w:pPr>
              <w:keepNext/>
              <w:tabs>
                <w:tab w:val="left" w:pos="722"/>
                <w:tab w:val="left" w:pos="1237"/>
              </w:tabs>
              <w:spacing w:before="75" w:after="30"/>
              <w:jc w:val="right"/>
            </w:pPr>
            <w:r>
              <w:rPr>
                <w:color w:val="000000"/>
                <w:sz w:val="20"/>
              </w:rPr>
              <w:tab/>
              <w:t>6,253</w:t>
            </w:r>
            <w:r>
              <w:rPr>
                <w:color w:val="000000"/>
                <w:sz w:val="20"/>
              </w:rPr>
              <w:tab/>
            </w:r>
          </w:p>
        </w:tc>
      </w:tr>
      <w:tr w:rsidR="00B52D58" w14:paraId="45F9A38B"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100FDA23" w14:textId="77777777" w:rsidR="00B52D58" w:rsidRDefault="00B52D58" w:rsidP="00D47172">
            <w:pPr>
              <w:keepNext/>
              <w:ind w:left="540" w:hanging="180"/>
            </w:pPr>
            <w:r>
              <w:rPr>
                <w:color w:val="000000"/>
                <w:sz w:val="20"/>
              </w:rPr>
              <w:t>Income taxes payable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B303413" w14:textId="77777777" w:rsidR="00B52D58" w:rsidRDefault="00B52D58" w:rsidP="00D47172">
            <w:pPr>
              <w:keepNext/>
              <w:tabs>
                <w:tab w:val="left" w:pos="872"/>
                <w:tab w:val="left" w:pos="1237"/>
              </w:tabs>
              <w:spacing w:before="75" w:after="30"/>
              <w:jc w:val="right"/>
            </w:pPr>
            <w:r>
              <w:rPr>
                <w:color w:val="000000"/>
                <w:sz w:val="20"/>
              </w:rPr>
              <w:tab/>
              <w:t>349</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4AA20F"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137D52B" w14:textId="77777777" w:rsidR="00B52D58" w:rsidRDefault="00B52D58" w:rsidP="00D47172">
            <w:pPr>
              <w:keepNext/>
              <w:tabs>
                <w:tab w:val="left" w:pos="902"/>
                <w:tab w:val="left" w:pos="1237"/>
              </w:tabs>
              <w:spacing w:before="75" w:after="30"/>
              <w:jc w:val="right"/>
            </w:pPr>
            <w:r>
              <w:rPr>
                <w:color w:val="000000"/>
                <w:sz w:val="18"/>
              </w:rPr>
              <w:tab/>
              <w:t>876</w:t>
            </w:r>
            <w:r>
              <w:rPr>
                <w:color w:val="000000"/>
                <w:sz w:val="18"/>
              </w:rPr>
              <w:tab/>
            </w:r>
          </w:p>
        </w:tc>
      </w:tr>
      <w:tr w:rsidR="00B52D58" w14:paraId="06D22C62"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1503EBEF" w14:textId="77777777" w:rsidR="00B52D58" w:rsidRDefault="00B52D58" w:rsidP="00D47172">
            <w:pPr>
              <w:keepNext/>
              <w:ind w:left="540" w:hanging="180"/>
              <w:rPr>
                <w:sz w:val="20"/>
              </w:rPr>
            </w:pPr>
            <w:r>
              <w:rPr>
                <w:sz w:val="20"/>
              </w:rPr>
              <w:t>Other current liabilities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27EDA88" w14:textId="77777777" w:rsidR="00B52D58" w:rsidRDefault="00B52D58" w:rsidP="00D47172">
            <w:pPr>
              <w:keepNext/>
              <w:tabs>
                <w:tab w:val="left" w:pos="872"/>
                <w:tab w:val="left" w:pos="1237"/>
              </w:tabs>
              <w:spacing w:before="75" w:after="30"/>
              <w:jc w:val="right"/>
            </w:pPr>
            <w:r>
              <w:rPr>
                <w:color w:val="000000"/>
                <w:sz w:val="20"/>
              </w:rPr>
              <w:tab/>
              <w:t>409</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79281C6" w14:textId="77777777" w:rsidR="00B52D58" w:rsidRDefault="00B52D58" w:rsidP="00D47172">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A89781F" w14:textId="77777777" w:rsidR="00B52D58" w:rsidRDefault="00B52D58" w:rsidP="00D47172">
            <w:pPr>
              <w:keepNext/>
              <w:tabs>
                <w:tab w:val="left" w:pos="872"/>
                <w:tab w:val="left" w:pos="1237"/>
              </w:tabs>
              <w:spacing w:before="75" w:after="30"/>
              <w:jc w:val="right"/>
            </w:pPr>
            <w:r>
              <w:rPr>
                <w:color w:val="000000"/>
                <w:sz w:val="20"/>
              </w:rPr>
              <w:tab/>
              <w:t>225</w:t>
            </w:r>
            <w:r>
              <w:rPr>
                <w:color w:val="000000"/>
                <w:sz w:val="20"/>
              </w:rPr>
              <w:tab/>
            </w:r>
          </w:p>
        </w:tc>
      </w:tr>
      <w:tr w:rsidR="00B52D58" w14:paraId="1C9180E0"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47FD6D77" w14:textId="77777777" w:rsidR="00B52D58" w:rsidRDefault="00B52D58" w:rsidP="00D47172">
            <w:pPr>
              <w:keepNext/>
              <w:ind w:left="900" w:hanging="180"/>
              <w:rPr>
                <w:sz w:val="20"/>
              </w:rPr>
            </w:pPr>
            <w:r>
              <w:rPr>
                <w:sz w:val="20"/>
              </w:rPr>
              <w:t>Total current liabilities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05D3B1B" w14:textId="77777777" w:rsidR="00B52D58" w:rsidRDefault="00B52D58" w:rsidP="00D47172">
            <w:pPr>
              <w:keepNext/>
              <w:tabs>
                <w:tab w:val="left" w:pos="722"/>
                <w:tab w:val="left" w:pos="1237"/>
              </w:tabs>
              <w:spacing w:before="55" w:after="30"/>
              <w:jc w:val="right"/>
            </w:pPr>
            <w:r>
              <w:rPr>
                <w:color w:val="000000"/>
                <w:sz w:val="20"/>
              </w:rPr>
              <w:tab/>
              <w:t>6,812</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B16295" w14:textId="77777777" w:rsidR="00B52D58" w:rsidRDefault="00B52D58" w:rsidP="00D47172">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71FDDEB" w14:textId="77777777" w:rsidR="00B52D58" w:rsidRDefault="00B52D58" w:rsidP="00D47172">
            <w:pPr>
              <w:keepNext/>
              <w:tabs>
                <w:tab w:val="left" w:pos="722"/>
                <w:tab w:val="left" w:pos="1237"/>
              </w:tabs>
              <w:spacing w:before="55" w:after="30"/>
              <w:jc w:val="right"/>
            </w:pPr>
            <w:r>
              <w:rPr>
                <w:color w:val="000000"/>
                <w:sz w:val="20"/>
              </w:rPr>
              <w:tab/>
              <w:t>9,128</w:t>
            </w:r>
            <w:r>
              <w:rPr>
                <w:color w:val="000000"/>
                <w:sz w:val="20"/>
              </w:rPr>
              <w:tab/>
            </w:r>
          </w:p>
        </w:tc>
      </w:tr>
      <w:tr w:rsidR="00B52D58" w14:paraId="099FD418"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1509D8A2" w14:textId="77777777" w:rsidR="00B52D58" w:rsidRDefault="00B52D58" w:rsidP="00D47172">
            <w:pPr>
              <w:keepNext/>
              <w:ind w:left="180" w:hanging="180"/>
              <w:rPr>
                <w:sz w:val="20"/>
              </w:rPr>
            </w:pPr>
            <w:r>
              <w:rPr>
                <w:sz w:val="20"/>
              </w:rPr>
              <w:t>Deferred revenue, non-current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5C88EBA" w14:textId="77777777" w:rsidR="00B52D58" w:rsidRDefault="00B52D58" w:rsidP="00D47172">
            <w:pPr>
              <w:keepNext/>
              <w:tabs>
                <w:tab w:val="left" w:pos="872"/>
                <w:tab w:val="left" w:pos="1237"/>
              </w:tabs>
              <w:spacing w:before="75" w:after="30"/>
              <w:jc w:val="right"/>
            </w:pPr>
            <w:r>
              <w:rPr>
                <w:color w:val="000000"/>
                <w:sz w:val="20"/>
              </w:rPr>
              <w:tab/>
              <w:t>405</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A18412C"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F891963" w14:textId="77777777" w:rsidR="00B52D58" w:rsidRDefault="00B52D58" w:rsidP="00D47172">
            <w:pPr>
              <w:keepNext/>
              <w:tabs>
                <w:tab w:val="left" w:pos="872"/>
                <w:tab w:val="left" w:pos="1237"/>
              </w:tabs>
              <w:spacing w:before="75" w:after="30"/>
              <w:jc w:val="right"/>
            </w:pPr>
            <w:r>
              <w:rPr>
                <w:color w:val="000000"/>
                <w:sz w:val="20"/>
              </w:rPr>
              <w:tab/>
              <w:t>615</w:t>
            </w:r>
            <w:r>
              <w:rPr>
                <w:color w:val="000000"/>
                <w:sz w:val="20"/>
              </w:rPr>
              <w:tab/>
            </w:r>
          </w:p>
        </w:tc>
      </w:tr>
      <w:tr w:rsidR="00B52D58" w14:paraId="5E4DC0A1"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53984A20" w14:textId="77777777" w:rsidR="00B52D58" w:rsidRDefault="00B52D58" w:rsidP="00D47172">
            <w:pPr>
              <w:keepNext/>
            </w:pPr>
            <w:r>
              <w:rPr>
                <w:color w:val="000000"/>
                <w:sz w:val="20"/>
              </w:rPr>
              <w:t>Operating lease liabilities, non-current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4608A50" w14:textId="77777777" w:rsidR="00B52D58" w:rsidRDefault="00B52D58" w:rsidP="00D47172">
            <w:pPr>
              <w:keepNext/>
              <w:tabs>
                <w:tab w:val="left" w:pos="972"/>
                <w:tab w:val="left" w:pos="1237"/>
              </w:tabs>
              <w:spacing w:before="75" w:after="30"/>
              <w:jc w:val="right"/>
            </w:pPr>
            <w:r>
              <w:rPr>
                <w:color w:val="000000"/>
                <w:sz w:val="20"/>
              </w:rPr>
              <w:tab/>
              <w:t>87</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A6ECFD"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CDE7C27" w14:textId="77777777" w:rsidR="00B52D58" w:rsidRDefault="00B52D58" w:rsidP="00D47172">
            <w:pPr>
              <w:keepNext/>
              <w:tabs>
                <w:tab w:val="left" w:pos="872"/>
                <w:tab w:val="left" w:pos="1237"/>
              </w:tabs>
              <w:spacing w:before="75" w:after="30"/>
              <w:jc w:val="right"/>
            </w:pPr>
            <w:r>
              <w:rPr>
                <w:color w:val="000000"/>
                <w:sz w:val="20"/>
              </w:rPr>
              <w:tab/>
              <w:t>106</w:t>
            </w:r>
            <w:r>
              <w:rPr>
                <w:color w:val="000000"/>
                <w:sz w:val="20"/>
              </w:rPr>
              <w:tab/>
            </w:r>
          </w:p>
        </w:tc>
      </w:tr>
      <w:tr w:rsidR="00B52D58" w14:paraId="50357A95"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67E3BFDF" w14:textId="77777777" w:rsidR="00B52D58" w:rsidRDefault="00B52D58" w:rsidP="00D47172">
            <w:pPr>
              <w:keepNext/>
            </w:pPr>
            <w:r>
              <w:rPr>
                <w:color w:val="000000"/>
                <w:sz w:val="20"/>
              </w:rPr>
              <w:t>Financing lease liabilities, non-current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744B09F" w14:textId="77777777" w:rsidR="00B52D58" w:rsidRDefault="00B52D58" w:rsidP="00D47172">
            <w:pPr>
              <w:keepNext/>
              <w:tabs>
                <w:tab w:val="left" w:pos="872"/>
                <w:tab w:val="left" w:pos="1237"/>
              </w:tabs>
              <w:spacing w:before="75" w:after="30"/>
              <w:jc w:val="right"/>
            </w:pPr>
            <w:r>
              <w:rPr>
                <w:color w:val="000000"/>
                <w:sz w:val="20"/>
              </w:rPr>
              <w:tab/>
              <w:t>641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3878BD"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E7CAE3F" w14:textId="77777777" w:rsidR="00B52D58" w:rsidRDefault="00B52D58" w:rsidP="00D47172">
            <w:pPr>
              <w:keepNext/>
              <w:tabs>
                <w:tab w:val="left" w:pos="872"/>
                <w:tab w:val="left" w:pos="1237"/>
              </w:tabs>
              <w:spacing w:before="75" w:after="30"/>
              <w:jc w:val="right"/>
            </w:pPr>
            <w:r>
              <w:rPr>
                <w:color w:val="000000"/>
                <w:sz w:val="20"/>
              </w:rPr>
              <w:tab/>
              <w:t>599</w:t>
            </w:r>
            <w:r>
              <w:rPr>
                <w:color w:val="000000"/>
                <w:sz w:val="20"/>
              </w:rPr>
              <w:tab/>
            </w:r>
          </w:p>
        </w:tc>
      </w:tr>
      <w:tr w:rsidR="00B52D58" w14:paraId="71174AF2"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2EAC7BD9" w14:textId="77777777" w:rsidR="00B52D58" w:rsidRDefault="00B52D58" w:rsidP="00D47172">
            <w:pPr>
              <w:keepNext/>
              <w:ind w:left="180" w:hanging="180"/>
              <w:rPr>
                <w:sz w:val="20"/>
              </w:rPr>
            </w:pPr>
            <w:r>
              <w:rPr>
                <w:sz w:val="20"/>
              </w:rPr>
              <w:t>Other non-current liabilities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A1805E1" w14:textId="77777777" w:rsidR="00B52D58" w:rsidRDefault="00B52D58" w:rsidP="00D47172">
            <w:pPr>
              <w:keepNext/>
              <w:tabs>
                <w:tab w:val="left" w:pos="872"/>
                <w:tab w:val="left" w:pos="1237"/>
              </w:tabs>
              <w:spacing w:before="75" w:after="30"/>
              <w:jc w:val="right"/>
            </w:pPr>
            <w:r>
              <w:rPr>
                <w:color w:val="000000"/>
                <w:sz w:val="20"/>
              </w:rPr>
              <w:tab/>
              <w:t>113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A65E9A" w14:textId="77777777" w:rsidR="00B52D58" w:rsidRDefault="00B52D58" w:rsidP="00D47172">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788404A" w14:textId="77777777" w:rsidR="00B52D58" w:rsidRDefault="00B52D58" w:rsidP="00D47172">
            <w:pPr>
              <w:keepNext/>
              <w:tabs>
                <w:tab w:val="left" w:pos="972"/>
                <w:tab w:val="left" w:pos="1237"/>
              </w:tabs>
              <w:spacing w:before="75" w:after="30"/>
              <w:jc w:val="right"/>
            </w:pPr>
            <w:r>
              <w:rPr>
                <w:color w:val="000000"/>
                <w:sz w:val="20"/>
              </w:rPr>
              <w:tab/>
              <w:t>76</w:t>
            </w:r>
            <w:r>
              <w:rPr>
                <w:color w:val="000000"/>
                <w:sz w:val="20"/>
              </w:rPr>
              <w:tab/>
            </w:r>
          </w:p>
        </w:tc>
      </w:tr>
      <w:tr w:rsidR="00B52D58" w14:paraId="2A2F2546"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25A30D9E" w14:textId="77777777" w:rsidR="00B52D58" w:rsidRDefault="00B52D58" w:rsidP="00D47172">
            <w:pPr>
              <w:keepNext/>
              <w:ind w:left="180" w:hanging="180"/>
            </w:pPr>
            <w:r>
              <w:rPr>
                <w:color w:val="000000"/>
                <w:sz w:val="20"/>
              </w:rPr>
              <w:t>Total liabilities</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B4E28DB" w14:textId="77777777" w:rsidR="00B52D58" w:rsidRDefault="00B52D58" w:rsidP="00D47172">
            <w:pPr>
              <w:keepNext/>
              <w:tabs>
                <w:tab w:val="left" w:pos="722"/>
                <w:tab w:val="left" w:pos="1237"/>
              </w:tabs>
              <w:spacing w:before="55" w:after="30"/>
              <w:jc w:val="right"/>
            </w:pPr>
            <w:r>
              <w:rPr>
                <w:color w:val="000000"/>
                <w:sz w:val="20"/>
              </w:rPr>
              <w:tab/>
              <w:t>8,058</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0825E30" w14:textId="77777777" w:rsidR="00B52D58" w:rsidRDefault="00B52D58" w:rsidP="00D47172">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463F809" w14:textId="77777777" w:rsidR="00B52D58" w:rsidRDefault="00B52D58" w:rsidP="00D47172">
            <w:pPr>
              <w:keepNext/>
              <w:tabs>
                <w:tab w:val="left" w:pos="622"/>
                <w:tab w:val="left" w:pos="1237"/>
              </w:tabs>
              <w:spacing w:before="55" w:after="30"/>
              <w:jc w:val="right"/>
            </w:pPr>
            <w:r>
              <w:rPr>
                <w:color w:val="000000"/>
                <w:sz w:val="20"/>
              </w:rPr>
              <w:tab/>
              <w:t>10,524</w:t>
            </w:r>
            <w:r>
              <w:rPr>
                <w:color w:val="000000"/>
                <w:sz w:val="20"/>
              </w:rPr>
              <w:tab/>
            </w:r>
          </w:p>
        </w:tc>
      </w:tr>
      <w:tr w:rsidR="00B52D58" w14:paraId="2E324A35"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6DB5AFA7" w14:textId="77777777" w:rsidR="00B52D58" w:rsidRDefault="00B52D58" w:rsidP="00D47172">
            <w:pPr>
              <w:keepNext/>
              <w:ind w:left="180" w:hanging="180"/>
            </w:pPr>
            <w:r>
              <w:rPr>
                <w:color w:val="000000"/>
                <w:sz w:val="20"/>
              </w:rPr>
              <w:t>Stockholders’ equity:</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6E208B38"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89DB00"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50A39259" w14:textId="77777777" w:rsidR="00B52D58" w:rsidRDefault="00B52D58" w:rsidP="00D47172">
            <w:pPr>
              <w:keepNext/>
            </w:pPr>
          </w:p>
        </w:tc>
      </w:tr>
      <w:tr w:rsidR="00B52D58" w14:paraId="3FF80DB8"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5A559FFB" w14:textId="77777777" w:rsidR="00B52D58" w:rsidRDefault="00B52D58" w:rsidP="00D47172">
            <w:pPr>
              <w:keepNext/>
              <w:ind w:left="540" w:hanging="180"/>
              <w:rPr>
                <w:sz w:val="20"/>
              </w:rPr>
            </w:pPr>
            <w:r>
              <w:rPr>
                <w:sz w:val="20"/>
              </w:rPr>
              <w:t>Additional paid-in capital</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1E73A06" w14:textId="77777777" w:rsidR="00B52D58" w:rsidRDefault="00B52D58" w:rsidP="00D47172">
            <w:pPr>
              <w:keepNext/>
              <w:tabs>
                <w:tab w:val="left" w:pos="722"/>
                <w:tab w:val="left" w:pos="1237"/>
              </w:tabs>
              <w:spacing w:before="75" w:after="30"/>
              <w:jc w:val="right"/>
            </w:pPr>
            <w:r>
              <w:rPr>
                <w:color w:val="000000"/>
                <w:sz w:val="20"/>
              </w:rPr>
              <w:tab/>
              <w:t>2,413</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EA9C9DA"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2B18996" w14:textId="77777777" w:rsidR="00B52D58" w:rsidRDefault="00B52D58" w:rsidP="00D47172">
            <w:pPr>
              <w:keepNext/>
              <w:tabs>
                <w:tab w:val="left" w:pos="722"/>
                <w:tab w:val="left" w:pos="1237"/>
              </w:tabs>
              <w:spacing w:before="75" w:after="30"/>
              <w:jc w:val="right"/>
            </w:pPr>
            <w:r>
              <w:rPr>
                <w:color w:val="000000"/>
                <w:sz w:val="20"/>
              </w:rPr>
              <w:tab/>
              <w:t>4,211</w:t>
            </w:r>
            <w:r>
              <w:rPr>
                <w:color w:val="000000"/>
                <w:sz w:val="20"/>
              </w:rPr>
              <w:tab/>
            </w:r>
          </w:p>
        </w:tc>
      </w:tr>
      <w:tr w:rsidR="00B52D58" w14:paraId="3F815233"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2A331799" w14:textId="77777777" w:rsidR="00B52D58" w:rsidRDefault="00B52D58" w:rsidP="00D47172">
            <w:pPr>
              <w:keepNext/>
              <w:ind w:left="540" w:hanging="180"/>
            </w:pPr>
            <w:r>
              <w:rPr>
                <w:color w:val="000000"/>
                <w:sz w:val="20"/>
              </w:rPr>
              <w:t>Accumulated other comprehensive loss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51D1490" w14:textId="77777777" w:rsidR="00B52D58" w:rsidRDefault="00B52D58" w:rsidP="00D47172">
            <w:pPr>
              <w:keepNext/>
              <w:tabs>
                <w:tab w:val="left" w:pos="806"/>
              </w:tabs>
              <w:spacing w:before="75" w:after="30"/>
              <w:jc w:val="right"/>
            </w:pPr>
            <w:r>
              <w:rPr>
                <w:color w:val="000000"/>
                <w:sz w:val="20"/>
              </w:rPr>
              <w:tab/>
              <w:t>(240)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AA92D5"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5CFC9E5" w14:textId="77777777" w:rsidR="00B52D58" w:rsidRDefault="00B52D58" w:rsidP="00D47172">
            <w:pPr>
              <w:keepNext/>
              <w:tabs>
                <w:tab w:val="left" w:pos="906"/>
              </w:tabs>
              <w:spacing w:before="75" w:after="30"/>
              <w:jc w:val="right"/>
            </w:pPr>
            <w:r>
              <w:rPr>
                <w:color w:val="000000"/>
                <w:sz w:val="20"/>
              </w:rPr>
              <w:tab/>
              <w:t>(24)</w:t>
            </w:r>
          </w:p>
        </w:tc>
      </w:tr>
      <w:tr w:rsidR="00B52D58" w14:paraId="317630FD"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5F3B39AE" w14:textId="77777777" w:rsidR="00B52D58" w:rsidRDefault="00B52D58" w:rsidP="00D47172">
            <w:pPr>
              <w:keepNext/>
              <w:ind w:left="540" w:hanging="180"/>
            </w:pPr>
            <w:r>
              <w:rPr>
                <w:color w:val="000000"/>
                <w:sz w:val="20"/>
              </w:rPr>
              <w:t>Retained earnings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E20A92A" w14:textId="77777777" w:rsidR="00B52D58" w:rsidRDefault="00B52D58" w:rsidP="00D47172">
            <w:pPr>
              <w:keepNext/>
              <w:tabs>
                <w:tab w:val="left" w:pos="622"/>
                <w:tab w:val="left" w:pos="1237"/>
              </w:tabs>
              <w:spacing w:before="75" w:after="30"/>
              <w:jc w:val="right"/>
            </w:pPr>
            <w:r>
              <w:rPr>
                <w:color w:val="000000"/>
                <w:sz w:val="20"/>
              </w:rPr>
              <w:tab/>
              <w:t>15,812</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06B21C" w14:textId="77777777" w:rsidR="00B52D58" w:rsidRDefault="00B52D58" w:rsidP="00D47172">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9EBADC6" w14:textId="77777777" w:rsidR="00B52D58" w:rsidRDefault="00B52D58" w:rsidP="00D47172">
            <w:pPr>
              <w:keepNext/>
              <w:tabs>
                <w:tab w:val="left" w:pos="722"/>
                <w:tab w:val="left" w:pos="1237"/>
              </w:tabs>
              <w:spacing w:before="75" w:after="30"/>
              <w:jc w:val="right"/>
            </w:pPr>
            <w:r>
              <w:rPr>
                <w:color w:val="000000"/>
                <w:sz w:val="20"/>
              </w:rPr>
              <w:tab/>
              <w:t>9,958</w:t>
            </w:r>
            <w:r>
              <w:rPr>
                <w:color w:val="000000"/>
                <w:sz w:val="20"/>
              </w:rPr>
              <w:tab/>
            </w:r>
          </w:p>
        </w:tc>
      </w:tr>
      <w:tr w:rsidR="00B52D58" w14:paraId="38618D6B" w14:textId="77777777" w:rsidTr="00D47172">
        <w:trPr>
          <w:cantSplit/>
          <w:trHeight w:hRule="exact" w:val="285"/>
        </w:trPr>
        <w:tc>
          <w:tcPr>
            <w:tcW w:w="7395" w:type="dxa"/>
            <w:tcBorders>
              <w:top w:val="nil"/>
              <w:left w:val="nil"/>
              <w:bottom w:val="nil"/>
              <w:right w:val="nil"/>
            </w:tcBorders>
            <w:shd w:val="clear" w:color="auto" w:fill="CCEEFF"/>
            <w:tcMar>
              <w:top w:w="0" w:type="dxa"/>
              <w:left w:w="53" w:type="dxa"/>
              <w:bottom w:w="0" w:type="dxa"/>
              <w:right w:w="53" w:type="dxa"/>
            </w:tcMar>
            <w:vAlign w:val="center"/>
          </w:tcPr>
          <w:p w14:paraId="1E422C42" w14:textId="77777777" w:rsidR="00B52D58" w:rsidRDefault="00B52D58" w:rsidP="00D47172">
            <w:pPr>
              <w:keepNext/>
              <w:ind w:left="180" w:hanging="180"/>
              <w:rPr>
                <w:sz w:val="20"/>
              </w:rPr>
            </w:pPr>
            <w:r>
              <w:rPr>
                <w:sz w:val="20"/>
              </w:rPr>
              <w:t>Total stockholders’ equity</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BA8AB5A" w14:textId="77777777" w:rsidR="00B52D58" w:rsidRDefault="00B52D58" w:rsidP="00D47172">
            <w:pPr>
              <w:keepNext/>
              <w:tabs>
                <w:tab w:val="left" w:pos="622"/>
                <w:tab w:val="left" w:pos="1237"/>
              </w:tabs>
              <w:spacing w:before="55" w:after="30"/>
              <w:jc w:val="right"/>
            </w:pPr>
            <w:r>
              <w:rPr>
                <w:color w:val="000000"/>
                <w:sz w:val="20"/>
              </w:rPr>
              <w:tab/>
              <w:t>17,985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C2918F" w14:textId="77777777" w:rsidR="00B52D58" w:rsidRDefault="00B52D58" w:rsidP="00D47172">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356EA27" w14:textId="77777777" w:rsidR="00B52D58" w:rsidRDefault="00B52D58" w:rsidP="00D47172">
            <w:pPr>
              <w:keepNext/>
              <w:tabs>
                <w:tab w:val="left" w:pos="622"/>
                <w:tab w:val="left" w:pos="1237"/>
              </w:tabs>
              <w:spacing w:before="55" w:after="30"/>
              <w:jc w:val="right"/>
            </w:pPr>
            <w:r>
              <w:rPr>
                <w:color w:val="000000"/>
                <w:sz w:val="20"/>
              </w:rPr>
              <w:tab/>
              <w:t>14,145</w:t>
            </w:r>
            <w:r>
              <w:rPr>
                <w:color w:val="000000"/>
                <w:sz w:val="20"/>
              </w:rPr>
              <w:tab/>
            </w:r>
          </w:p>
        </w:tc>
      </w:tr>
      <w:tr w:rsidR="00B52D58" w14:paraId="05A47A0B" w14:textId="77777777" w:rsidTr="00D47172">
        <w:trPr>
          <w:cantSplit/>
          <w:trHeight w:hRule="exact" w:val="285"/>
        </w:trPr>
        <w:tc>
          <w:tcPr>
            <w:tcW w:w="7395" w:type="dxa"/>
            <w:tcBorders>
              <w:top w:val="nil"/>
              <w:left w:val="nil"/>
              <w:bottom w:val="nil"/>
              <w:right w:val="nil"/>
            </w:tcBorders>
            <w:shd w:val="clear" w:color="auto" w:fill="FFFFFF"/>
            <w:tcMar>
              <w:top w:w="0" w:type="dxa"/>
              <w:left w:w="53" w:type="dxa"/>
              <w:bottom w:w="0" w:type="dxa"/>
              <w:right w:w="53" w:type="dxa"/>
            </w:tcMar>
            <w:vAlign w:val="center"/>
          </w:tcPr>
          <w:p w14:paraId="117B2501" w14:textId="77777777" w:rsidR="00B52D58" w:rsidRDefault="00B52D58" w:rsidP="00D47172">
            <w:pPr>
              <w:ind w:left="180" w:hanging="180"/>
              <w:rPr>
                <w:sz w:val="20"/>
              </w:rPr>
            </w:pPr>
            <w:r>
              <w:rPr>
                <w:sz w:val="20"/>
              </w:rPr>
              <w:t>Total liabilities and stockholders’ equity</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C4756C1" w14:textId="77777777" w:rsidR="00B52D58" w:rsidRDefault="00B52D58" w:rsidP="00D47172">
            <w:pPr>
              <w:tabs>
                <w:tab w:val="left" w:pos="622"/>
                <w:tab w:val="left" w:pos="1237"/>
              </w:tabs>
              <w:spacing w:before="55" w:after="30"/>
              <w:jc w:val="right"/>
            </w:pPr>
            <w:r>
              <w:rPr>
                <w:color w:val="000000"/>
                <w:sz w:val="20"/>
              </w:rPr>
              <w:t>$</w:t>
            </w:r>
            <w:r>
              <w:rPr>
                <w:color w:val="000000"/>
                <w:sz w:val="20"/>
              </w:rPr>
              <w:tab/>
              <w:t>26,043</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D7F738" w14:textId="77777777" w:rsidR="00B52D58" w:rsidRDefault="00B52D58" w:rsidP="00D47172"/>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333CF4C" w14:textId="77777777" w:rsidR="00B52D58" w:rsidRDefault="00B52D58" w:rsidP="00D47172">
            <w:pPr>
              <w:tabs>
                <w:tab w:val="left" w:pos="622"/>
                <w:tab w:val="left" w:pos="1237"/>
              </w:tabs>
              <w:spacing w:before="55" w:after="30"/>
              <w:jc w:val="right"/>
            </w:pPr>
            <w:r>
              <w:rPr>
                <w:color w:val="000000"/>
                <w:sz w:val="20"/>
              </w:rPr>
              <w:t>$</w:t>
            </w:r>
            <w:r>
              <w:rPr>
                <w:color w:val="000000"/>
                <w:sz w:val="20"/>
              </w:rPr>
              <w:tab/>
              <w:t>24,669</w:t>
            </w:r>
            <w:r>
              <w:rPr>
                <w:color w:val="000000"/>
                <w:sz w:val="20"/>
              </w:rPr>
              <w:tab/>
            </w:r>
          </w:p>
        </w:tc>
      </w:tr>
    </w:tbl>
    <w:p w14:paraId="715AF5DF" w14:textId="77777777" w:rsidR="009E4DA7" w:rsidRDefault="009E4DA7" w:rsidP="00900BAA">
      <w:pPr>
        <w:spacing w:line="288" w:lineRule="auto"/>
        <w:jc w:val="center"/>
        <w:outlineLvl w:val="0"/>
        <w:rPr>
          <w:b/>
          <w:sz w:val="20"/>
        </w:rPr>
      </w:pPr>
    </w:p>
    <w:p w14:paraId="51C6043A" w14:textId="77777777" w:rsidR="009E4DA7" w:rsidRDefault="009E4DA7" w:rsidP="00900BAA">
      <w:pPr>
        <w:spacing w:line="288" w:lineRule="auto"/>
        <w:jc w:val="center"/>
        <w:outlineLvl w:val="0"/>
        <w:rPr>
          <w:b/>
          <w:sz w:val="20"/>
        </w:rPr>
      </w:pPr>
    </w:p>
    <w:p w14:paraId="0592E654" w14:textId="77777777" w:rsidR="009E4DA7" w:rsidRDefault="009E4DA7" w:rsidP="00900BAA">
      <w:pPr>
        <w:spacing w:line="288" w:lineRule="auto"/>
        <w:jc w:val="center"/>
        <w:outlineLvl w:val="0"/>
        <w:rPr>
          <w:b/>
          <w:sz w:val="20"/>
        </w:rPr>
      </w:pPr>
    </w:p>
    <w:p w14:paraId="243187DE" w14:textId="77777777" w:rsidR="009E4DA7" w:rsidRDefault="009E4DA7" w:rsidP="00900BAA">
      <w:pPr>
        <w:spacing w:line="288" w:lineRule="auto"/>
        <w:jc w:val="center"/>
        <w:outlineLvl w:val="0"/>
        <w:rPr>
          <w:b/>
          <w:sz w:val="20"/>
        </w:rPr>
      </w:pPr>
    </w:p>
    <w:p w14:paraId="04E5D47D" w14:textId="77777777" w:rsidR="009E4DA7" w:rsidRDefault="009E4DA7" w:rsidP="00900BAA">
      <w:pPr>
        <w:spacing w:line="288" w:lineRule="auto"/>
        <w:jc w:val="center"/>
        <w:outlineLvl w:val="0"/>
        <w:rPr>
          <w:b/>
          <w:sz w:val="20"/>
        </w:rPr>
      </w:pPr>
    </w:p>
    <w:p w14:paraId="4F615D1B" w14:textId="77777777" w:rsidR="009E4DA7" w:rsidRDefault="009E4DA7" w:rsidP="00900BAA">
      <w:pPr>
        <w:spacing w:line="288" w:lineRule="auto"/>
        <w:jc w:val="center"/>
        <w:outlineLvl w:val="0"/>
        <w:rPr>
          <w:b/>
          <w:sz w:val="20"/>
        </w:rPr>
      </w:pPr>
    </w:p>
    <w:p w14:paraId="0AACB241" w14:textId="77777777" w:rsidR="009E4DA7" w:rsidRDefault="009E4DA7" w:rsidP="00900BAA">
      <w:pPr>
        <w:spacing w:line="288" w:lineRule="auto"/>
        <w:jc w:val="center"/>
        <w:outlineLvl w:val="0"/>
        <w:rPr>
          <w:b/>
          <w:sz w:val="20"/>
        </w:rPr>
      </w:pPr>
    </w:p>
    <w:p w14:paraId="1B6A57B9" w14:textId="653DB098" w:rsidR="00900BAA" w:rsidRDefault="00900BAA" w:rsidP="00900BAA">
      <w:pPr>
        <w:spacing w:line="288" w:lineRule="auto"/>
        <w:jc w:val="center"/>
        <w:outlineLvl w:val="0"/>
        <w:rPr>
          <w:b/>
          <w:sz w:val="20"/>
        </w:rPr>
      </w:pPr>
      <w:r>
        <w:rPr>
          <w:b/>
          <w:sz w:val="20"/>
        </w:rPr>
        <w:lastRenderedPageBreak/>
        <w:t>MODERNA, INC.</w:t>
      </w:r>
    </w:p>
    <w:p w14:paraId="59B406B5" w14:textId="77777777" w:rsidR="00900BAA" w:rsidRDefault="00900BAA" w:rsidP="00900BAA">
      <w:pPr>
        <w:spacing w:line="288" w:lineRule="auto"/>
        <w:jc w:val="center"/>
        <w:rPr>
          <w:b/>
          <w:sz w:val="20"/>
        </w:rPr>
      </w:pPr>
      <w:r>
        <w:rPr>
          <w:b/>
          <w:sz w:val="20"/>
        </w:rPr>
        <w:t>CONDENSED CONSOLIDATED STATEMENTS OF CASH FLOWS</w:t>
      </w:r>
    </w:p>
    <w:p w14:paraId="6A7237ED" w14:textId="77777777" w:rsidR="00900BAA" w:rsidRDefault="00900BAA" w:rsidP="00900BAA">
      <w:pPr>
        <w:spacing w:after="60" w:line="288" w:lineRule="auto"/>
        <w:jc w:val="center"/>
        <w:rPr>
          <w:b/>
          <w:sz w:val="20"/>
        </w:rPr>
      </w:pPr>
      <w:r>
        <w:rPr>
          <w:b/>
          <w:sz w:val="20"/>
        </w:rPr>
        <w:t>(Unaudited, in millions)</w:t>
      </w:r>
    </w:p>
    <w:p w14:paraId="7581DFB1" w14:textId="01DB91EF" w:rsidR="00900BAA" w:rsidRDefault="00900BAA" w:rsidP="00900BAA">
      <w:pPr>
        <w:spacing w:before="20" w:after="180" w:line="288" w:lineRule="auto"/>
        <w:jc w:val="center"/>
        <w:rPr>
          <w:sz w:val="20"/>
        </w:rPr>
      </w:pP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6"/>
        <w:gridCol w:w="1303"/>
        <w:gridCol w:w="88"/>
        <w:gridCol w:w="1303"/>
      </w:tblGrid>
      <w:tr w:rsidR="00B52D58" w14:paraId="5F851AAD" w14:textId="77777777" w:rsidTr="00D47172">
        <w:trPr>
          <w:cantSplit/>
          <w:trHeight w:hRule="exact" w:val="255"/>
        </w:trPr>
        <w:tc>
          <w:tcPr>
            <w:tcW w:w="7845" w:type="dxa"/>
            <w:tcBorders>
              <w:top w:val="nil"/>
              <w:left w:val="nil"/>
              <w:bottom w:val="nil"/>
              <w:right w:val="nil"/>
            </w:tcBorders>
            <w:tcMar>
              <w:top w:w="0" w:type="dxa"/>
              <w:left w:w="0" w:type="dxa"/>
              <w:bottom w:w="0" w:type="dxa"/>
              <w:right w:w="0" w:type="dxa"/>
            </w:tcMar>
            <w:vAlign w:val="bottom"/>
          </w:tcPr>
          <w:p w14:paraId="58215ECB" w14:textId="77777777" w:rsidR="00B52D58" w:rsidRDefault="00B52D58" w:rsidP="00D47172">
            <w:pPr>
              <w:keepNext/>
            </w:pPr>
          </w:p>
        </w:tc>
        <w:tc>
          <w:tcPr>
            <w:tcW w:w="2685" w:type="dxa"/>
            <w:gridSpan w:val="3"/>
            <w:tcBorders>
              <w:top w:val="nil"/>
              <w:left w:val="nil"/>
              <w:bottom w:val="nil"/>
              <w:right w:val="nil"/>
            </w:tcBorders>
            <w:tcMar>
              <w:top w:w="0" w:type="dxa"/>
              <w:left w:w="53" w:type="dxa"/>
              <w:bottom w:w="0" w:type="dxa"/>
              <w:right w:w="53" w:type="dxa"/>
            </w:tcMar>
            <w:vAlign w:val="bottom"/>
          </w:tcPr>
          <w:p w14:paraId="133E7E6F" w14:textId="77777777" w:rsidR="00B52D58" w:rsidRDefault="00B52D58" w:rsidP="00D47172">
            <w:pPr>
              <w:keepNext/>
              <w:spacing w:before="75" w:after="30"/>
              <w:jc w:val="center"/>
            </w:pPr>
            <w:r>
              <w:rPr>
                <w:b/>
                <w:color w:val="000000"/>
                <w:sz w:val="16"/>
              </w:rPr>
              <w:t>Six Months Ended June 30,</w:t>
            </w:r>
          </w:p>
        </w:tc>
      </w:tr>
      <w:tr w:rsidR="00B52D58" w14:paraId="40595232" w14:textId="77777777" w:rsidTr="00D47172">
        <w:trPr>
          <w:cantSplit/>
          <w:trHeight w:hRule="exact" w:val="255"/>
        </w:trPr>
        <w:tc>
          <w:tcPr>
            <w:tcW w:w="7845" w:type="dxa"/>
            <w:tcBorders>
              <w:top w:val="nil"/>
              <w:left w:val="nil"/>
              <w:bottom w:val="nil"/>
              <w:right w:val="nil"/>
            </w:tcBorders>
            <w:tcMar>
              <w:top w:w="0" w:type="dxa"/>
              <w:left w:w="0" w:type="dxa"/>
              <w:bottom w:w="0" w:type="dxa"/>
              <w:right w:w="0" w:type="dxa"/>
            </w:tcMar>
            <w:vAlign w:val="bottom"/>
          </w:tcPr>
          <w:p w14:paraId="105D3B16" w14:textId="77777777" w:rsidR="00B52D58" w:rsidRDefault="00B52D58" w:rsidP="00D47172">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3B08578" w14:textId="77777777" w:rsidR="00B52D58" w:rsidRDefault="00B52D58" w:rsidP="00D47172">
            <w:pPr>
              <w:keepNext/>
              <w:spacing w:before="55" w:after="30"/>
              <w:jc w:val="center"/>
            </w:pPr>
            <w:r>
              <w:rPr>
                <w:b/>
                <w:color w:val="000000"/>
                <w:sz w:val="16"/>
              </w:rPr>
              <w:t>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5FD3B91" w14:textId="77777777" w:rsidR="00B52D58" w:rsidRDefault="00B52D58" w:rsidP="00D47172">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EE2DD86" w14:textId="77777777" w:rsidR="00B52D58" w:rsidRDefault="00B52D58" w:rsidP="00D47172">
            <w:pPr>
              <w:keepNext/>
              <w:spacing w:before="55" w:after="30"/>
              <w:jc w:val="center"/>
            </w:pPr>
            <w:r>
              <w:rPr>
                <w:b/>
                <w:color w:val="000000"/>
                <w:sz w:val="16"/>
              </w:rPr>
              <w:t>2021</w:t>
            </w:r>
          </w:p>
        </w:tc>
      </w:tr>
      <w:tr w:rsidR="00B52D58" w14:paraId="245511D4"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3DB30CF3" w14:textId="77777777" w:rsidR="00B52D58" w:rsidRDefault="00B52D58" w:rsidP="00D47172">
            <w:pPr>
              <w:keepNext/>
            </w:pPr>
            <w:r>
              <w:rPr>
                <w:b/>
                <w:color w:val="000000"/>
                <w:sz w:val="20"/>
              </w:rPr>
              <w:t>Operating activities</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9049661"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09C162" w14:textId="77777777" w:rsidR="00B52D58" w:rsidRDefault="00B52D58" w:rsidP="00D47172">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14CA4A4" w14:textId="77777777" w:rsidR="00B52D58" w:rsidRDefault="00B52D58" w:rsidP="00D47172">
            <w:pPr>
              <w:keepNext/>
            </w:pPr>
          </w:p>
        </w:tc>
      </w:tr>
      <w:tr w:rsidR="00B52D58" w14:paraId="681C9817"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6E99BB5E" w14:textId="77777777" w:rsidR="00B52D58" w:rsidRDefault="00B52D58" w:rsidP="00D47172">
            <w:pPr>
              <w:keepNext/>
              <w:ind w:left="180" w:hanging="180"/>
            </w:pPr>
            <w:r>
              <w:rPr>
                <w:color w:val="000000"/>
                <w:sz w:val="20"/>
              </w:rPr>
              <w:t>Net income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AB5FEAF" w14:textId="77777777" w:rsidR="00B52D58" w:rsidRDefault="00B52D58" w:rsidP="00D47172">
            <w:pPr>
              <w:keepNext/>
              <w:tabs>
                <w:tab w:val="left" w:pos="722"/>
                <w:tab w:val="left" w:pos="1237"/>
              </w:tabs>
              <w:spacing w:before="75" w:after="30"/>
              <w:jc w:val="right"/>
            </w:pPr>
            <w:r>
              <w:rPr>
                <w:color w:val="000000"/>
                <w:sz w:val="20"/>
              </w:rPr>
              <w:t>$</w:t>
            </w:r>
            <w:r>
              <w:rPr>
                <w:color w:val="000000"/>
                <w:sz w:val="20"/>
              </w:rPr>
              <w:tab/>
              <w:t>5,854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F84B07"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A632203" w14:textId="77777777" w:rsidR="00B52D58" w:rsidRDefault="00B52D58" w:rsidP="00D47172">
            <w:pPr>
              <w:keepNext/>
              <w:tabs>
                <w:tab w:val="left" w:pos="722"/>
                <w:tab w:val="left" w:pos="1237"/>
              </w:tabs>
              <w:spacing w:before="75" w:after="30"/>
              <w:jc w:val="right"/>
            </w:pPr>
            <w:r>
              <w:rPr>
                <w:color w:val="000000"/>
                <w:sz w:val="20"/>
              </w:rPr>
              <w:t>$</w:t>
            </w:r>
            <w:r>
              <w:rPr>
                <w:color w:val="000000"/>
                <w:sz w:val="20"/>
              </w:rPr>
              <w:tab/>
              <w:t>4,001</w:t>
            </w:r>
            <w:r>
              <w:rPr>
                <w:color w:val="000000"/>
                <w:sz w:val="20"/>
              </w:rPr>
              <w:tab/>
            </w:r>
          </w:p>
        </w:tc>
      </w:tr>
      <w:tr w:rsidR="00B52D58" w14:paraId="2F2587F1"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2C03A3BE" w14:textId="77777777" w:rsidR="00B52D58" w:rsidRDefault="00B52D58" w:rsidP="00D47172">
            <w:pPr>
              <w:keepNext/>
              <w:ind w:left="180" w:hanging="180"/>
            </w:pPr>
            <w:r>
              <w:rPr>
                <w:color w:val="000000"/>
                <w:sz w:val="20"/>
              </w:rPr>
              <w:t>Adjustments to reconcile net income to net cash provided by operating activities: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22AD6D64"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4A6619"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2B3BC5F1" w14:textId="77777777" w:rsidR="00B52D58" w:rsidRDefault="00B52D58" w:rsidP="00D47172">
            <w:pPr>
              <w:keepNext/>
            </w:pPr>
          </w:p>
        </w:tc>
      </w:tr>
      <w:tr w:rsidR="00B52D58" w14:paraId="78D71824"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4DDCF6C7" w14:textId="77777777" w:rsidR="00B52D58" w:rsidRDefault="00B52D58" w:rsidP="00D47172">
            <w:pPr>
              <w:keepNext/>
              <w:ind w:left="360"/>
            </w:pPr>
            <w:r>
              <w:rPr>
                <w:color w:val="000000"/>
                <w:sz w:val="20"/>
              </w:rPr>
              <w:t>Stock-based compensation</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0F3FC0C" w14:textId="77777777" w:rsidR="00B52D58" w:rsidRDefault="00B52D58" w:rsidP="00D47172">
            <w:pPr>
              <w:keepNext/>
              <w:tabs>
                <w:tab w:val="left" w:pos="972"/>
                <w:tab w:val="left" w:pos="1237"/>
              </w:tabs>
              <w:spacing w:before="75" w:after="30"/>
              <w:jc w:val="right"/>
            </w:pPr>
            <w:r>
              <w:rPr>
                <w:color w:val="000000"/>
                <w:sz w:val="20"/>
              </w:rPr>
              <w:tab/>
              <w:t>94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B192457"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E93D820" w14:textId="77777777" w:rsidR="00B52D58" w:rsidRDefault="00B52D58" w:rsidP="00D47172">
            <w:pPr>
              <w:keepNext/>
              <w:tabs>
                <w:tab w:val="left" w:pos="972"/>
                <w:tab w:val="left" w:pos="1237"/>
              </w:tabs>
              <w:spacing w:before="75" w:after="30"/>
              <w:jc w:val="right"/>
            </w:pPr>
            <w:r>
              <w:rPr>
                <w:color w:val="000000"/>
                <w:sz w:val="20"/>
              </w:rPr>
              <w:tab/>
              <w:t>65</w:t>
            </w:r>
            <w:r>
              <w:rPr>
                <w:color w:val="000000"/>
                <w:sz w:val="20"/>
              </w:rPr>
              <w:tab/>
            </w:r>
          </w:p>
        </w:tc>
      </w:tr>
      <w:tr w:rsidR="00B52D58" w14:paraId="513DCBE8"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6EC61915" w14:textId="77777777" w:rsidR="00B52D58" w:rsidRDefault="00B52D58" w:rsidP="00D47172">
            <w:pPr>
              <w:keepNext/>
              <w:ind w:left="360"/>
            </w:pPr>
            <w:r>
              <w:rPr>
                <w:color w:val="000000"/>
                <w:sz w:val="20"/>
              </w:rPr>
              <w:t>Depreciation and amortization</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0BD2C25" w14:textId="77777777" w:rsidR="00B52D58" w:rsidRDefault="00B52D58" w:rsidP="00D47172">
            <w:pPr>
              <w:keepNext/>
              <w:tabs>
                <w:tab w:val="left" w:pos="872"/>
                <w:tab w:val="left" w:pos="1237"/>
              </w:tabs>
              <w:spacing w:before="75" w:after="30"/>
              <w:jc w:val="right"/>
            </w:pPr>
            <w:r>
              <w:rPr>
                <w:color w:val="000000"/>
                <w:sz w:val="20"/>
              </w:rPr>
              <w:tab/>
              <w:t>155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4536879"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EDBCC69" w14:textId="77777777" w:rsidR="00B52D58" w:rsidRDefault="00B52D58" w:rsidP="00D47172">
            <w:pPr>
              <w:keepNext/>
              <w:tabs>
                <w:tab w:val="left" w:pos="972"/>
                <w:tab w:val="left" w:pos="1237"/>
              </w:tabs>
              <w:spacing w:before="75" w:after="30"/>
              <w:jc w:val="right"/>
            </w:pPr>
            <w:r>
              <w:rPr>
                <w:color w:val="000000"/>
                <w:sz w:val="20"/>
              </w:rPr>
              <w:tab/>
              <w:t>84</w:t>
            </w:r>
            <w:r>
              <w:rPr>
                <w:color w:val="000000"/>
                <w:sz w:val="20"/>
              </w:rPr>
              <w:tab/>
            </w:r>
          </w:p>
        </w:tc>
      </w:tr>
      <w:tr w:rsidR="00B52D58" w14:paraId="3850F02C"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4AC4758C" w14:textId="77777777" w:rsidR="00B52D58" w:rsidRDefault="00B52D58" w:rsidP="00D47172">
            <w:pPr>
              <w:keepNext/>
              <w:ind w:left="360"/>
            </w:pPr>
            <w:r>
              <w:rPr>
                <w:color w:val="000000"/>
                <w:sz w:val="20"/>
              </w:rPr>
              <w:t>Amortization/accretion of investments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DDE55C5" w14:textId="77777777" w:rsidR="00B52D58" w:rsidRDefault="00B52D58" w:rsidP="00D47172">
            <w:pPr>
              <w:keepNext/>
              <w:tabs>
                <w:tab w:val="left" w:pos="972"/>
                <w:tab w:val="left" w:pos="1237"/>
              </w:tabs>
              <w:spacing w:before="75" w:after="30"/>
              <w:jc w:val="right"/>
            </w:pPr>
            <w:r>
              <w:rPr>
                <w:color w:val="000000"/>
                <w:sz w:val="20"/>
              </w:rPr>
              <w:tab/>
              <w:t>29</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8D6593"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C7E6763" w14:textId="77777777" w:rsidR="00B52D58" w:rsidRDefault="00B52D58" w:rsidP="00D47172">
            <w:pPr>
              <w:keepNext/>
              <w:tabs>
                <w:tab w:val="left" w:pos="972"/>
                <w:tab w:val="left" w:pos="1237"/>
              </w:tabs>
              <w:spacing w:before="75" w:after="30"/>
              <w:jc w:val="right"/>
            </w:pPr>
            <w:r>
              <w:rPr>
                <w:color w:val="000000"/>
                <w:sz w:val="20"/>
              </w:rPr>
              <w:tab/>
              <w:t>13</w:t>
            </w:r>
            <w:r>
              <w:rPr>
                <w:color w:val="000000"/>
                <w:sz w:val="20"/>
              </w:rPr>
              <w:tab/>
            </w:r>
          </w:p>
        </w:tc>
      </w:tr>
      <w:tr w:rsidR="00B52D58" w14:paraId="2ADA57F4"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141A8C19" w14:textId="77777777" w:rsidR="00B52D58" w:rsidRDefault="00B52D58" w:rsidP="00D47172">
            <w:pPr>
              <w:keepNext/>
              <w:ind w:left="360"/>
            </w:pPr>
            <w:r>
              <w:rPr>
                <w:color w:val="000000"/>
                <w:sz w:val="20"/>
              </w:rPr>
              <w:t>Deferred income taxes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97D52D4" w14:textId="77777777" w:rsidR="00B52D58" w:rsidRDefault="00B52D58" w:rsidP="00D47172">
            <w:pPr>
              <w:keepNext/>
              <w:tabs>
                <w:tab w:val="left" w:pos="806"/>
              </w:tabs>
              <w:spacing w:before="75" w:after="30"/>
              <w:jc w:val="right"/>
            </w:pPr>
            <w:r>
              <w:rPr>
                <w:color w:val="000000"/>
                <w:sz w:val="20"/>
              </w:rPr>
              <w:tab/>
              <w:t>(376)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DF6E40"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19561EC" w14:textId="77777777" w:rsidR="00B52D58" w:rsidRDefault="00B52D58" w:rsidP="00D47172">
            <w:pPr>
              <w:keepNext/>
              <w:tabs>
                <w:tab w:val="left" w:pos="906"/>
              </w:tabs>
              <w:spacing w:before="75" w:after="30"/>
              <w:jc w:val="right"/>
            </w:pPr>
            <w:r>
              <w:rPr>
                <w:color w:val="000000"/>
                <w:sz w:val="20"/>
              </w:rPr>
              <w:tab/>
              <w:t>(72)</w:t>
            </w:r>
          </w:p>
        </w:tc>
      </w:tr>
      <w:tr w:rsidR="00B52D58" w14:paraId="7D87FED5"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156CEE7B" w14:textId="77777777" w:rsidR="00B52D58" w:rsidRDefault="00B52D58" w:rsidP="00D47172">
            <w:pPr>
              <w:keepNext/>
              <w:ind w:left="360"/>
            </w:pPr>
            <w:r>
              <w:rPr>
                <w:color w:val="000000"/>
                <w:sz w:val="20"/>
              </w:rPr>
              <w:t>Other non-cash items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F059910" w14:textId="77777777" w:rsidR="00B52D58" w:rsidRDefault="00B52D58" w:rsidP="00D47172">
            <w:pPr>
              <w:keepNext/>
              <w:tabs>
                <w:tab w:val="left" w:pos="972"/>
                <w:tab w:val="left" w:pos="1237"/>
              </w:tabs>
              <w:spacing w:before="75" w:after="30"/>
              <w:jc w:val="right"/>
            </w:pPr>
            <w:r>
              <w:rPr>
                <w:color w:val="000000"/>
                <w:sz w:val="20"/>
              </w:rPr>
              <w:tab/>
              <w:t>15</w:t>
            </w:r>
            <w:r>
              <w:rPr>
                <w:color w:val="000000"/>
                <w:sz w:val="20"/>
              </w:rPr>
              <w:tab/>
            </w: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64CDAD03" w14:textId="77777777" w:rsidR="00B52D58" w:rsidRDefault="00B52D58" w:rsidP="00D47172">
            <w:pPr>
              <w:keepNext/>
              <w:spacing w:before="75" w:after="3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17340C1" w14:textId="77777777" w:rsidR="00B52D58" w:rsidRDefault="00B52D58" w:rsidP="00D47172">
            <w:pPr>
              <w:keepNext/>
              <w:tabs>
                <w:tab w:val="left" w:pos="972"/>
                <w:tab w:val="left" w:pos="1237"/>
              </w:tabs>
              <w:spacing w:before="75" w:after="30"/>
              <w:jc w:val="right"/>
            </w:pPr>
            <w:r>
              <w:rPr>
                <w:color w:val="000000"/>
                <w:sz w:val="20"/>
              </w:rPr>
              <w:tab/>
              <w:t>—</w:t>
            </w:r>
            <w:r>
              <w:rPr>
                <w:color w:val="000000"/>
                <w:sz w:val="20"/>
              </w:rPr>
              <w:tab/>
            </w:r>
          </w:p>
        </w:tc>
      </w:tr>
      <w:tr w:rsidR="00B52D58" w14:paraId="1DDA23FD"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65481F99" w14:textId="77777777" w:rsidR="00B52D58" w:rsidRDefault="00B52D58" w:rsidP="00D47172">
            <w:pPr>
              <w:keepNext/>
            </w:pPr>
            <w:r>
              <w:rPr>
                <w:color w:val="000000"/>
                <w:sz w:val="20"/>
              </w:rPr>
              <w:t>Changes in assets and liabilities: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1AF111EB"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4915FA"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67DCD4BC" w14:textId="77777777" w:rsidR="00B52D58" w:rsidRDefault="00B52D58" w:rsidP="00D47172">
            <w:pPr>
              <w:keepNext/>
            </w:pPr>
          </w:p>
        </w:tc>
      </w:tr>
      <w:tr w:rsidR="00B52D58" w14:paraId="78433620"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54A365C5" w14:textId="77777777" w:rsidR="00B52D58" w:rsidRDefault="00B52D58" w:rsidP="00D47172">
            <w:pPr>
              <w:keepNext/>
              <w:ind w:left="360"/>
            </w:pPr>
            <w:r>
              <w:rPr>
                <w:color w:val="000000"/>
                <w:sz w:val="20"/>
              </w:rPr>
              <w:t>Accounts receivable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B840DA3" w14:textId="77777777" w:rsidR="00B52D58" w:rsidRDefault="00B52D58" w:rsidP="00D47172">
            <w:pPr>
              <w:keepNext/>
              <w:tabs>
                <w:tab w:val="left" w:pos="872"/>
                <w:tab w:val="left" w:pos="1237"/>
              </w:tabs>
              <w:spacing w:before="75" w:after="30"/>
              <w:jc w:val="right"/>
            </w:pPr>
            <w:r>
              <w:rPr>
                <w:color w:val="000000"/>
                <w:sz w:val="20"/>
              </w:rPr>
              <w:tab/>
              <w:t>484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0BDC3D"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60CE893" w14:textId="77777777" w:rsidR="00B52D58" w:rsidRDefault="00B52D58" w:rsidP="00D47172">
            <w:pPr>
              <w:keepNext/>
              <w:tabs>
                <w:tab w:val="left" w:pos="806"/>
              </w:tabs>
              <w:spacing w:before="75" w:after="30"/>
              <w:jc w:val="right"/>
            </w:pPr>
            <w:r>
              <w:rPr>
                <w:color w:val="000000"/>
                <w:sz w:val="20"/>
              </w:rPr>
              <w:tab/>
              <w:t>(629)</w:t>
            </w:r>
          </w:p>
        </w:tc>
      </w:tr>
      <w:tr w:rsidR="00B52D58" w14:paraId="77443FB7"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45806AF4" w14:textId="77777777" w:rsidR="00B52D58" w:rsidRDefault="00B52D58" w:rsidP="00D47172">
            <w:pPr>
              <w:keepNext/>
              <w:ind w:left="360"/>
            </w:pPr>
            <w:r>
              <w:rPr>
                <w:color w:val="000000"/>
                <w:sz w:val="20"/>
              </w:rPr>
              <w:t>Prepaid expenses and other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A93D9E5" w14:textId="77777777" w:rsidR="00B52D58" w:rsidRDefault="00B52D58" w:rsidP="00D47172">
            <w:pPr>
              <w:keepNext/>
              <w:tabs>
                <w:tab w:val="left" w:pos="806"/>
              </w:tabs>
              <w:spacing w:before="75" w:after="30"/>
              <w:jc w:val="right"/>
            </w:pPr>
            <w:r>
              <w:rPr>
                <w:color w:val="000000"/>
                <w:sz w:val="20"/>
              </w:rPr>
              <w:tab/>
              <w:t>(324)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1B1C6E"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C1E7390" w14:textId="77777777" w:rsidR="00B52D58" w:rsidRDefault="00B52D58" w:rsidP="00D47172">
            <w:pPr>
              <w:keepNext/>
              <w:tabs>
                <w:tab w:val="left" w:pos="806"/>
              </w:tabs>
              <w:spacing w:before="75" w:after="30"/>
              <w:jc w:val="right"/>
            </w:pPr>
            <w:r>
              <w:rPr>
                <w:color w:val="000000"/>
                <w:sz w:val="20"/>
              </w:rPr>
              <w:tab/>
              <w:t>(110)</w:t>
            </w:r>
          </w:p>
        </w:tc>
      </w:tr>
      <w:tr w:rsidR="00B52D58" w14:paraId="49B0B7DD"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104D389C" w14:textId="77777777" w:rsidR="00B52D58" w:rsidRDefault="00B52D58" w:rsidP="00D47172">
            <w:pPr>
              <w:keepNext/>
              <w:ind w:left="360"/>
            </w:pPr>
            <w:r>
              <w:rPr>
                <w:color w:val="000000"/>
                <w:sz w:val="20"/>
              </w:rPr>
              <w:t>Inventory</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D816626" w14:textId="77777777" w:rsidR="00B52D58" w:rsidRDefault="00B52D58" w:rsidP="00D47172">
            <w:pPr>
              <w:keepNext/>
              <w:tabs>
                <w:tab w:val="left" w:pos="806"/>
              </w:tabs>
              <w:spacing w:before="75" w:after="30"/>
              <w:jc w:val="right"/>
            </w:pPr>
            <w:r>
              <w:rPr>
                <w:color w:val="000000"/>
                <w:sz w:val="20"/>
              </w:rPr>
              <w:tab/>
              <w:t>(480)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38C9D2"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5A36D9B" w14:textId="77777777" w:rsidR="00B52D58" w:rsidRDefault="00B52D58" w:rsidP="00D47172">
            <w:pPr>
              <w:keepNext/>
              <w:tabs>
                <w:tab w:val="left" w:pos="806"/>
              </w:tabs>
              <w:spacing w:before="75" w:after="30"/>
              <w:jc w:val="right"/>
            </w:pPr>
            <w:r>
              <w:rPr>
                <w:color w:val="000000"/>
                <w:sz w:val="20"/>
              </w:rPr>
              <w:tab/>
              <w:t>(596)</w:t>
            </w:r>
          </w:p>
        </w:tc>
      </w:tr>
      <w:tr w:rsidR="00B52D58" w14:paraId="1C0788CF"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1B8A69FC" w14:textId="77777777" w:rsidR="00B52D58" w:rsidRDefault="00B52D58" w:rsidP="00D47172">
            <w:pPr>
              <w:keepNext/>
              <w:ind w:left="360"/>
            </w:pPr>
            <w:r>
              <w:rPr>
                <w:color w:val="000000"/>
                <w:sz w:val="20"/>
              </w:rPr>
              <w:t>Right-of-use assets, operating leases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810B414" w14:textId="77777777" w:rsidR="00B52D58" w:rsidRDefault="00B52D58" w:rsidP="00D47172">
            <w:pPr>
              <w:keepNext/>
              <w:tabs>
                <w:tab w:val="left" w:pos="972"/>
                <w:tab w:val="left" w:pos="1237"/>
              </w:tabs>
              <w:spacing w:before="75" w:after="30"/>
              <w:jc w:val="right"/>
            </w:pPr>
            <w:r>
              <w:rPr>
                <w:color w:val="000000"/>
                <w:sz w:val="20"/>
              </w:rPr>
              <w:tab/>
              <w:t>20</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D91A57"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AD4427C" w14:textId="77777777" w:rsidR="00B52D58" w:rsidRDefault="00B52D58" w:rsidP="00D47172">
            <w:pPr>
              <w:keepNext/>
              <w:tabs>
                <w:tab w:val="left" w:pos="906"/>
              </w:tabs>
              <w:spacing w:before="75" w:after="30"/>
              <w:jc w:val="right"/>
            </w:pPr>
            <w:r>
              <w:rPr>
                <w:color w:val="000000"/>
                <w:sz w:val="20"/>
              </w:rPr>
              <w:tab/>
              <w:t>(14)</w:t>
            </w:r>
          </w:p>
        </w:tc>
      </w:tr>
      <w:tr w:rsidR="00B52D58" w14:paraId="28B424C4"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6818270B" w14:textId="77777777" w:rsidR="00B52D58" w:rsidRDefault="00B52D58" w:rsidP="00D47172">
            <w:pPr>
              <w:keepNext/>
              <w:ind w:left="360"/>
            </w:pPr>
            <w:r>
              <w:rPr>
                <w:color w:val="000000"/>
                <w:sz w:val="20"/>
              </w:rPr>
              <w:t>Accounts payable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19EB388" w14:textId="77777777" w:rsidR="00B52D58" w:rsidRDefault="00B52D58" w:rsidP="00D47172">
            <w:pPr>
              <w:keepNext/>
              <w:tabs>
                <w:tab w:val="left" w:pos="906"/>
              </w:tabs>
              <w:spacing w:before="75" w:after="30"/>
              <w:jc w:val="right"/>
            </w:pPr>
            <w:r>
              <w:rPr>
                <w:color w:val="000000"/>
                <w:sz w:val="20"/>
              </w:rPr>
              <w:tab/>
              <w:t>(56)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05A166A"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B1AA837" w14:textId="77777777" w:rsidR="00B52D58" w:rsidRDefault="00B52D58" w:rsidP="00D47172">
            <w:pPr>
              <w:keepNext/>
              <w:tabs>
                <w:tab w:val="left" w:pos="972"/>
                <w:tab w:val="left" w:pos="1237"/>
              </w:tabs>
              <w:spacing w:before="75" w:after="30"/>
              <w:jc w:val="right"/>
            </w:pPr>
            <w:r>
              <w:rPr>
                <w:color w:val="000000"/>
                <w:sz w:val="20"/>
              </w:rPr>
              <w:tab/>
              <w:t>44</w:t>
            </w:r>
            <w:r>
              <w:rPr>
                <w:color w:val="000000"/>
                <w:sz w:val="20"/>
              </w:rPr>
              <w:tab/>
            </w:r>
          </w:p>
        </w:tc>
      </w:tr>
      <w:tr w:rsidR="00B52D58" w14:paraId="7094E23E"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21F3446D" w14:textId="77777777" w:rsidR="00B52D58" w:rsidRDefault="00B52D58" w:rsidP="00D47172">
            <w:pPr>
              <w:keepNext/>
              <w:ind w:left="360"/>
            </w:pPr>
            <w:r>
              <w:rPr>
                <w:color w:val="000000"/>
                <w:sz w:val="20"/>
              </w:rPr>
              <w:t>Accrued liabilities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C94DF8B" w14:textId="77777777" w:rsidR="00B52D58" w:rsidRDefault="00B52D58" w:rsidP="00D47172">
            <w:pPr>
              <w:keepNext/>
              <w:tabs>
                <w:tab w:val="left" w:pos="872"/>
                <w:tab w:val="left" w:pos="1237"/>
              </w:tabs>
              <w:spacing w:before="75" w:after="30"/>
              <w:jc w:val="right"/>
            </w:pPr>
            <w:r>
              <w:rPr>
                <w:color w:val="000000"/>
                <w:sz w:val="20"/>
              </w:rPr>
              <w:tab/>
              <w:t>305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509816"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CE74D80" w14:textId="77777777" w:rsidR="00B52D58" w:rsidRDefault="00B52D58" w:rsidP="00D47172">
            <w:pPr>
              <w:keepNext/>
              <w:tabs>
                <w:tab w:val="left" w:pos="872"/>
                <w:tab w:val="left" w:pos="1237"/>
              </w:tabs>
              <w:spacing w:before="75" w:after="30"/>
              <w:jc w:val="right"/>
            </w:pPr>
            <w:r>
              <w:rPr>
                <w:color w:val="000000"/>
                <w:sz w:val="20"/>
              </w:rPr>
              <w:tab/>
              <w:t>367</w:t>
            </w:r>
            <w:r>
              <w:rPr>
                <w:color w:val="000000"/>
                <w:sz w:val="20"/>
              </w:rPr>
              <w:tab/>
            </w:r>
          </w:p>
        </w:tc>
      </w:tr>
      <w:tr w:rsidR="00B52D58" w14:paraId="29F1F094"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1AB84DF3" w14:textId="77777777" w:rsidR="00B52D58" w:rsidRDefault="00B52D58" w:rsidP="00D47172">
            <w:pPr>
              <w:keepNext/>
              <w:ind w:left="360"/>
            </w:pPr>
            <w:r>
              <w:rPr>
                <w:color w:val="000000"/>
                <w:sz w:val="20"/>
              </w:rPr>
              <w:t>Deferred revenue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B932CA2" w14:textId="77777777" w:rsidR="00B52D58" w:rsidRDefault="00B52D58" w:rsidP="00D47172">
            <w:pPr>
              <w:keepNext/>
              <w:tabs>
                <w:tab w:val="left" w:pos="656"/>
              </w:tabs>
              <w:spacing w:before="75" w:after="30"/>
              <w:jc w:val="right"/>
            </w:pPr>
            <w:r>
              <w:rPr>
                <w:color w:val="000000"/>
                <w:sz w:val="20"/>
              </w:rPr>
              <w:tab/>
              <w:t>(2,370)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241606"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B6DAF7C" w14:textId="77777777" w:rsidR="00B52D58" w:rsidRDefault="00B52D58" w:rsidP="00D47172">
            <w:pPr>
              <w:keepNext/>
              <w:tabs>
                <w:tab w:val="left" w:pos="722"/>
                <w:tab w:val="left" w:pos="1237"/>
              </w:tabs>
              <w:spacing w:before="75" w:after="30"/>
              <w:jc w:val="right"/>
            </w:pPr>
            <w:r>
              <w:rPr>
                <w:color w:val="000000"/>
                <w:sz w:val="20"/>
              </w:rPr>
              <w:tab/>
              <w:t>3,433</w:t>
            </w:r>
            <w:r>
              <w:rPr>
                <w:color w:val="000000"/>
                <w:sz w:val="20"/>
              </w:rPr>
              <w:tab/>
            </w:r>
          </w:p>
        </w:tc>
      </w:tr>
      <w:tr w:rsidR="00B52D58" w14:paraId="02CE08C6"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41A73103" w14:textId="77777777" w:rsidR="00B52D58" w:rsidRDefault="00B52D58" w:rsidP="00D47172">
            <w:pPr>
              <w:keepNext/>
              <w:ind w:left="360"/>
            </w:pPr>
            <w:r>
              <w:rPr>
                <w:color w:val="000000"/>
                <w:sz w:val="20"/>
              </w:rPr>
              <w:t>Income taxes payable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610125C" w14:textId="77777777" w:rsidR="00B52D58" w:rsidRDefault="00B52D58" w:rsidP="00D47172">
            <w:pPr>
              <w:keepNext/>
              <w:tabs>
                <w:tab w:val="left" w:pos="806"/>
              </w:tabs>
              <w:spacing w:before="75" w:after="30"/>
              <w:jc w:val="right"/>
            </w:pPr>
            <w:r>
              <w:rPr>
                <w:color w:val="000000"/>
                <w:sz w:val="20"/>
              </w:rPr>
              <w:tab/>
              <w:t>(527)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9D3E31"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867D7C9" w14:textId="77777777" w:rsidR="00B52D58" w:rsidRDefault="00B52D58" w:rsidP="00D47172">
            <w:pPr>
              <w:keepNext/>
              <w:tabs>
                <w:tab w:val="left" w:pos="872"/>
                <w:tab w:val="left" w:pos="1237"/>
              </w:tabs>
              <w:spacing w:before="75" w:after="30"/>
              <w:jc w:val="right"/>
            </w:pPr>
            <w:r>
              <w:rPr>
                <w:color w:val="000000"/>
                <w:sz w:val="20"/>
              </w:rPr>
              <w:tab/>
              <w:t>377</w:t>
            </w:r>
            <w:r>
              <w:rPr>
                <w:color w:val="000000"/>
                <w:sz w:val="20"/>
              </w:rPr>
              <w:tab/>
            </w:r>
          </w:p>
        </w:tc>
      </w:tr>
      <w:tr w:rsidR="00B52D58" w14:paraId="0B9435F6"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353343BC" w14:textId="77777777" w:rsidR="00B52D58" w:rsidRDefault="00B52D58" w:rsidP="00D47172">
            <w:pPr>
              <w:keepNext/>
              <w:ind w:left="360"/>
            </w:pPr>
            <w:r>
              <w:rPr>
                <w:color w:val="000000"/>
                <w:sz w:val="20"/>
              </w:rPr>
              <w:t>Operating lease liabilities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ABA58CC" w14:textId="77777777" w:rsidR="00B52D58" w:rsidRDefault="00B52D58" w:rsidP="00D47172">
            <w:pPr>
              <w:keepNext/>
              <w:tabs>
                <w:tab w:val="left" w:pos="906"/>
              </w:tabs>
              <w:spacing w:before="75" w:after="30"/>
              <w:jc w:val="right"/>
            </w:pPr>
            <w:r>
              <w:rPr>
                <w:color w:val="000000"/>
                <w:sz w:val="20"/>
              </w:rPr>
              <w:tab/>
              <w:t>(19)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ED37E4"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C85FEFF" w14:textId="77777777" w:rsidR="00B52D58" w:rsidRDefault="00B52D58" w:rsidP="00D47172">
            <w:pPr>
              <w:keepNext/>
              <w:tabs>
                <w:tab w:val="left" w:pos="1072"/>
                <w:tab w:val="left" w:pos="1237"/>
              </w:tabs>
              <w:spacing w:before="75" w:after="30"/>
              <w:jc w:val="right"/>
            </w:pPr>
            <w:r>
              <w:rPr>
                <w:color w:val="000000"/>
                <w:sz w:val="20"/>
              </w:rPr>
              <w:tab/>
              <w:t>8</w:t>
            </w:r>
            <w:r>
              <w:rPr>
                <w:color w:val="000000"/>
                <w:sz w:val="20"/>
              </w:rPr>
              <w:tab/>
            </w:r>
          </w:p>
        </w:tc>
      </w:tr>
      <w:tr w:rsidR="00B52D58" w14:paraId="08C02E8F"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4FE6D01E" w14:textId="77777777" w:rsidR="00B52D58" w:rsidRDefault="00B52D58" w:rsidP="00D47172">
            <w:pPr>
              <w:keepNext/>
              <w:ind w:left="360"/>
            </w:pPr>
            <w:r>
              <w:rPr>
                <w:color w:val="000000"/>
                <w:sz w:val="20"/>
              </w:rPr>
              <w:t>Other liabilities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4CB001D" w14:textId="77777777" w:rsidR="00B52D58" w:rsidRDefault="00B52D58" w:rsidP="00D47172">
            <w:pPr>
              <w:keepNext/>
              <w:tabs>
                <w:tab w:val="left" w:pos="872"/>
                <w:tab w:val="left" w:pos="1237"/>
              </w:tabs>
              <w:spacing w:before="75" w:after="30"/>
              <w:jc w:val="right"/>
            </w:pPr>
            <w:r>
              <w:rPr>
                <w:color w:val="000000"/>
                <w:sz w:val="20"/>
              </w:rPr>
              <w:tab/>
              <w:t>263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D043FB" w14:textId="77777777" w:rsidR="00B52D58" w:rsidRDefault="00B52D58" w:rsidP="00D47172">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CCE029" w14:textId="77777777" w:rsidR="00B52D58" w:rsidRDefault="00B52D58" w:rsidP="00D47172">
            <w:pPr>
              <w:keepNext/>
              <w:tabs>
                <w:tab w:val="left" w:pos="972"/>
                <w:tab w:val="left" w:pos="1237"/>
              </w:tabs>
              <w:spacing w:before="75" w:after="30"/>
              <w:jc w:val="right"/>
            </w:pPr>
            <w:r>
              <w:rPr>
                <w:color w:val="000000"/>
                <w:sz w:val="20"/>
              </w:rPr>
              <w:tab/>
              <w:t>63</w:t>
            </w:r>
            <w:r>
              <w:rPr>
                <w:color w:val="000000"/>
                <w:sz w:val="20"/>
              </w:rPr>
              <w:tab/>
            </w:r>
          </w:p>
        </w:tc>
      </w:tr>
      <w:tr w:rsidR="00B52D58" w14:paraId="7EB3E8CC"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4FC6D720" w14:textId="77777777" w:rsidR="00B52D58" w:rsidRDefault="00B52D58" w:rsidP="00D47172">
            <w:pPr>
              <w:keepNext/>
              <w:ind w:left="360"/>
            </w:pPr>
            <w:r>
              <w:rPr>
                <w:color w:val="000000"/>
                <w:sz w:val="20"/>
              </w:rPr>
              <w:t>Net cash provided by operating activities</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A37D9C8" w14:textId="77777777" w:rsidR="00B52D58" w:rsidRDefault="00B52D58" w:rsidP="00D47172">
            <w:pPr>
              <w:keepNext/>
              <w:tabs>
                <w:tab w:val="left" w:pos="722"/>
                <w:tab w:val="left" w:pos="1237"/>
              </w:tabs>
              <w:spacing w:before="55" w:after="30"/>
              <w:jc w:val="right"/>
            </w:pPr>
            <w:r>
              <w:rPr>
                <w:color w:val="000000"/>
                <w:sz w:val="20"/>
              </w:rPr>
              <w:tab/>
              <w:t>3,067</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AA9F2D" w14:textId="77777777" w:rsidR="00B52D58" w:rsidRDefault="00B52D58" w:rsidP="00D47172">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BA9732B" w14:textId="77777777" w:rsidR="00B52D58" w:rsidRDefault="00B52D58" w:rsidP="00D47172">
            <w:pPr>
              <w:keepNext/>
              <w:tabs>
                <w:tab w:val="left" w:pos="722"/>
                <w:tab w:val="left" w:pos="1237"/>
              </w:tabs>
              <w:spacing w:before="55" w:after="30"/>
              <w:jc w:val="right"/>
            </w:pPr>
            <w:r>
              <w:rPr>
                <w:color w:val="000000"/>
                <w:sz w:val="20"/>
              </w:rPr>
              <w:tab/>
              <w:t>7,034</w:t>
            </w:r>
            <w:r>
              <w:rPr>
                <w:color w:val="000000"/>
                <w:sz w:val="20"/>
              </w:rPr>
              <w:tab/>
            </w:r>
          </w:p>
        </w:tc>
      </w:tr>
      <w:tr w:rsidR="00B52D58" w14:paraId="325304AC"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56F6D271" w14:textId="77777777" w:rsidR="00B52D58" w:rsidRDefault="00B52D58" w:rsidP="00D47172">
            <w:pPr>
              <w:keepNext/>
            </w:pPr>
            <w:r>
              <w:rPr>
                <w:b/>
                <w:color w:val="000000"/>
                <w:sz w:val="20"/>
              </w:rPr>
              <w:t>Investing activities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55F42E76" w14:textId="77777777" w:rsidR="00B52D58" w:rsidRDefault="00B52D58" w:rsidP="00D47172">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A756E9"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15BDEDA8" w14:textId="77777777" w:rsidR="00B52D58" w:rsidRDefault="00B52D58" w:rsidP="00D47172">
            <w:pPr>
              <w:keepNext/>
            </w:pPr>
          </w:p>
        </w:tc>
      </w:tr>
      <w:tr w:rsidR="00B52D58" w14:paraId="1F4C3B4A"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35E70EA1" w14:textId="77777777" w:rsidR="00B52D58" w:rsidRDefault="00B52D58" w:rsidP="00D47172">
            <w:pPr>
              <w:keepNext/>
            </w:pPr>
            <w:r>
              <w:rPr>
                <w:color w:val="000000"/>
                <w:sz w:val="20"/>
              </w:rPr>
              <w:t>Purchases of marketable securities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C290FA6" w14:textId="77777777" w:rsidR="00B52D58" w:rsidRDefault="00B52D58" w:rsidP="00D47172">
            <w:pPr>
              <w:keepNext/>
              <w:tabs>
                <w:tab w:val="left" w:pos="656"/>
              </w:tabs>
              <w:spacing w:before="75" w:after="30"/>
              <w:jc w:val="right"/>
            </w:pPr>
            <w:r>
              <w:rPr>
                <w:color w:val="000000"/>
                <w:sz w:val="20"/>
              </w:rPr>
              <w:tab/>
              <w:t>(8,734)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4A595A"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552A9E4" w14:textId="77777777" w:rsidR="00B52D58" w:rsidRDefault="00B52D58" w:rsidP="00D47172">
            <w:pPr>
              <w:keepNext/>
              <w:tabs>
                <w:tab w:val="left" w:pos="656"/>
              </w:tabs>
              <w:spacing w:before="75" w:after="30"/>
              <w:jc w:val="right"/>
            </w:pPr>
            <w:r>
              <w:rPr>
                <w:color w:val="000000"/>
                <w:sz w:val="20"/>
              </w:rPr>
              <w:tab/>
              <w:t>(6,559)</w:t>
            </w:r>
          </w:p>
        </w:tc>
      </w:tr>
      <w:tr w:rsidR="00B52D58" w14:paraId="22A9953B"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4A8B46D8" w14:textId="77777777" w:rsidR="00B52D58" w:rsidRDefault="00B52D58" w:rsidP="00D47172">
            <w:pPr>
              <w:keepNext/>
            </w:pPr>
            <w:r>
              <w:rPr>
                <w:color w:val="000000"/>
                <w:sz w:val="20"/>
              </w:rPr>
              <w:t>Proceeds from maturities of marketable securities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C29B8D0" w14:textId="77777777" w:rsidR="00B52D58" w:rsidRDefault="00B52D58" w:rsidP="00D47172">
            <w:pPr>
              <w:keepNext/>
              <w:tabs>
                <w:tab w:val="left" w:pos="722"/>
                <w:tab w:val="left" w:pos="1237"/>
              </w:tabs>
              <w:spacing w:before="75" w:after="30"/>
              <w:jc w:val="right"/>
            </w:pPr>
            <w:r>
              <w:rPr>
                <w:color w:val="000000"/>
                <w:sz w:val="20"/>
              </w:rPr>
              <w:tab/>
              <w:t>1,409</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A3F66D"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8319EE4" w14:textId="77777777" w:rsidR="00B52D58" w:rsidRDefault="00B52D58" w:rsidP="00D47172">
            <w:pPr>
              <w:keepNext/>
              <w:tabs>
                <w:tab w:val="left" w:pos="872"/>
                <w:tab w:val="left" w:pos="1237"/>
              </w:tabs>
              <w:spacing w:before="75" w:after="30"/>
              <w:jc w:val="right"/>
            </w:pPr>
            <w:r>
              <w:rPr>
                <w:color w:val="000000"/>
                <w:sz w:val="20"/>
              </w:rPr>
              <w:tab/>
              <w:t>860</w:t>
            </w:r>
            <w:r>
              <w:rPr>
                <w:color w:val="000000"/>
                <w:sz w:val="20"/>
              </w:rPr>
              <w:tab/>
            </w:r>
          </w:p>
        </w:tc>
      </w:tr>
      <w:tr w:rsidR="00B52D58" w14:paraId="7348938A"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5ECEAA69" w14:textId="77777777" w:rsidR="00B52D58" w:rsidRDefault="00B52D58" w:rsidP="00D47172">
            <w:pPr>
              <w:keepNext/>
            </w:pPr>
            <w:r>
              <w:rPr>
                <w:color w:val="000000"/>
                <w:sz w:val="20"/>
              </w:rPr>
              <w:t>Proceeds from sales of marketable securities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96C5DE7" w14:textId="77777777" w:rsidR="00B52D58" w:rsidRDefault="00B52D58" w:rsidP="00D47172">
            <w:pPr>
              <w:keepNext/>
              <w:tabs>
                <w:tab w:val="left" w:pos="722"/>
                <w:tab w:val="left" w:pos="1237"/>
              </w:tabs>
              <w:spacing w:before="75" w:after="30"/>
              <w:jc w:val="right"/>
            </w:pPr>
            <w:r>
              <w:rPr>
                <w:color w:val="000000"/>
                <w:sz w:val="20"/>
              </w:rPr>
              <w:tab/>
              <w:t>2,506</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5B4601"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1995B1A" w14:textId="77777777" w:rsidR="00B52D58" w:rsidRDefault="00B52D58" w:rsidP="00D47172">
            <w:pPr>
              <w:keepNext/>
              <w:tabs>
                <w:tab w:val="left" w:pos="722"/>
                <w:tab w:val="left" w:pos="1237"/>
              </w:tabs>
              <w:spacing w:before="75" w:after="30"/>
              <w:jc w:val="right"/>
            </w:pPr>
            <w:r>
              <w:rPr>
                <w:color w:val="000000"/>
                <w:sz w:val="20"/>
              </w:rPr>
              <w:tab/>
              <w:t>1,706</w:t>
            </w:r>
            <w:r>
              <w:rPr>
                <w:color w:val="000000"/>
                <w:sz w:val="20"/>
              </w:rPr>
              <w:tab/>
            </w:r>
          </w:p>
        </w:tc>
      </w:tr>
      <w:tr w:rsidR="00B52D58" w14:paraId="1099E32B"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4250FD96" w14:textId="77777777" w:rsidR="00B52D58" w:rsidRDefault="00B52D58" w:rsidP="00D47172">
            <w:pPr>
              <w:keepNext/>
            </w:pPr>
            <w:r>
              <w:rPr>
                <w:color w:val="000000"/>
                <w:sz w:val="20"/>
              </w:rPr>
              <w:t>Purchases of property and equipment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81D2A73" w14:textId="77777777" w:rsidR="00B52D58" w:rsidRDefault="00B52D58" w:rsidP="00D47172">
            <w:pPr>
              <w:keepNext/>
              <w:tabs>
                <w:tab w:val="left" w:pos="806"/>
              </w:tabs>
              <w:spacing w:before="75" w:after="30"/>
              <w:jc w:val="right"/>
            </w:pPr>
            <w:r>
              <w:rPr>
                <w:color w:val="000000"/>
                <w:sz w:val="20"/>
              </w:rPr>
              <w:tab/>
              <w:t>(219)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F25824"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92C392A" w14:textId="77777777" w:rsidR="00B52D58" w:rsidRDefault="00B52D58" w:rsidP="00D47172">
            <w:pPr>
              <w:keepNext/>
              <w:tabs>
                <w:tab w:val="left" w:pos="906"/>
              </w:tabs>
              <w:spacing w:before="75" w:after="30"/>
              <w:jc w:val="right"/>
            </w:pPr>
            <w:r>
              <w:rPr>
                <w:color w:val="000000"/>
                <w:sz w:val="20"/>
              </w:rPr>
              <w:tab/>
              <w:t>(65)</w:t>
            </w:r>
          </w:p>
        </w:tc>
      </w:tr>
      <w:tr w:rsidR="00B52D58" w14:paraId="62D5AD9C"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7AAC931A" w14:textId="77777777" w:rsidR="00B52D58" w:rsidRDefault="00B52D58" w:rsidP="00D47172">
            <w:pPr>
              <w:keepNext/>
            </w:pPr>
            <w:r>
              <w:rPr>
                <w:color w:val="000000"/>
                <w:sz w:val="20"/>
              </w:rPr>
              <w:t>Investment in convertible notes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9944C46" w14:textId="77777777" w:rsidR="00B52D58" w:rsidRDefault="00B52D58" w:rsidP="00D47172">
            <w:pPr>
              <w:keepNext/>
              <w:tabs>
                <w:tab w:val="left" w:pos="906"/>
              </w:tabs>
              <w:spacing w:before="75" w:after="30"/>
              <w:jc w:val="right"/>
            </w:pPr>
            <w:r>
              <w:rPr>
                <w:color w:val="000000"/>
                <w:sz w:val="20"/>
              </w:rPr>
              <w:tab/>
              <w:t>(35)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93EEEC6" w14:textId="77777777" w:rsidR="00B52D58" w:rsidRDefault="00B52D58" w:rsidP="00D47172">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E5AF77F" w14:textId="77777777" w:rsidR="00B52D58" w:rsidRDefault="00B52D58" w:rsidP="00D47172">
            <w:pPr>
              <w:keepNext/>
              <w:tabs>
                <w:tab w:val="left" w:pos="972"/>
                <w:tab w:val="left" w:pos="1237"/>
              </w:tabs>
              <w:spacing w:before="75" w:after="30"/>
              <w:jc w:val="right"/>
            </w:pPr>
            <w:r>
              <w:rPr>
                <w:color w:val="000000"/>
                <w:sz w:val="20"/>
              </w:rPr>
              <w:tab/>
              <w:t>—</w:t>
            </w:r>
            <w:r>
              <w:rPr>
                <w:color w:val="000000"/>
                <w:sz w:val="20"/>
              </w:rPr>
              <w:tab/>
            </w:r>
          </w:p>
        </w:tc>
      </w:tr>
      <w:tr w:rsidR="00B52D58" w14:paraId="30FFE5AE"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3A7217C8" w14:textId="77777777" w:rsidR="00B52D58" w:rsidRDefault="00B52D58" w:rsidP="00D47172">
            <w:pPr>
              <w:keepNext/>
              <w:ind w:left="360"/>
            </w:pPr>
            <w:r>
              <w:rPr>
                <w:color w:val="000000"/>
                <w:sz w:val="20"/>
              </w:rPr>
              <w:t>Net cash used in investing activities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60732E4" w14:textId="77777777" w:rsidR="00B52D58" w:rsidRDefault="00B52D58" w:rsidP="00D47172">
            <w:pPr>
              <w:keepNext/>
              <w:tabs>
                <w:tab w:val="left" w:pos="656"/>
              </w:tabs>
              <w:spacing w:before="55" w:after="30"/>
              <w:jc w:val="right"/>
            </w:pPr>
            <w:r>
              <w:rPr>
                <w:color w:val="000000"/>
                <w:sz w:val="20"/>
              </w:rPr>
              <w:tab/>
              <w:t>(5,073)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382980" w14:textId="77777777" w:rsidR="00B52D58" w:rsidRDefault="00B52D58" w:rsidP="00D47172">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E9CD0B8" w14:textId="77777777" w:rsidR="00B52D58" w:rsidRDefault="00B52D58" w:rsidP="00D47172">
            <w:pPr>
              <w:keepNext/>
              <w:tabs>
                <w:tab w:val="left" w:pos="656"/>
              </w:tabs>
              <w:spacing w:before="55" w:after="30"/>
              <w:jc w:val="right"/>
            </w:pPr>
            <w:r>
              <w:rPr>
                <w:color w:val="000000"/>
                <w:sz w:val="20"/>
              </w:rPr>
              <w:tab/>
              <w:t>(4,058)</w:t>
            </w:r>
          </w:p>
        </w:tc>
      </w:tr>
      <w:tr w:rsidR="00B52D58" w14:paraId="133C0A9D"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641B1EF2" w14:textId="77777777" w:rsidR="00B52D58" w:rsidRDefault="00B52D58" w:rsidP="00D47172">
            <w:pPr>
              <w:keepNext/>
            </w:pPr>
            <w:r>
              <w:rPr>
                <w:b/>
                <w:color w:val="000000"/>
                <w:sz w:val="20"/>
              </w:rPr>
              <w:t>Financing activities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7F7F28D7" w14:textId="77777777" w:rsidR="00B52D58" w:rsidRDefault="00B52D58" w:rsidP="00D47172">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4EB4C5"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0279BC5E" w14:textId="77777777" w:rsidR="00B52D58" w:rsidRDefault="00B52D58" w:rsidP="00D47172">
            <w:pPr>
              <w:keepNext/>
            </w:pPr>
          </w:p>
        </w:tc>
      </w:tr>
      <w:tr w:rsidR="00B52D58" w14:paraId="02210959"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016FDFD0" w14:textId="77777777" w:rsidR="00B52D58" w:rsidRDefault="00B52D58" w:rsidP="00D47172">
            <w:pPr>
              <w:keepNext/>
              <w:ind w:left="180" w:hanging="180"/>
            </w:pPr>
            <w:r>
              <w:rPr>
                <w:color w:val="000000"/>
                <w:sz w:val="20"/>
              </w:rPr>
              <w:t>Proceeds from issuance of common stock through equity plans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BE9F093" w14:textId="77777777" w:rsidR="00B52D58" w:rsidRDefault="00B52D58" w:rsidP="00D47172">
            <w:pPr>
              <w:keepNext/>
              <w:tabs>
                <w:tab w:val="left" w:pos="972"/>
                <w:tab w:val="left" w:pos="1237"/>
              </w:tabs>
              <w:spacing w:before="75" w:after="30"/>
              <w:jc w:val="right"/>
            </w:pPr>
            <w:r>
              <w:rPr>
                <w:color w:val="000000"/>
                <w:sz w:val="20"/>
              </w:rPr>
              <w:tab/>
              <w:t>29</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BF1238" w14:textId="77777777" w:rsidR="00B52D58" w:rsidRDefault="00B52D58" w:rsidP="00D47172">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52AB2FA" w14:textId="77777777" w:rsidR="00B52D58" w:rsidRDefault="00B52D58" w:rsidP="00D47172">
            <w:pPr>
              <w:keepNext/>
              <w:tabs>
                <w:tab w:val="left" w:pos="972"/>
                <w:tab w:val="left" w:pos="1237"/>
              </w:tabs>
              <w:spacing w:before="75" w:after="30"/>
              <w:jc w:val="right"/>
            </w:pPr>
            <w:r>
              <w:rPr>
                <w:color w:val="000000"/>
                <w:sz w:val="20"/>
              </w:rPr>
              <w:tab/>
              <w:t>64</w:t>
            </w:r>
            <w:r>
              <w:rPr>
                <w:color w:val="000000"/>
                <w:sz w:val="20"/>
              </w:rPr>
              <w:tab/>
            </w:r>
          </w:p>
        </w:tc>
      </w:tr>
      <w:tr w:rsidR="00B52D58" w14:paraId="09332CEE"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48705DCB" w14:textId="77777777" w:rsidR="00B52D58" w:rsidRDefault="00B52D58" w:rsidP="00D47172">
            <w:pPr>
              <w:keepNext/>
            </w:pPr>
            <w:r>
              <w:rPr>
                <w:color w:val="000000"/>
                <w:sz w:val="20"/>
              </w:rPr>
              <w:t xml:space="preserve">Repurchase of common stock </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9CB1303" w14:textId="77777777" w:rsidR="00B52D58" w:rsidRDefault="00B52D58" w:rsidP="00D47172">
            <w:pPr>
              <w:keepNext/>
              <w:tabs>
                <w:tab w:val="left" w:pos="656"/>
              </w:tabs>
              <w:spacing w:before="75" w:after="30"/>
              <w:jc w:val="right"/>
            </w:pPr>
            <w:r>
              <w:rPr>
                <w:color w:val="000000"/>
                <w:sz w:val="20"/>
              </w:rPr>
              <w:tab/>
              <w:t>(1,921)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A5118A" w14:textId="77777777" w:rsidR="00B52D58" w:rsidRDefault="00B52D58" w:rsidP="00D47172">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D9E9E7E" w14:textId="77777777" w:rsidR="00B52D58" w:rsidRDefault="00B52D58" w:rsidP="00D47172">
            <w:pPr>
              <w:keepNext/>
              <w:tabs>
                <w:tab w:val="left" w:pos="972"/>
                <w:tab w:val="left" w:pos="1237"/>
              </w:tabs>
              <w:spacing w:before="75" w:after="30"/>
              <w:jc w:val="right"/>
            </w:pPr>
            <w:r>
              <w:rPr>
                <w:color w:val="000000"/>
                <w:sz w:val="20"/>
              </w:rPr>
              <w:tab/>
              <w:t>—</w:t>
            </w:r>
            <w:r>
              <w:rPr>
                <w:color w:val="000000"/>
                <w:sz w:val="20"/>
              </w:rPr>
              <w:tab/>
            </w:r>
          </w:p>
        </w:tc>
      </w:tr>
      <w:tr w:rsidR="00B52D58" w14:paraId="586BB62B"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0B4F622F" w14:textId="77777777" w:rsidR="00B52D58" w:rsidRDefault="00B52D58" w:rsidP="00D47172">
            <w:pPr>
              <w:keepNext/>
            </w:pPr>
            <w:r>
              <w:rPr>
                <w:color w:val="000000"/>
                <w:sz w:val="20"/>
              </w:rPr>
              <w:t>Changes in financing lease liabilities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F764FA1" w14:textId="77777777" w:rsidR="00B52D58" w:rsidRDefault="00B52D58" w:rsidP="00D47172">
            <w:pPr>
              <w:keepNext/>
              <w:tabs>
                <w:tab w:val="left" w:pos="906"/>
              </w:tabs>
              <w:spacing w:before="75" w:after="30"/>
              <w:jc w:val="right"/>
            </w:pPr>
            <w:r>
              <w:rPr>
                <w:color w:val="000000"/>
                <w:sz w:val="20"/>
              </w:rPr>
              <w:tab/>
              <w:t>(77)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8D9DA48" w14:textId="77777777" w:rsidR="00B52D58" w:rsidRDefault="00B52D58" w:rsidP="00D47172">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897F3AA" w14:textId="77777777" w:rsidR="00B52D58" w:rsidRDefault="00B52D58" w:rsidP="00D47172">
            <w:pPr>
              <w:keepNext/>
              <w:tabs>
                <w:tab w:val="left" w:pos="906"/>
              </w:tabs>
              <w:spacing w:before="75" w:after="30"/>
              <w:jc w:val="right"/>
            </w:pPr>
            <w:r>
              <w:rPr>
                <w:color w:val="000000"/>
                <w:sz w:val="20"/>
              </w:rPr>
              <w:tab/>
              <w:t>(62)</w:t>
            </w:r>
          </w:p>
        </w:tc>
      </w:tr>
      <w:tr w:rsidR="00B52D58" w14:paraId="3E809E4B"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373881AA" w14:textId="77777777" w:rsidR="00B52D58" w:rsidRDefault="00B52D58" w:rsidP="00D47172">
            <w:pPr>
              <w:keepNext/>
              <w:ind w:left="360"/>
            </w:pPr>
            <w:r>
              <w:rPr>
                <w:color w:val="000000"/>
                <w:sz w:val="20"/>
              </w:rPr>
              <w:t>Net cash (used in) provided by financing activities</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DD31BC5" w14:textId="77777777" w:rsidR="00B52D58" w:rsidRDefault="00B52D58" w:rsidP="00D47172">
            <w:pPr>
              <w:keepNext/>
              <w:tabs>
                <w:tab w:val="left" w:pos="656"/>
              </w:tabs>
              <w:spacing w:before="55" w:after="30"/>
              <w:jc w:val="right"/>
            </w:pPr>
            <w:r>
              <w:rPr>
                <w:color w:val="000000"/>
                <w:sz w:val="20"/>
              </w:rPr>
              <w:tab/>
              <w:t>(1,969)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6DD1334" w14:textId="77777777" w:rsidR="00B52D58" w:rsidRDefault="00B52D58" w:rsidP="00D47172">
            <w:pPr>
              <w:keepNext/>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A36AC67" w14:textId="77777777" w:rsidR="00B52D58" w:rsidRDefault="00B52D58" w:rsidP="00D47172">
            <w:pPr>
              <w:keepNext/>
              <w:tabs>
                <w:tab w:val="left" w:pos="1072"/>
                <w:tab w:val="left" w:pos="1237"/>
              </w:tabs>
              <w:spacing w:before="55" w:after="30"/>
              <w:jc w:val="right"/>
            </w:pPr>
            <w:r>
              <w:rPr>
                <w:color w:val="000000"/>
                <w:sz w:val="20"/>
              </w:rPr>
              <w:tab/>
              <w:t>2</w:t>
            </w:r>
            <w:r>
              <w:rPr>
                <w:color w:val="000000"/>
                <w:sz w:val="20"/>
              </w:rPr>
              <w:tab/>
            </w:r>
          </w:p>
        </w:tc>
      </w:tr>
      <w:tr w:rsidR="00B52D58" w14:paraId="109323C3"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674589E5" w14:textId="77777777" w:rsidR="00B52D58" w:rsidRDefault="00B52D58" w:rsidP="00D47172">
            <w:pPr>
              <w:keepNext/>
              <w:ind w:left="180" w:hanging="180"/>
            </w:pPr>
            <w:r>
              <w:rPr>
                <w:color w:val="000000"/>
                <w:sz w:val="20"/>
              </w:rPr>
              <w:t>Net (decrease) increase in cash, cash equivalents and restricted cash</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1C8108C" w14:textId="77777777" w:rsidR="00B52D58" w:rsidRDefault="00B52D58" w:rsidP="00D47172">
            <w:pPr>
              <w:keepNext/>
              <w:tabs>
                <w:tab w:val="left" w:pos="656"/>
              </w:tabs>
              <w:spacing w:before="55" w:after="30"/>
              <w:jc w:val="right"/>
            </w:pPr>
            <w:r>
              <w:rPr>
                <w:color w:val="000000"/>
                <w:sz w:val="20"/>
              </w:rPr>
              <w:tab/>
              <w:t>(3,975)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2FBC74" w14:textId="77777777" w:rsidR="00B52D58" w:rsidRDefault="00B52D58" w:rsidP="00D47172">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95D6FB3" w14:textId="77777777" w:rsidR="00B52D58" w:rsidRDefault="00B52D58" w:rsidP="00D47172">
            <w:pPr>
              <w:keepNext/>
              <w:tabs>
                <w:tab w:val="left" w:pos="722"/>
                <w:tab w:val="left" w:pos="1237"/>
              </w:tabs>
              <w:spacing w:before="55" w:after="30"/>
              <w:jc w:val="right"/>
            </w:pPr>
            <w:r>
              <w:rPr>
                <w:color w:val="000000"/>
                <w:sz w:val="20"/>
              </w:rPr>
              <w:tab/>
              <w:t>2,978</w:t>
            </w:r>
            <w:r>
              <w:rPr>
                <w:color w:val="000000"/>
                <w:sz w:val="20"/>
              </w:rPr>
              <w:tab/>
            </w:r>
          </w:p>
        </w:tc>
      </w:tr>
      <w:tr w:rsidR="00B52D58" w14:paraId="5166701A" w14:textId="77777777" w:rsidTr="00D47172">
        <w:trPr>
          <w:cantSplit/>
          <w:trHeight w:hRule="exact" w:val="285"/>
        </w:trPr>
        <w:tc>
          <w:tcPr>
            <w:tcW w:w="7845" w:type="dxa"/>
            <w:tcBorders>
              <w:top w:val="nil"/>
              <w:left w:val="nil"/>
              <w:bottom w:val="nil"/>
              <w:right w:val="nil"/>
            </w:tcBorders>
            <w:shd w:val="clear" w:color="auto" w:fill="FFFFFF"/>
            <w:tcMar>
              <w:top w:w="0" w:type="dxa"/>
              <w:left w:w="53" w:type="dxa"/>
              <w:bottom w:w="0" w:type="dxa"/>
              <w:right w:w="53" w:type="dxa"/>
            </w:tcMar>
            <w:vAlign w:val="center"/>
          </w:tcPr>
          <w:p w14:paraId="77CF9B85" w14:textId="77777777" w:rsidR="00B52D58" w:rsidRDefault="00B52D58" w:rsidP="00D47172">
            <w:pPr>
              <w:keepNext/>
            </w:pPr>
            <w:r>
              <w:rPr>
                <w:color w:val="000000"/>
                <w:sz w:val="20"/>
              </w:rPr>
              <w:t>Cash, cash equivalents and restricted cash, beginning of year</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28E398B" w14:textId="77777777" w:rsidR="00B52D58" w:rsidRDefault="00B52D58" w:rsidP="00D47172">
            <w:pPr>
              <w:keepNext/>
              <w:tabs>
                <w:tab w:val="left" w:pos="722"/>
                <w:tab w:val="left" w:pos="1237"/>
              </w:tabs>
              <w:spacing w:before="75" w:after="30"/>
              <w:jc w:val="right"/>
            </w:pPr>
            <w:r>
              <w:rPr>
                <w:color w:val="000000"/>
                <w:sz w:val="20"/>
              </w:rPr>
              <w:tab/>
              <w:t>6,860</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428FFE" w14:textId="77777777" w:rsidR="00B52D58" w:rsidRDefault="00B52D58" w:rsidP="00D47172">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59ADEE8" w14:textId="77777777" w:rsidR="00B52D58" w:rsidRDefault="00B52D58" w:rsidP="00D47172">
            <w:pPr>
              <w:keepNext/>
              <w:tabs>
                <w:tab w:val="left" w:pos="722"/>
                <w:tab w:val="left" w:pos="1237"/>
              </w:tabs>
              <w:spacing w:before="75" w:after="30"/>
              <w:jc w:val="right"/>
            </w:pPr>
            <w:r>
              <w:rPr>
                <w:color w:val="000000"/>
                <w:sz w:val="20"/>
              </w:rPr>
              <w:tab/>
              <w:t>2,636</w:t>
            </w:r>
            <w:r>
              <w:rPr>
                <w:color w:val="000000"/>
                <w:sz w:val="20"/>
              </w:rPr>
              <w:tab/>
            </w:r>
          </w:p>
        </w:tc>
      </w:tr>
      <w:tr w:rsidR="00B52D58" w14:paraId="0EDEE287" w14:textId="77777777" w:rsidTr="00D47172">
        <w:trPr>
          <w:cantSplit/>
          <w:trHeight w:hRule="exact" w:val="285"/>
        </w:trPr>
        <w:tc>
          <w:tcPr>
            <w:tcW w:w="7845" w:type="dxa"/>
            <w:tcBorders>
              <w:top w:val="nil"/>
              <w:left w:val="nil"/>
              <w:bottom w:val="nil"/>
              <w:right w:val="nil"/>
            </w:tcBorders>
            <w:shd w:val="clear" w:color="auto" w:fill="CCEEFF"/>
            <w:tcMar>
              <w:top w:w="0" w:type="dxa"/>
              <w:left w:w="53" w:type="dxa"/>
              <w:bottom w:w="0" w:type="dxa"/>
              <w:right w:w="53" w:type="dxa"/>
            </w:tcMar>
            <w:vAlign w:val="center"/>
          </w:tcPr>
          <w:p w14:paraId="61E77F2B" w14:textId="77777777" w:rsidR="00B52D58" w:rsidRDefault="00B52D58" w:rsidP="00D47172">
            <w:r>
              <w:rPr>
                <w:color w:val="000000"/>
                <w:sz w:val="20"/>
              </w:rPr>
              <w:t>Cash, cash equivalents and restricted cash, end of period</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90679C7" w14:textId="77777777" w:rsidR="00B52D58" w:rsidRDefault="00B52D58" w:rsidP="00D47172">
            <w:pPr>
              <w:tabs>
                <w:tab w:val="left" w:pos="722"/>
                <w:tab w:val="left" w:pos="1237"/>
              </w:tabs>
              <w:spacing w:before="55" w:after="30"/>
              <w:jc w:val="right"/>
            </w:pPr>
            <w:r>
              <w:rPr>
                <w:color w:val="000000"/>
                <w:sz w:val="20"/>
              </w:rPr>
              <w:t>$</w:t>
            </w:r>
            <w:r>
              <w:rPr>
                <w:color w:val="000000"/>
                <w:sz w:val="20"/>
              </w:rPr>
              <w:tab/>
              <w:t>2,885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7A8302" w14:textId="77777777" w:rsidR="00B52D58" w:rsidRDefault="00B52D58" w:rsidP="00D47172"/>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F00DB03" w14:textId="77777777" w:rsidR="00B52D58" w:rsidRDefault="00B52D58" w:rsidP="00D47172">
            <w:pPr>
              <w:tabs>
                <w:tab w:val="left" w:pos="722"/>
                <w:tab w:val="left" w:pos="1237"/>
              </w:tabs>
              <w:spacing w:before="55" w:after="30"/>
              <w:jc w:val="right"/>
            </w:pPr>
            <w:r>
              <w:rPr>
                <w:color w:val="000000"/>
                <w:sz w:val="20"/>
              </w:rPr>
              <w:t>$</w:t>
            </w:r>
            <w:r>
              <w:rPr>
                <w:color w:val="000000"/>
                <w:sz w:val="20"/>
              </w:rPr>
              <w:tab/>
              <w:t>5,614</w:t>
            </w:r>
            <w:r>
              <w:rPr>
                <w:color w:val="000000"/>
                <w:sz w:val="20"/>
              </w:rPr>
              <w:tab/>
            </w:r>
          </w:p>
        </w:tc>
      </w:tr>
    </w:tbl>
    <w:p w14:paraId="5F7A2E14" w14:textId="77777777" w:rsidR="00B52D58" w:rsidRDefault="00B52D58" w:rsidP="00900BAA">
      <w:pPr>
        <w:spacing w:before="20" w:after="180" w:line="288" w:lineRule="auto"/>
        <w:jc w:val="center"/>
        <w:rPr>
          <w:sz w:val="20"/>
        </w:rPr>
      </w:pPr>
    </w:p>
    <w:p w14:paraId="3CDA66A7" w14:textId="77777777" w:rsidR="00900BAA" w:rsidRDefault="00900BAA" w:rsidP="00900BAA">
      <w:pPr>
        <w:spacing w:after="180" w:line="288" w:lineRule="auto"/>
        <w:jc w:val="center"/>
        <w:rPr>
          <w:sz w:val="20"/>
        </w:rPr>
      </w:pPr>
    </w:p>
    <w:p w14:paraId="29AD4089" w14:textId="77777777" w:rsidR="000E11D6" w:rsidRPr="00182838" w:rsidRDefault="000E11D6" w:rsidP="000E11D6">
      <w:pPr>
        <w:spacing w:after="120" w:line="288" w:lineRule="auto"/>
        <w:rPr>
          <w:rFonts w:asciiTheme="minorHAnsi" w:hAnsiTheme="minorHAnsi" w:cstheme="minorHAnsi"/>
          <w:sz w:val="22"/>
          <w:szCs w:val="22"/>
        </w:rPr>
      </w:pPr>
    </w:p>
    <w:p w14:paraId="49B8ACC7" w14:textId="0F39A564" w:rsidR="00C8017D" w:rsidRPr="00182838" w:rsidRDefault="00C8017D" w:rsidP="00C8017D">
      <w:pPr>
        <w:shd w:val="clear" w:color="auto" w:fill="FFFFFF"/>
        <w:spacing w:before="100" w:beforeAutospacing="1" w:after="100" w:afterAutospacing="1"/>
        <w:rPr>
          <w:rFonts w:asciiTheme="minorHAnsi" w:hAnsiTheme="minorHAnsi" w:cstheme="minorHAnsi"/>
          <w:color w:val="000000" w:themeColor="text1"/>
          <w:sz w:val="22"/>
          <w:szCs w:val="22"/>
        </w:rPr>
      </w:pPr>
      <w:r w:rsidRPr="00182838">
        <w:rPr>
          <w:rFonts w:asciiTheme="minorHAnsi" w:hAnsiTheme="minorHAnsi" w:cstheme="minorHAnsi"/>
          <w:b/>
          <w:bCs/>
          <w:color w:val="000000" w:themeColor="text1"/>
          <w:sz w:val="22"/>
          <w:szCs w:val="22"/>
        </w:rPr>
        <w:lastRenderedPageBreak/>
        <w:t>Forward-Looking Statements</w:t>
      </w:r>
    </w:p>
    <w:p w14:paraId="6D55D58C" w14:textId="4582F04C" w:rsidR="00182838" w:rsidRPr="00B113E1" w:rsidRDefault="78A6CBE8" w:rsidP="00182838">
      <w:pPr>
        <w:rPr>
          <w:rFonts w:asciiTheme="minorHAnsi" w:hAnsiTheme="minorHAnsi" w:cstheme="minorBidi"/>
          <w:sz w:val="22"/>
          <w:szCs w:val="22"/>
        </w:rPr>
      </w:pPr>
      <w:r w:rsidRPr="2525B069">
        <w:rPr>
          <w:rFonts w:asciiTheme="minorHAnsi" w:hAnsiTheme="minorHAnsi" w:cstheme="minorBidi"/>
          <w:sz w:val="22"/>
          <w:szCs w:val="22"/>
        </w:rPr>
        <w:t>This press release contains forward-looking statements within the meaning of the Private Securities Litigation Reform Act of 1995, as amended, including statements regarding:</w:t>
      </w:r>
      <w:r w:rsidR="68252F20" w:rsidRPr="2525B069">
        <w:rPr>
          <w:rFonts w:asciiTheme="minorHAnsi" w:hAnsiTheme="minorHAnsi" w:cstheme="minorBidi"/>
          <w:sz w:val="22"/>
          <w:szCs w:val="22"/>
        </w:rPr>
        <w:t xml:space="preserve"> </w:t>
      </w:r>
      <w:r w:rsidR="2525B069" w:rsidRPr="2525B069">
        <w:rPr>
          <w:rFonts w:ascii="Calibri" w:eastAsia="Calibri" w:hAnsi="Calibri" w:cs="Calibri"/>
          <w:color w:val="000000" w:themeColor="text1"/>
          <w:sz w:val="22"/>
          <w:szCs w:val="22"/>
        </w:rPr>
        <w:t>anticipated sales</w:t>
      </w:r>
      <w:r w:rsidR="0036097A">
        <w:rPr>
          <w:rFonts w:ascii="Calibri" w:eastAsia="Calibri" w:hAnsi="Calibri" w:cs="Calibri"/>
          <w:color w:val="000000" w:themeColor="text1"/>
          <w:sz w:val="22"/>
          <w:szCs w:val="22"/>
        </w:rPr>
        <w:t>, including the timing of sales,</w:t>
      </w:r>
      <w:r w:rsidR="2525B069" w:rsidRPr="2525B069">
        <w:rPr>
          <w:rFonts w:ascii="Calibri" w:eastAsia="Calibri" w:hAnsi="Calibri" w:cs="Calibri"/>
          <w:color w:val="000000" w:themeColor="text1"/>
          <w:sz w:val="22"/>
          <w:szCs w:val="22"/>
        </w:rPr>
        <w:t xml:space="preserve"> under advance purchase agreements in 2022 and the associated dollar amounts to be received, which should not be construed as expected 2022 revenue; </w:t>
      </w:r>
      <w:r w:rsidR="0069554E">
        <w:rPr>
          <w:rFonts w:ascii="Calibri" w:eastAsia="Calibri" w:hAnsi="Calibri" w:cs="Calibri"/>
          <w:color w:val="000000" w:themeColor="text1"/>
          <w:sz w:val="22"/>
          <w:szCs w:val="22"/>
        </w:rPr>
        <w:t xml:space="preserve">the timing of data from proof-of-concept studies in rare diseases and immuno-oncology; the repurchase by Moderna of shares of its common stock under its repurchase programs; </w:t>
      </w:r>
      <w:r w:rsidR="0069554E" w:rsidRPr="00384E62">
        <w:rPr>
          <w:rFonts w:ascii="Calibri" w:eastAsia="Calibri" w:hAnsi="Calibri" w:cs="Calibri"/>
          <w:color w:val="000000" w:themeColor="text1"/>
          <w:sz w:val="22"/>
          <w:szCs w:val="22"/>
        </w:rPr>
        <w:t>potential accelerated approval of mRNA-1010 (flu); the timing of the Company’s Phase 1 trial of its combination COVID + flu + RSV vaccine candidate;</w:t>
      </w:r>
      <w:r w:rsidR="0069554E">
        <w:rPr>
          <w:rFonts w:ascii="Calibri" w:eastAsia="Calibri" w:hAnsi="Calibri" w:cs="Calibri"/>
          <w:color w:val="000000" w:themeColor="text1"/>
          <w:sz w:val="22"/>
          <w:szCs w:val="22"/>
        </w:rPr>
        <w:t xml:space="preserve"> </w:t>
      </w:r>
      <w:r w:rsidR="2525B069" w:rsidRPr="2525B069">
        <w:rPr>
          <w:rFonts w:ascii="Calibri" w:eastAsia="Calibri" w:hAnsi="Calibri" w:cs="Calibri"/>
          <w:color w:val="000000" w:themeColor="text1"/>
          <w:sz w:val="22"/>
          <w:szCs w:val="22"/>
        </w:rPr>
        <w:t xml:space="preserve">COVID market dynamics; Moderna’s 2022 financial framework; Moderna’s plans to construct mRNA manufacturing </w:t>
      </w:r>
      <w:r w:rsidR="2525B069" w:rsidRPr="7FCC71DE">
        <w:rPr>
          <w:rFonts w:ascii="Calibri" w:eastAsia="Calibri" w:hAnsi="Calibri" w:cs="Calibri"/>
          <w:color w:val="000000" w:themeColor="text1"/>
          <w:sz w:val="22"/>
          <w:szCs w:val="22"/>
        </w:rPr>
        <w:t>facilities</w:t>
      </w:r>
      <w:r w:rsidR="2525B069" w:rsidRPr="2525B069">
        <w:rPr>
          <w:rFonts w:ascii="Calibri" w:eastAsia="Calibri" w:hAnsi="Calibri" w:cs="Calibri"/>
          <w:color w:val="000000" w:themeColor="text1"/>
          <w:sz w:val="22"/>
          <w:szCs w:val="22"/>
        </w:rPr>
        <w:t xml:space="preserve"> in </w:t>
      </w:r>
      <w:r w:rsidR="00A84EC7">
        <w:rPr>
          <w:rFonts w:ascii="Calibri" w:eastAsia="Calibri" w:hAnsi="Calibri" w:cs="Calibri"/>
          <w:color w:val="000000" w:themeColor="text1"/>
          <w:sz w:val="22"/>
          <w:szCs w:val="22"/>
        </w:rPr>
        <w:t>the United Kingdom and</w:t>
      </w:r>
      <w:r w:rsidR="2525B069" w:rsidRPr="7FCC71DE">
        <w:rPr>
          <w:rFonts w:ascii="Calibri" w:eastAsia="Calibri" w:hAnsi="Calibri" w:cs="Calibri"/>
          <w:color w:val="000000" w:themeColor="text1"/>
          <w:sz w:val="22"/>
          <w:szCs w:val="22"/>
        </w:rPr>
        <w:t xml:space="preserve"> Canada</w:t>
      </w:r>
      <w:r w:rsidR="000A64EE" w:rsidRPr="00384E62">
        <w:rPr>
          <w:rFonts w:ascii="Calibri" w:eastAsia="Calibri" w:hAnsi="Calibri" w:cs="Calibri"/>
          <w:color w:val="000000" w:themeColor="text1"/>
          <w:sz w:val="22"/>
          <w:szCs w:val="22"/>
        </w:rPr>
        <w:t>; and the potential of mRNA technology to address a range of global health threats.</w:t>
      </w:r>
      <w:r w:rsidR="000A64EE">
        <w:rPr>
          <w:rFonts w:ascii="Calibri" w:eastAsia="Calibri" w:hAnsi="Calibri" w:cs="Calibri"/>
          <w:color w:val="000000" w:themeColor="text1"/>
          <w:sz w:val="22"/>
          <w:szCs w:val="22"/>
        </w:rPr>
        <w:t xml:space="preserve"> </w:t>
      </w:r>
      <w:r w:rsidRPr="2525B069">
        <w:rPr>
          <w:rFonts w:asciiTheme="minorHAnsi" w:hAnsiTheme="minorHAnsi" w:cstheme="minorBidi"/>
          <w:sz w:val="22"/>
          <w:szCs w:val="22"/>
        </w:rPr>
        <w:t xml:space="preserve">In some cases, forward-looking statements can be identified by terminology such as “will,” “may,” “should,” “could,” “expects,” “intends,” “plans,” “aims,” “anticipates,” “believes,” “estimates,” “predicts,” “potential,” “continue,” or the negative of these terms or other comparable terminology, although not all forward-looking statements contain these words. The forward-looking statements in this press release are neither promises nor guarantees, and you should not place undue reliance on these forward-looking statements because they involve known and unknown risks, uncertainties, and other factors, many of which are beyond Moderna’s control and which could cause actual results to differ materially from those expressed or implied by these forward-looking statements. These risks, uncertainties, and other factors include, among others, those risks and uncertainties described under the heading “Risk Factors” in Moderna’s Annual Report on Form 10-K </w:t>
      </w:r>
      <w:r w:rsidR="00023B82">
        <w:rPr>
          <w:rFonts w:asciiTheme="minorHAnsi" w:hAnsiTheme="minorHAnsi" w:cstheme="minorBidi"/>
          <w:sz w:val="22"/>
          <w:szCs w:val="22"/>
        </w:rPr>
        <w:t xml:space="preserve">for the fiscal year ended December 31, 2021 and Quarterly Report on Form 10-Q for the quarterly period ended March 31, 2022, each </w:t>
      </w:r>
      <w:r w:rsidRPr="2525B069">
        <w:rPr>
          <w:rFonts w:asciiTheme="minorHAnsi" w:hAnsiTheme="minorHAnsi" w:cstheme="minorBidi"/>
          <w:sz w:val="22"/>
          <w:szCs w:val="22"/>
        </w:rPr>
        <w:t>filed with the U.S. Securities and Exchange Commission (SEC)</w:t>
      </w:r>
      <w:r w:rsidR="00023B82">
        <w:rPr>
          <w:rFonts w:asciiTheme="minorHAnsi" w:hAnsiTheme="minorHAnsi" w:cstheme="minorBidi"/>
          <w:sz w:val="22"/>
          <w:szCs w:val="22"/>
        </w:rPr>
        <w:t>,</w:t>
      </w:r>
      <w:r w:rsidRPr="2525B069">
        <w:rPr>
          <w:rFonts w:asciiTheme="minorHAnsi" w:hAnsiTheme="minorHAnsi" w:cstheme="minorBidi"/>
          <w:sz w:val="22"/>
          <w:szCs w:val="22"/>
        </w:rPr>
        <w:t xml:space="preserve"> and in subsequent filings made by Moderna with the SEC, which are available on the SEC’s website at </w:t>
      </w:r>
      <w:hyperlink r:id="rId35">
        <w:r w:rsidRPr="2525B069">
          <w:rPr>
            <w:rStyle w:val="Hyperlink"/>
            <w:rFonts w:asciiTheme="minorHAnsi" w:hAnsiTheme="minorHAnsi" w:cstheme="minorBidi"/>
            <w:sz w:val="22"/>
            <w:szCs w:val="22"/>
          </w:rPr>
          <w:t>www.sec.gov</w:t>
        </w:r>
      </w:hyperlink>
      <w:r w:rsidRPr="2525B069">
        <w:rPr>
          <w:rFonts w:asciiTheme="minorHAnsi" w:hAnsiTheme="minorHAnsi" w:cstheme="minorBidi"/>
          <w:sz w:val="22"/>
          <w:szCs w:val="22"/>
        </w:rPr>
        <w:t>. Except as required by law, Moderna disclaims any intention or responsibility for updating or revising any forward-looking statements contained in this press release in the event of new information, future developments or otherwise. These forward-looking statements are based on Moderna’s current expectations and speak only as of the date of this press release.</w:t>
      </w:r>
    </w:p>
    <w:p w14:paraId="4B269D5F" w14:textId="77777777" w:rsidR="00965313" w:rsidRPr="00182838" w:rsidRDefault="00965313" w:rsidP="00B113E1">
      <w:pPr>
        <w:shd w:val="clear" w:color="auto" w:fill="FFFFFF"/>
        <w:spacing w:before="100" w:beforeAutospacing="1" w:after="100" w:afterAutospacing="1"/>
        <w:rPr>
          <w:rFonts w:asciiTheme="minorHAnsi" w:hAnsiTheme="minorHAnsi" w:cstheme="minorHAnsi"/>
          <w:b/>
          <w:bCs/>
          <w:color w:val="000000" w:themeColor="text1"/>
          <w:sz w:val="22"/>
          <w:szCs w:val="22"/>
        </w:rPr>
      </w:pPr>
      <w:r w:rsidRPr="00182838">
        <w:rPr>
          <w:rFonts w:asciiTheme="minorHAnsi" w:hAnsiTheme="minorHAnsi" w:cstheme="minorHAnsi"/>
          <w:b/>
          <w:bCs/>
          <w:color w:val="000000" w:themeColor="text1"/>
          <w:sz w:val="22"/>
          <w:szCs w:val="22"/>
        </w:rPr>
        <w:t>Moderna Contacts</w:t>
      </w:r>
    </w:p>
    <w:p w14:paraId="6EA614F3" w14:textId="41399DB3" w:rsidR="00A26428" w:rsidRPr="00182838" w:rsidRDefault="00A26428" w:rsidP="00B113E1">
      <w:pPr>
        <w:shd w:val="clear" w:color="auto" w:fill="FFFFFF"/>
        <w:spacing w:before="100" w:beforeAutospacing="1" w:after="100" w:afterAutospacing="1"/>
        <w:rPr>
          <w:rFonts w:asciiTheme="minorHAnsi" w:hAnsiTheme="minorHAnsi" w:cstheme="minorHAnsi"/>
          <w:color w:val="000000" w:themeColor="text1"/>
          <w:sz w:val="22"/>
          <w:szCs w:val="22"/>
        </w:rPr>
      </w:pPr>
      <w:r w:rsidRPr="00182838">
        <w:rPr>
          <w:rFonts w:asciiTheme="minorHAnsi" w:hAnsiTheme="minorHAnsi" w:cstheme="minorHAnsi"/>
          <w:b/>
          <w:bCs/>
          <w:color w:val="000000" w:themeColor="text1"/>
          <w:sz w:val="22"/>
          <w:szCs w:val="22"/>
        </w:rPr>
        <w:t>Media:</w:t>
      </w:r>
      <w:r w:rsidRPr="00182838">
        <w:rPr>
          <w:rFonts w:asciiTheme="minorHAnsi" w:hAnsiTheme="minorHAnsi" w:cstheme="minorHAnsi"/>
          <w:color w:val="000000" w:themeColor="text1"/>
          <w:sz w:val="22"/>
          <w:szCs w:val="22"/>
        </w:rPr>
        <w:br/>
      </w:r>
      <w:r w:rsidR="008000B4">
        <w:rPr>
          <w:rFonts w:asciiTheme="minorHAnsi" w:hAnsiTheme="minorHAnsi" w:cstheme="minorHAnsi"/>
          <w:color w:val="000000" w:themeColor="text1"/>
          <w:sz w:val="22"/>
          <w:szCs w:val="22"/>
        </w:rPr>
        <w:t>Chris Ridley</w:t>
      </w:r>
      <w:r w:rsidRPr="00182838">
        <w:rPr>
          <w:rFonts w:asciiTheme="minorHAnsi" w:hAnsiTheme="minorHAnsi" w:cstheme="minorHAnsi"/>
          <w:color w:val="000000" w:themeColor="text1"/>
          <w:sz w:val="22"/>
          <w:szCs w:val="22"/>
        </w:rPr>
        <w:br/>
      </w:r>
      <w:r w:rsidR="008000B4">
        <w:rPr>
          <w:rFonts w:asciiTheme="minorHAnsi" w:hAnsiTheme="minorHAnsi" w:cstheme="minorHAnsi"/>
          <w:color w:val="000000" w:themeColor="text1"/>
          <w:sz w:val="22"/>
          <w:szCs w:val="22"/>
        </w:rPr>
        <w:t>Vice President, Corporate Communications &amp; Media</w:t>
      </w:r>
      <w:r w:rsidRPr="00182838">
        <w:rPr>
          <w:rFonts w:asciiTheme="minorHAnsi" w:hAnsiTheme="minorHAnsi" w:cstheme="minorHAnsi"/>
          <w:color w:val="000000" w:themeColor="text1"/>
          <w:sz w:val="22"/>
          <w:szCs w:val="22"/>
        </w:rPr>
        <w:br/>
        <w:t>617-</w:t>
      </w:r>
      <w:r w:rsidR="008000B4">
        <w:rPr>
          <w:rFonts w:asciiTheme="minorHAnsi" w:hAnsiTheme="minorHAnsi" w:cstheme="minorHAnsi"/>
          <w:color w:val="000000" w:themeColor="text1"/>
          <w:sz w:val="22"/>
          <w:szCs w:val="22"/>
        </w:rPr>
        <w:t>800-</w:t>
      </w:r>
      <w:r w:rsidR="00833097">
        <w:rPr>
          <w:rFonts w:asciiTheme="minorHAnsi" w:hAnsiTheme="minorHAnsi" w:cstheme="minorHAnsi"/>
          <w:color w:val="000000" w:themeColor="text1"/>
          <w:sz w:val="22"/>
          <w:szCs w:val="22"/>
        </w:rPr>
        <w:t>3651</w:t>
      </w:r>
      <w:r w:rsidRPr="00182838">
        <w:rPr>
          <w:rFonts w:asciiTheme="minorHAnsi" w:hAnsiTheme="minorHAnsi" w:cstheme="minorHAnsi"/>
          <w:color w:val="000000" w:themeColor="text1"/>
          <w:sz w:val="22"/>
          <w:szCs w:val="22"/>
        </w:rPr>
        <w:br/>
      </w:r>
      <w:r w:rsidR="008000B4">
        <w:rPr>
          <w:rFonts w:asciiTheme="minorHAnsi" w:hAnsiTheme="minorHAnsi" w:cstheme="minorHAnsi"/>
          <w:color w:val="000000" w:themeColor="text1"/>
          <w:sz w:val="22"/>
          <w:szCs w:val="22"/>
          <w:u w:val="single"/>
        </w:rPr>
        <w:t>Chris.Ridley@modernatx.com</w:t>
      </w:r>
    </w:p>
    <w:p w14:paraId="140F099F" w14:textId="050F278E" w:rsidR="00DB73EF" w:rsidRPr="00182838" w:rsidRDefault="00A26428" w:rsidP="00B113E1">
      <w:pPr>
        <w:shd w:val="clear" w:color="auto" w:fill="FFFFFF" w:themeFill="background1"/>
        <w:spacing w:beforeAutospacing="1" w:afterAutospacing="1"/>
        <w:rPr>
          <w:rFonts w:asciiTheme="minorHAnsi" w:hAnsiTheme="minorHAnsi" w:cstheme="minorBidi"/>
          <w:color w:val="000000" w:themeColor="text1"/>
          <w:sz w:val="22"/>
          <w:szCs w:val="22"/>
        </w:rPr>
      </w:pPr>
      <w:r w:rsidRPr="7FCC71DE">
        <w:rPr>
          <w:rFonts w:asciiTheme="minorHAnsi" w:hAnsiTheme="minorHAnsi" w:cstheme="minorBidi"/>
          <w:b/>
          <w:color w:val="000000" w:themeColor="text1"/>
          <w:sz w:val="22"/>
          <w:szCs w:val="22"/>
        </w:rPr>
        <w:t>Investors:</w:t>
      </w:r>
      <w:r>
        <w:br/>
      </w:r>
      <w:r w:rsidRPr="7FCC71DE">
        <w:rPr>
          <w:rFonts w:asciiTheme="minorHAnsi" w:hAnsiTheme="minorHAnsi" w:cstheme="minorBidi"/>
          <w:color w:val="000000" w:themeColor="text1"/>
          <w:sz w:val="22"/>
          <w:szCs w:val="22"/>
        </w:rPr>
        <w:t>Lavina Talukdar</w:t>
      </w:r>
      <w:r>
        <w:br/>
      </w:r>
      <w:r w:rsidRPr="7FCC71DE">
        <w:rPr>
          <w:rFonts w:asciiTheme="minorHAnsi" w:hAnsiTheme="minorHAnsi" w:cstheme="minorBidi"/>
          <w:color w:val="000000" w:themeColor="text1"/>
          <w:sz w:val="22"/>
          <w:szCs w:val="22"/>
        </w:rPr>
        <w:t>Senior Vice President &amp; Head of Investor Relations</w:t>
      </w:r>
      <w:r>
        <w:br/>
      </w:r>
      <w:r w:rsidRPr="7FCC71DE">
        <w:rPr>
          <w:rFonts w:asciiTheme="minorHAnsi" w:hAnsiTheme="minorHAnsi" w:cstheme="minorBidi"/>
          <w:color w:val="000000" w:themeColor="text1"/>
          <w:sz w:val="22"/>
          <w:szCs w:val="22"/>
        </w:rPr>
        <w:t>617-209-5834</w:t>
      </w:r>
      <w:r>
        <w:br/>
      </w:r>
      <w:hyperlink r:id="rId36">
        <w:r w:rsidRPr="7FCC71DE">
          <w:rPr>
            <w:rFonts w:asciiTheme="minorHAnsi" w:hAnsiTheme="minorHAnsi" w:cstheme="minorBidi"/>
            <w:color w:val="000000" w:themeColor="text1"/>
            <w:sz w:val="22"/>
            <w:szCs w:val="22"/>
            <w:u w:val="single"/>
          </w:rPr>
          <w:t>Lavina.Talukdar@modernatx.com</w:t>
        </w:r>
      </w:hyperlink>
    </w:p>
    <w:sectPr w:rsidR="00DB73EF" w:rsidRPr="00182838" w:rsidSect="00C8017D">
      <w:headerReference w:type="default" r:id="rId37"/>
      <w:type w:val="continuous"/>
      <w:pgSz w:w="12240" w:h="15840"/>
      <w:pgMar w:top="1080" w:right="1080" w:bottom="1080" w:left="108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EB01" w14:textId="77777777" w:rsidR="00D06995" w:rsidRDefault="00D06995" w:rsidP="00E23A2B">
      <w:r>
        <w:separator/>
      </w:r>
    </w:p>
  </w:endnote>
  <w:endnote w:type="continuationSeparator" w:id="0">
    <w:p w14:paraId="5D843567" w14:textId="77777777" w:rsidR="00D06995" w:rsidRDefault="00D06995" w:rsidP="00E23A2B">
      <w:r>
        <w:continuationSeparator/>
      </w:r>
    </w:p>
  </w:endnote>
  <w:endnote w:type="continuationNotice" w:id="1">
    <w:p w14:paraId="39F3D9B8" w14:textId="77777777" w:rsidR="00D06995" w:rsidRDefault="00D06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0176" w14:textId="77777777" w:rsidR="00980D1A" w:rsidRDefault="00980D1A">
    <w:pPr>
      <w:spacing w:line="288" w:lineRule="auto"/>
      <w:ind w:left="-90" w:right="-90"/>
      <w:jc w:val="right"/>
      <w:rPr>
        <w:sz w:val="20"/>
      </w:rPr>
    </w:pPr>
    <w:r>
      <w:rPr>
        <w:color w:val="2B579A"/>
        <w:sz w:val="20"/>
        <w:shd w:val="clear" w:color="auto" w:fill="E6E6E6"/>
      </w:rPr>
      <w:fldChar w:fldCharType="begin"/>
    </w:r>
    <w:r>
      <w:rPr>
        <w:sz w:val="20"/>
      </w:rPr>
      <w:instrText xml:space="preserve"> PAGE </w:instrText>
    </w:r>
    <w:r>
      <w:rPr>
        <w:color w:val="2B579A"/>
        <w:sz w:val="20"/>
        <w:shd w:val="clear" w:color="auto" w:fill="E6E6E6"/>
      </w:rPr>
      <w:fldChar w:fldCharType="separate"/>
    </w:r>
    <w:r>
      <w:rPr>
        <w:sz w:val="20"/>
      </w:rPr>
      <w:t>2</w:t>
    </w:r>
    <w:r>
      <w:rPr>
        <w:color w:val="2B579A"/>
        <w:sz w:val="2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4F84" w14:textId="77777777" w:rsidR="00980D1A" w:rsidRDefault="00980D1A">
    <w:pPr>
      <w:spacing w:line="288" w:lineRule="auto"/>
      <w:ind w:left="-90" w:right="-9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AA59" w14:textId="71B8A102" w:rsidR="00980D1A" w:rsidRDefault="00980D1A">
    <w:pPr>
      <w:spacing w:line="288" w:lineRule="auto"/>
      <w:ind w:left="-90" w:right="-90"/>
      <w:jc w:val="right"/>
      <w:rPr>
        <w:sz w:val="20"/>
      </w:rPr>
    </w:pPr>
    <w:r>
      <w:rPr>
        <w:color w:val="2B579A"/>
        <w:sz w:val="20"/>
        <w:shd w:val="clear" w:color="auto" w:fill="E6E6E6"/>
      </w:rPr>
      <w:fldChar w:fldCharType="begin"/>
    </w:r>
    <w:r>
      <w:rPr>
        <w:sz w:val="20"/>
      </w:rPr>
      <w:instrText xml:space="preserve"> PAGE </w:instrText>
    </w:r>
    <w:r>
      <w:rPr>
        <w:color w:val="2B579A"/>
        <w:sz w:val="20"/>
        <w:shd w:val="clear" w:color="auto" w:fill="E6E6E6"/>
      </w:rPr>
      <w:fldChar w:fldCharType="separate"/>
    </w:r>
    <w:r>
      <w:rPr>
        <w:noProof/>
        <w:sz w:val="20"/>
      </w:rPr>
      <w:t>10</w:t>
    </w:r>
    <w:r>
      <w:rPr>
        <w:color w:val="2B579A"/>
        <w:sz w:val="20"/>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1C50" w14:textId="77777777" w:rsidR="009E4DA7" w:rsidRDefault="009E4DA7">
    <w:pPr>
      <w:spacing w:line="288" w:lineRule="auto"/>
      <w:ind w:left="-90" w:right="-90"/>
      <w:jc w:val="right"/>
      <w:rPr>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D524A" w14:textId="77777777" w:rsidR="00D06995" w:rsidRDefault="00D06995" w:rsidP="00E23A2B">
      <w:r>
        <w:separator/>
      </w:r>
    </w:p>
  </w:footnote>
  <w:footnote w:type="continuationSeparator" w:id="0">
    <w:p w14:paraId="30316877" w14:textId="77777777" w:rsidR="00D06995" w:rsidRDefault="00D06995" w:rsidP="00E23A2B">
      <w:r>
        <w:continuationSeparator/>
      </w:r>
    </w:p>
  </w:footnote>
  <w:footnote w:type="continuationNotice" w:id="1">
    <w:p w14:paraId="671BB4C0" w14:textId="77777777" w:rsidR="00D06995" w:rsidRDefault="00D06995"/>
  </w:footnote>
  <w:footnote w:id="2">
    <w:p w14:paraId="3B702DE4" w14:textId="090274A9" w:rsidR="00980D1A" w:rsidRPr="00A44B91" w:rsidRDefault="00980D1A" w:rsidP="00A44B91">
      <w:pPr>
        <w:pStyle w:val="NormalWeb"/>
        <w:shd w:val="clear" w:color="auto" w:fill="FFFFFF"/>
        <w:rPr>
          <w:rFonts w:ascii="Lato" w:hAnsi="Lato"/>
          <w:color w:val="444444"/>
        </w:rPr>
      </w:pPr>
      <w:r w:rsidRPr="00B32872">
        <w:rPr>
          <w:rStyle w:val="FootnoteReference"/>
          <w:sz w:val="20"/>
          <w:szCs w:val="20"/>
        </w:rPr>
        <w:footnoteRef/>
      </w:r>
      <w:r w:rsidRPr="00A44B91">
        <w:rPr>
          <w:rFonts w:ascii="Lato" w:hAnsi="Lato"/>
          <w:color w:val="000000" w:themeColor="text1"/>
          <w:sz w:val="16"/>
          <w:szCs w:val="16"/>
        </w:rPr>
        <w:t>Includes separate COVID Vaccine (mRNA-1273) programs in development for adults, pediatrics &amp; adolescents and separate RSV vaccine (mRNA-1345) programs in development for adults and pediatrics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D7C9" w14:textId="77777777" w:rsidR="00980D1A" w:rsidRDefault="00980D1A">
    <w:pPr>
      <w:spacing w:line="288" w:lineRule="auto"/>
      <w:ind w:left="-90" w:right="-9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26C6" w14:textId="6DDFF3DB" w:rsidR="00980D1A" w:rsidRDefault="00980D1A">
    <w:pPr>
      <w:spacing w:line="288" w:lineRule="auto"/>
      <w:ind w:left="-90" w:right="-90"/>
      <w:rPr>
        <w:sz w:val="20"/>
      </w:rPr>
    </w:pPr>
    <w:r>
      <w:rPr>
        <w:sz w:val="20"/>
      </w:rPr>
      <w:t>Confidential – Not for Distribution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6932" w14:textId="77777777" w:rsidR="00980D1A" w:rsidRDefault="00980D1A">
    <w:pPr>
      <w:spacing w:line="288" w:lineRule="auto"/>
      <w:ind w:left="-90" w:right="-90"/>
      <w:rPr>
        <w:b/>
        <w:sz w:val="20"/>
      </w:rPr>
    </w:pPr>
  </w:p>
  <w:p w14:paraId="1EFB6DF2" w14:textId="77777777" w:rsidR="00980D1A" w:rsidRDefault="00980D1A">
    <w:pPr>
      <w:spacing w:line="288" w:lineRule="auto"/>
      <w:ind w:left="-90" w:right="-90"/>
      <w:outlineLvl w:val="0"/>
      <w:rPr>
        <w:b/>
        <w:sz w:val="20"/>
      </w:rPr>
    </w:pPr>
    <w:r>
      <w:rPr>
        <w:b/>
        <w:sz w:val="20"/>
      </w:rPr>
      <w:t xml:space="preserve">Exhibit 99.1 </w:t>
    </w:r>
  </w:p>
  <w:p w14:paraId="2EB59B08" w14:textId="77777777" w:rsidR="00980D1A" w:rsidRDefault="00980D1A">
    <w:pPr>
      <w:spacing w:after="180" w:line="288" w:lineRule="auto"/>
      <w:ind w:left="-90" w:right="-90"/>
      <w:rPr>
        <w:b/>
        <w:sz w:val="20"/>
      </w:rPr>
    </w:pPr>
  </w:p>
  <w:p w14:paraId="08094BA4" w14:textId="77777777" w:rsidR="00980D1A" w:rsidRDefault="00980D1A">
    <w:pPr>
      <w:spacing w:line="288" w:lineRule="auto"/>
      <w:ind w:left="-90" w:right="-90"/>
      <w:jc w:val="right"/>
      <w:rPr>
        <w:b/>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7AE2" w14:textId="77777777" w:rsidR="009E4DA7" w:rsidRDefault="009E4DA7">
    <w:pPr>
      <w:spacing w:line="288" w:lineRule="auto"/>
      <w:ind w:left="-90" w:right="-9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B79F" w14:textId="77777777" w:rsidR="00900BAA" w:rsidRDefault="00900BAA">
    <w:pPr>
      <w:spacing w:line="288"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hybridMultilevel"/>
    <w:tmpl w:val="30DE1A4E"/>
    <w:lvl w:ilvl="0" w:tplc="AC20B496">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5E2E7BC2">
      <w:start w:val="1"/>
      <w:numFmt w:val="bullet"/>
      <w:lvlText w:val="o"/>
      <w:lvlJc w:val="left"/>
      <w:pPr>
        <w:tabs>
          <w:tab w:val="num" w:pos="1440"/>
        </w:tabs>
        <w:ind w:left="1440" w:hanging="360"/>
      </w:pPr>
      <w:rPr>
        <w:rFonts w:ascii="Courier New" w:hAnsi="Courier New"/>
      </w:rPr>
    </w:lvl>
    <w:lvl w:ilvl="2" w:tplc="1EDAF4EA">
      <w:start w:val="1"/>
      <w:numFmt w:val="bullet"/>
      <w:lvlText w:val=""/>
      <w:lvlJc w:val="left"/>
      <w:pPr>
        <w:tabs>
          <w:tab w:val="num" w:pos="2160"/>
        </w:tabs>
        <w:ind w:left="2160" w:hanging="360"/>
      </w:pPr>
      <w:rPr>
        <w:rFonts w:ascii="Wingdings" w:hAnsi="Wingdings"/>
      </w:rPr>
    </w:lvl>
    <w:lvl w:ilvl="3" w:tplc="420AEEAE">
      <w:start w:val="1"/>
      <w:numFmt w:val="bullet"/>
      <w:lvlText w:val=""/>
      <w:lvlJc w:val="left"/>
      <w:pPr>
        <w:tabs>
          <w:tab w:val="num" w:pos="2880"/>
        </w:tabs>
        <w:ind w:left="2880" w:hanging="360"/>
      </w:pPr>
      <w:rPr>
        <w:rFonts w:ascii="Symbol" w:hAnsi="Symbol"/>
      </w:rPr>
    </w:lvl>
    <w:lvl w:ilvl="4" w:tplc="52C00EE0">
      <w:start w:val="1"/>
      <w:numFmt w:val="bullet"/>
      <w:lvlText w:val="o"/>
      <w:lvlJc w:val="left"/>
      <w:pPr>
        <w:tabs>
          <w:tab w:val="num" w:pos="3600"/>
        </w:tabs>
        <w:ind w:left="3600" w:hanging="360"/>
      </w:pPr>
      <w:rPr>
        <w:rFonts w:ascii="Courier New" w:hAnsi="Courier New"/>
      </w:rPr>
    </w:lvl>
    <w:lvl w:ilvl="5" w:tplc="0C706876">
      <w:start w:val="1"/>
      <w:numFmt w:val="bullet"/>
      <w:lvlText w:val=""/>
      <w:lvlJc w:val="left"/>
      <w:pPr>
        <w:tabs>
          <w:tab w:val="num" w:pos="4320"/>
        </w:tabs>
        <w:ind w:left="4320" w:hanging="360"/>
      </w:pPr>
      <w:rPr>
        <w:rFonts w:ascii="Wingdings" w:hAnsi="Wingdings"/>
      </w:rPr>
    </w:lvl>
    <w:lvl w:ilvl="6" w:tplc="D134655A">
      <w:start w:val="1"/>
      <w:numFmt w:val="bullet"/>
      <w:lvlText w:val=""/>
      <w:lvlJc w:val="left"/>
      <w:pPr>
        <w:tabs>
          <w:tab w:val="num" w:pos="5040"/>
        </w:tabs>
        <w:ind w:left="5040" w:hanging="360"/>
      </w:pPr>
      <w:rPr>
        <w:rFonts w:ascii="Symbol" w:hAnsi="Symbol"/>
      </w:rPr>
    </w:lvl>
    <w:lvl w:ilvl="7" w:tplc="94A02E60">
      <w:start w:val="1"/>
      <w:numFmt w:val="bullet"/>
      <w:lvlText w:val="o"/>
      <w:lvlJc w:val="left"/>
      <w:pPr>
        <w:tabs>
          <w:tab w:val="num" w:pos="5760"/>
        </w:tabs>
        <w:ind w:left="5760" w:hanging="360"/>
      </w:pPr>
      <w:rPr>
        <w:rFonts w:ascii="Courier New" w:hAnsi="Courier New"/>
      </w:rPr>
    </w:lvl>
    <w:lvl w:ilvl="8" w:tplc="72301D4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E"/>
    <w:multiLevelType w:val="hybridMultilevel"/>
    <w:tmpl w:val="0000000E"/>
    <w:lvl w:ilvl="0" w:tplc="10C6EAEC">
      <w:start w:val="1"/>
      <w:numFmt w:val="bullet"/>
      <w:lvlText w:val="•"/>
      <w:lvlJc w:val="left"/>
      <w:pPr>
        <w:tabs>
          <w:tab w:val="num" w:pos="450"/>
        </w:tabs>
        <w:ind w:left="720" w:hanging="360"/>
      </w:pPr>
      <w:rPr>
        <w:rFonts w:ascii="Calibri" w:eastAsia="Calibri" w:hAnsi="Calibri" w:cs="Calibri"/>
        <w:b/>
        <w:i/>
        <w:strike w:val="0"/>
        <w:sz w:val="22"/>
      </w:rPr>
    </w:lvl>
    <w:lvl w:ilvl="1" w:tplc="F252F69C">
      <w:start w:val="1"/>
      <w:numFmt w:val="bullet"/>
      <w:lvlText w:val="o"/>
      <w:lvlJc w:val="left"/>
      <w:pPr>
        <w:tabs>
          <w:tab w:val="num" w:pos="1440"/>
        </w:tabs>
        <w:ind w:left="1440" w:hanging="360"/>
      </w:pPr>
      <w:rPr>
        <w:rFonts w:ascii="Courier New" w:hAnsi="Courier New"/>
      </w:rPr>
    </w:lvl>
    <w:lvl w:ilvl="2" w:tplc="7A48773E">
      <w:start w:val="1"/>
      <w:numFmt w:val="bullet"/>
      <w:lvlText w:val=""/>
      <w:lvlJc w:val="left"/>
      <w:pPr>
        <w:tabs>
          <w:tab w:val="num" w:pos="2160"/>
        </w:tabs>
        <w:ind w:left="2160" w:hanging="360"/>
      </w:pPr>
      <w:rPr>
        <w:rFonts w:ascii="Wingdings" w:hAnsi="Wingdings"/>
      </w:rPr>
    </w:lvl>
    <w:lvl w:ilvl="3" w:tplc="1B4CBD00">
      <w:start w:val="1"/>
      <w:numFmt w:val="bullet"/>
      <w:lvlText w:val=""/>
      <w:lvlJc w:val="left"/>
      <w:pPr>
        <w:tabs>
          <w:tab w:val="num" w:pos="2880"/>
        </w:tabs>
        <w:ind w:left="2880" w:hanging="360"/>
      </w:pPr>
      <w:rPr>
        <w:rFonts w:ascii="Symbol" w:hAnsi="Symbol"/>
      </w:rPr>
    </w:lvl>
    <w:lvl w:ilvl="4" w:tplc="4310342C">
      <w:start w:val="1"/>
      <w:numFmt w:val="bullet"/>
      <w:lvlText w:val="o"/>
      <w:lvlJc w:val="left"/>
      <w:pPr>
        <w:tabs>
          <w:tab w:val="num" w:pos="3600"/>
        </w:tabs>
        <w:ind w:left="3600" w:hanging="360"/>
      </w:pPr>
      <w:rPr>
        <w:rFonts w:ascii="Courier New" w:hAnsi="Courier New"/>
      </w:rPr>
    </w:lvl>
    <w:lvl w:ilvl="5" w:tplc="F7DEC026">
      <w:start w:val="1"/>
      <w:numFmt w:val="bullet"/>
      <w:lvlText w:val=""/>
      <w:lvlJc w:val="left"/>
      <w:pPr>
        <w:tabs>
          <w:tab w:val="num" w:pos="4320"/>
        </w:tabs>
        <w:ind w:left="4320" w:hanging="360"/>
      </w:pPr>
      <w:rPr>
        <w:rFonts w:ascii="Wingdings" w:hAnsi="Wingdings"/>
      </w:rPr>
    </w:lvl>
    <w:lvl w:ilvl="6" w:tplc="1D9C561C">
      <w:start w:val="1"/>
      <w:numFmt w:val="bullet"/>
      <w:lvlText w:val=""/>
      <w:lvlJc w:val="left"/>
      <w:pPr>
        <w:tabs>
          <w:tab w:val="num" w:pos="5040"/>
        </w:tabs>
        <w:ind w:left="5040" w:hanging="360"/>
      </w:pPr>
      <w:rPr>
        <w:rFonts w:ascii="Symbol" w:hAnsi="Symbol"/>
      </w:rPr>
    </w:lvl>
    <w:lvl w:ilvl="7" w:tplc="E3421C96">
      <w:start w:val="1"/>
      <w:numFmt w:val="bullet"/>
      <w:lvlText w:val="o"/>
      <w:lvlJc w:val="left"/>
      <w:pPr>
        <w:tabs>
          <w:tab w:val="num" w:pos="5760"/>
        </w:tabs>
        <w:ind w:left="5760" w:hanging="360"/>
      </w:pPr>
      <w:rPr>
        <w:rFonts w:ascii="Courier New" w:hAnsi="Courier New"/>
      </w:rPr>
    </w:lvl>
    <w:lvl w:ilvl="8" w:tplc="F7D42B4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F"/>
    <w:multiLevelType w:val="hybridMultilevel"/>
    <w:tmpl w:val="0000000F"/>
    <w:lvl w:ilvl="0" w:tplc="8902883A">
      <w:start w:val="1"/>
      <w:numFmt w:val="bullet"/>
      <w:lvlText w:val="•"/>
      <w:lvlJc w:val="left"/>
      <w:pPr>
        <w:tabs>
          <w:tab w:val="num" w:pos="450"/>
        </w:tabs>
        <w:ind w:left="720" w:hanging="360"/>
      </w:pPr>
      <w:rPr>
        <w:rFonts w:ascii="Calibri" w:eastAsia="Calibri" w:hAnsi="Calibri" w:cs="Calibri"/>
        <w:b/>
        <w:i/>
        <w:strike w:val="0"/>
        <w:sz w:val="22"/>
      </w:rPr>
    </w:lvl>
    <w:lvl w:ilvl="1" w:tplc="8F30B42A">
      <w:start w:val="1"/>
      <w:numFmt w:val="bullet"/>
      <w:lvlText w:val="o"/>
      <w:lvlJc w:val="left"/>
      <w:pPr>
        <w:tabs>
          <w:tab w:val="num" w:pos="1440"/>
        </w:tabs>
        <w:ind w:left="1440" w:hanging="360"/>
      </w:pPr>
      <w:rPr>
        <w:rFonts w:ascii="Courier New" w:hAnsi="Courier New"/>
      </w:rPr>
    </w:lvl>
    <w:lvl w:ilvl="2" w:tplc="4866EB8C">
      <w:start w:val="1"/>
      <w:numFmt w:val="bullet"/>
      <w:lvlText w:val=""/>
      <w:lvlJc w:val="left"/>
      <w:pPr>
        <w:tabs>
          <w:tab w:val="num" w:pos="2160"/>
        </w:tabs>
        <w:ind w:left="2160" w:hanging="360"/>
      </w:pPr>
      <w:rPr>
        <w:rFonts w:ascii="Wingdings" w:hAnsi="Wingdings"/>
      </w:rPr>
    </w:lvl>
    <w:lvl w:ilvl="3" w:tplc="2050167C">
      <w:start w:val="1"/>
      <w:numFmt w:val="bullet"/>
      <w:lvlText w:val=""/>
      <w:lvlJc w:val="left"/>
      <w:pPr>
        <w:tabs>
          <w:tab w:val="num" w:pos="2880"/>
        </w:tabs>
        <w:ind w:left="2880" w:hanging="360"/>
      </w:pPr>
      <w:rPr>
        <w:rFonts w:ascii="Symbol" w:hAnsi="Symbol"/>
      </w:rPr>
    </w:lvl>
    <w:lvl w:ilvl="4" w:tplc="0CE88B14">
      <w:start w:val="1"/>
      <w:numFmt w:val="bullet"/>
      <w:lvlText w:val="o"/>
      <w:lvlJc w:val="left"/>
      <w:pPr>
        <w:tabs>
          <w:tab w:val="num" w:pos="3600"/>
        </w:tabs>
        <w:ind w:left="3600" w:hanging="360"/>
      </w:pPr>
      <w:rPr>
        <w:rFonts w:ascii="Courier New" w:hAnsi="Courier New"/>
      </w:rPr>
    </w:lvl>
    <w:lvl w:ilvl="5" w:tplc="00B4470E">
      <w:start w:val="1"/>
      <w:numFmt w:val="bullet"/>
      <w:lvlText w:val=""/>
      <w:lvlJc w:val="left"/>
      <w:pPr>
        <w:tabs>
          <w:tab w:val="num" w:pos="4320"/>
        </w:tabs>
        <w:ind w:left="4320" w:hanging="360"/>
      </w:pPr>
      <w:rPr>
        <w:rFonts w:ascii="Wingdings" w:hAnsi="Wingdings"/>
      </w:rPr>
    </w:lvl>
    <w:lvl w:ilvl="6" w:tplc="7AA8F5A2">
      <w:start w:val="1"/>
      <w:numFmt w:val="bullet"/>
      <w:lvlText w:val=""/>
      <w:lvlJc w:val="left"/>
      <w:pPr>
        <w:tabs>
          <w:tab w:val="num" w:pos="5040"/>
        </w:tabs>
        <w:ind w:left="5040" w:hanging="360"/>
      </w:pPr>
      <w:rPr>
        <w:rFonts w:ascii="Symbol" w:hAnsi="Symbol"/>
      </w:rPr>
    </w:lvl>
    <w:lvl w:ilvl="7" w:tplc="DE10AC0A">
      <w:start w:val="1"/>
      <w:numFmt w:val="bullet"/>
      <w:lvlText w:val="o"/>
      <w:lvlJc w:val="left"/>
      <w:pPr>
        <w:tabs>
          <w:tab w:val="num" w:pos="5760"/>
        </w:tabs>
        <w:ind w:left="5760" w:hanging="360"/>
      </w:pPr>
      <w:rPr>
        <w:rFonts w:ascii="Courier New" w:hAnsi="Courier New"/>
      </w:rPr>
    </w:lvl>
    <w:lvl w:ilvl="8" w:tplc="9D9A8DD2">
      <w:start w:val="1"/>
      <w:numFmt w:val="bullet"/>
      <w:lvlText w:val=""/>
      <w:lvlJc w:val="left"/>
      <w:pPr>
        <w:tabs>
          <w:tab w:val="num" w:pos="6480"/>
        </w:tabs>
        <w:ind w:left="6480" w:hanging="360"/>
      </w:pPr>
      <w:rPr>
        <w:rFonts w:ascii="Wingdings" w:hAnsi="Wingdings"/>
      </w:rPr>
    </w:lvl>
  </w:abstractNum>
  <w:abstractNum w:abstractNumId="3" w15:restartNumberingAfterBreak="0">
    <w:nsid w:val="00000010"/>
    <w:multiLevelType w:val="hybridMultilevel"/>
    <w:tmpl w:val="00000010"/>
    <w:lvl w:ilvl="0" w:tplc="091AA96E">
      <w:start w:val="1"/>
      <w:numFmt w:val="bullet"/>
      <w:lvlText w:val="•"/>
      <w:lvlJc w:val="left"/>
      <w:pPr>
        <w:tabs>
          <w:tab w:val="num" w:pos="450"/>
        </w:tabs>
        <w:ind w:left="720" w:hanging="360"/>
      </w:pPr>
      <w:rPr>
        <w:rFonts w:ascii="Calibri" w:eastAsia="Calibri" w:hAnsi="Calibri" w:cs="Calibri"/>
        <w:b/>
        <w:i/>
        <w:strike w:val="0"/>
        <w:sz w:val="22"/>
      </w:rPr>
    </w:lvl>
    <w:lvl w:ilvl="1" w:tplc="59AA428E">
      <w:start w:val="1"/>
      <w:numFmt w:val="bullet"/>
      <w:lvlText w:val="o"/>
      <w:lvlJc w:val="left"/>
      <w:pPr>
        <w:tabs>
          <w:tab w:val="num" w:pos="1440"/>
        </w:tabs>
        <w:ind w:left="1440" w:hanging="360"/>
      </w:pPr>
      <w:rPr>
        <w:rFonts w:ascii="Courier New" w:hAnsi="Courier New"/>
      </w:rPr>
    </w:lvl>
    <w:lvl w:ilvl="2" w:tplc="D6CCFC36">
      <w:start w:val="1"/>
      <w:numFmt w:val="bullet"/>
      <w:lvlText w:val=""/>
      <w:lvlJc w:val="left"/>
      <w:pPr>
        <w:tabs>
          <w:tab w:val="num" w:pos="2160"/>
        </w:tabs>
        <w:ind w:left="2160" w:hanging="360"/>
      </w:pPr>
      <w:rPr>
        <w:rFonts w:ascii="Wingdings" w:hAnsi="Wingdings"/>
      </w:rPr>
    </w:lvl>
    <w:lvl w:ilvl="3" w:tplc="51E2A5C6">
      <w:start w:val="1"/>
      <w:numFmt w:val="bullet"/>
      <w:lvlText w:val=""/>
      <w:lvlJc w:val="left"/>
      <w:pPr>
        <w:tabs>
          <w:tab w:val="num" w:pos="2880"/>
        </w:tabs>
        <w:ind w:left="2880" w:hanging="360"/>
      </w:pPr>
      <w:rPr>
        <w:rFonts w:ascii="Symbol" w:hAnsi="Symbol"/>
      </w:rPr>
    </w:lvl>
    <w:lvl w:ilvl="4" w:tplc="0D109BBE">
      <w:start w:val="1"/>
      <w:numFmt w:val="bullet"/>
      <w:lvlText w:val="o"/>
      <w:lvlJc w:val="left"/>
      <w:pPr>
        <w:tabs>
          <w:tab w:val="num" w:pos="3600"/>
        </w:tabs>
        <w:ind w:left="3600" w:hanging="360"/>
      </w:pPr>
      <w:rPr>
        <w:rFonts w:ascii="Courier New" w:hAnsi="Courier New"/>
      </w:rPr>
    </w:lvl>
    <w:lvl w:ilvl="5" w:tplc="471A2792">
      <w:start w:val="1"/>
      <w:numFmt w:val="bullet"/>
      <w:lvlText w:val=""/>
      <w:lvlJc w:val="left"/>
      <w:pPr>
        <w:tabs>
          <w:tab w:val="num" w:pos="4320"/>
        </w:tabs>
        <w:ind w:left="4320" w:hanging="360"/>
      </w:pPr>
      <w:rPr>
        <w:rFonts w:ascii="Wingdings" w:hAnsi="Wingdings"/>
      </w:rPr>
    </w:lvl>
    <w:lvl w:ilvl="6" w:tplc="8F122278">
      <w:start w:val="1"/>
      <w:numFmt w:val="bullet"/>
      <w:lvlText w:val=""/>
      <w:lvlJc w:val="left"/>
      <w:pPr>
        <w:tabs>
          <w:tab w:val="num" w:pos="5040"/>
        </w:tabs>
        <w:ind w:left="5040" w:hanging="360"/>
      </w:pPr>
      <w:rPr>
        <w:rFonts w:ascii="Symbol" w:hAnsi="Symbol"/>
      </w:rPr>
    </w:lvl>
    <w:lvl w:ilvl="7" w:tplc="A04C2EC4">
      <w:start w:val="1"/>
      <w:numFmt w:val="bullet"/>
      <w:lvlText w:val="o"/>
      <w:lvlJc w:val="left"/>
      <w:pPr>
        <w:tabs>
          <w:tab w:val="num" w:pos="5760"/>
        </w:tabs>
        <w:ind w:left="5760" w:hanging="360"/>
      </w:pPr>
      <w:rPr>
        <w:rFonts w:ascii="Courier New" w:hAnsi="Courier New"/>
      </w:rPr>
    </w:lvl>
    <w:lvl w:ilvl="8" w:tplc="6A5E33FE">
      <w:start w:val="1"/>
      <w:numFmt w:val="bullet"/>
      <w:lvlText w:val=""/>
      <w:lvlJc w:val="left"/>
      <w:pPr>
        <w:tabs>
          <w:tab w:val="num" w:pos="6480"/>
        </w:tabs>
        <w:ind w:left="6480" w:hanging="360"/>
      </w:pPr>
      <w:rPr>
        <w:rFonts w:ascii="Wingdings" w:hAnsi="Wingdings"/>
      </w:rPr>
    </w:lvl>
  </w:abstractNum>
  <w:abstractNum w:abstractNumId="4" w15:restartNumberingAfterBreak="0">
    <w:nsid w:val="00000011"/>
    <w:multiLevelType w:val="hybridMultilevel"/>
    <w:tmpl w:val="00000011"/>
    <w:lvl w:ilvl="0" w:tplc="F36AB5F4">
      <w:start w:val="1"/>
      <w:numFmt w:val="bullet"/>
      <w:lvlText w:val="•"/>
      <w:lvlJc w:val="left"/>
      <w:pPr>
        <w:tabs>
          <w:tab w:val="num" w:pos="450"/>
        </w:tabs>
        <w:ind w:left="720" w:hanging="360"/>
      </w:pPr>
      <w:rPr>
        <w:rFonts w:ascii="Calibri" w:eastAsia="Calibri" w:hAnsi="Calibri" w:cs="Calibri"/>
        <w:b/>
        <w:i/>
        <w:strike w:val="0"/>
        <w:sz w:val="22"/>
      </w:rPr>
    </w:lvl>
    <w:lvl w:ilvl="1" w:tplc="E012A2D8">
      <w:start w:val="1"/>
      <w:numFmt w:val="bullet"/>
      <w:lvlText w:val="o"/>
      <w:lvlJc w:val="left"/>
      <w:pPr>
        <w:tabs>
          <w:tab w:val="num" w:pos="1440"/>
        </w:tabs>
        <w:ind w:left="1440" w:hanging="360"/>
      </w:pPr>
      <w:rPr>
        <w:rFonts w:ascii="Courier New" w:hAnsi="Courier New"/>
      </w:rPr>
    </w:lvl>
    <w:lvl w:ilvl="2" w:tplc="CCF8F0FA">
      <w:start w:val="1"/>
      <w:numFmt w:val="bullet"/>
      <w:lvlText w:val=""/>
      <w:lvlJc w:val="left"/>
      <w:pPr>
        <w:tabs>
          <w:tab w:val="num" w:pos="2160"/>
        </w:tabs>
        <w:ind w:left="2160" w:hanging="360"/>
      </w:pPr>
      <w:rPr>
        <w:rFonts w:ascii="Wingdings" w:hAnsi="Wingdings"/>
      </w:rPr>
    </w:lvl>
    <w:lvl w:ilvl="3" w:tplc="3F749594">
      <w:start w:val="1"/>
      <w:numFmt w:val="bullet"/>
      <w:lvlText w:val=""/>
      <w:lvlJc w:val="left"/>
      <w:pPr>
        <w:tabs>
          <w:tab w:val="num" w:pos="2880"/>
        </w:tabs>
        <w:ind w:left="2880" w:hanging="360"/>
      </w:pPr>
      <w:rPr>
        <w:rFonts w:ascii="Symbol" w:hAnsi="Symbol"/>
      </w:rPr>
    </w:lvl>
    <w:lvl w:ilvl="4" w:tplc="D2F0D934">
      <w:start w:val="1"/>
      <w:numFmt w:val="bullet"/>
      <w:lvlText w:val="o"/>
      <w:lvlJc w:val="left"/>
      <w:pPr>
        <w:tabs>
          <w:tab w:val="num" w:pos="3600"/>
        </w:tabs>
        <w:ind w:left="3600" w:hanging="360"/>
      </w:pPr>
      <w:rPr>
        <w:rFonts w:ascii="Courier New" w:hAnsi="Courier New"/>
      </w:rPr>
    </w:lvl>
    <w:lvl w:ilvl="5" w:tplc="1C1CC514">
      <w:start w:val="1"/>
      <w:numFmt w:val="bullet"/>
      <w:lvlText w:val=""/>
      <w:lvlJc w:val="left"/>
      <w:pPr>
        <w:tabs>
          <w:tab w:val="num" w:pos="4320"/>
        </w:tabs>
        <w:ind w:left="4320" w:hanging="360"/>
      </w:pPr>
      <w:rPr>
        <w:rFonts w:ascii="Wingdings" w:hAnsi="Wingdings"/>
      </w:rPr>
    </w:lvl>
    <w:lvl w:ilvl="6" w:tplc="063CA5AA">
      <w:start w:val="1"/>
      <w:numFmt w:val="bullet"/>
      <w:lvlText w:val=""/>
      <w:lvlJc w:val="left"/>
      <w:pPr>
        <w:tabs>
          <w:tab w:val="num" w:pos="5040"/>
        </w:tabs>
        <w:ind w:left="5040" w:hanging="360"/>
      </w:pPr>
      <w:rPr>
        <w:rFonts w:ascii="Symbol" w:hAnsi="Symbol"/>
      </w:rPr>
    </w:lvl>
    <w:lvl w:ilvl="7" w:tplc="D6B096AA">
      <w:start w:val="1"/>
      <w:numFmt w:val="bullet"/>
      <w:lvlText w:val="o"/>
      <w:lvlJc w:val="left"/>
      <w:pPr>
        <w:tabs>
          <w:tab w:val="num" w:pos="5760"/>
        </w:tabs>
        <w:ind w:left="5760" w:hanging="360"/>
      </w:pPr>
      <w:rPr>
        <w:rFonts w:ascii="Courier New" w:hAnsi="Courier New"/>
      </w:rPr>
    </w:lvl>
    <w:lvl w:ilvl="8" w:tplc="9EB874DE">
      <w:start w:val="1"/>
      <w:numFmt w:val="bullet"/>
      <w:lvlText w:val=""/>
      <w:lvlJc w:val="left"/>
      <w:pPr>
        <w:tabs>
          <w:tab w:val="num" w:pos="6480"/>
        </w:tabs>
        <w:ind w:left="6480" w:hanging="360"/>
      </w:pPr>
      <w:rPr>
        <w:rFonts w:ascii="Wingdings" w:hAnsi="Wingdings"/>
      </w:rPr>
    </w:lvl>
  </w:abstractNum>
  <w:abstractNum w:abstractNumId="5" w15:restartNumberingAfterBreak="0">
    <w:nsid w:val="00000012"/>
    <w:multiLevelType w:val="hybridMultilevel"/>
    <w:tmpl w:val="00000012"/>
    <w:lvl w:ilvl="0" w:tplc="E488F576">
      <w:start w:val="1"/>
      <w:numFmt w:val="bullet"/>
      <w:lvlText w:val="•"/>
      <w:lvlJc w:val="left"/>
      <w:pPr>
        <w:tabs>
          <w:tab w:val="num" w:pos="450"/>
        </w:tabs>
        <w:ind w:left="720" w:hanging="360"/>
      </w:pPr>
      <w:rPr>
        <w:rFonts w:ascii="Calibri" w:eastAsia="Calibri" w:hAnsi="Calibri" w:cs="Calibri"/>
        <w:b/>
        <w:i/>
        <w:strike w:val="0"/>
        <w:sz w:val="22"/>
      </w:rPr>
    </w:lvl>
    <w:lvl w:ilvl="1" w:tplc="7090A9FA">
      <w:start w:val="1"/>
      <w:numFmt w:val="bullet"/>
      <w:lvlText w:val="o"/>
      <w:lvlJc w:val="left"/>
      <w:pPr>
        <w:tabs>
          <w:tab w:val="num" w:pos="1440"/>
        </w:tabs>
        <w:ind w:left="1440" w:hanging="360"/>
      </w:pPr>
      <w:rPr>
        <w:rFonts w:ascii="Courier New" w:hAnsi="Courier New"/>
      </w:rPr>
    </w:lvl>
    <w:lvl w:ilvl="2" w:tplc="8F7272A6">
      <w:start w:val="1"/>
      <w:numFmt w:val="bullet"/>
      <w:lvlText w:val=""/>
      <w:lvlJc w:val="left"/>
      <w:pPr>
        <w:tabs>
          <w:tab w:val="num" w:pos="2160"/>
        </w:tabs>
        <w:ind w:left="2160" w:hanging="360"/>
      </w:pPr>
      <w:rPr>
        <w:rFonts w:ascii="Wingdings" w:hAnsi="Wingdings"/>
      </w:rPr>
    </w:lvl>
    <w:lvl w:ilvl="3" w:tplc="E02A4C24">
      <w:start w:val="1"/>
      <w:numFmt w:val="bullet"/>
      <w:lvlText w:val=""/>
      <w:lvlJc w:val="left"/>
      <w:pPr>
        <w:tabs>
          <w:tab w:val="num" w:pos="2880"/>
        </w:tabs>
        <w:ind w:left="2880" w:hanging="360"/>
      </w:pPr>
      <w:rPr>
        <w:rFonts w:ascii="Symbol" w:hAnsi="Symbol"/>
      </w:rPr>
    </w:lvl>
    <w:lvl w:ilvl="4" w:tplc="756877CA">
      <w:start w:val="1"/>
      <w:numFmt w:val="bullet"/>
      <w:lvlText w:val="o"/>
      <w:lvlJc w:val="left"/>
      <w:pPr>
        <w:tabs>
          <w:tab w:val="num" w:pos="3600"/>
        </w:tabs>
        <w:ind w:left="3600" w:hanging="360"/>
      </w:pPr>
      <w:rPr>
        <w:rFonts w:ascii="Courier New" w:hAnsi="Courier New"/>
      </w:rPr>
    </w:lvl>
    <w:lvl w:ilvl="5" w:tplc="F74CBD50">
      <w:start w:val="1"/>
      <w:numFmt w:val="bullet"/>
      <w:lvlText w:val=""/>
      <w:lvlJc w:val="left"/>
      <w:pPr>
        <w:tabs>
          <w:tab w:val="num" w:pos="4320"/>
        </w:tabs>
        <w:ind w:left="4320" w:hanging="360"/>
      </w:pPr>
      <w:rPr>
        <w:rFonts w:ascii="Wingdings" w:hAnsi="Wingdings"/>
      </w:rPr>
    </w:lvl>
    <w:lvl w:ilvl="6" w:tplc="21680884">
      <w:start w:val="1"/>
      <w:numFmt w:val="bullet"/>
      <w:lvlText w:val=""/>
      <w:lvlJc w:val="left"/>
      <w:pPr>
        <w:tabs>
          <w:tab w:val="num" w:pos="5040"/>
        </w:tabs>
        <w:ind w:left="5040" w:hanging="360"/>
      </w:pPr>
      <w:rPr>
        <w:rFonts w:ascii="Symbol" w:hAnsi="Symbol"/>
      </w:rPr>
    </w:lvl>
    <w:lvl w:ilvl="7" w:tplc="1A98AE88">
      <w:start w:val="1"/>
      <w:numFmt w:val="bullet"/>
      <w:lvlText w:val="o"/>
      <w:lvlJc w:val="left"/>
      <w:pPr>
        <w:tabs>
          <w:tab w:val="num" w:pos="5760"/>
        </w:tabs>
        <w:ind w:left="5760" w:hanging="360"/>
      </w:pPr>
      <w:rPr>
        <w:rFonts w:ascii="Courier New" w:hAnsi="Courier New"/>
      </w:rPr>
    </w:lvl>
    <w:lvl w:ilvl="8" w:tplc="49F6F176">
      <w:start w:val="1"/>
      <w:numFmt w:val="bullet"/>
      <w:lvlText w:val=""/>
      <w:lvlJc w:val="left"/>
      <w:pPr>
        <w:tabs>
          <w:tab w:val="num" w:pos="6480"/>
        </w:tabs>
        <w:ind w:left="6480" w:hanging="360"/>
      </w:pPr>
      <w:rPr>
        <w:rFonts w:ascii="Wingdings" w:hAnsi="Wingdings"/>
      </w:rPr>
    </w:lvl>
  </w:abstractNum>
  <w:abstractNum w:abstractNumId="6" w15:restartNumberingAfterBreak="0">
    <w:nsid w:val="00000013"/>
    <w:multiLevelType w:val="hybridMultilevel"/>
    <w:tmpl w:val="00000013"/>
    <w:lvl w:ilvl="0" w:tplc="6DFCF502">
      <w:start w:val="1"/>
      <w:numFmt w:val="bullet"/>
      <w:lvlText w:val="•"/>
      <w:lvlJc w:val="left"/>
      <w:pPr>
        <w:tabs>
          <w:tab w:val="num" w:pos="450"/>
        </w:tabs>
        <w:ind w:left="720" w:hanging="360"/>
      </w:pPr>
      <w:rPr>
        <w:rFonts w:ascii="Calibri" w:eastAsia="Calibri" w:hAnsi="Calibri" w:cs="Calibri"/>
        <w:b/>
        <w:i/>
        <w:strike w:val="0"/>
        <w:sz w:val="22"/>
      </w:rPr>
    </w:lvl>
    <w:lvl w:ilvl="1" w:tplc="FDA2B9B4">
      <w:start w:val="1"/>
      <w:numFmt w:val="bullet"/>
      <w:lvlText w:val="o"/>
      <w:lvlJc w:val="left"/>
      <w:pPr>
        <w:tabs>
          <w:tab w:val="num" w:pos="1440"/>
        </w:tabs>
        <w:ind w:left="1440" w:hanging="360"/>
      </w:pPr>
      <w:rPr>
        <w:rFonts w:ascii="Courier New" w:hAnsi="Courier New"/>
      </w:rPr>
    </w:lvl>
    <w:lvl w:ilvl="2" w:tplc="A692D4E6">
      <w:start w:val="1"/>
      <w:numFmt w:val="bullet"/>
      <w:lvlText w:val=""/>
      <w:lvlJc w:val="left"/>
      <w:pPr>
        <w:tabs>
          <w:tab w:val="num" w:pos="2160"/>
        </w:tabs>
        <w:ind w:left="2160" w:hanging="360"/>
      </w:pPr>
      <w:rPr>
        <w:rFonts w:ascii="Wingdings" w:hAnsi="Wingdings"/>
      </w:rPr>
    </w:lvl>
    <w:lvl w:ilvl="3" w:tplc="0860A180">
      <w:start w:val="1"/>
      <w:numFmt w:val="bullet"/>
      <w:lvlText w:val=""/>
      <w:lvlJc w:val="left"/>
      <w:pPr>
        <w:tabs>
          <w:tab w:val="num" w:pos="2880"/>
        </w:tabs>
        <w:ind w:left="2880" w:hanging="360"/>
      </w:pPr>
      <w:rPr>
        <w:rFonts w:ascii="Symbol" w:hAnsi="Symbol"/>
      </w:rPr>
    </w:lvl>
    <w:lvl w:ilvl="4" w:tplc="5B0E7FBA">
      <w:start w:val="1"/>
      <w:numFmt w:val="bullet"/>
      <w:lvlText w:val="o"/>
      <w:lvlJc w:val="left"/>
      <w:pPr>
        <w:tabs>
          <w:tab w:val="num" w:pos="3600"/>
        </w:tabs>
        <w:ind w:left="3600" w:hanging="360"/>
      </w:pPr>
      <w:rPr>
        <w:rFonts w:ascii="Courier New" w:hAnsi="Courier New"/>
      </w:rPr>
    </w:lvl>
    <w:lvl w:ilvl="5" w:tplc="61BA81F4">
      <w:start w:val="1"/>
      <w:numFmt w:val="bullet"/>
      <w:lvlText w:val=""/>
      <w:lvlJc w:val="left"/>
      <w:pPr>
        <w:tabs>
          <w:tab w:val="num" w:pos="4320"/>
        </w:tabs>
        <w:ind w:left="4320" w:hanging="360"/>
      </w:pPr>
      <w:rPr>
        <w:rFonts w:ascii="Wingdings" w:hAnsi="Wingdings"/>
      </w:rPr>
    </w:lvl>
    <w:lvl w:ilvl="6" w:tplc="FF527F42">
      <w:start w:val="1"/>
      <w:numFmt w:val="bullet"/>
      <w:lvlText w:val=""/>
      <w:lvlJc w:val="left"/>
      <w:pPr>
        <w:tabs>
          <w:tab w:val="num" w:pos="5040"/>
        </w:tabs>
        <w:ind w:left="5040" w:hanging="360"/>
      </w:pPr>
      <w:rPr>
        <w:rFonts w:ascii="Symbol" w:hAnsi="Symbol"/>
      </w:rPr>
    </w:lvl>
    <w:lvl w:ilvl="7" w:tplc="837EE57A">
      <w:start w:val="1"/>
      <w:numFmt w:val="bullet"/>
      <w:lvlText w:val="o"/>
      <w:lvlJc w:val="left"/>
      <w:pPr>
        <w:tabs>
          <w:tab w:val="num" w:pos="5760"/>
        </w:tabs>
        <w:ind w:left="5760" w:hanging="360"/>
      </w:pPr>
      <w:rPr>
        <w:rFonts w:ascii="Courier New" w:hAnsi="Courier New"/>
      </w:rPr>
    </w:lvl>
    <w:lvl w:ilvl="8" w:tplc="FB440CBE">
      <w:start w:val="1"/>
      <w:numFmt w:val="bullet"/>
      <w:lvlText w:val=""/>
      <w:lvlJc w:val="left"/>
      <w:pPr>
        <w:tabs>
          <w:tab w:val="num" w:pos="6480"/>
        </w:tabs>
        <w:ind w:left="6480" w:hanging="360"/>
      </w:pPr>
      <w:rPr>
        <w:rFonts w:ascii="Wingdings" w:hAnsi="Wingdings"/>
      </w:rPr>
    </w:lvl>
  </w:abstractNum>
  <w:abstractNum w:abstractNumId="7" w15:restartNumberingAfterBreak="0">
    <w:nsid w:val="00000014"/>
    <w:multiLevelType w:val="hybridMultilevel"/>
    <w:tmpl w:val="00000014"/>
    <w:lvl w:ilvl="0" w:tplc="11C89F96">
      <w:start w:val="1"/>
      <w:numFmt w:val="bullet"/>
      <w:lvlText w:val="•"/>
      <w:lvlJc w:val="left"/>
      <w:pPr>
        <w:tabs>
          <w:tab w:val="num" w:pos="450"/>
        </w:tabs>
        <w:ind w:left="720" w:hanging="360"/>
      </w:pPr>
      <w:rPr>
        <w:rFonts w:ascii="Calibri" w:eastAsia="Calibri" w:hAnsi="Calibri" w:cs="Calibri"/>
        <w:b/>
        <w:i/>
        <w:strike w:val="0"/>
        <w:sz w:val="22"/>
      </w:rPr>
    </w:lvl>
    <w:lvl w:ilvl="1" w:tplc="B5AAC044">
      <w:start w:val="1"/>
      <w:numFmt w:val="bullet"/>
      <w:lvlText w:val="o"/>
      <w:lvlJc w:val="left"/>
      <w:pPr>
        <w:tabs>
          <w:tab w:val="num" w:pos="1440"/>
        </w:tabs>
        <w:ind w:left="1440" w:hanging="360"/>
      </w:pPr>
      <w:rPr>
        <w:rFonts w:ascii="Courier New" w:hAnsi="Courier New"/>
      </w:rPr>
    </w:lvl>
    <w:lvl w:ilvl="2" w:tplc="A9EA1748">
      <w:start w:val="1"/>
      <w:numFmt w:val="bullet"/>
      <w:lvlText w:val=""/>
      <w:lvlJc w:val="left"/>
      <w:pPr>
        <w:tabs>
          <w:tab w:val="num" w:pos="2160"/>
        </w:tabs>
        <w:ind w:left="2160" w:hanging="360"/>
      </w:pPr>
      <w:rPr>
        <w:rFonts w:ascii="Wingdings" w:hAnsi="Wingdings"/>
      </w:rPr>
    </w:lvl>
    <w:lvl w:ilvl="3" w:tplc="A21A5A74">
      <w:start w:val="1"/>
      <w:numFmt w:val="bullet"/>
      <w:lvlText w:val=""/>
      <w:lvlJc w:val="left"/>
      <w:pPr>
        <w:tabs>
          <w:tab w:val="num" w:pos="2880"/>
        </w:tabs>
        <w:ind w:left="2880" w:hanging="360"/>
      </w:pPr>
      <w:rPr>
        <w:rFonts w:ascii="Symbol" w:hAnsi="Symbol"/>
      </w:rPr>
    </w:lvl>
    <w:lvl w:ilvl="4" w:tplc="A1E08C46">
      <w:start w:val="1"/>
      <w:numFmt w:val="bullet"/>
      <w:lvlText w:val="o"/>
      <w:lvlJc w:val="left"/>
      <w:pPr>
        <w:tabs>
          <w:tab w:val="num" w:pos="3600"/>
        </w:tabs>
        <w:ind w:left="3600" w:hanging="360"/>
      </w:pPr>
      <w:rPr>
        <w:rFonts w:ascii="Courier New" w:hAnsi="Courier New"/>
      </w:rPr>
    </w:lvl>
    <w:lvl w:ilvl="5" w:tplc="F9A4A49E">
      <w:start w:val="1"/>
      <w:numFmt w:val="bullet"/>
      <w:lvlText w:val=""/>
      <w:lvlJc w:val="left"/>
      <w:pPr>
        <w:tabs>
          <w:tab w:val="num" w:pos="4320"/>
        </w:tabs>
        <w:ind w:left="4320" w:hanging="360"/>
      </w:pPr>
      <w:rPr>
        <w:rFonts w:ascii="Wingdings" w:hAnsi="Wingdings"/>
      </w:rPr>
    </w:lvl>
    <w:lvl w:ilvl="6" w:tplc="E8C092C2">
      <w:start w:val="1"/>
      <w:numFmt w:val="bullet"/>
      <w:lvlText w:val=""/>
      <w:lvlJc w:val="left"/>
      <w:pPr>
        <w:tabs>
          <w:tab w:val="num" w:pos="5040"/>
        </w:tabs>
        <w:ind w:left="5040" w:hanging="360"/>
      </w:pPr>
      <w:rPr>
        <w:rFonts w:ascii="Symbol" w:hAnsi="Symbol"/>
      </w:rPr>
    </w:lvl>
    <w:lvl w:ilvl="7" w:tplc="A3DE06A2">
      <w:start w:val="1"/>
      <w:numFmt w:val="bullet"/>
      <w:lvlText w:val="o"/>
      <w:lvlJc w:val="left"/>
      <w:pPr>
        <w:tabs>
          <w:tab w:val="num" w:pos="5760"/>
        </w:tabs>
        <w:ind w:left="5760" w:hanging="360"/>
      </w:pPr>
      <w:rPr>
        <w:rFonts w:ascii="Courier New" w:hAnsi="Courier New"/>
      </w:rPr>
    </w:lvl>
    <w:lvl w:ilvl="8" w:tplc="E258D0D2">
      <w:start w:val="1"/>
      <w:numFmt w:val="bullet"/>
      <w:lvlText w:val=""/>
      <w:lvlJc w:val="left"/>
      <w:pPr>
        <w:tabs>
          <w:tab w:val="num" w:pos="6480"/>
        </w:tabs>
        <w:ind w:left="6480" w:hanging="360"/>
      </w:pPr>
      <w:rPr>
        <w:rFonts w:ascii="Wingdings" w:hAnsi="Wingdings"/>
      </w:rPr>
    </w:lvl>
  </w:abstractNum>
  <w:abstractNum w:abstractNumId="8" w15:restartNumberingAfterBreak="0">
    <w:nsid w:val="00000015"/>
    <w:multiLevelType w:val="hybridMultilevel"/>
    <w:tmpl w:val="00000015"/>
    <w:lvl w:ilvl="0" w:tplc="E3C832C4">
      <w:start w:val="1"/>
      <w:numFmt w:val="bullet"/>
      <w:lvlText w:val="•"/>
      <w:lvlJc w:val="left"/>
      <w:pPr>
        <w:tabs>
          <w:tab w:val="num" w:pos="450"/>
        </w:tabs>
        <w:ind w:left="720" w:hanging="360"/>
      </w:pPr>
      <w:rPr>
        <w:rFonts w:ascii="Calibri" w:eastAsia="Calibri" w:hAnsi="Calibri" w:cs="Calibri"/>
        <w:b/>
        <w:i/>
        <w:strike w:val="0"/>
        <w:sz w:val="22"/>
      </w:rPr>
    </w:lvl>
    <w:lvl w:ilvl="1" w:tplc="EFEA7C50">
      <w:start w:val="1"/>
      <w:numFmt w:val="bullet"/>
      <w:lvlText w:val="o"/>
      <w:lvlJc w:val="left"/>
      <w:pPr>
        <w:tabs>
          <w:tab w:val="num" w:pos="1440"/>
        </w:tabs>
        <w:ind w:left="1440" w:hanging="360"/>
      </w:pPr>
      <w:rPr>
        <w:rFonts w:ascii="Courier New" w:hAnsi="Courier New"/>
      </w:rPr>
    </w:lvl>
    <w:lvl w:ilvl="2" w:tplc="8CB47D36">
      <w:start w:val="1"/>
      <w:numFmt w:val="bullet"/>
      <w:lvlText w:val=""/>
      <w:lvlJc w:val="left"/>
      <w:pPr>
        <w:tabs>
          <w:tab w:val="num" w:pos="2160"/>
        </w:tabs>
        <w:ind w:left="2160" w:hanging="360"/>
      </w:pPr>
      <w:rPr>
        <w:rFonts w:ascii="Wingdings" w:hAnsi="Wingdings"/>
      </w:rPr>
    </w:lvl>
    <w:lvl w:ilvl="3" w:tplc="075CA44A">
      <w:start w:val="1"/>
      <w:numFmt w:val="bullet"/>
      <w:lvlText w:val=""/>
      <w:lvlJc w:val="left"/>
      <w:pPr>
        <w:tabs>
          <w:tab w:val="num" w:pos="2880"/>
        </w:tabs>
        <w:ind w:left="2880" w:hanging="360"/>
      </w:pPr>
      <w:rPr>
        <w:rFonts w:ascii="Symbol" w:hAnsi="Symbol"/>
      </w:rPr>
    </w:lvl>
    <w:lvl w:ilvl="4" w:tplc="58A04BD0">
      <w:start w:val="1"/>
      <w:numFmt w:val="bullet"/>
      <w:lvlText w:val="o"/>
      <w:lvlJc w:val="left"/>
      <w:pPr>
        <w:tabs>
          <w:tab w:val="num" w:pos="3600"/>
        </w:tabs>
        <w:ind w:left="3600" w:hanging="360"/>
      </w:pPr>
      <w:rPr>
        <w:rFonts w:ascii="Courier New" w:hAnsi="Courier New"/>
      </w:rPr>
    </w:lvl>
    <w:lvl w:ilvl="5" w:tplc="E73CA480">
      <w:start w:val="1"/>
      <w:numFmt w:val="bullet"/>
      <w:lvlText w:val=""/>
      <w:lvlJc w:val="left"/>
      <w:pPr>
        <w:tabs>
          <w:tab w:val="num" w:pos="4320"/>
        </w:tabs>
        <w:ind w:left="4320" w:hanging="360"/>
      </w:pPr>
      <w:rPr>
        <w:rFonts w:ascii="Wingdings" w:hAnsi="Wingdings"/>
      </w:rPr>
    </w:lvl>
    <w:lvl w:ilvl="6" w:tplc="67327F78">
      <w:start w:val="1"/>
      <w:numFmt w:val="bullet"/>
      <w:lvlText w:val=""/>
      <w:lvlJc w:val="left"/>
      <w:pPr>
        <w:tabs>
          <w:tab w:val="num" w:pos="5040"/>
        </w:tabs>
        <w:ind w:left="5040" w:hanging="360"/>
      </w:pPr>
      <w:rPr>
        <w:rFonts w:ascii="Symbol" w:hAnsi="Symbol"/>
      </w:rPr>
    </w:lvl>
    <w:lvl w:ilvl="7" w:tplc="8EEA51DA">
      <w:start w:val="1"/>
      <w:numFmt w:val="bullet"/>
      <w:lvlText w:val="o"/>
      <w:lvlJc w:val="left"/>
      <w:pPr>
        <w:tabs>
          <w:tab w:val="num" w:pos="5760"/>
        </w:tabs>
        <w:ind w:left="5760" w:hanging="360"/>
      </w:pPr>
      <w:rPr>
        <w:rFonts w:ascii="Courier New" w:hAnsi="Courier New"/>
      </w:rPr>
    </w:lvl>
    <w:lvl w:ilvl="8" w:tplc="A42EFC20">
      <w:start w:val="1"/>
      <w:numFmt w:val="bullet"/>
      <w:lvlText w:val=""/>
      <w:lvlJc w:val="left"/>
      <w:pPr>
        <w:tabs>
          <w:tab w:val="num" w:pos="6480"/>
        </w:tabs>
        <w:ind w:left="6480" w:hanging="360"/>
      </w:pPr>
      <w:rPr>
        <w:rFonts w:ascii="Wingdings" w:hAnsi="Wingdings"/>
      </w:rPr>
    </w:lvl>
  </w:abstractNum>
  <w:abstractNum w:abstractNumId="9" w15:restartNumberingAfterBreak="0">
    <w:nsid w:val="00000016"/>
    <w:multiLevelType w:val="hybridMultilevel"/>
    <w:tmpl w:val="00000016"/>
    <w:lvl w:ilvl="0" w:tplc="B47A4A94">
      <w:start w:val="1"/>
      <w:numFmt w:val="bullet"/>
      <w:lvlText w:val="•"/>
      <w:lvlJc w:val="left"/>
      <w:pPr>
        <w:tabs>
          <w:tab w:val="num" w:pos="450"/>
        </w:tabs>
        <w:ind w:left="720" w:hanging="360"/>
      </w:pPr>
      <w:rPr>
        <w:rFonts w:ascii="Calibri" w:eastAsia="Calibri" w:hAnsi="Calibri" w:cs="Calibri"/>
        <w:b/>
        <w:i/>
        <w:strike w:val="0"/>
        <w:sz w:val="22"/>
      </w:rPr>
    </w:lvl>
    <w:lvl w:ilvl="1" w:tplc="9CB8C69A">
      <w:start w:val="1"/>
      <w:numFmt w:val="bullet"/>
      <w:lvlText w:val="o"/>
      <w:lvlJc w:val="left"/>
      <w:pPr>
        <w:tabs>
          <w:tab w:val="num" w:pos="1440"/>
        </w:tabs>
        <w:ind w:left="1440" w:hanging="360"/>
      </w:pPr>
      <w:rPr>
        <w:rFonts w:ascii="Courier New" w:hAnsi="Courier New"/>
      </w:rPr>
    </w:lvl>
    <w:lvl w:ilvl="2" w:tplc="A25E859C">
      <w:start w:val="1"/>
      <w:numFmt w:val="bullet"/>
      <w:lvlText w:val=""/>
      <w:lvlJc w:val="left"/>
      <w:pPr>
        <w:tabs>
          <w:tab w:val="num" w:pos="2160"/>
        </w:tabs>
        <w:ind w:left="2160" w:hanging="360"/>
      </w:pPr>
      <w:rPr>
        <w:rFonts w:ascii="Wingdings" w:hAnsi="Wingdings"/>
      </w:rPr>
    </w:lvl>
    <w:lvl w:ilvl="3" w:tplc="197056AA">
      <w:start w:val="1"/>
      <w:numFmt w:val="bullet"/>
      <w:lvlText w:val=""/>
      <w:lvlJc w:val="left"/>
      <w:pPr>
        <w:tabs>
          <w:tab w:val="num" w:pos="2880"/>
        </w:tabs>
        <w:ind w:left="2880" w:hanging="360"/>
      </w:pPr>
      <w:rPr>
        <w:rFonts w:ascii="Symbol" w:hAnsi="Symbol"/>
      </w:rPr>
    </w:lvl>
    <w:lvl w:ilvl="4" w:tplc="37369AA2">
      <w:start w:val="1"/>
      <w:numFmt w:val="bullet"/>
      <w:lvlText w:val="o"/>
      <w:lvlJc w:val="left"/>
      <w:pPr>
        <w:tabs>
          <w:tab w:val="num" w:pos="3600"/>
        </w:tabs>
        <w:ind w:left="3600" w:hanging="360"/>
      </w:pPr>
      <w:rPr>
        <w:rFonts w:ascii="Courier New" w:hAnsi="Courier New"/>
      </w:rPr>
    </w:lvl>
    <w:lvl w:ilvl="5" w:tplc="C72EAE18">
      <w:start w:val="1"/>
      <w:numFmt w:val="bullet"/>
      <w:lvlText w:val=""/>
      <w:lvlJc w:val="left"/>
      <w:pPr>
        <w:tabs>
          <w:tab w:val="num" w:pos="4320"/>
        </w:tabs>
        <w:ind w:left="4320" w:hanging="360"/>
      </w:pPr>
      <w:rPr>
        <w:rFonts w:ascii="Wingdings" w:hAnsi="Wingdings"/>
      </w:rPr>
    </w:lvl>
    <w:lvl w:ilvl="6" w:tplc="43DCA48E">
      <w:start w:val="1"/>
      <w:numFmt w:val="bullet"/>
      <w:lvlText w:val=""/>
      <w:lvlJc w:val="left"/>
      <w:pPr>
        <w:tabs>
          <w:tab w:val="num" w:pos="5040"/>
        </w:tabs>
        <w:ind w:left="5040" w:hanging="360"/>
      </w:pPr>
      <w:rPr>
        <w:rFonts w:ascii="Symbol" w:hAnsi="Symbol"/>
      </w:rPr>
    </w:lvl>
    <w:lvl w:ilvl="7" w:tplc="65DE5058">
      <w:start w:val="1"/>
      <w:numFmt w:val="bullet"/>
      <w:lvlText w:val="o"/>
      <w:lvlJc w:val="left"/>
      <w:pPr>
        <w:tabs>
          <w:tab w:val="num" w:pos="5760"/>
        </w:tabs>
        <w:ind w:left="5760" w:hanging="360"/>
      </w:pPr>
      <w:rPr>
        <w:rFonts w:ascii="Courier New" w:hAnsi="Courier New"/>
      </w:rPr>
    </w:lvl>
    <w:lvl w:ilvl="8" w:tplc="D15C68F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7"/>
    <w:multiLevelType w:val="hybridMultilevel"/>
    <w:tmpl w:val="00000017"/>
    <w:lvl w:ilvl="0" w:tplc="8EC6B9E4">
      <w:start w:val="1"/>
      <w:numFmt w:val="bullet"/>
      <w:lvlText w:val="•"/>
      <w:lvlJc w:val="left"/>
      <w:pPr>
        <w:tabs>
          <w:tab w:val="num" w:pos="450"/>
        </w:tabs>
        <w:ind w:left="720" w:hanging="360"/>
      </w:pPr>
      <w:rPr>
        <w:rFonts w:ascii="Calibri" w:eastAsia="Calibri" w:hAnsi="Calibri" w:cs="Calibri"/>
        <w:b/>
        <w:i/>
        <w:strike w:val="0"/>
        <w:sz w:val="22"/>
      </w:rPr>
    </w:lvl>
    <w:lvl w:ilvl="1" w:tplc="106C62BC">
      <w:start w:val="1"/>
      <w:numFmt w:val="bullet"/>
      <w:lvlText w:val="o"/>
      <w:lvlJc w:val="left"/>
      <w:pPr>
        <w:tabs>
          <w:tab w:val="num" w:pos="1440"/>
        </w:tabs>
        <w:ind w:left="1440" w:hanging="360"/>
      </w:pPr>
      <w:rPr>
        <w:rFonts w:ascii="Courier New" w:hAnsi="Courier New"/>
      </w:rPr>
    </w:lvl>
    <w:lvl w:ilvl="2" w:tplc="32F2B758">
      <w:start w:val="1"/>
      <w:numFmt w:val="bullet"/>
      <w:lvlText w:val=""/>
      <w:lvlJc w:val="left"/>
      <w:pPr>
        <w:tabs>
          <w:tab w:val="num" w:pos="2160"/>
        </w:tabs>
        <w:ind w:left="2160" w:hanging="360"/>
      </w:pPr>
      <w:rPr>
        <w:rFonts w:ascii="Wingdings" w:hAnsi="Wingdings"/>
      </w:rPr>
    </w:lvl>
    <w:lvl w:ilvl="3" w:tplc="2FFC610C">
      <w:start w:val="1"/>
      <w:numFmt w:val="bullet"/>
      <w:lvlText w:val=""/>
      <w:lvlJc w:val="left"/>
      <w:pPr>
        <w:tabs>
          <w:tab w:val="num" w:pos="2880"/>
        </w:tabs>
        <w:ind w:left="2880" w:hanging="360"/>
      </w:pPr>
      <w:rPr>
        <w:rFonts w:ascii="Symbol" w:hAnsi="Symbol"/>
      </w:rPr>
    </w:lvl>
    <w:lvl w:ilvl="4" w:tplc="873A4DEC">
      <w:start w:val="1"/>
      <w:numFmt w:val="bullet"/>
      <w:lvlText w:val="o"/>
      <w:lvlJc w:val="left"/>
      <w:pPr>
        <w:tabs>
          <w:tab w:val="num" w:pos="3600"/>
        </w:tabs>
        <w:ind w:left="3600" w:hanging="360"/>
      </w:pPr>
      <w:rPr>
        <w:rFonts w:ascii="Courier New" w:hAnsi="Courier New"/>
      </w:rPr>
    </w:lvl>
    <w:lvl w:ilvl="5" w:tplc="CAA81278">
      <w:start w:val="1"/>
      <w:numFmt w:val="bullet"/>
      <w:lvlText w:val=""/>
      <w:lvlJc w:val="left"/>
      <w:pPr>
        <w:tabs>
          <w:tab w:val="num" w:pos="4320"/>
        </w:tabs>
        <w:ind w:left="4320" w:hanging="360"/>
      </w:pPr>
      <w:rPr>
        <w:rFonts w:ascii="Wingdings" w:hAnsi="Wingdings"/>
      </w:rPr>
    </w:lvl>
    <w:lvl w:ilvl="6" w:tplc="0DF26D50">
      <w:start w:val="1"/>
      <w:numFmt w:val="bullet"/>
      <w:lvlText w:val=""/>
      <w:lvlJc w:val="left"/>
      <w:pPr>
        <w:tabs>
          <w:tab w:val="num" w:pos="5040"/>
        </w:tabs>
        <w:ind w:left="5040" w:hanging="360"/>
      </w:pPr>
      <w:rPr>
        <w:rFonts w:ascii="Symbol" w:hAnsi="Symbol"/>
      </w:rPr>
    </w:lvl>
    <w:lvl w:ilvl="7" w:tplc="0772EBC6">
      <w:start w:val="1"/>
      <w:numFmt w:val="bullet"/>
      <w:lvlText w:val="o"/>
      <w:lvlJc w:val="left"/>
      <w:pPr>
        <w:tabs>
          <w:tab w:val="num" w:pos="5760"/>
        </w:tabs>
        <w:ind w:left="5760" w:hanging="360"/>
      </w:pPr>
      <w:rPr>
        <w:rFonts w:ascii="Courier New" w:hAnsi="Courier New"/>
      </w:rPr>
    </w:lvl>
    <w:lvl w:ilvl="8" w:tplc="C9BE126C">
      <w:start w:val="1"/>
      <w:numFmt w:val="bullet"/>
      <w:lvlText w:val=""/>
      <w:lvlJc w:val="left"/>
      <w:pPr>
        <w:tabs>
          <w:tab w:val="num" w:pos="6480"/>
        </w:tabs>
        <w:ind w:left="6480" w:hanging="360"/>
      </w:pPr>
      <w:rPr>
        <w:rFonts w:ascii="Wingdings" w:hAnsi="Wingdings"/>
      </w:rPr>
    </w:lvl>
  </w:abstractNum>
  <w:abstractNum w:abstractNumId="11" w15:restartNumberingAfterBreak="0">
    <w:nsid w:val="01927445"/>
    <w:multiLevelType w:val="hybridMultilevel"/>
    <w:tmpl w:val="8C6C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052994"/>
    <w:multiLevelType w:val="hybridMultilevel"/>
    <w:tmpl w:val="7D30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C6213"/>
    <w:multiLevelType w:val="hybridMultilevel"/>
    <w:tmpl w:val="2482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416240"/>
    <w:multiLevelType w:val="multilevel"/>
    <w:tmpl w:val="ECE0129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4A6298"/>
    <w:multiLevelType w:val="multilevel"/>
    <w:tmpl w:val="36548D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DA7491"/>
    <w:multiLevelType w:val="hybridMultilevel"/>
    <w:tmpl w:val="1CC06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17CA3"/>
    <w:multiLevelType w:val="multilevel"/>
    <w:tmpl w:val="7EE482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C00EF2"/>
    <w:multiLevelType w:val="hybridMultilevel"/>
    <w:tmpl w:val="31BE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01869"/>
    <w:multiLevelType w:val="hybridMultilevel"/>
    <w:tmpl w:val="486A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E4F03"/>
    <w:multiLevelType w:val="multilevel"/>
    <w:tmpl w:val="C79E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47604B"/>
    <w:multiLevelType w:val="multilevel"/>
    <w:tmpl w:val="B8D0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5F1482"/>
    <w:multiLevelType w:val="multilevel"/>
    <w:tmpl w:val="F924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1C504D"/>
    <w:multiLevelType w:val="multilevel"/>
    <w:tmpl w:val="B0E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F8343A"/>
    <w:multiLevelType w:val="multilevel"/>
    <w:tmpl w:val="BECC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33149B"/>
    <w:multiLevelType w:val="hybridMultilevel"/>
    <w:tmpl w:val="86AE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82D56"/>
    <w:multiLevelType w:val="multilevel"/>
    <w:tmpl w:val="FC88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3578CE"/>
    <w:multiLevelType w:val="multilevel"/>
    <w:tmpl w:val="D1CC1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2022"/>
      <w:numFmt w:val="decimal"/>
      <w:lvlText w:val="%3"/>
      <w:lvlJc w:val="left"/>
      <w:pPr>
        <w:ind w:left="2240" w:hanging="44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61242C"/>
    <w:multiLevelType w:val="multilevel"/>
    <w:tmpl w:val="A3244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04416E"/>
    <w:multiLevelType w:val="multilevel"/>
    <w:tmpl w:val="9F5A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A45E14"/>
    <w:multiLevelType w:val="hybridMultilevel"/>
    <w:tmpl w:val="C75A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95DA0"/>
    <w:multiLevelType w:val="multilevel"/>
    <w:tmpl w:val="2E22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4"/>
  </w:num>
  <w:num w:numId="3">
    <w:abstractNumId w:val="21"/>
  </w:num>
  <w:num w:numId="4">
    <w:abstractNumId w:val="31"/>
  </w:num>
  <w:num w:numId="5">
    <w:abstractNumId w:val="22"/>
  </w:num>
  <w:num w:numId="6">
    <w:abstractNumId w:val="26"/>
  </w:num>
  <w:num w:numId="7">
    <w:abstractNumId w:val="27"/>
  </w:num>
  <w:num w:numId="8">
    <w:abstractNumId w:val="16"/>
  </w:num>
  <w:num w:numId="9">
    <w:abstractNumId w:val="24"/>
  </w:num>
  <w:num w:numId="10">
    <w:abstractNumId w:val="29"/>
  </w:num>
  <w:num w:numId="11">
    <w:abstractNumId w:val="19"/>
  </w:num>
  <w:num w:numId="12">
    <w:abstractNumId w:val="11"/>
  </w:num>
  <w:num w:numId="13">
    <w:abstractNumId w:val="28"/>
  </w:num>
  <w:num w:numId="14">
    <w:abstractNumId w:val="23"/>
  </w:num>
  <w:num w:numId="15">
    <w:abstractNumId w:val="13"/>
  </w:num>
  <w:num w:numId="16">
    <w:abstractNumId w:val="1"/>
  </w:num>
  <w:num w:numId="17">
    <w:abstractNumId w:val="2"/>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8"/>
  </w:num>
  <w:num w:numId="26">
    <w:abstractNumId w:val="25"/>
  </w:num>
  <w:num w:numId="27">
    <w:abstractNumId w:val="3"/>
  </w:num>
  <w:num w:numId="28">
    <w:abstractNumId w:val="30"/>
  </w:num>
  <w:num w:numId="29">
    <w:abstractNumId w:val="12"/>
  </w:num>
  <w:num w:numId="30">
    <w:abstractNumId w:val="17"/>
  </w:num>
  <w:num w:numId="31">
    <w:abstractNumId w:val="20"/>
  </w:num>
  <w:num w:numId="32">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697537"/>
    <w:rsid w:val="000001FA"/>
    <w:rsid w:val="00000583"/>
    <w:rsid w:val="0000107F"/>
    <w:rsid w:val="00002623"/>
    <w:rsid w:val="00002EC7"/>
    <w:rsid w:val="00003545"/>
    <w:rsid w:val="000036DB"/>
    <w:rsid w:val="00004BBA"/>
    <w:rsid w:val="000059B6"/>
    <w:rsid w:val="00006F1C"/>
    <w:rsid w:val="00007BF8"/>
    <w:rsid w:val="00010754"/>
    <w:rsid w:val="000124DF"/>
    <w:rsid w:val="00013710"/>
    <w:rsid w:val="0001386B"/>
    <w:rsid w:val="00013A31"/>
    <w:rsid w:val="00014F8C"/>
    <w:rsid w:val="00015195"/>
    <w:rsid w:val="00015D1F"/>
    <w:rsid w:val="00016C5D"/>
    <w:rsid w:val="00017F0D"/>
    <w:rsid w:val="000218B8"/>
    <w:rsid w:val="0002248B"/>
    <w:rsid w:val="0002283B"/>
    <w:rsid w:val="00023047"/>
    <w:rsid w:val="00023B82"/>
    <w:rsid w:val="00024378"/>
    <w:rsid w:val="00024AB4"/>
    <w:rsid w:val="0002517B"/>
    <w:rsid w:val="00027A4E"/>
    <w:rsid w:val="00027B53"/>
    <w:rsid w:val="00027D4A"/>
    <w:rsid w:val="0003066A"/>
    <w:rsid w:val="0003076B"/>
    <w:rsid w:val="000307E2"/>
    <w:rsid w:val="00031E6B"/>
    <w:rsid w:val="0003384A"/>
    <w:rsid w:val="00034989"/>
    <w:rsid w:val="00034CC4"/>
    <w:rsid w:val="00034ED6"/>
    <w:rsid w:val="000353A1"/>
    <w:rsid w:val="000359D2"/>
    <w:rsid w:val="00036A3F"/>
    <w:rsid w:val="00037D57"/>
    <w:rsid w:val="00040F10"/>
    <w:rsid w:val="00041941"/>
    <w:rsid w:val="0004423A"/>
    <w:rsid w:val="00044428"/>
    <w:rsid w:val="0004497A"/>
    <w:rsid w:val="000464AB"/>
    <w:rsid w:val="0004684F"/>
    <w:rsid w:val="00047097"/>
    <w:rsid w:val="00047BB1"/>
    <w:rsid w:val="000503F0"/>
    <w:rsid w:val="00050482"/>
    <w:rsid w:val="0005167C"/>
    <w:rsid w:val="00051F19"/>
    <w:rsid w:val="00052A97"/>
    <w:rsid w:val="00052F79"/>
    <w:rsid w:val="0005335A"/>
    <w:rsid w:val="00053597"/>
    <w:rsid w:val="00053B14"/>
    <w:rsid w:val="0005479A"/>
    <w:rsid w:val="00054AD6"/>
    <w:rsid w:val="00055913"/>
    <w:rsid w:val="00056E47"/>
    <w:rsid w:val="00060E7D"/>
    <w:rsid w:val="00061591"/>
    <w:rsid w:val="00062738"/>
    <w:rsid w:val="0006699F"/>
    <w:rsid w:val="000670A8"/>
    <w:rsid w:val="00067BB6"/>
    <w:rsid w:val="00067BC7"/>
    <w:rsid w:val="00070211"/>
    <w:rsid w:val="00070B3A"/>
    <w:rsid w:val="00071643"/>
    <w:rsid w:val="00072382"/>
    <w:rsid w:val="00072DA3"/>
    <w:rsid w:val="00074291"/>
    <w:rsid w:val="00081CC8"/>
    <w:rsid w:val="00082276"/>
    <w:rsid w:val="0008251C"/>
    <w:rsid w:val="0008327B"/>
    <w:rsid w:val="000838B5"/>
    <w:rsid w:val="00084A0F"/>
    <w:rsid w:val="000854EB"/>
    <w:rsid w:val="00085D9D"/>
    <w:rsid w:val="00086189"/>
    <w:rsid w:val="00086552"/>
    <w:rsid w:val="00086594"/>
    <w:rsid w:val="00086992"/>
    <w:rsid w:val="000875D6"/>
    <w:rsid w:val="0008791D"/>
    <w:rsid w:val="000879AD"/>
    <w:rsid w:val="000912A3"/>
    <w:rsid w:val="00092CEB"/>
    <w:rsid w:val="00093757"/>
    <w:rsid w:val="00096279"/>
    <w:rsid w:val="00096AD4"/>
    <w:rsid w:val="00097F4C"/>
    <w:rsid w:val="000A4147"/>
    <w:rsid w:val="000A4151"/>
    <w:rsid w:val="000A46FF"/>
    <w:rsid w:val="000A564C"/>
    <w:rsid w:val="000A58EA"/>
    <w:rsid w:val="000A64EE"/>
    <w:rsid w:val="000A73F2"/>
    <w:rsid w:val="000A7E69"/>
    <w:rsid w:val="000B1772"/>
    <w:rsid w:val="000B17B9"/>
    <w:rsid w:val="000B1FDB"/>
    <w:rsid w:val="000B3094"/>
    <w:rsid w:val="000B352B"/>
    <w:rsid w:val="000B75C0"/>
    <w:rsid w:val="000C14A5"/>
    <w:rsid w:val="000C21C4"/>
    <w:rsid w:val="000C37C4"/>
    <w:rsid w:val="000C46FF"/>
    <w:rsid w:val="000C4EDE"/>
    <w:rsid w:val="000C6A60"/>
    <w:rsid w:val="000D0ABA"/>
    <w:rsid w:val="000D15CC"/>
    <w:rsid w:val="000D1C39"/>
    <w:rsid w:val="000D2DC4"/>
    <w:rsid w:val="000D3355"/>
    <w:rsid w:val="000D35B9"/>
    <w:rsid w:val="000D3C3F"/>
    <w:rsid w:val="000D7EF4"/>
    <w:rsid w:val="000E0497"/>
    <w:rsid w:val="000E0841"/>
    <w:rsid w:val="000E11B2"/>
    <w:rsid w:val="000E11D6"/>
    <w:rsid w:val="000E23F5"/>
    <w:rsid w:val="000E54CE"/>
    <w:rsid w:val="000E5FF4"/>
    <w:rsid w:val="000E7251"/>
    <w:rsid w:val="000E768F"/>
    <w:rsid w:val="000F0753"/>
    <w:rsid w:val="000F3884"/>
    <w:rsid w:val="000F3D1D"/>
    <w:rsid w:val="000F5AC6"/>
    <w:rsid w:val="000F5E28"/>
    <w:rsid w:val="00100E9C"/>
    <w:rsid w:val="0010103E"/>
    <w:rsid w:val="00101825"/>
    <w:rsid w:val="00102863"/>
    <w:rsid w:val="00102BFC"/>
    <w:rsid w:val="001056B5"/>
    <w:rsid w:val="001060A7"/>
    <w:rsid w:val="00106C61"/>
    <w:rsid w:val="00107214"/>
    <w:rsid w:val="00111207"/>
    <w:rsid w:val="00111F94"/>
    <w:rsid w:val="001126D5"/>
    <w:rsid w:val="00113742"/>
    <w:rsid w:val="00114FAF"/>
    <w:rsid w:val="00116A68"/>
    <w:rsid w:val="00117511"/>
    <w:rsid w:val="0011764B"/>
    <w:rsid w:val="00120766"/>
    <w:rsid w:val="00122686"/>
    <w:rsid w:val="00122E5E"/>
    <w:rsid w:val="00122F7A"/>
    <w:rsid w:val="0012403C"/>
    <w:rsid w:val="001264E6"/>
    <w:rsid w:val="00126E0B"/>
    <w:rsid w:val="00130DEF"/>
    <w:rsid w:val="001310CB"/>
    <w:rsid w:val="001318F4"/>
    <w:rsid w:val="00132F05"/>
    <w:rsid w:val="00133CA9"/>
    <w:rsid w:val="00133DEF"/>
    <w:rsid w:val="00134E27"/>
    <w:rsid w:val="00135163"/>
    <w:rsid w:val="00135C4A"/>
    <w:rsid w:val="00136EC1"/>
    <w:rsid w:val="00140021"/>
    <w:rsid w:val="001414E2"/>
    <w:rsid w:val="0014364C"/>
    <w:rsid w:val="00146721"/>
    <w:rsid w:val="001467EA"/>
    <w:rsid w:val="00146995"/>
    <w:rsid w:val="00146F63"/>
    <w:rsid w:val="00147D5A"/>
    <w:rsid w:val="00150823"/>
    <w:rsid w:val="00150DD1"/>
    <w:rsid w:val="00151892"/>
    <w:rsid w:val="00152177"/>
    <w:rsid w:val="00153BF2"/>
    <w:rsid w:val="00154FD6"/>
    <w:rsid w:val="00155E47"/>
    <w:rsid w:val="001563F4"/>
    <w:rsid w:val="0015644C"/>
    <w:rsid w:val="00160814"/>
    <w:rsid w:val="00160ABA"/>
    <w:rsid w:val="00161684"/>
    <w:rsid w:val="00161BF2"/>
    <w:rsid w:val="001622C4"/>
    <w:rsid w:val="001657E7"/>
    <w:rsid w:val="0016633A"/>
    <w:rsid w:val="0017018D"/>
    <w:rsid w:val="001701E7"/>
    <w:rsid w:val="00170FF8"/>
    <w:rsid w:val="00172CB1"/>
    <w:rsid w:val="001736D1"/>
    <w:rsid w:val="00173F2F"/>
    <w:rsid w:val="001763F8"/>
    <w:rsid w:val="00176BC2"/>
    <w:rsid w:val="00177495"/>
    <w:rsid w:val="00181448"/>
    <w:rsid w:val="001823D6"/>
    <w:rsid w:val="00182838"/>
    <w:rsid w:val="00182C16"/>
    <w:rsid w:val="00182C67"/>
    <w:rsid w:val="00183D0B"/>
    <w:rsid w:val="001852B5"/>
    <w:rsid w:val="00185CDA"/>
    <w:rsid w:val="00187211"/>
    <w:rsid w:val="00191261"/>
    <w:rsid w:val="00191670"/>
    <w:rsid w:val="00192A03"/>
    <w:rsid w:val="001936E7"/>
    <w:rsid w:val="00194366"/>
    <w:rsid w:val="001954B5"/>
    <w:rsid w:val="00195AA6"/>
    <w:rsid w:val="00197181"/>
    <w:rsid w:val="001974A1"/>
    <w:rsid w:val="001A02F4"/>
    <w:rsid w:val="001A316E"/>
    <w:rsid w:val="001A3D83"/>
    <w:rsid w:val="001A41D3"/>
    <w:rsid w:val="001A426F"/>
    <w:rsid w:val="001A701F"/>
    <w:rsid w:val="001A7904"/>
    <w:rsid w:val="001B0956"/>
    <w:rsid w:val="001B0F18"/>
    <w:rsid w:val="001B1282"/>
    <w:rsid w:val="001B1B55"/>
    <w:rsid w:val="001B21D6"/>
    <w:rsid w:val="001B2666"/>
    <w:rsid w:val="001B313E"/>
    <w:rsid w:val="001B4046"/>
    <w:rsid w:val="001B40C7"/>
    <w:rsid w:val="001B6EEF"/>
    <w:rsid w:val="001B7AD7"/>
    <w:rsid w:val="001C17E1"/>
    <w:rsid w:val="001C2685"/>
    <w:rsid w:val="001C3CF8"/>
    <w:rsid w:val="001C41A1"/>
    <w:rsid w:val="001C4707"/>
    <w:rsid w:val="001C4F82"/>
    <w:rsid w:val="001C6381"/>
    <w:rsid w:val="001C7006"/>
    <w:rsid w:val="001C7B43"/>
    <w:rsid w:val="001D2A69"/>
    <w:rsid w:val="001D2C76"/>
    <w:rsid w:val="001D45A3"/>
    <w:rsid w:val="001D4BB9"/>
    <w:rsid w:val="001D521A"/>
    <w:rsid w:val="001D6278"/>
    <w:rsid w:val="001D6829"/>
    <w:rsid w:val="001D6DEE"/>
    <w:rsid w:val="001E051F"/>
    <w:rsid w:val="001E0722"/>
    <w:rsid w:val="001E0AB3"/>
    <w:rsid w:val="001E18F7"/>
    <w:rsid w:val="001E1DB7"/>
    <w:rsid w:val="001E2393"/>
    <w:rsid w:val="001E3B36"/>
    <w:rsid w:val="001E51EA"/>
    <w:rsid w:val="001E59E1"/>
    <w:rsid w:val="001E6388"/>
    <w:rsid w:val="001E7FF9"/>
    <w:rsid w:val="001F0A49"/>
    <w:rsid w:val="001F1CA8"/>
    <w:rsid w:val="001F319E"/>
    <w:rsid w:val="001F3C01"/>
    <w:rsid w:val="001F4511"/>
    <w:rsid w:val="001F4B4A"/>
    <w:rsid w:val="001F5022"/>
    <w:rsid w:val="001F55DD"/>
    <w:rsid w:val="001F55F4"/>
    <w:rsid w:val="001F6705"/>
    <w:rsid w:val="002000B9"/>
    <w:rsid w:val="0020028F"/>
    <w:rsid w:val="00200CA8"/>
    <w:rsid w:val="00201A51"/>
    <w:rsid w:val="00202415"/>
    <w:rsid w:val="00202E67"/>
    <w:rsid w:val="00203192"/>
    <w:rsid w:val="002032B6"/>
    <w:rsid w:val="00205CC8"/>
    <w:rsid w:val="002103EE"/>
    <w:rsid w:val="002103FB"/>
    <w:rsid w:val="00211F2F"/>
    <w:rsid w:val="00212F74"/>
    <w:rsid w:val="0021311E"/>
    <w:rsid w:val="00213682"/>
    <w:rsid w:val="002150BF"/>
    <w:rsid w:val="002151D6"/>
    <w:rsid w:val="002159F7"/>
    <w:rsid w:val="00215B29"/>
    <w:rsid w:val="00216D75"/>
    <w:rsid w:val="0022006C"/>
    <w:rsid w:val="002203F1"/>
    <w:rsid w:val="00220A61"/>
    <w:rsid w:val="00221325"/>
    <w:rsid w:val="00221FA6"/>
    <w:rsid w:val="0022277C"/>
    <w:rsid w:val="00222B6F"/>
    <w:rsid w:val="002256D1"/>
    <w:rsid w:val="00233C5D"/>
    <w:rsid w:val="00234188"/>
    <w:rsid w:val="00234E84"/>
    <w:rsid w:val="00234F3D"/>
    <w:rsid w:val="00235557"/>
    <w:rsid w:val="00236C02"/>
    <w:rsid w:val="002373CB"/>
    <w:rsid w:val="002378E8"/>
    <w:rsid w:val="00237C1B"/>
    <w:rsid w:val="00240FCA"/>
    <w:rsid w:val="0024185D"/>
    <w:rsid w:val="00242716"/>
    <w:rsid w:val="00244C0E"/>
    <w:rsid w:val="00244ED9"/>
    <w:rsid w:val="00247433"/>
    <w:rsid w:val="00250DC7"/>
    <w:rsid w:val="002517B9"/>
    <w:rsid w:val="0025319A"/>
    <w:rsid w:val="00254872"/>
    <w:rsid w:val="002554F7"/>
    <w:rsid w:val="00256791"/>
    <w:rsid w:val="00257C22"/>
    <w:rsid w:val="00257FCB"/>
    <w:rsid w:val="0026024A"/>
    <w:rsid w:val="00260837"/>
    <w:rsid w:val="00260F5A"/>
    <w:rsid w:val="0026105A"/>
    <w:rsid w:val="00261794"/>
    <w:rsid w:val="00261E53"/>
    <w:rsid w:val="00262310"/>
    <w:rsid w:val="00263CB5"/>
    <w:rsid w:val="00263F1E"/>
    <w:rsid w:val="00265130"/>
    <w:rsid w:val="002652BE"/>
    <w:rsid w:val="00265EAF"/>
    <w:rsid w:val="00265F01"/>
    <w:rsid w:val="00270B2E"/>
    <w:rsid w:val="002717C3"/>
    <w:rsid w:val="0027492F"/>
    <w:rsid w:val="00274F50"/>
    <w:rsid w:val="0027634F"/>
    <w:rsid w:val="00277165"/>
    <w:rsid w:val="00277485"/>
    <w:rsid w:val="0028027E"/>
    <w:rsid w:val="00280D55"/>
    <w:rsid w:val="002817EC"/>
    <w:rsid w:val="0028196D"/>
    <w:rsid w:val="0028392C"/>
    <w:rsid w:val="002839E4"/>
    <w:rsid w:val="00283CA3"/>
    <w:rsid w:val="00285928"/>
    <w:rsid w:val="00286641"/>
    <w:rsid w:val="0028728B"/>
    <w:rsid w:val="00290C72"/>
    <w:rsid w:val="00291EAE"/>
    <w:rsid w:val="00291FDB"/>
    <w:rsid w:val="002923FE"/>
    <w:rsid w:val="002937AF"/>
    <w:rsid w:val="002A1820"/>
    <w:rsid w:val="002A191A"/>
    <w:rsid w:val="002A2086"/>
    <w:rsid w:val="002A20A6"/>
    <w:rsid w:val="002A3158"/>
    <w:rsid w:val="002A393F"/>
    <w:rsid w:val="002A49EE"/>
    <w:rsid w:val="002A563C"/>
    <w:rsid w:val="002A649A"/>
    <w:rsid w:val="002A6BF6"/>
    <w:rsid w:val="002A6D30"/>
    <w:rsid w:val="002A6F1A"/>
    <w:rsid w:val="002A73C0"/>
    <w:rsid w:val="002B232D"/>
    <w:rsid w:val="002B3793"/>
    <w:rsid w:val="002B3DFD"/>
    <w:rsid w:val="002B4A0F"/>
    <w:rsid w:val="002B67B4"/>
    <w:rsid w:val="002B6FB8"/>
    <w:rsid w:val="002C0088"/>
    <w:rsid w:val="002C028C"/>
    <w:rsid w:val="002C3BC3"/>
    <w:rsid w:val="002C6839"/>
    <w:rsid w:val="002D2430"/>
    <w:rsid w:val="002D30B7"/>
    <w:rsid w:val="002D31AD"/>
    <w:rsid w:val="002D344E"/>
    <w:rsid w:val="002D6C00"/>
    <w:rsid w:val="002D6C75"/>
    <w:rsid w:val="002E0289"/>
    <w:rsid w:val="002E0302"/>
    <w:rsid w:val="002E0A31"/>
    <w:rsid w:val="002E151B"/>
    <w:rsid w:val="002E1A25"/>
    <w:rsid w:val="002E2242"/>
    <w:rsid w:val="002E2781"/>
    <w:rsid w:val="002E2A23"/>
    <w:rsid w:val="002E2B6F"/>
    <w:rsid w:val="002E2C8A"/>
    <w:rsid w:val="002E3398"/>
    <w:rsid w:val="002E346B"/>
    <w:rsid w:val="002E5A85"/>
    <w:rsid w:val="002E678D"/>
    <w:rsid w:val="002E6CC3"/>
    <w:rsid w:val="002E730C"/>
    <w:rsid w:val="002F3615"/>
    <w:rsid w:val="002F441B"/>
    <w:rsid w:val="002F47A7"/>
    <w:rsid w:val="002F4E51"/>
    <w:rsid w:val="002F5351"/>
    <w:rsid w:val="002F5495"/>
    <w:rsid w:val="002F63DB"/>
    <w:rsid w:val="00301576"/>
    <w:rsid w:val="003024FC"/>
    <w:rsid w:val="003042A9"/>
    <w:rsid w:val="0030522D"/>
    <w:rsid w:val="0030696C"/>
    <w:rsid w:val="00306A90"/>
    <w:rsid w:val="00306F47"/>
    <w:rsid w:val="00311138"/>
    <w:rsid w:val="00311DEA"/>
    <w:rsid w:val="00312411"/>
    <w:rsid w:val="0031451F"/>
    <w:rsid w:val="00316A5C"/>
    <w:rsid w:val="00316B0F"/>
    <w:rsid w:val="003171DF"/>
    <w:rsid w:val="00317D78"/>
    <w:rsid w:val="00320285"/>
    <w:rsid w:val="003204FF"/>
    <w:rsid w:val="00321488"/>
    <w:rsid w:val="00321698"/>
    <w:rsid w:val="003221AC"/>
    <w:rsid w:val="00323379"/>
    <w:rsid w:val="00327131"/>
    <w:rsid w:val="00330AAC"/>
    <w:rsid w:val="00333282"/>
    <w:rsid w:val="00333341"/>
    <w:rsid w:val="00335295"/>
    <w:rsid w:val="0033531A"/>
    <w:rsid w:val="00337B69"/>
    <w:rsid w:val="00340161"/>
    <w:rsid w:val="003402B6"/>
    <w:rsid w:val="003407BB"/>
    <w:rsid w:val="00341631"/>
    <w:rsid w:val="003416B3"/>
    <w:rsid w:val="003420EF"/>
    <w:rsid w:val="00345774"/>
    <w:rsid w:val="003534B4"/>
    <w:rsid w:val="003536A4"/>
    <w:rsid w:val="00353F66"/>
    <w:rsid w:val="00354D14"/>
    <w:rsid w:val="003554EB"/>
    <w:rsid w:val="003567AF"/>
    <w:rsid w:val="00356BB0"/>
    <w:rsid w:val="00357257"/>
    <w:rsid w:val="00357408"/>
    <w:rsid w:val="00357651"/>
    <w:rsid w:val="00357B62"/>
    <w:rsid w:val="00360616"/>
    <w:rsid w:val="0036097A"/>
    <w:rsid w:val="00360DEE"/>
    <w:rsid w:val="00361273"/>
    <w:rsid w:val="00361FB6"/>
    <w:rsid w:val="00362866"/>
    <w:rsid w:val="00363884"/>
    <w:rsid w:val="00363DE0"/>
    <w:rsid w:val="0036458B"/>
    <w:rsid w:val="00364E78"/>
    <w:rsid w:val="00366018"/>
    <w:rsid w:val="00367D3C"/>
    <w:rsid w:val="00371E0D"/>
    <w:rsid w:val="00371EDE"/>
    <w:rsid w:val="0037296C"/>
    <w:rsid w:val="00372D17"/>
    <w:rsid w:val="00373F3C"/>
    <w:rsid w:val="00374EDD"/>
    <w:rsid w:val="00375DFA"/>
    <w:rsid w:val="00376900"/>
    <w:rsid w:val="00376EA8"/>
    <w:rsid w:val="00377B4C"/>
    <w:rsid w:val="00380128"/>
    <w:rsid w:val="003831F1"/>
    <w:rsid w:val="003842CB"/>
    <w:rsid w:val="0038525C"/>
    <w:rsid w:val="003856AF"/>
    <w:rsid w:val="0038576D"/>
    <w:rsid w:val="003901A5"/>
    <w:rsid w:val="003901B6"/>
    <w:rsid w:val="003915BA"/>
    <w:rsid w:val="003921EC"/>
    <w:rsid w:val="0039366F"/>
    <w:rsid w:val="00395F06"/>
    <w:rsid w:val="003968D7"/>
    <w:rsid w:val="00396AA0"/>
    <w:rsid w:val="003A011E"/>
    <w:rsid w:val="003A128F"/>
    <w:rsid w:val="003A37BD"/>
    <w:rsid w:val="003A3E4E"/>
    <w:rsid w:val="003A588F"/>
    <w:rsid w:val="003A5EA0"/>
    <w:rsid w:val="003A6A0A"/>
    <w:rsid w:val="003A766D"/>
    <w:rsid w:val="003B0A68"/>
    <w:rsid w:val="003B1E76"/>
    <w:rsid w:val="003B4BAD"/>
    <w:rsid w:val="003B513E"/>
    <w:rsid w:val="003B5C7C"/>
    <w:rsid w:val="003B5FFF"/>
    <w:rsid w:val="003B71C1"/>
    <w:rsid w:val="003B75D6"/>
    <w:rsid w:val="003C054C"/>
    <w:rsid w:val="003C1A7C"/>
    <w:rsid w:val="003C226B"/>
    <w:rsid w:val="003C2814"/>
    <w:rsid w:val="003C2845"/>
    <w:rsid w:val="003C419A"/>
    <w:rsid w:val="003C5E43"/>
    <w:rsid w:val="003C66D6"/>
    <w:rsid w:val="003C6C92"/>
    <w:rsid w:val="003C73C5"/>
    <w:rsid w:val="003D0245"/>
    <w:rsid w:val="003D04AC"/>
    <w:rsid w:val="003D126D"/>
    <w:rsid w:val="003D2274"/>
    <w:rsid w:val="003D235C"/>
    <w:rsid w:val="003D428E"/>
    <w:rsid w:val="003D4749"/>
    <w:rsid w:val="003D48F6"/>
    <w:rsid w:val="003D4CCA"/>
    <w:rsid w:val="003D4E28"/>
    <w:rsid w:val="003D529F"/>
    <w:rsid w:val="003D79AA"/>
    <w:rsid w:val="003E21F0"/>
    <w:rsid w:val="003E2D44"/>
    <w:rsid w:val="003E335F"/>
    <w:rsid w:val="003E49DB"/>
    <w:rsid w:val="003E5BA2"/>
    <w:rsid w:val="003E6D4E"/>
    <w:rsid w:val="003E7896"/>
    <w:rsid w:val="003F00DE"/>
    <w:rsid w:val="003F0998"/>
    <w:rsid w:val="003F0FD9"/>
    <w:rsid w:val="003F11A0"/>
    <w:rsid w:val="003F29A2"/>
    <w:rsid w:val="003F32D4"/>
    <w:rsid w:val="003F3C08"/>
    <w:rsid w:val="003F4872"/>
    <w:rsid w:val="003F4D87"/>
    <w:rsid w:val="003F5BC4"/>
    <w:rsid w:val="003F637A"/>
    <w:rsid w:val="003F6CCD"/>
    <w:rsid w:val="003F6E0B"/>
    <w:rsid w:val="003F6F6E"/>
    <w:rsid w:val="004001DE"/>
    <w:rsid w:val="00401EB5"/>
    <w:rsid w:val="004037CA"/>
    <w:rsid w:val="004042B7"/>
    <w:rsid w:val="00404D69"/>
    <w:rsid w:val="004063A5"/>
    <w:rsid w:val="00406659"/>
    <w:rsid w:val="00411CF9"/>
    <w:rsid w:val="00411E30"/>
    <w:rsid w:val="004122FA"/>
    <w:rsid w:val="004136F9"/>
    <w:rsid w:val="0041501F"/>
    <w:rsid w:val="00415569"/>
    <w:rsid w:val="0041586F"/>
    <w:rsid w:val="00417BB6"/>
    <w:rsid w:val="00421B8B"/>
    <w:rsid w:val="00424226"/>
    <w:rsid w:val="00426559"/>
    <w:rsid w:val="0042706D"/>
    <w:rsid w:val="004301DA"/>
    <w:rsid w:val="0043296A"/>
    <w:rsid w:val="004332C3"/>
    <w:rsid w:val="004333AD"/>
    <w:rsid w:val="004339B4"/>
    <w:rsid w:val="00434F10"/>
    <w:rsid w:val="0043549D"/>
    <w:rsid w:val="00435725"/>
    <w:rsid w:val="00440536"/>
    <w:rsid w:val="004414F2"/>
    <w:rsid w:val="00441F1F"/>
    <w:rsid w:val="00442915"/>
    <w:rsid w:val="00442CF7"/>
    <w:rsid w:val="00443446"/>
    <w:rsid w:val="00443B60"/>
    <w:rsid w:val="00443EC2"/>
    <w:rsid w:val="00444F60"/>
    <w:rsid w:val="0044518A"/>
    <w:rsid w:val="004454DE"/>
    <w:rsid w:val="004456C3"/>
    <w:rsid w:val="00446187"/>
    <w:rsid w:val="00447A00"/>
    <w:rsid w:val="00451E0F"/>
    <w:rsid w:val="00452911"/>
    <w:rsid w:val="004530F9"/>
    <w:rsid w:val="00453F20"/>
    <w:rsid w:val="00455713"/>
    <w:rsid w:val="00455A59"/>
    <w:rsid w:val="00456562"/>
    <w:rsid w:val="00456ED8"/>
    <w:rsid w:val="004570E8"/>
    <w:rsid w:val="004574D6"/>
    <w:rsid w:val="00457D21"/>
    <w:rsid w:val="00457D27"/>
    <w:rsid w:val="00457E11"/>
    <w:rsid w:val="00460F3B"/>
    <w:rsid w:val="00461EAC"/>
    <w:rsid w:val="004624CC"/>
    <w:rsid w:val="00463AA0"/>
    <w:rsid w:val="00463EB3"/>
    <w:rsid w:val="0046441A"/>
    <w:rsid w:val="004647A4"/>
    <w:rsid w:val="00464CF9"/>
    <w:rsid w:val="004670BA"/>
    <w:rsid w:val="00467F84"/>
    <w:rsid w:val="004709C7"/>
    <w:rsid w:val="00470E43"/>
    <w:rsid w:val="00471502"/>
    <w:rsid w:val="0047364F"/>
    <w:rsid w:val="0047445F"/>
    <w:rsid w:val="00475A90"/>
    <w:rsid w:val="00476266"/>
    <w:rsid w:val="0047694E"/>
    <w:rsid w:val="0047792E"/>
    <w:rsid w:val="00480CBC"/>
    <w:rsid w:val="004872D8"/>
    <w:rsid w:val="004875C9"/>
    <w:rsid w:val="00487FC8"/>
    <w:rsid w:val="00490487"/>
    <w:rsid w:val="004906F9"/>
    <w:rsid w:val="00490C78"/>
    <w:rsid w:val="00490F39"/>
    <w:rsid w:val="00492F98"/>
    <w:rsid w:val="00493595"/>
    <w:rsid w:val="00493CD2"/>
    <w:rsid w:val="00493D26"/>
    <w:rsid w:val="0049681E"/>
    <w:rsid w:val="00496871"/>
    <w:rsid w:val="004968B2"/>
    <w:rsid w:val="004A1667"/>
    <w:rsid w:val="004A2A15"/>
    <w:rsid w:val="004A58CC"/>
    <w:rsid w:val="004A5E77"/>
    <w:rsid w:val="004A63D5"/>
    <w:rsid w:val="004A6A14"/>
    <w:rsid w:val="004A6C42"/>
    <w:rsid w:val="004A7EF7"/>
    <w:rsid w:val="004B1700"/>
    <w:rsid w:val="004B1DFE"/>
    <w:rsid w:val="004B2BE2"/>
    <w:rsid w:val="004B2EEA"/>
    <w:rsid w:val="004B5A4A"/>
    <w:rsid w:val="004B5DBC"/>
    <w:rsid w:val="004B6ADA"/>
    <w:rsid w:val="004C04D8"/>
    <w:rsid w:val="004C0A84"/>
    <w:rsid w:val="004C0C32"/>
    <w:rsid w:val="004C4050"/>
    <w:rsid w:val="004C4F89"/>
    <w:rsid w:val="004C5A97"/>
    <w:rsid w:val="004C6C40"/>
    <w:rsid w:val="004D30F6"/>
    <w:rsid w:val="004D54DB"/>
    <w:rsid w:val="004D5835"/>
    <w:rsid w:val="004D7D88"/>
    <w:rsid w:val="004E06CA"/>
    <w:rsid w:val="004E0BDA"/>
    <w:rsid w:val="004E14D5"/>
    <w:rsid w:val="004E18B3"/>
    <w:rsid w:val="004E2B44"/>
    <w:rsid w:val="004E3147"/>
    <w:rsid w:val="004E376E"/>
    <w:rsid w:val="004E3B12"/>
    <w:rsid w:val="004E3D12"/>
    <w:rsid w:val="004E6803"/>
    <w:rsid w:val="004E7748"/>
    <w:rsid w:val="004F0E68"/>
    <w:rsid w:val="004F14DF"/>
    <w:rsid w:val="004F15CD"/>
    <w:rsid w:val="004F411D"/>
    <w:rsid w:val="004F4990"/>
    <w:rsid w:val="004F64F2"/>
    <w:rsid w:val="004F6886"/>
    <w:rsid w:val="004F73DC"/>
    <w:rsid w:val="004F78EF"/>
    <w:rsid w:val="00501F0E"/>
    <w:rsid w:val="00504A58"/>
    <w:rsid w:val="00504C09"/>
    <w:rsid w:val="00505D94"/>
    <w:rsid w:val="0050750E"/>
    <w:rsid w:val="00507D16"/>
    <w:rsid w:val="005121AC"/>
    <w:rsid w:val="00512247"/>
    <w:rsid w:val="0051278C"/>
    <w:rsid w:val="00514086"/>
    <w:rsid w:val="00514D1E"/>
    <w:rsid w:val="00515ED8"/>
    <w:rsid w:val="005164D0"/>
    <w:rsid w:val="00517109"/>
    <w:rsid w:val="00517643"/>
    <w:rsid w:val="005176B5"/>
    <w:rsid w:val="005201A7"/>
    <w:rsid w:val="00520619"/>
    <w:rsid w:val="005221B0"/>
    <w:rsid w:val="0052240A"/>
    <w:rsid w:val="005241CE"/>
    <w:rsid w:val="00524489"/>
    <w:rsid w:val="00525A1B"/>
    <w:rsid w:val="00532610"/>
    <w:rsid w:val="0053364C"/>
    <w:rsid w:val="00533DBC"/>
    <w:rsid w:val="0053468E"/>
    <w:rsid w:val="0053590C"/>
    <w:rsid w:val="0053694E"/>
    <w:rsid w:val="00536A0A"/>
    <w:rsid w:val="005373EE"/>
    <w:rsid w:val="00537E5B"/>
    <w:rsid w:val="00540471"/>
    <w:rsid w:val="0054245C"/>
    <w:rsid w:val="00542E03"/>
    <w:rsid w:val="00542F4D"/>
    <w:rsid w:val="00543CB8"/>
    <w:rsid w:val="0054484B"/>
    <w:rsid w:val="00545F62"/>
    <w:rsid w:val="0054693F"/>
    <w:rsid w:val="005469EF"/>
    <w:rsid w:val="00552C8E"/>
    <w:rsid w:val="00553509"/>
    <w:rsid w:val="00555122"/>
    <w:rsid w:val="00560B1F"/>
    <w:rsid w:val="0056127A"/>
    <w:rsid w:val="00561332"/>
    <w:rsid w:val="005615AB"/>
    <w:rsid w:val="00562AE8"/>
    <w:rsid w:val="00563A2F"/>
    <w:rsid w:val="00564641"/>
    <w:rsid w:val="00566797"/>
    <w:rsid w:val="00567A0D"/>
    <w:rsid w:val="00567F6C"/>
    <w:rsid w:val="005710EB"/>
    <w:rsid w:val="00571551"/>
    <w:rsid w:val="005718CD"/>
    <w:rsid w:val="00571C5C"/>
    <w:rsid w:val="00572AD1"/>
    <w:rsid w:val="00573ACA"/>
    <w:rsid w:val="00573AD8"/>
    <w:rsid w:val="00573E92"/>
    <w:rsid w:val="005744BB"/>
    <w:rsid w:val="0057495A"/>
    <w:rsid w:val="00575E2F"/>
    <w:rsid w:val="0057744D"/>
    <w:rsid w:val="005804C8"/>
    <w:rsid w:val="005805DF"/>
    <w:rsid w:val="005818B4"/>
    <w:rsid w:val="0058416F"/>
    <w:rsid w:val="0058495B"/>
    <w:rsid w:val="00585791"/>
    <w:rsid w:val="00586DB4"/>
    <w:rsid w:val="00587200"/>
    <w:rsid w:val="00590A00"/>
    <w:rsid w:val="00592664"/>
    <w:rsid w:val="005938E8"/>
    <w:rsid w:val="005944D9"/>
    <w:rsid w:val="00594B7A"/>
    <w:rsid w:val="00595097"/>
    <w:rsid w:val="005963FC"/>
    <w:rsid w:val="005A09A8"/>
    <w:rsid w:val="005A0D4D"/>
    <w:rsid w:val="005A14D7"/>
    <w:rsid w:val="005A1C4C"/>
    <w:rsid w:val="005A24B2"/>
    <w:rsid w:val="005A31CD"/>
    <w:rsid w:val="005A5213"/>
    <w:rsid w:val="005A55EB"/>
    <w:rsid w:val="005B0140"/>
    <w:rsid w:val="005B045D"/>
    <w:rsid w:val="005B0D26"/>
    <w:rsid w:val="005B1694"/>
    <w:rsid w:val="005B1E64"/>
    <w:rsid w:val="005B1F2B"/>
    <w:rsid w:val="005B2B8A"/>
    <w:rsid w:val="005B36D3"/>
    <w:rsid w:val="005B3847"/>
    <w:rsid w:val="005B53AF"/>
    <w:rsid w:val="005B5D9B"/>
    <w:rsid w:val="005B6BB8"/>
    <w:rsid w:val="005B7C06"/>
    <w:rsid w:val="005C0728"/>
    <w:rsid w:val="005C0D20"/>
    <w:rsid w:val="005C0EC5"/>
    <w:rsid w:val="005C1132"/>
    <w:rsid w:val="005C20B0"/>
    <w:rsid w:val="005C2A23"/>
    <w:rsid w:val="005C2BFC"/>
    <w:rsid w:val="005C3921"/>
    <w:rsid w:val="005C3A83"/>
    <w:rsid w:val="005C4912"/>
    <w:rsid w:val="005C4F4E"/>
    <w:rsid w:val="005C5157"/>
    <w:rsid w:val="005C6375"/>
    <w:rsid w:val="005C6CE6"/>
    <w:rsid w:val="005D09FF"/>
    <w:rsid w:val="005D0EED"/>
    <w:rsid w:val="005D1DE2"/>
    <w:rsid w:val="005D4BD4"/>
    <w:rsid w:val="005D4FC9"/>
    <w:rsid w:val="005D5C2B"/>
    <w:rsid w:val="005D6AA2"/>
    <w:rsid w:val="005E16EB"/>
    <w:rsid w:val="005E3D41"/>
    <w:rsid w:val="005E5A28"/>
    <w:rsid w:val="005E7613"/>
    <w:rsid w:val="005E787F"/>
    <w:rsid w:val="005E7C89"/>
    <w:rsid w:val="005F2D61"/>
    <w:rsid w:val="005F2EF5"/>
    <w:rsid w:val="005F45B7"/>
    <w:rsid w:val="005F4DEB"/>
    <w:rsid w:val="005F654A"/>
    <w:rsid w:val="005F6805"/>
    <w:rsid w:val="005F703F"/>
    <w:rsid w:val="005F74D9"/>
    <w:rsid w:val="0060044F"/>
    <w:rsid w:val="0060116F"/>
    <w:rsid w:val="00601CF6"/>
    <w:rsid w:val="00601FD3"/>
    <w:rsid w:val="006020B6"/>
    <w:rsid w:val="00602E95"/>
    <w:rsid w:val="0060313A"/>
    <w:rsid w:val="00603161"/>
    <w:rsid w:val="00605BCD"/>
    <w:rsid w:val="00606169"/>
    <w:rsid w:val="006070A4"/>
    <w:rsid w:val="006108D7"/>
    <w:rsid w:val="00611904"/>
    <w:rsid w:val="00612739"/>
    <w:rsid w:val="00612D26"/>
    <w:rsid w:val="00613EAE"/>
    <w:rsid w:val="00614382"/>
    <w:rsid w:val="00615279"/>
    <w:rsid w:val="00615562"/>
    <w:rsid w:val="0061583B"/>
    <w:rsid w:val="0061675D"/>
    <w:rsid w:val="00620B15"/>
    <w:rsid w:val="00621847"/>
    <w:rsid w:val="00621A53"/>
    <w:rsid w:val="006225BD"/>
    <w:rsid w:val="00623C74"/>
    <w:rsid w:val="00623C89"/>
    <w:rsid w:val="00624EAC"/>
    <w:rsid w:val="006257C9"/>
    <w:rsid w:val="00627C41"/>
    <w:rsid w:val="00630F02"/>
    <w:rsid w:val="00630F51"/>
    <w:rsid w:val="0063239A"/>
    <w:rsid w:val="00632867"/>
    <w:rsid w:val="00633817"/>
    <w:rsid w:val="00634139"/>
    <w:rsid w:val="00634304"/>
    <w:rsid w:val="00635CF7"/>
    <w:rsid w:val="0063662B"/>
    <w:rsid w:val="006369DB"/>
    <w:rsid w:val="006374E2"/>
    <w:rsid w:val="006404C0"/>
    <w:rsid w:val="00641D67"/>
    <w:rsid w:val="006429EE"/>
    <w:rsid w:val="00642C91"/>
    <w:rsid w:val="006430C8"/>
    <w:rsid w:val="00643812"/>
    <w:rsid w:val="00643CDC"/>
    <w:rsid w:val="006454ED"/>
    <w:rsid w:val="006467E1"/>
    <w:rsid w:val="00646977"/>
    <w:rsid w:val="00650B80"/>
    <w:rsid w:val="006515CA"/>
    <w:rsid w:val="00652615"/>
    <w:rsid w:val="006538B2"/>
    <w:rsid w:val="006547DF"/>
    <w:rsid w:val="00654B6C"/>
    <w:rsid w:val="006555E5"/>
    <w:rsid w:val="00655A05"/>
    <w:rsid w:val="0065764B"/>
    <w:rsid w:val="00657A4B"/>
    <w:rsid w:val="00660373"/>
    <w:rsid w:val="0066270C"/>
    <w:rsid w:val="00662873"/>
    <w:rsid w:val="006639EA"/>
    <w:rsid w:val="00663DB0"/>
    <w:rsid w:val="00664299"/>
    <w:rsid w:val="0066599B"/>
    <w:rsid w:val="006660E6"/>
    <w:rsid w:val="00671BF5"/>
    <w:rsid w:val="00672231"/>
    <w:rsid w:val="00672E0A"/>
    <w:rsid w:val="0067435F"/>
    <w:rsid w:val="00675CA8"/>
    <w:rsid w:val="006760A8"/>
    <w:rsid w:val="006768FE"/>
    <w:rsid w:val="00681A3F"/>
    <w:rsid w:val="0068213C"/>
    <w:rsid w:val="00682442"/>
    <w:rsid w:val="00684644"/>
    <w:rsid w:val="006848F1"/>
    <w:rsid w:val="00686280"/>
    <w:rsid w:val="00686DDA"/>
    <w:rsid w:val="006870BD"/>
    <w:rsid w:val="00687765"/>
    <w:rsid w:val="00692920"/>
    <w:rsid w:val="00693467"/>
    <w:rsid w:val="006938CB"/>
    <w:rsid w:val="00695373"/>
    <w:rsid w:val="0069554E"/>
    <w:rsid w:val="006955B0"/>
    <w:rsid w:val="0069693F"/>
    <w:rsid w:val="00696D43"/>
    <w:rsid w:val="00696E18"/>
    <w:rsid w:val="00697537"/>
    <w:rsid w:val="00697B18"/>
    <w:rsid w:val="00697CFD"/>
    <w:rsid w:val="00697F15"/>
    <w:rsid w:val="006A08ED"/>
    <w:rsid w:val="006A095C"/>
    <w:rsid w:val="006A13EC"/>
    <w:rsid w:val="006A21DC"/>
    <w:rsid w:val="006A266F"/>
    <w:rsid w:val="006A43D7"/>
    <w:rsid w:val="006A4E68"/>
    <w:rsid w:val="006A5423"/>
    <w:rsid w:val="006A578C"/>
    <w:rsid w:val="006A6DCA"/>
    <w:rsid w:val="006A6E9F"/>
    <w:rsid w:val="006A7FC5"/>
    <w:rsid w:val="006B0EA6"/>
    <w:rsid w:val="006B16D2"/>
    <w:rsid w:val="006B2E01"/>
    <w:rsid w:val="006B31BC"/>
    <w:rsid w:val="006B38D0"/>
    <w:rsid w:val="006B4A10"/>
    <w:rsid w:val="006B6F48"/>
    <w:rsid w:val="006C0187"/>
    <w:rsid w:val="006C046B"/>
    <w:rsid w:val="006C0572"/>
    <w:rsid w:val="006C255E"/>
    <w:rsid w:val="006C2A36"/>
    <w:rsid w:val="006C37CF"/>
    <w:rsid w:val="006C6C55"/>
    <w:rsid w:val="006C7463"/>
    <w:rsid w:val="006C7563"/>
    <w:rsid w:val="006C7BE7"/>
    <w:rsid w:val="006C7CE2"/>
    <w:rsid w:val="006D0810"/>
    <w:rsid w:val="006D0998"/>
    <w:rsid w:val="006D0CA0"/>
    <w:rsid w:val="006D2E93"/>
    <w:rsid w:val="006D304A"/>
    <w:rsid w:val="006D347A"/>
    <w:rsid w:val="006D3B50"/>
    <w:rsid w:val="006D561D"/>
    <w:rsid w:val="006D6D6D"/>
    <w:rsid w:val="006E0A0F"/>
    <w:rsid w:val="006E2150"/>
    <w:rsid w:val="006E3FCD"/>
    <w:rsid w:val="006E4189"/>
    <w:rsid w:val="006E498A"/>
    <w:rsid w:val="006E5A00"/>
    <w:rsid w:val="006E6D3B"/>
    <w:rsid w:val="006E7207"/>
    <w:rsid w:val="006F1C4E"/>
    <w:rsid w:val="006F5537"/>
    <w:rsid w:val="006F7A95"/>
    <w:rsid w:val="0070149C"/>
    <w:rsid w:val="0070181C"/>
    <w:rsid w:val="00706131"/>
    <w:rsid w:val="007067E0"/>
    <w:rsid w:val="0070685B"/>
    <w:rsid w:val="00707AD5"/>
    <w:rsid w:val="0071033B"/>
    <w:rsid w:val="0071124F"/>
    <w:rsid w:val="00713574"/>
    <w:rsid w:val="0071378E"/>
    <w:rsid w:val="00713C08"/>
    <w:rsid w:val="00714E68"/>
    <w:rsid w:val="00714EDD"/>
    <w:rsid w:val="007178A6"/>
    <w:rsid w:val="007179DD"/>
    <w:rsid w:val="00720476"/>
    <w:rsid w:val="007229A5"/>
    <w:rsid w:val="0073201D"/>
    <w:rsid w:val="0073278F"/>
    <w:rsid w:val="00734204"/>
    <w:rsid w:val="00734CC9"/>
    <w:rsid w:val="00735D09"/>
    <w:rsid w:val="00735FDC"/>
    <w:rsid w:val="007362A5"/>
    <w:rsid w:val="007366EC"/>
    <w:rsid w:val="00736D81"/>
    <w:rsid w:val="007409E9"/>
    <w:rsid w:val="00740A1E"/>
    <w:rsid w:val="0074125D"/>
    <w:rsid w:val="007419AE"/>
    <w:rsid w:val="007420D0"/>
    <w:rsid w:val="00743975"/>
    <w:rsid w:val="00744193"/>
    <w:rsid w:val="00744ED7"/>
    <w:rsid w:val="00745413"/>
    <w:rsid w:val="00745497"/>
    <w:rsid w:val="007466D2"/>
    <w:rsid w:val="007467A5"/>
    <w:rsid w:val="007478B5"/>
    <w:rsid w:val="00747B6D"/>
    <w:rsid w:val="00750C14"/>
    <w:rsid w:val="00751480"/>
    <w:rsid w:val="00755303"/>
    <w:rsid w:val="007553FE"/>
    <w:rsid w:val="00755F41"/>
    <w:rsid w:val="007571F4"/>
    <w:rsid w:val="0075762F"/>
    <w:rsid w:val="0075796C"/>
    <w:rsid w:val="00757DC8"/>
    <w:rsid w:val="0076000A"/>
    <w:rsid w:val="007600E2"/>
    <w:rsid w:val="00761941"/>
    <w:rsid w:val="0076209B"/>
    <w:rsid w:val="00762734"/>
    <w:rsid w:val="00763963"/>
    <w:rsid w:val="00763D90"/>
    <w:rsid w:val="00764410"/>
    <w:rsid w:val="00764725"/>
    <w:rsid w:val="00767B2A"/>
    <w:rsid w:val="00772721"/>
    <w:rsid w:val="0077361D"/>
    <w:rsid w:val="00773E20"/>
    <w:rsid w:val="00775CF6"/>
    <w:rsid w:val="00776506"/>
    <w:rsid w:val="00776A0D"/>
    <w:rsid w:val="007772AE"/>
    <w:rsid w:val="0077771E"/>
    <w:rsid w:val="00777BBE"/>
    <w:rsid w:val="00781C54"/>
    <w:rsid w:val="00783277"/>
    <w:rsid w:val="00783AE6"/>
    <w:rsid w:val="00784958"/>
    <w:rsid w:val="00784B70"/>
    <w:rsid w:val="00784DDF"/>
    <w:rsid w:val="007866B2"/>
    <w:rsid w:val="007866B3"/>
    <w:rsid w:val="00790129"/>
    <w:rsid w:val="007920E0"/>
    <w:rsid w:val="007927AB"/>
    <w:rsid w:val="007938D6"/>
    <w:rsid w:val="00794063"/>
    <w:rsid w:val="00794FD2"/>
    <w:rsid w:val="00795A65"/>
    <w:rsid w:val="00795BC6"/>
    <w:rsid w:val="00795FE2"/>
    <w:rsid w:val="0079640E"/>
    <w:rsid w:val="007978E0"/>
    <w:rsid w:val="007A28C2"/>
    <w:rsid w:val="007A5051"/>
    <w:rsid w:val="007A5F93"/>
    <w:rsid w:val="007A7F87"/>
    <w:rsid w:val="007B2530"/>
    <w:rsid w:val="007B2BBD"/>
    <w:rsid w:val="007B2D05"/>
    <w:rsid w:val="007B3082"/>
    <w:rsid w:val="007B4AA0"/>
    <w:rsid w:val="007B5939"/>
    <w:rsid w:val="007B680B"/>
    <w:rsid w:val="007C00E9"/>
    <w:rsid w:val="007C22F3"/>
    <w:rsid w:val="007C237C"/>
    <w:rsid w:val="007C4AE4"/>
    <w:rsid w:val="007C61CB"/>
    <w:rsid w:val="007C6B4F"/>
    <w:rsid w:val="007D002C"/>
    <w:rsid w:val="007D0638"/>
    <w:rsid w:val="007D0883"/>
    <w:rsid w:val="007D1256"/>
    <w:rsid w:val="007D2610"/>
    <w:rsid w:val="007D2915"/>
    <w:rsid w:val="007D42C4"/>
    <w:rsid w:val="007D5E1D"/>
    <w:rsid w:val="007D60EA"/>
    <w:rsid w:val="007D713E"/>
    <w:rsid w:val="007D7D2E"/>
    <w:rsid w:val="007E0CBE"/>
    <w:rsid w:val="007E15EE"/>
    <w:rsid w:val="007E1E3F"/>
    <w:rsid w:val="007E2F56"/>
    <w:rsid w:val="007E31C2"/>
    <w:rsid w:val="007E32E6"/>
    <w:rsid w:val="007E4C0C"/>
    <w:rsid w:val="007E7703"/>
    <w:rsid w:val="007E7D2C"/>
    <w:rsid w:val="007F09AD"/>
    <w:rsid w:val="007F0EAA"/>
    <w:rsid w:val="007F36F0"/>
    <w:rsid w:val="007F4180"/>
    <w:rsid w:val="007F4946"/>
    <w:rsid w:val="007F63C7"/>
    <w:rsid w:val="007F6AF5"/>
    <w:rsid w:val="007F73FD"/>
    <w:rsid w:val="008000B4"/>
    <w:rsid w:val="008008E0"/>
    <w:rsid w:val="0080115E"/>
    <w:rsid w:val="008020A5"/>
    <w:rsid w:val="008024E3"/>
    <w:rsid w:val="00802C64"/>
    <w:rsid w:val="00802FD3"/>
    <w:rsid w:val="00803592"/>
    <w:rsid w:val="00804879"/>
    <w:rsid w:val="00804A24"/>
    <w:rsid w:val="008059F8"/>
    <w:rsid w:val="00806E7A"/>
    <w:rsid w:val="008070FB"/>
    <w:rsid w:val="008079C7"/>
    <w:rsid w:val="00807E4C"/>
    <w:rsid w:val="008104DD"/>
    <w:rsid w:val="008105E4"/>
    <w:rsid w:val="00813339"/>
    <w:rsid w:val="0081347B"/>
    <w:rsid w:val="0081361F"/>
    <w:rsid w:val="00813B16"/>
    <w:rsid w:val="008145EB"/>
    <w:rsid w:val="008155D4"/>
    <w:rsid w:val="00815F42"/>
    <w:rsid w:val="00817E00"/>
    <w:rsid w:val="008234D5"/>
    <w:rsid w:val="008246A6"/>
    <w:rsid w:val="00824B9E"/>
    <w:rsid w:val="00824E23"/>
    <w:rsid w:val="008259CB"/>
    <w:rsid w:val="00826F16"/>
    <w:rsid w:val="00827E78"/>
    <w:rsid w:val="00830AD0"/>
    <w:rsid w:val="00831D1F"/>
    <w:rsid w:val="00833097"/>
    <w:rsid w:val="00834343"/>
    <w:rsid w:val="00834EB2"/>
    <w:rsid w:val="008351CC"/>
    <w:rsid w:val="008373A8"/>
    <w:rsid w:val="008403A9"/>
    <w:rsid w:val="00840ECF"/>
    <w:rsid w:val="0084205E"/>
    <w:rsid w:val="00842247"/>
    <w:rsid w:val="00842368"/>
    <w:rsid w:val="00846017"/>
    <w:rsid w:val="00846467"/>
    <w:rsid w:val="008471B5"/>
    <w:rsid w:val="008471C4"/>
    <w:rsid w:val="00850979"/>
    <w:rsid w:val="0085119D"/>
    <w:rsid w:val="00852738"/>
    <w:rsid w:val="0085439B"/>
    <w:rsid w:val="008548BD"/>
    <w:rsid w:val="00856869"/>
    <w:rsid w:val="008568A9"/>
    <w:rsid w:val="00856921"/>
    <w:rsid w:val="0085693A"/>
    <w:rsid w:val="008569CD"/>
    <w:rsid w:val="008578B4"/>
    <w:rsid w:val="00857F23"/>
    <w:rsid w:val="00860844"/>
    <w:rsid w:val="0086085E"/>
    <w:rsid w:val="0086097D"/>
    <w:rsid w:val="008610BA"/>
    <w:rsid w:val="00861DC6"/>
    <w:rsid w:val="0086219B"/>
    <w:rsid w:val="0086270C"/>
    <w:rsid w:val="00862807"/>
    <w:rsid w:val="00863155"/>
    <w:rsid w:val="00863928"/>
    <w:rsid w:val="00864239"/>
    <w:rsid w:val="00867A3B"/>
    <w:rsid w:val="0087052D"/>
    <w:rsid w:val="008712BA"/>
    <w:rsid w:val="00871392"/>
    <w:rsid w:val="00872B89"/>
    <w:rsid w:val="0087476C"/>
    <w:rsid w:val="00876E56"/>
    <w:rsid w:val="00877E36"/>
    <w:rsid w:val="008808EA"/>
    <w:rsid w:val="008815F2"/>
    <w:rsid w:val="00881EB7"/>
    <w:rsid w:val="00884665"/>
    <w:rsid w:val="00884C71"/>
    <w:rsid w:val="00885364"/>
    <w:rsid w:val="008855C7"/>
    <w:rsid w:val="008859C4"/>
    <w:rsid w:val="00885B35"/>
    <w:rsid w:val="00885F96"/>
    <w:rsid w:val="00886C18"/>
    <w:rsid w:val="008900B5"/>
    <w:rsid w:val="0089051C"/>
    <w:rsid w:val="00890EE3"/>
    <w:rsid w:val="008965D7"/>
    <w:rsid w:val="00896CF6"/>
    <w:rsid w:val="00896D4D"/>
    <w:rsid w:val="00897C02"/>
    <w:rsid w:val="008A0F8B"/>
    <w:rsid w:val="008A1631"/>
    <w:rsid w:val="008A1DFE"/>
    <w:rsid w:val="008A35A3"/>
    <w:rsid w:val="008A6FCA"/>
    <w:rsid w:val="008A793E"/>
    <w:rsid w:val="008B1AC7"/>
    <w:rsid w:val="008B3B55"/>
    <w:rsid w:val="008B3FAC"/>
    <w:rsid w:val="008B4C41"/>
    <w:rsid w:val="008B5431"/>
    <w:rsid w:val="008B5A1B"/>
    <w:rsid w:val="008B5B4D"/>
    <w:rsid w:val="008B5C08"/>
    <w:rsid w:val="008B6805"/>
    <w:rsid w:val="008B7501"/>
    <w:rsid w:val="008C1EFE"/>
    <w:rsid w:val="008C64C1"/>
    <w:rsid w:val="008D02B2"/>
    <w:rsid w:val="008D153D"/>
    <w:rsid w:val="008D1682"/>
    <w:rsid w:val="008D195C"/>
    <w:rsid w:val="008D5054"/>
    <w:rsid w:val="008E0B4B"/>
    <w:rsid w:val="008E1370"/>
    <w:rsid w:val="008E1ACB"/>
    <w:rsid w:val="008E2920"/>
    <w:rsid w:val="008E4045"/>
    <w:rsid w:val="008E468F"/>
    <w:rsid w:val="008E47FB"/>
    <w:rsid w:val="008E56C4"/>
    <w:rsid w:val="008E5A1F"/>
    <w:rsid w:val="008E5B03"/>
    <w:rsid w:val="008F00C8"/>
    <w:rsid w:val="008F034D"/>
    <w:rsid w:val="008F18DA"/>
    <w:rsid w:val="008F5165"/>
    <w:rsid w:val="008F637F"/>
    <w:rsid w:val="008F71DA"/>
    <w:rsid w:val="008F7CF8"/>
    <w:rsid w:val="00900BAA"/>
    <w:rsid w:val="00901952"/>
    <w:rsid w:val="00902861"/>
    <w:rsid w:val="00903D58"/>
    <w:rsid w:val="009044A5"/>
    <w:rsid w:val="009046AE"/>
    <w:rsid w:val="00905940"/>
    <w:rsid w:val="00905F41"/>
    <w:rsid w:val="009065EA"/>
    <w:rsid w:val="009067CD"/>
    <w:rsid w:val="00910D21"/>
    <w:rsid w:val="00913839"/>
    <w:rsid w:val="00913CD5"/>
    <w:rsid w:val="0091601B"/>
    <w:rsid w:val="00916F99"/>
    <w:rsid w:val="0091725D"/>
    <w:rsid w:val="00921F6D"/>
    <w:rsid w:val="009223D4"/>
    <w:rsid w:val="00924B98"/>
    <w:rsid w:val="0092502C"/>
    <w:rsid w:val="009300F1"/>
    <w:rsid w:val="00930433"/>
    <w:rsid w:val="00931AE0"/>
    <w:rsid w:val="0093225F"/>
    <w:rsid w:val="0093242B"/>
    <w:rsid w:val="00932F6F"/>
    <w:rsid w:val="00933866"/>
    <w:rsid w:val="009343C5"/>
    <w:rsid w:val="009348D4"/>
    <w:rsid w:val="00934B1A"/>
    <w:rsid w:val="00935695"/>
    <w:rsid w:val="0093660C"/>
    <w:rsid w:val="00936C47"/>
    <w:rsid w:val="00936F20"/>
    <w:rsid w:val="009372DA"/>
    <w:rsid w:val="00940859"/>
    <w:rsid w:val="00940B26"/>
    <w:rsid w:val="009439AF"/>
    <w:rsid w:val="00943C21"/>
    <w:rsid w:val="00943F53"/>
    <w:rsid w:val="0094420C"/>
    <w:rsid w:val="009450CF"/>
    <w:rsid w:val="009458BA"/>
    <w:rsid w:val="00945B59"/>
    <w:rsid w:val="00946690"/>
    <w:rsid w:val="009468D6"/>
    <w:rsid w:val="009473D3"/>
    <w:rsid w:val="00947D45"/>
    <w:rsid w:val="009508A4"/>
    <w:rsid w:val="009508E3"/>
    <w:rsid w:val="00950E6D"/>
    <w:rsid w:val="00951529"/>
    <w:rsid w:val="00951C65"/>
    <w:rsid w:val="00951E86"/>
    <w:rsid w:val="009520B3"/>
    <w:rsid w:val="00952B0B"/>
    <w:rsid w:val="00953086"/>
    <w:rsid w:val="00954D06"/>
    <w:rsid w:val="0095651C"/>
    <w:rsid w:val="009577F2"/>
    <w:rsid w:val="00957915"/>
    <w:rsid w:val="009601C9"/>
    <w:rsid w:val="009616D3"/>
    <w:rsid w:val="00965313"/>
    <w:rsid w:val="0096588B"/>
    <w:rsid w:val="00965C0F"/>
    <w:rsid w:val="0096650D"/>
    <w:rsid w:val="00972D9F"/>
    <w:rsid w:val="00973964"/>
    <w:rsid w:val="00973B35"/>
    <w:rsid w:val="00975E2E"/>
    <w:rsid w:val="00976ACF"/>
    <w:rsid w:val="00980D1A"/>
    <w:rsid w:val="009811C5"/>
    <w:rsid w:val="00982B35"/>
    <w:rsid w:val="00982F71"/>
    <w:rsid w:val="009833E2"/>
    <w:rsid w:val="00983C5F"/>
    <w:rsid w:val="00986633"/>
    <w:rsid w:val="00986C05"/>
    <w:rsid w:val="00987689"/>
    <w:rsid w:val="0099096A"/>
    <w:rsid w:val="009928B1"/>
    <w:rsid w:val="00992D0F"/>
    <w:rsid w:val="00994510"/>
    <w:rsid w:val="009A04C9"/>
    <w:rsid w:val="009A1219"/>
    <w:rsid w:val="009A1762"/>
    <w:rsid w:val="009A1D51"/>
    <w:rsid w:val="009A1DDF"/>
    <w:rsid w:val="009A30A9"/>
    <w:rsid w:val="009A41AC"/>
    <w:rsid w:val="009A41DB"/>
    <w:rsid w:val="009A4253"/>
    <w:rsid w:val="009A4285"/>
    <w:rsid w:val="009A542F"/>
    <w:rsid w:val="009A5F6D"/>
    <w:rsid w:val="009A7CB0"/>
    <w:rsid w:val="009B041E"/>
    <w:rsid w:val="009B07F4"/>
    <w:rsid w:val="009B1F19"/>
    <w:rsid w:val="009B2CA9"/>
    <w:rsid w:val="009B33BD"/>
    <w:rsid w:val="009B3B2B"/>
    <w:rsid w:val="009B3C13"/>
    <w:rsid w:val="009B3E6A"/>
    <w:rsid w:val="009B3EA0"/>
    <w:rsid w:val="009B4B71"/>
    <w:rsid w:val="009B5C97"/>
    <w:rsid w:val="009C0673"/>
    <w:rsid w:val="009C0BD6"/>
    <w:rsid w:val="009C1666"/>
    <w:rsid w:val="009C1C49"/>
    <w:rsid w:val="009C5EEF"/>
    <w:rsid w:val="009C5F84"/>
    <w:rsid w:val="009C63B6"/>
    <w:rsid w:val="009C6492"/>
    <w:rsid w:val="009C6FD5"/>
    <w:rsid w:val="009C7206"/>
    <w:rsid w:val="009D1AE5"/>
    <w:rsid w:val="009D39B3"/>
    <w:rsid w:val="009D40E7"/>
    <w:rsid w:val="009D495F"/>
    <w:rsid w:val="009D55FC"/>
    <w:rsid w:val="009D5A0B"/>
    <w:rsid w:val="009E3F72"/>
    <w:rsid w:val="009E4DA7"/>
    <w:rsid w:val="009E51B5"/>
    <w:rsid w:val="009E596C"/>
    <w:rsid w:val="009E5B63"/>
    <w:rsid w:val="009E63B7"/>
    <w:rsid w:val="009E700A"/>
    <w:rsid w:val="009E7921"/>
    <w:rsid w:val="009F17A3"/>
    <w:rsid w:val="009F2DFB"/>
    <w:rsid w:val="009F50A2"/>
    <w:rsid w:val="009F5B7E"/>
    <w:rsid w:val="009F61AB"/>
    <w:rsid w:val="009F6AE2"/>
    <w:rsid w:val="00A00211"/>
    <w:rsid w:val="00A00A25"/>
    <w:rsid w:val="00A00BC8"/>
    <w:rsid w:val="00A01C5A"/>
    <w:rsid w:val="00A0357D"/>
    <w:rsid w:val="00A03F4F"/>
    <w:rsid w:val="00A03F6B"/>
    <w:rsid w:val="00A04AC4"/>
    <w:rsid w:val="00A05BB9"/>
    <w:rsid w:val="00A05DB7"/>
    <w:rsid w:val="00A064AC"/>
    <w:rsid w:val="00A06932"/>
    <w:rsid w:val="00A078D7"/>
    <w:rsid w:val="00A112EA"/>
    <w:rsid w:val="00A12DD0"/>
    <w:rsid w:val="00A13EA0"/>
    <w:rsid w:val="00A1487A"/>
    <w:rsid w:val="00A14E6E"/>
    <w:rsid w:val="00A15CAB"/>
    <w:rsid w:val="00A21AB7"/>
    <w:rsid w:val="00A2503B"/>
    <w:rsid w:val="00A26428"/>
    <w:rsid w:val="00A264BB"/>
    <w:rsid w:val="00A27229"/>
    <w:rsid w:val="00A27A68"/>
    <w:rsid w:val="00A3071B"/>
    <w:rsid w:val="00A31452"/>
    <w:rsid w:val="00A31DAC"/>
    <w:rsid w:val="00A321FD"/>
    <w:rsid w:val="00A36405"/>
    <w:rsid w:val="00A3737E"/>
    <w:rsid w:val="00A37E33"/>
    <w:rsid w:val="00A37FE1"/>
    <w:rsid w:val="00A403AF"/>
    <w:rsid w:val="00A40EB4"/>
    <w:rsid w:val="00A41811"/>
    <w:rsid w:val="00A4182C"/>
    <w:rsid w:val="00A4201D"/>
    <w:rsid w:val="00A420C9"/>
    <w:rsid w:val="00A43501"/>
    <w:rsid w:val="00A44B91"/>
    <w:rsid w:val="00A4589D"/>
    <w:rsid w:val="00A473CB"/>
    <w:rsid w:val="00A50965"/>
    <w:rsid w:val="00A5114B"/>
    <w:rsid w:val="00A52103"/>
    <w:rsid w:val="00A52EC1"/>
    <w:rsid w:val="00A53631"/>
    <w:rsid w:val="00A53C19"/>
    <w:rsid w:val="00A543AA"/>
    <w:rsid w:val="00A54F38"/>
    <w:rsid w:val="00A61AAD"/>
    <w:rsid w:val="00A6386D"/>
    <w:rsid w:val="00A662FB"/>
    <w:rsid w:val="00A6634C"/>
    <w:rsid w:val="00A6735F"/>
    <w:rsid w:val="00A709DE"/>
    <w:rsid w:val="00A711D3"/>
    <w:rsid w:val="00A71BAF"/>
    <w:rsid w:val="00A72189"/>
    <w:rsid w:val="00A72591"/>
    <w:rsid w:val="00A73C30"/>
    <w:rsid w:val="00A73E3F"/>
    <w:rsid w:val="00A73F5C"/>
    <w:rsid w:val="00A742B7"/>
    <w:rsid w:val="00A75625"/>
    <w:rsid w:val="00A759AA"/>
    <w:rsid w:val="00A761E0"/>
    <w:rsid w:val="00A80F13"/>
    <w:rsid w:val="00A81966"/>
    <w:rsid w:val="00A83A3E"/>
    <w:rsid w:val="00A83D14"/>
    <w:rsid w:val="00A849EA"/>
    <w:rsid w:val="00A84EC7"/>
    <w:rsid w:val="00A869A3"/>
    <w:rsid w:val="00A901AA"/>
    <w:rsid w:val="00A95174"/>
    <w:rsid w:val="00A95897"/>
    <w:rsid w:val="00A95FFD"/>
    <w:rsid w:val="00A96CC6"/>
    <w:rsid w:val="00AA08E4"/>
    <w:rsid w:val="00AA2205"/>
    <w:rsid w:val="00AA2C1D"/>
    <w:rsid w:val="00AA3197"/>
    <w:rsid w:val="00AA3DC6"/>
    <w:rsid w:val="00AA5BDB"/>
    <w:rsid w:val="00AA5DAA"/>
    <w:rsid w:val="00AA636F"/>
    <w:rsid w:val="00AA6FD8"/>
    <w:rsid w:val="00AB0C6A"/>
    <w:rsid w:val="00AB28E3"/>
    <w:rsid w:val="00AB29AF"/>
    <w:rsid w:val="00AB4312"/>
    <w:rsid w:val="00AB46E4"/>
    <w:rsid w:val="00AB47A9"/>
    <w:rsid w:val="00AB4A1E"/>
    <w:rsid w:val="00AB6E53"/>
    <w:rsid w:val="00AB7624"/>
    <w:rsid w:val="00AB79A3"/>
    <w:rsid w:val="00AC02D3"/>
    <w:rsid w:val="00AC138F"/>
    <w:rsid w:val="00AC1BC8"/>
    <w:rsid w:val="00AC1F5A"/>
    <w:rsid w:val="00AC2C19"/>
    <w:rsid w:val="00AC551F"/>
    <w:rsid w:val="00AC640B"/>
    <w:rsid w:val="00AC6691"/>
    <w:rsid w:val="00AC6C48"/>
    <w:rsid w:val="00AC6F6F"/>
    <w:rsid w:val="00AC75BD"/>
    <w:rsid w:val="00AC7AF5"/>
    <w:rsid w:val="00AC7D70"/>
    <w:rsid w:val="00AD289B"/>
    <w:rsid w:val="00AD392E"/>
    <w:rsid w:val="00AD4366"/>
    <w:rsid w:val="00AD44CE"/>
    <w:rsid w:val="00AD4818"/>
    <w:rsid w:val="00AD572C"/>
    <w:rsid w:val="00AD5BAD"/>
    <w:rsid w:val="00AD6047"/>
    <w:rsid w:val="00AD74E5"/>
    <w:rsid w:val="00AD7512"/>
    <w:rsid w:val="00AE4598"/>
    <w:rsid w:val="00AE504A"/>
    <w:rsid w:val="00AE513D"/>
    <w:rsid w:val="00AE54C4"/>
    <w:rsid w:val="00AE73DE"/>
    <w:rsid w:val="00AF02F5"/>
    <w:rsid w:val="00AF067A"/>
    <w:rsid w:val="00AF12B2"/>
    <w:rsid w:val="00AF18FF"/>
    <w:rsid w:val="00AF3139"/>
    <w:rsid w:val="00AF369F"/>
    <w:rsid w:val="00AF373D"/>
    <w:rsid w:val="00AF3827"/>
    <w:rsid w:val="00AF3C80"/>
    <w:rsid w:val="00AF3FE9"/>
    <w:rsid w:val="00AF5984"/>
    <w:rsid w:val="00AF65BC"/>
    <w:rsid w:val="00AF6D50"/>
    <w:rsid w:val="00AF6D94"/>
    <w:rsid w:val="00AF733A"/>
    <w:rsid w:val="00B02807"/>
    <w:rsid w:val="00B02C32"/>
    <w:rsid w:val="00B03896"/>
    <w:rsid w:val="00B041DE"/>
    <w:rsid w:val="00B10851"/>
    <w:rsid w:val="00B108DA"/>
    <w:rsid w:val="00B113E1"/>
    <w:rsid w:val="00B11467"/>
    <w:rsid w:val="00B115FD"/>
    <w:rsid w:val="00B1204B"/>
    <w:rsid w:val="00B12362"/>
    <w:rsid w:val="00B157B0"/>
    <w:rsid w:val="00B16157"/>
    <w:rsid w:val="00B168B7"/>
    <w:rsid w:val="00B169B6"/>
    <w:rsid w:val="00B16C35"/>
    <w:rsid w:val="00B17198"/>
    <w:rsid w:val="00B20C02"/>
    <w:rsid w:val="00B21931"/>
    <w:rsid w:val="00B2350B"/>
    <w:rsid w:val="00B23B89"/>
    <w:rsid w:val="00B25CDF"/>
    <w:rsid w:val="00B26A23"/>
    <w:rsid w:val="00B27795"/>
    <w:rsid w:val="00B27C5F"/>
    <w:rsid w:val="00B32872"/>
    <w:rsid w:val="00B32C00"/>
    <w:rsid w:val="00B33A95"/>
    <w:rsid w:val="00B34D71"/>
    <w:rsid w:val="00B34FDE"/>
    <w:rsid w:val="00B354F4"/>
    <w:rsid w:val="00B359C5"/>
    <w:rsid w:val="00B36C2D"/>
    <w:rsid w:val="00B40A52"/>
    <w:rsid w:val="00B42784"/>
    <w:rsid w:val="00B42E5B"/>
    <w:rsid w:val="00B42FB9"/>
    <w:rsid w:val="00B43BF6"/>
    <w:rsid w:val="00B44B28"/>
    <w:rsid w:val="00B46C4D"/>
    <w:rsid w:val="00B472AB"/>
    <w:rsid w:val="00B4786F"/>
    <w:rsid w:val="00B50574"/>
    <w:rsid w:val="00B50ABC"/>
    <w:rsid w:val="00B514FC"/>
    <w:rsid w:val="00B525A1"/>
    <w:rsid w:val="00B52D58"/>
    <w:rsid w:val="00B531F6"/>
    <w:rsid w:val="00B536DD"/>
    <w:rsid w:val="00B5371F"/>
    <w:rsid w:val="00B53AA3"/>
    <w:rsid w:val="00B559A4"/>
    <w:rsid w:val="00B57A1C"/>
    <w:rsid w:val="00B57F12"/>
    <w:rsid w:val="00B60ED0"/>
    <w:rsid w:val="00B6249D"/>
    <w:rsid w:val="00B62C9E"/>
    <w:rsid w:val="00B63E03"/>
    <w:rsid w:val="00B65346"/>
    <w:rsid w:val="00B65E27"/>
    <w:rsid w:val="00B65EE0"/>
    <w:rsid w:val="00B71A49"/>
    <w:rsid w:val="00B72C18"/>
    <w:rsid w:val="00B72F9A"/>
    <w:rsid w:val="00B734A5"/>
    <w:rsid w:val="00B74D49"/>
    <w:rsid w:val="00B75156"/>
    <w:rsid w:val="00B77367"/>
    <w:rsid w:val="00B80BA1"/>
    <w:rsid w:val="00B80ECC"/>
    <w:rsid w:val="00B80F40"/>
    <w:rsid w:val="00B8145F"/>
    <w:rsid w:val="00B81D36"/>
    <w:rsid w:val="00B82D87"/>
    <w:rsid w:val="00B862BC"/>
    <w:rsid w:val="00B86B46"/>
    <w:rsid w:val="00B87489"/>
    <w:rsid w:val="00B8768C"/>
    <w:rsid w:val="00B87819"/>
    <w:rsid w:val="00B87905"/>
    <w:rsid w:val="00B87C8B"/>
    <w:rsid w:val="00B87EC7"/>
    <w:rsid w:val="00B9003F"/>
    <w:rsid w:val="00B909C8"/>
    <w:rsid w:val="00B90BA5"/>
    <w:rsid w:val="00B90F00"/>
    <w:rsid w:val="00B91EF9"/>
    <w:rsid w:val="00B92527"/>
    <w:rsid w:val="00B935C7"/>
    <w:rsid w:val="00B94570"/>
    <w:rsid w:val="00B945F9"/>
    <w:rsid w:val="00B94CEB"/>
    <w:rsid w:val="00B94F4A"/>
    <w:rsid w:val="00B95358"/>
    <w:rsid w:val="00B953D5"/>
    <w:rsid w:val="00B9543B"/>
    <w:rsid w:val="00B96DFA"/>
    <w:rsid w:val="00BA001A"/>
    <w:rsid w:val="00BA0478"/>
    <w:rsid w:val="00BA04EC"/>
    <w:rsid w:val="00BA053E"/>
    <w:rsid w:val="00BA064F"/>
    <w:rsid w:val="00BA3E48"/>
    <w:rsid w:val="00BA42DA"/>
    <w:rsid w:val="00BA44A2"/>
    <w:rsid w:val="00BA6DCA"/>
    <w:rsid w:val="00BA757D"/>
    <w:rsid w:val="00BA7EA1"/>
    <w:rsid w:val="00BB028F"/>
    <w:rsid w:val="00BB0A3D"/>
    <w:rsid w:val="00BB11B0"/>
    <w:rsid w:val="00BB371D"/>
    <w:rsid w:val="00BB4CC7"/>
    <w:rsid w:val="00BB5E2E"/>
    <w:rsid w:val="00BB60C7"/>
    <w:rsid w:val="00BB7031"/>
    <w:rsid w:val="00BC0E39"/>
    <w:rsid w:val="00BC1ABF"/>
    <w:rsid w:val="00BC218D"/>
    <w:rsid w:val="00BC3834"/>
    <w:rsid w:val="00BC3D4D"/>
    <w:rsid w:val="00BC3FD4"/>
    <w:rsid w:val="00BC4130"/>
    <w:rsid w:val="00BC5FD7"/>
    <w:rsid w:val="00BD29D1"/>
    <w:rsid w:val="00BD5B9C"/>
    <w:rsid w:val="00BD6867"/>
    <w:rsid w:val="00BD7982"/>
    <w:rsid w:val="00BD7C75"/>
    <w:rsid w:val="00BE105E"/>
    <w:rsid w:val="00BE14F3"/>
    <w:rsid w:val="00BE2A16"/>
    <w:rsid w:val="00BE3234"/>
    <w:rsid w:val="00BE473A"/>
    <w:rsid w:val="00BE4D2F"/>
    <w:rsid w:val="00BE62FC"/>
    <w:rsid w:val="00BF0DC2"/>
    <w:rsid w:val="00BF1243"/>
    <w:rsid w:val="00BF156E"/>
    <w:rsid w:val="00BF1D32"/>
    <w:rsid w:val="00BF318F"/>
    <w:rsid w:val="00BF4FE8"/>
    <w:rsid w:val="00BF6AEC"/>
    <w:rsid w:val="00BF71D1"/>
    <w:rsid w:val="00C01307"/>
    <w:rsid w:val="00C02467"/>
    <w:rsid w:val="00C02A6C"/>
    <w:rsid w:val="00C02E16"/>
    <w:rsid w:val="00C0325D"/>
    <w:rsid w:val="00C0329B"/>
    <w:rsid w:val="00C038F5"/>
    <w:rsid w:val="00C046B8"/>
    <w:rsid w:val="00C05082"/>
    <w:rsid w:val="00C07436"/>
    <w:rsid w:val="00C07C90"/>
    <w:rsid w:val="00C1108B"/>
    <w:rsid w:val="00C12434"/>
    <w:rsid w:val="00C12784"/>
    <w:rsid w:val="00C130D1"/>
    <w:rsid w:val="00C13554"/>
    <w:rsid w:val="00C13562"/>
    <w:rsid w:val="00C13A3B"/>
    <w:rsid w:val="00C14D50"/>
    <w:rsid w:val="00C15804"/>
    <w:rsid w:val="00C17292"/>
    <w:rsid w:val="00C1762E"/>
    <w:rsid w:val="00C20FDB"/>
    <w:rsid w:val="00C21DD9"/>
    <w:rsid w:val="00C21EE1"/>
    <w:rsid w:val="00C222D3"/>
    <w:rsid w:val="00C223A9"/>
    <w:rsid w:val="00C22460"/>
    <w:rsid w:val="00C24043"/>
    <w:rsid w:val="00C24595"/>
    <w:rsid w:val="00C248D4"/>
    <w:rsid w:val="00C25A40"/>
    <w:rsid w:val="00C31CCE"/>
    <w:rsid w:val="00C33370"/>
    <w:rsid w:val="00C335E0"/>
    <w:rsid w:val="00C33680"/>
    <w:rsid w:val="00C34528"/>
    <w:rsid w:val="00C34705"/>
    <w:rsid w:val="00C34FEB"/>
    <w:rsid w:val="00C355CE"/>
    <w:rsid w:val="00C35C56"/>
    <w:rsid w:val="00C36E39"/>
    <w:rsid w:val="00C3718E"/>
    <w:rsid w:val="00C4081D"/>
    <w:rsid w:val="00C4137C"/>
    <w:rsid w:val="00C41618"/>
    <w:rsid w:val="00C44B75"/>
    <w:rsid w:val="00C44CFD"/>
    <w:rsid w:val="00C465C7"/>
    <w:rsid w:val="00C466C8"/>
    <w:rsid w:val="00C47784"/>
    <w:rsid w:val="00C47CD7"/>
    <w:rsid w:val="00C50B38"/>
    <w:rsid w:val="00C53A48"/>
    <w:rsid w:val="00C53B37"/>
    <w:rsid w:val="00C55168"/>
    <w:rsid w:val="00C6192C"/>
    <w:rsid w:val="00C61BB8"/>
    <w:rsid w:val="00C63AE8"/>
    <w:rsid w:val="00C6408F"/>
    <w:rsid w:val="00C6451C"/>
    <w:rsid w:val="00C6520C"/>
    <w:rsid w:val="00C65243"/>
    <w:rsid w:val="00C6650B"/>
    <w:rsid w:val="00C670A5"/>
    <w:rsid w:val="00C702F7"/>
    <w:rsid w:val="00C7096C"/>
    <w:rsid w:val="00C709D6"/>
    <w:rsid w:val="00C72E2E"/>
    <w:rsid w:val="00C7323F"/>
    <w:rsid w:val="00C73A06"/>
    <w:rsid w:val="00C7427F"/>
    <w:rsid w:val="00C74F42"/>
    <w:rsid w:val="00C75EAE"/>
    <w:rsid w:val="00C75EC2"/>
    <w:rsid w:val="00C7687C"/>
    <w:rsid w:val="00C76DD8"/>
    <w:rsid w:val="00C8017D"/>
    <w:rsid w:val="00C81CA4"/>
    <w:rsid w:val="00C81D07"/>
    <w:rsid w:val="00C82BAA"/>
    <w:rsid w:val="00C8468B"/>
    <w:rsid w:val="00C857C4"/>
    <w:rsid w:val="00C85859"/>
    <w:rsid w:val="00C86337"/>
    <w:rsid w:val="00C87892"/>
    <w:rsid w:val="00C92FC5"/>
    <w:rsid w:val="00C935F9"/>
    <w:rsid w:val="00C9368B"/>
    <w:rsid w:val="00C940BD"/>
    <w:rsid w:val="00C94190"/>
    <w:rsid w:val="00C953EE"/>
    <w:rsid w:val="00C96FC4"/>
    <w:rsid w:val="00C97605"/>
    <w:rsid w:val="00C9792B"/>
    <w:rsid w:val="00C97CBF"/>
    <w:rsid w:val="00CA093A"/>
    <w:rsid w:val="00CA0B07"/>
    <w:rsid w:val="00CA17C6"/>
    <w:rsid w:val="00CA1986"/>
    <w:rsid w:val="00CA1C13"/>
    <w:rsid w:val="00CA2CF6"/>
    <w:rsid w:val="00CA387D"/>
    <w:rsid w:val="00CA4500"/>
    <w:rsid w:val="00CA4CF4"/>
    <w:rsid w:val="00CA5F12"/>
    <w:rsid w:val="00CA6019"/>
    <w:rsid w:val="00CA6841"/>
    <w:rsid w:val="00CA6E06"/>
    <w:rsid w:val="00CB1565"/>
    <w:rsid w:val="00CB19D7"/>
    <w:rsid w:val="00CB200C"/>
    <w:rsid w:val="00CB3A71"/>
    <w:rsid w:val="00CB513D"/>
    <w:rsid w:val="00CB5479"/>
    <w:rsid w:val="00CB5694"/>
    <w:rsid w:val="00CB5D7F"/>
    <w:rsid w:val="00CB6B15"/>
    <w:rsid w:val="00CC0328"/>
    <w:rsid w:val="00CC1794"/>
    <w:rsid w:val="00CC20C6"/>
    <w:rsid w:val="00CC22BD"/>
    <w:rsid w:val="00CC50A2"/>
    <w:rsid w:val="00CC5181"/>
    <w:rsid w:val="00CC66EC"/>
    <w:rsid w:val="00CC7A5D"/>
    <w:rsid w:val="00CC7BC4"/>
    <w:rsid w:val="00CD1B8A"/>
    <w:rsid w:val="00CD2061"/>
    <w:rsid w:val="00CD3853"/>
    <w:rsid w:val="00CD3F58"/>
    <w:rsid w:val="00CD4F82"/>
    <w:rsid w:val="00CD515B"/>
    <w:rsid w:val="00CD55A1"/>
    <w:rsid w:val="00CD5817"/>
    <w:rsid w:val="00CD59B4"/>
    <w:rsid w:val="00CE00B7"/>
    <w:rsid w:val="00CE0DC0"/>
    <w:rsid w:val="00CE0F59"/>
    <w:rsid w:val="00CE13F1"/>
    <w:rsid w:val="00CE21F9"/>
    <w:rsid w:val="00CE333B"/>
    <w:rsid w:val="00CE4206"/>
    <w:rsid w:val="00CE4836"/>
    <w:rsid w:val="00CE4D5B"/>
    <w:rsid w:val="00CE604B"/>
    <w:rsid w:val="00CE74FB"/>
    <w:rsid w:val="00CE76A8"/>
    <w:rsid w:val="00CE7B4D"/>
    <w:rsid w:val="00CE7E3E"/>
    <w:rsid w:val="00CF0342"/>
    <w:rsid w:val="00CF05BD"/>
    <w:rsid w:val="00CF05EA"/>
    <w:rsid w:val="00CF0615"/>
    <w:rsid w:val="00CF1BAC"/>
    <w:rsid w:val="00CF2047"/>
    <w:rsid w:val="00CF2609"/>
    <w:rsid w:val="00CF2E11"/>
    <w:rsid w:val="00CF46FE"/>
    <w:rsid w:val="00CF69F7"/>
    <w:rsid w:val="00D01918"/>
    <w:rsid w:val="00D02C7B"/>
    <w:rsid w:val="00D03639"/>
    <w:rsid w:val="00D03D0A"/>
    <w:rsid w:val="00D0476E"/>
    <w:rsid w:val="00D053F4"/>
    <w:rsid w:val="00D06995"/>
    <w:rsid w:val="00D0713A"/>
    <w:rsid w:val="00D11FDF"/>
    <w:rsid w:val="00D125E1"/>
    <w:rsid w:val="00D13AF0"/>
    <w:rsid w:val="00D14174"/>
    <w:rsid w:val="00D145D1"/>
    <w:rsid w:val="00D14E73"/>
    <w:rsid w:val="00D156A2"/>
    <w:rsid w:val="00D166D8"/>
    <w:rsid w:val="00D17040"/>
    <w:rsid w:val="00D210B4"/>
    <w:rsid w:val="00D22443"/>
    <w:rsid w:val="00D23D95"/>
    <w:rsid w:val="00D270AE"/>
    <w:rsid w:val="00D27347"/>
    <w:rsid w:val="00D32A55"/>
    <w:rsid w:val="00D32EA9"/>
    <w:rsid w:val="00D34153"/>
    <w:rsid w:val="00D34391"/>
    <w:rsid w:val="00D355C3"/>
    <w:rsid w:val="00D35CC0"/>
    <w:rsid w:val="00D35D51"/>
    <w:rsid w:val="00D3769E"/>
    <w:rsid w:val="00D4016E"/>
    <w:rsid w:val="00D41E9C"/>
    <w:rsid w:val="00D42847"/>
    <w:rsid w:val="00D42FD7"/>
    <w:rsid w:val="00D45850"/>
    <w:rsid w:val="00D45A55"/>
    <w:rsid w:val="00D46E92"/>
    <w:rsid w:val="00D504DE"/>
    <w:rsid w:val="00D50A07"/>
    <w:rsid w:val="00D51383"/>
    <w:rsid w:val="00D51562"/>
    <w:rsid w:val="00D53047"/>
    <w:rsid w:val="00D55411"/>
    <w:rsid w:val="00D55801"/>
    <w:rsid w:val="00D55AC1"/>
    <w:rsid w:val="00D55B14"/>
    <w:rsid w:val="00D55B89"/>
    <w:rsid w:val="00D615BC"/>
    <w:rsid w:val="00D6285D"/>
    <w:rsid w:val="00D62B99"/>
    <w:rsid w:val="00D6404A"/>
    <w:rsid w:val="00D672E2"/>
    <w:rsid w:val="00D67713"/>
    <w:rsid w:val="00D71D60"/>
    <w:rsid w:val="00D730A0"/>
    <w:rsid w:val="00D73399"/>
    <w:rsid w:val="00D73776"/>
    <w:rsid w:val="00D74A1B"/>
    <w:rsid w:val="00D759C6"/>
    <w:rsid w:val="00D76D98"/>
    <w:rsid w:val="00D76FD4"/>
    <w:rsid w:val="00D8215F"/>
    <w:rsid w:val="00D83715"/>
    <w:rsid w:val="00D83920"/>
    <w:rsid w:val="00D83FEA"/>
    <w:rsid w:val="00D840EF"/>
    <w:rsid w:val="00D84F5B"/>
    <w:rsid w:val="00D85C92"/>
    <w:rsid w:val="00D87309"/>
    <w:rsid w:val="00D87CDC"/>
    <w:rsid w:val="00D908C9"/>
    <w:rsid w:val="00D90B49"/>
    <w:rsid w:val="00D90D8B"/>
    <w:rsid w:val="00D91854"/>
    <w:rsid w:val="00D922E0"/>
    <w:rsid w:val="00D93B20"/>
    <w:rsid w:val="00D96638"/>
    <w:rsid w:val="00DA00FF"/>
    <w:rsid w:val="00DA087C"/>
    <w:rsid w:val="00DA0F67"/>
    <w:rsid w:val="00DA48FD"/>
    <w:rsid w:val="00DA4DE0"/>
    <w:rsid w:val="00DA55C0"/>
    <w:rsid w:val="00DA5E46"/>
    <w:rsid w:val="00DA6E40"/>
    <w:rsid w:val="00DA7D1E"/>
    <w:rsid w:val="00DB25F2"/>
    <w:rsid w:val="00DB340F"/>
    <w:rsid w:val="00DB3CBA"/>
    <w:rsid w:val="00DB40D6"/>
    <w:rsid w:val="00DB5A23"/>
    <w:rsid w:val="00DB6C8B"/>
    <w:rsid w:val="00DB73EF"/>
    <w:rsid w:val="00DC0A6D"/>
    <w:rsid w:val="00DC12D5"/>
    <w:rsid w:val="00DC183D"/>
    <w:rsid w:val="00DC2609"/>
    <w:rsid w:val="00DC4280"/>
    <w:rsid w:val="00DC4811"/>
    <w:rsid w:val="00DC49BF"/>
    <w:rsid w:val="00DC5A49"/>
    <w:rsid w:val="00DC5CEE"/>
    <w:rsid w:val="00DC61C8"/>
    <w:rsid w:val="00DC653E"/>
    <w:rsid w:val="00DC782D"/>
    <w:rsid w:val="00DC7F4C"/>
    <w:rsid w:val="00DD0BC0"/>
    <w:rsid w:val="00DD2B49"/>
    <w:rsid w:val="00DD4A63"/>
    <w:rsid w:val="00DD571A"/>
    <w:rsid w:val="00DD5F8E"/>
    <w:rsid w:val="00DD6300"/>
    <w:rsid w:val="00DD63E9"/>
    <w:rsid w:val="00DD7662"/>
    <w:rsid w:val="00DE0393"/>
    <w:rsid w:val="00DE0B56"/>
    <w:rsid w:val="00DE1196"/>
    <w:rsid w:val="00DE1EA8"/>
    <w:rsid w:val="00DE206A"/>
    <w:rsid w:val="00DE40FD"/>
    <w:rsid w:val="00DE4BD5"/>
    <w:rsid w:val="00DE52CD"/>
    <w:rsid w:val="00DE632F"/>
    <w:rsid w:val="00DF0B25"/>
    <w:rsid w:val="00DF0EEF"/>
    <w:rsid w:val="00DF15A7"/>
    <w:rsid w:val="00DF194F"/>
    <w:rsid w:val="00DF3A06"/>
    <w:rsid w:val="00DF3B3C"/>
    <w:rsid w:val="00DF7354"/>
    <w:rsid w:val="00DF78CE"/>
    <w:rsid w:val="00DF7AE8"/>
    <w:rsid w:val="00E00155"/>
    <w:rsid w:val="00E0040F"/>
    <w:rsid w:val="00E02B69"/>
    <w:rsid w:val="00E04AE5"/>
    <w:rsid w:val="00E0530C"/>
    <w:rsid w:val="00E07211"/>
    <w:rsid w:val="00E07ACB"/>
    <w:rsid w:val="00E1020F"/>
    <w:rsid w:val="00E110AC"/>
    <w:rsid w:val="00E11519"/>
    <w:rsid w:val="00E118F8"/>
    <w:rsid w:val="00E119A4"/>
    <w:rsid w:val="00E14ACE"/>
    <w:rsid w:val="00E14BDB"/>
    <w:rsid w:val="00E15074"/>
    <w:rsid w:val="00E1518A"/>
    <w:rsid w:val="00E16D5C"/>
    <w:rsid w:val="00E1716B"/>
    <w:rsid w:val="00E17317"/>
    <w:rsid w:val="00E20CDF"/>
    <w:rsid w:val="00E20EC1"/>
    <w:rsid w:val="00E2110B"/>
    <w:rsid w:val="00E21E71"/>
    <w:rsid w:val="00E22A4D"/>
    <w:rsid w:val="00E23A2B"/>
    <w:rsid w:val="00E23A39"/>
    <w:rsid w:val="00E23C4C"/>
    <w:rsid w:val="00E24E44"/>
    <w:rsid w:val="00E256F9"/>
    <w:rsid w:val="00E25A0F"/>
    <w:rsid w:val="00E260F0"/>
    <w:rsid w:val="00E26DE3"/>
    <w:rsid w:val="00E26E7C"/>
    <w:rsid w:val="00E30DED"/>
    <w:rsid w:val="00E31240"/>
    <w:rsid w:val="00E31891"/>
    <w:rsid w:val="00E31B15"/>
    <w:rsid w:val="00E31EDD"/>
    <w:rsid w:val="00E3644C"/>
    <w:rsid w:val="00E36498"/>
    <w:rsid w:val="00E36F52"/>
    <w:rsid w:val="00E37CAA"/>
    <w:rsid w:val="00E40BC9"/>
    <w:rsid w:val="00E412C4"/>
    <w:rsid w:val="00E415D0"/>
    <w:rsid w:val="00E41688"/>
    <w:rsid w:val="00E4206C"/>
    <w:rsid w:val="00E42B2F"/>
    <w:rsid w:val="00E432CC"/>
    <w:rsid w:val="00E43C1B"/>
    <w:rsid w:val="00E46830"/>
    <w:rsid w:val="00E46F88"/>
    <w:rsid w:val="00E472E1"/>
    <w:rsid w:val="00E473A2"/>
    <w:rsid w:val="00E47506"/>
    <w:rsid w:val="00E47E57"/>
    <w:rsid w:val="00E512DD"/>
    <w:rsid w:val="00E547E7"/>
    <w:rsid w:val="00E54D46"/>
    <w:rsid w:val="00E55637"/>
    <w:rsid w:val="00E55C8E"/>
    <w:rsid w:val="00E56432"/>
    <w:rsid w:val="00E579FB"/>
    <w:rsid w:val="00E60814"/>
    <w:rsid w:val="00E60EA2"/>
    <w:rsid w:val="00E612F4"/>
    <w:rsid w:val="00E613FB"/>
    <w:rsid w:val="00E6171D"/>
    <w:rsid w:val="00E61E23"/>
    <w:rsid w:val="00E62DC7"/>
    <w:rsid w:val="00E638EB"/>
    <w:rsid w:val="00E64E34"/>
    <w:rsid w:val="00E6680C"/>
    <w:rsid w:val="00E70060"/>
    <w:rsid w:val="00E729F8"/>
    <w:rsid w:val="00E72C7A"/>
    <w:rsid w:val="00E72FF9"/>
    <w:rsid w:val="00E74323"/>
    <w:rsid w:val="00E7544F"/>
    <w:rsid w:val="00E7697F"/>
    <w:rsid w:val="00E77B8E"/>
    <w:rsid w:val="00E77D3F"/>
    <w:rsid w:val="00E81352"/>
    <w:rsid w:val="00E813D5"/>
    <w:rsid w:val="00E8185E"/>
    <w:rsid w:val="00E82046"/>
    <w:rsid w:val="00E83948"/>
    <w:rsid w:val="00E83FF2"/>
    <w:rsid w:val="00E84B1B"/>
    <w:rsid w:val="00E850D8"/>
    <w:rsid w:val="00E87193"/>
    <w:rsid w:val="00E878DE"/>
    <w:rsid w:val="00E90E24"/>
    <w:rsid w:val="00E91D51"/>
    <w:rsid w:val="00E91EF1"/>
    <w:rsid w:val="00E92833"/>
    <w:rsid w:val="00E92985"/>
    <w:rsid w:val="00E9364D"/>
    <w:rsid w:val="00E93801"/>
    <w:rsid w:val="00E938E0"/>
    <w:rsid w:val="00E976F3"/>
    <w:rsid w:val="00EA00AA"/>
    <w:rsid w:val="00EA080D"/>
    <w:rsid w:val="00EA16EF"/>
    <w:rsid w:val="00EA17EB"/>
    <w:rsid w:val="00EA1E7A"/>
    <w:rsid w:val="00EA2326"/>
    <w:rsid w:val="00EA25D3"/>
    <w:rsid w:val="00EA340E"/>
    <w:rsid w:val="00EA3502"/>
    <w:rsid w:val="00EA3BA4"/>
    <w:rsid w:val="00EA41D2"/>
    <w:rsid w:val="00EA6DD9"/>
    <w:rsid w:val="00EA72CB"/>
    <w:rsid w:val="00EB0241"/>
    <w:rsid w:val="00EB2751"/>
    <w:rsid w:val="00EB3350"/>
    <w:rsid w:val="00EB3859"/>
    <w:rsid w:val="00EB40C5"/>
    <w:rsid w:val="00EB46E8"/>
    <w:rsid w:val="00EB5017"/>
    <w:rsid w:val="00EB643C"/>
    <w:rsid w:val="00EB7149"/>
    <w:rsid w:val="00EB74EE"/>
    <w:rsid w:val="00EB7898"/>
    <w:rsid w:val="00EB7C6C"/>
    <w:rsid w:val="00EC184B"/>
    <w:rsid w:val="00EC2DE5"/>
    <w:rsid w:val="00EC55F3"/>
    <w:rsid w:val="00EC5E9C"/>
    <w:rsid w:val="00EC7918"/>
    <w:rsid w:val="00EC79D0"/>
    <w:rsid w:val="00EC7C18"/>
    <w:rsid w:val="00ED00B6"/>
    <w:rsid w:val="00ED38A4"/>
    <w:rsid w:val="00ED3A11"/>
    <w:rsid w:val="00ED4874"/>
    <w:rsid w:val="00ED61C6"/>
    <w:rsid w:val="00ED6844"/>
    <w:rsid w:val="00ED7759"/>
    <w:rsid w:val="00ED77C7"/>
    <w:rsid w:val="00EE1562"/>
    <w:rsid w:val="00EE170E"/>
    <w:rsid w:val="00EE18E7"/>
    <w:rsid w:val="00EE29E5"/>
    <w:rsid w:val="00EE3502"/>
    <w:rsid w:val="00EE46AB"/>
    <w:rsid w:val="00EE492A"/>
    <w:rsid w:val="00EE4DBC"/>
    <w:rsid w:val="00EE72D7"/>
    <w:rsid w:val="00EF1ABC"/>
    <w:rsid w:val="00EF2A8D"/>
    <w:rsid w:val="00EF2DB5"/>
    <w:rsid w:val="00EF32F3"/>
    <w:rsid w:val="00EF431A"/>
    <w:rsid w:val="00EF5EE2"/>
    <w:rsid w:val="00EF6450"/>
    <w:rsid w:val="00EF6E2E"/>
    <w:rsid w:val="00EF76E3"/>
    <w:rsid w:val="00F032DF"/>
    <w:rsid w:val="00F0465F"/>
    <w:rsid w:val="00F04CF7"/>
    <w:rsid w:val="00F06693"/>
    <w:rsid w:val="00F0777E"/>
    <w:rsid w:val="00F077D1"/>
    <w:rsid w:val="00F10A5B"/>
    <w:rsid w:val="00F11F54"/>
    <w:rsid w:val="00F1306C"/>
    <w:rsid w:val="00F133E4"/>
    <w:rsid w:val="00F13AA5"/>
    <w:rsid w:val="00F1470F"/>
    <w:rsid w:val="00F1500C"/>
    <w:rsid w:val="00F15565"/>
    <w:rsid w:val="00F156E0"/>
    <w:rsid w:val="00F16A00"/>
    <w:rsid w:val="00F21C75"/>
    <w:rsid w:val="00F228D4"/>
    <w:rsid w:val="00F245DD"/>
    <w:rsid w:val="00F269FF"/>
    <w:rsid w:val="00F26F36"/>
    <w:rsid w:val="00F271D9"/>
    <w:rsid w:val="00F274B6"/>
    <w:rsid w:val="00F312BC"/>
    <w:rsid w:val="00F33202"/>
    <w:rsid w:val="00F35A98"/>
    <w:rsid w:val="00F35B22"/>
    <w:rsid w:val="00F35BAD"/>
    <w:rsid w:val="00F35DA7"/>
    <w:rsid w:val="00F376C4"/>
    <w:rsid w:val="00F37F15"/>
    <w:rsid w:val="00F41535"/>
    <w:rsid w:val="00F421F4"/>
    <w:rsid w:val="00F46B23"/>
    <w:rsid w:val="00F4765E"/>
    <w:rsid w:val="00F47E5D"/>
    <w:rsid w:val="00F5218A"/>
    <w:rsid w:val="00F53558"/>
    <w:rsid w:val="00F53EE3"/>
    <w:rsid w:val="00F56977"/>
    <w:rsid w:val="00F56D23"/>
    <w:rsid w:val="00F56E0B"/>
    <w:rsid w:val="00F60582"/>
    <w:rsid w:val="00F6197B"/>
    <w:rsid w:val="00F61C70"/>
    <w:rsid w:val="00F61C8B"/>
    <w:rsid w:val="00F62ED8"/>
    <w:rsid w:val="00F62F04"/>
    <w:rsid w:val="00F64EA1"/>
    <w:rsid w:val="00F65525"/>
    <w:rsid w:val="00F6598A"/>
    <w:rsid w:val="00F668EE"/>
    <w:rsid w:val="00F70622"/>
    <w:rsid w:val="00F70BA5"/>
    <w:rsid w:val="00F70BBE"/>
    <w:rsid w:val="00F70C2B"/>
    <w:rsid w:val="00F72059"/>
    <w:rsid w:val="00F7258D"/>
    <w:rsid w:val="00F72599"/>
    <w:rsid w:val="00F739F3"/>
    <w:rsid w:val="00F73ED9"/>
    <w:rsid w:val="00F74671"/>
    <w:rsid w:val="00F74BC9"/>
    <w:rsid w:val="00F76377"/>
    <w:rsid w:val="00F769C5"/>
    <w:rsid w:val="00F77177"/>
    <w:rsid w:val="00F77C1D"/>
    <w:rsid w:val="00F8050A"/>
    <w:rsid w:val="00F81505"/>
    <w:rsid w:val="00F81EE8"/>
    <w:rsid w:val="00F82632"/>
    <w:rsid w:val="00F833DE"/>
    <w:rsid w:val="00F8460F"/>
    <w:rsid w:val="00F8522D"/>
    <w:rsid w:val="00F86AC3"/>
    <w:rsid w:val="00F871C0"/>
    <w:rsid w:val="00F903FF"/>
    <w:rsid w:val="00F90447"/>
    <w:rsid w:val="00F90727"/>
    <w:rsid w:val="00F93FC1"/>
    <w:rsid w:val="00F94CEC"/>
    <w:rsid w:val="00FA04B5"/>
    <w:rsid w:val="00FA0FF6"/>
    <w:rsid w:val="00FA1A77"/>
    <w:rsid w:val="00FA1FF4"/>
    <w:rsid w:val="00FA328B"/>
    <w:rsid w:val="00FA445A"/>
    <w:rsid w:val="00FA485B"/>
    <w:rsid w:val="00FA525B"/>
    <w:rsid w:val="00FA77FA"/>
    <w:rsid w:val="00FA7B4F"/>
    <w:rsid w:val="00FA7EA0"/>
    <w:rsid w:val="00FB2A0E"/>
    <w:rsid w:val="00FB3C98"/>
    <w:rsid w:val="00FB4438"/>
    <w:rsid w:val="00FB47AC"/>
    <w:rsid w:val="00FB6D24"/>
    <w:rsid w:val="00FB6FC9"/>
    <w:rsid w:val="00FB72D7"/>
    <w:rsid w:val="00FC3964"/>
    <w:rsid w:val="00FC50AF"/>
    <w:rsid w:val="00FC70CE"/>
    <w:rsid w:val="00FD0B92"/>
    <w:rsid w:val="00FD33BF"/>
    <w:rsid w:val="00FD37F8"/>
    <w:rsid w:val="00FD6372"/>
    <w:rsid w:val="00FD7276"/>
    <w:rsid w:val="00FD7F83"/>
    <w:rsid w:val="00FE006F"/>
    <w:rsid w:val="00FE23CC"/>
    <w:rsid w:val="00FE48E3"/>
    <w:rsid w:val="00FE56DA"/>
    <w:rsid w:val="00FE6804"/>
    <w:rsid w:val="00FE70E0"/>
    <w:rsid w:val="00FE74C4"/>
    <w:rsid w:val="00FF0C78"/>
    <w:rsid w:val="00FF2F44"/>
    <w:rsid w:val="00FF322C"/>
    <w:rsid w:val="00FF42C6"/>
    <w:rsid w:val="00FF4C7C"/>
    <w:rsid w:val="00FF4D4A"/>
    <w:rsid w:val="00FF57E5"/>
    <w:rsid w:val="00FF73DE"/>
    <w:rsid w:val="00FF7BB8"/>
    <w:rsid w:val="015C68B7"/>
    <w:rsid w:val="01BFA694"/>
    <w:rsid w:val="02207BC1"/>
    <w:rsid w:val="02C3BF72"/>
    <w:rsid w:val="02EB5EF7"/>
    <w:rsid w:val="03432454"/>
    <w:rsid w:val="03E64527"/>
    <w:rsid w:val="04AA9C93"/>
    <w:rsid w:val="04EEC984"/>
    <w:rsid w:val="050CEE56"/>
    <w:rsid w:val="053D4C28"/>
    <w:rsid w:val="0588EB3F"/>
    <w:rsid w:val="05DB3BAB"/>
    <w:rsid w:val="0609EEAF"/>
    <w:rsid w:val="068C87BD"/>
    <w:rsid w:val="06A44844"/>
    <w:rsid w:val="06B899F0"/>
    <w:rsid w:val="06F21BE4"/>
    <w:rsid w:val="07A0C6E2"/>
    <w:rsid w:val="07BEA91F"/>
    <w:rsid w:val="07D0D567"/>
    <w:rsid w:val="07DE031C"/>
    <w:rsid w:val="080228DA"/>
    <w:rsid w:val="08BCED98"/>
    <w:rsid w:val="08C08C01"/>
    <w:rsid w:val="08D595C8"/>
    <w:rsid w:val="08FC11F0"/>
    <w:rsid w:val="098AF829"/>
    <w:rsid w:val="098F68D2"/>
    <w:rsid w:val="09AAAC4B"/>
    <w:rsid w:val="09AAE88C"/>
    <w:rsid w:val="09BBE6F5"/>
    <w:rsid w:val="0B0B681D"/>
    <w:rsid w:val="0B7C51C5"/>
    <w:rsid w:val="0B85253F"/>
    <w:rsid w:val="0C84C539"/>
    <w:rsid w:val="0D0B8BBC"/>
    <w:rsid w:val="0DD0651C"/>
    <w:rsid w:val="0DDE6105"/>
    <w:rsid w:val="0DE6E621"/>
    <w:rsid w:val="0E834CCD"/>
    <w:rsid w:val="0F1B7B9D"/>
    <w:rsid w:val="0FA82B07"/>
    <w:rsid w:val="0FB975FE"/>
    <w:rsid w:val="0FCD092D"/>
    <w:rsid w:val="101FA1F0"/>
    <w:rsid w:val="107E97B8"/>
    <w:rsid w:val="10843529"/>
    <w:rsid w:val="11A1C532"/>
    <w:rsid w:val="11EBD700"/>
    <w:rsid w:val="11ED800A"/>
    <w:rsid w:val="120CB49E"/>
    <w:rsid w:val="12271B29"/>
    <w:rsid w:val="126D3FE0"/>
    <w:rsid w:val="12AA4A44"/>
    <w:rsid w:val="12BF1B88"/>
    <w:rsid w:val="1370AA13"/>
    <w:rsid w:val="13BD3F16"/>
    <w:rsid w:val="13D44724"/>
    <w:rsid w:val="14012E4E"/>
    <w:rsid w:val="140E1887"/>
    <w:rsid w:val="1470BFCF"/>
    <w:rsid w:val="15153D08"/>
    <w:rsid w:val="166C6BF7"/>
    <w:rsid w:val="16E50D5B"/>
    <w:rsid w:val="17043F12"/>
    <w:rsid w:val="1752C0BB"/>
    <w:rsid w:val="17ACBBBF"/>
    <w:rsid w:val="18981213"/>
    <w:rsid w:val="18AF0E3F"/>
    <w:rsid w:val="18F51CE1"/>
    <w:rsid w:val="1946C0A8"/>
    <w:rsid w:val="195C24D7"/>
    <w:rsid w:val="1991D92D"/>
    <w:rsid w:val="1A1B9FFA"/>
    <w:rsid w:val="1A2F7FD6"/>
    <w:rsid w:val="1AF8876E"/>
    <w:rsid w:val="1B00BA97"/>
    <w:rsid w:val="1B3FEC17"/>
    <w:rsid w:val="1B4D1AC2"/>
    <w:rsid w:val="1B5B2DA2"/>
    <w:rsid w:val="1D4F6745"/>
    <w:rsid w:val="1DF8C3B6"/>
    <w:rsid w:val="1EF9980C"/>
    <w:rsid w:val="1F28B5C2"/>
    <w:rsid w:val="1F6A7AEB"/>
    <w:rsid w:val="1FAB8249"/>
    <w:rsid w:val="1FCA5FD3"/>
    <w:rsid w:val="1FF45B75"/>
    <w:rsid w:val="20208BE5"/>
    <w:rsid w:val="204C6A94"/>
    <w:rsid w:val="216E1CBD"/>
    <w:rsid w:val="221AC81D"/>
    <w:rsid w:val="222E98B6"/>
    <w:rsid w:val="22498C34"/>
    <w:rsid w:val="22BFD696"/>
    <w:rsid w:val="2376363E"/>
    <w:rsid w:val="23B26A99"/>
    <w:rsid w:val="23D1A833"/>
    <w:rsid w:val="23FE86F5"/>
    <w:rsid w:val="243BFE95"/>
    <w:rsid w:val="2455EDB8"/>
    <w:rsid w:val="24CAA610"/>
    <w:rsid w:val="2525B069"/>
    <w:rsid w:val="254F41B1"/>
    <w:rsid w:val="2551D167"/>
    <w:rsid w:val="256CF202"/>
    <w:rsid w:val="257693B2"/>
    <w:rsid w:val="25DD85DA"/>
    <w:rsid w:val="25E973CF"/>
    <w:rsid w:val="2615D579"/>
    <w:rsid w:val="26864C4C"/>
    <w:rsid w:val="27A09119"/>
    <w:rsid w:val="287B4302"/>
    <w:rsid w:val="287EC6A0"/>
    <w:rsid w:val="28958D94"/>
    <w:rsid w:val="292D51B2"/>
    <w:rsid w:val="292F8759"/>
    <w:rsid w:val="2975863D"/>
    <w:rsid w:val="29D7C288"/>
    <w:rsid w:val="29FF6826"/>
    <w:rsid w:val="2A0AAFF7"/>
    <w:rsid w:val="2A7DD230"/>
    <w:rsid w:val="2ABCE4F2"/>
    <w:rsid w:val="2B59BD6F"/>
    <w:rsid w:val="2B67E25D"/>
    <w:rsid w:val="2C648DCD"/>
    <w:rsid w:val="2CA78CAB"/>
    <w:rsid w:val="2CE4C8E5"/>
    <w:rsid w:val="2D0C5284"/>
    <w:rsid w:val="2D161C58"/>
    <w:rsid w:val="2D22CE40"/>
    <w:rsid w:val="2D697AB1"/>
    <w:rsid w:val="2D6D7895"/>
    <w:rsid w:val="2DAEA376"/>
    <w:rsid w:val="2E3E64B1"/>
    <w:rsid w:val="2EDC16CE"/>
    <w:rsid w:val="2F56A028"/>
    <w:rsid w:val="2F6A3DAD"/>
    <w:rsid w:val="2FEBE5AC"/>
    <w:rsid w:val="3011B4B0"/>
    <w:rsid w:val="302DDBAF"/>
    <w:rsid w:val="303A29EB"/>
    <w:rsid w:val="30450646"/>
    <w:rsid w:val="3061F6E6"/>
    <w:rsid w:val="30F23EE0"/>
    <w:rsid w:val="31F6D6DB"/>
    <w:rsid w:val="32C759D7"/>
    <w:rsid w:val="32EA99CE"/>
    <w:rsid w:val="33B8B452"/>
    <w:rsid w:val="33D0ADBF"/>
    <w:rsid w:val="34122FE4"/>
    <w:rsid w:val="34D417F2"/>
    <w:rsid w:val="34F8F618"/>
    <w:rsid w:val="34FF795D"/>
    <w:rsid w:val="353273AC"/>
    <w:rsid w:val="3586EAE0"/>
    <w:rsid w:val="36132586"/>
    <w:rsid w:val="363AE0E8"/>
    <w:rsid w:val="3659A414"/>
    <w:rsid w:val="366028FA"/>
    <w:rsid w:val="367503AD"/>
    <w:rsid w:val="36845618"/>
    <w:rsid w:val="37EB0873"/>
    <w:rsid w:val="386B438B"/>
    <w:rsid w:val="387C89F5"/>
    <w:rsid w:val="3961B6F7"/>
    <w:rsid w:val="39766873"/>
    <w:rsid w:val="3997E1D5"/>
    <w:rsid w:val="3A4BFB9D"/>
    <w:rsid w:val="3A4EA624"/>
    <w:rsid w:val="3A565519"/>
    <w:rsid w:val="3A884AC9"/>
    <w:rsid w:val="3B2EF771"/>
    <w:rsid w:val="3CC56B2A"/>
    <w:rsid w:val="3D1D9F99"/>
    <w:rsid w:val="3D2855C2"/>
    <w:rsid w:val="3D78D468"/>
    <w:rsid w:val="3DA64406"/>
    <w:rsid w:val="3DEC0DDE"/>
    <w:rsid w:val="3E4A9D75"/>
    <w:rsid w:val="3E53F103"/>
    <w:rsid w:val="3E8BD641"/>
    <w:rsid w:val="3EBE3557"/>
    <w:rsid w:val="3F08D244"/>
    <w:rsid w:val="3F178E4B"/>
    <w:rsid w:val="3FCDB05D"/>
    <w:rsid w:val="40E22296"/>
    <w:rsid w:val="41463B85"/>
    <w:rsid w:val="41D3232F"/>
    <w:rsid w:val="41E71043"/>
    <w:rsid w:val="42E0D1C9"/>
    <w:rsid w:val="4317BAE6"/>
    <w:rsid w:val="4334AB86"/>
    <w:rsid w:val="43DD8EFD"/>
    <w:rsid w:val="43F05D3E"/>
    <w:rsid w:val="446251AF"/>
    <w:rsid w:val="446EB548"/>
    <w:rsid w:val="4543AB08"/>
    <w:rsid w:val="45862771"/>
    <w:rsid w:val="47092A7F"/>
    <w:rsid w:val="4782A6D4"/>
    <w:rsid w:val="47D6FC07"/>
    <w:rsid w:val="4833EC63"/>
    <w:rsid w:val="4861A220"/>
    <w:rsid w:val="498F8B05"/>
    <w:rsid w:val="49BA52E0"/>
    <w:rsid w:val="4A3B89EA"/>
    <w:rsid w:val="4ADDD5DC"/>
    <w:rsid w:val="4BC7E609"/>
    <w:rsid w:val="4C068D74"/>
    <w:rsid w:val="4C1153D9"/>
    <w:rsid w:val="4C1560CE"/>
    <w:rsid w:val="4C1AEF79"/>
    <w:rsid w:val="4C796286"/>
    <w:rsid w:val="4CC833BC"/>
    <w:rsid w:val="4CE8A556"/>
    <w:rsid w:val="4E33D4BF"/>
    <w:rsid w:val="4E5FE51A"/>
    <w:rsid w:val="4EB339A1"/>
    <w:rsid w:val="4EC5D3D4"/>
    <w:rsid w:val="4EC67CD6"/>
    <w:rsid w:val="4F99F0CA"/>
    <w:rsid w:val="4FB6A3D4"/>
    <w:rsid w:val="504F149A"/>
    <w:rsid w:val="5074E447"/>
    <w:rsid w:val="508C034E"/>
    <w:rsid w:val="508D1085"/>
    <w:rsid w:val="50B1BBDA"/>
    <w:rsid w:val="51806DD6"/>
    <w:rsid w:val="51D3CC2F"/>
    <w:rsid w:val="5255ACBF"/>
    <w:rsid w:val="5274B75B"/>
    <w:rsid w:val="528C0325"/>
    <w:rsid w:val="52D0FA14"/>
    <w:rsid w:val="53197BB0"/>
    <w:rsid w:val="536FB936"/>
    <w:rsid w:val="538D9C58"/>
    <w:rsid w:val="53DCECAA"/>
    <w:rsid w:val="5460E0E0"/>
    <w:rsid w:val="548C93C7"/>
    <w:rsid w:val="548EBED6"/>
    <w:rsid w:val="55013467"/>
    <w:rsid w:val="5528D419"/>
    <w:rsid w:val="557B6538"/>
    <w:rsid w:val="55B29AB9"/>
    <w:rsid w:val="55FFC825"/>
    <w:rsid w:val="560F6F65"/>
    <w:rsid w:val="563DE95D"/>
    <w:rsid w:val="56732932"/>
    <w:rsid w:val="567B5C5B"/>
    <w:rsid w:val="571942A9"/>
    <w:rsid w:val="573DC7FE"/>
    <w:rsid w:val="58FDB7B9"/>
    <w:rsid w:val="5933CA7E"/>
    <w:rsid w:val="5935647B"/>
    <w:rsid w:val="597CE4BA"/>
    <w:rsid w:val="598BB28C"/>
    <w:rsid w:val="598D6ED2"/>
    <w:rsid w:val="5A66B1C9"/>
    <w:rsid w:val="5A670DF1"/>
    <w:rsid w:val="5B18B51B"/>
    <w:rsid w:val="5B39B56A"/>
    <w:rsid w:val="5BDFF237"/>
    <w:rsid w:val="5C4088AD"/>
    <w:rsid w:val="5DA0BC2B"/>
    <w:rsid w:val="5E5DB108"/>
    <w:rsid w:val="5F038F4A"/>
    <w:rsid w:val="5F41E329"/>
    <w:rsid w:val="5FB6A059"/>
    <w:rsid w:val="5FC303C5"/>
    <w:rsid w:val="60576DE4"/>
    <w:rsid w:val="6089E4E1"/>
    <w:rsid w:val="60E41E49"/>
    <w:rsid w:val="61012B62"/>
    <w:rsid w:val="61C21D76"/>
    <w:rsid w:val="61F000EC"/>
    <w:rsid w:val="61FFCF3D"/>
    <w:rsid w:val="625D92DD"/>
    <w:rsid w:val="62BC6A3A"/>
    <w:rsid w:val="62D66454"/>
    <w:rsid w:val="62EDA9A3"/>
    <w:rsid w:val="63460678"/>
    <w:rsid w:val="638E772E"/>
    <w:rsid w:val="63914D19"/>
    <w:rsid w:val="6394C9EA"/>
    <w:rsid w:val="64245095"/>
    <w:rsid w:val="643801DB"/>
    <w:rsid w:val="647A7CFA"/>
    <w:rsid w:val="64F710DB"/>
    <w:rsid w:val="65837FC0"/>
    <w:rsid w:val="6698CCFE"/>
    <w:rsid w:val="66DBC55E"/>
    <w:rsid w:val="6725A363"/>
    <w:rsid w:val="675FD462"/>
    <w:rsid w:val="67DF0880"/>
    <w:rsid w:val="67FE0789"/>
    <w:rsid w:val="68252F20"/>
    <w:rsid w:val="68330F37"/>
    <w:rsid w:val="68A219E3"/>
    <w:rsid w:val="68B24D08"/>
    <w:rsid w:val="68C1B6B2"/>
    <w:rsid w:val="68F1CDED"/>
    <w:rsid w:val="690653BF"/>
    <w:rsid w:val="69A5355C"/>
    <w:rsid w:val="69CD5073"/>
    <w:rsid w:val="6A515AC2"/>
    <w:rsid w:val="6ADBC30F"/>
    <w:rsid w:val="6AE5337C"/>
    <w:rsid w:val="6B0E3823"/>
    <w:rsid w:val="6B143C8A"/>
    <w:rsid w:val="6B41C3B6"/>
    <w:rsid w:val="6B768144"/>
    <w:rsid w:val="6B77906B"/>
    <w:rsid w:val="6BC96595"/>
    <w:rsid w:val="6BD6BC9E"/>
    <w:rsid w:val="6C2ADA57"/>
    <w:rsid w:val="6C402356"/>
    <w:rsid w:val="6CE1A10C"/>
    <w:rsid w:val="6CE69F25"/>
    <w:rsid w:val="6D45B932"/>
    <w:rsid w:val="6D8D9FF1"/>
    <w:rsid w:val="6D9656C5"/>
    <w:rsid w:val="6DAF3A39"/>
    <w:rsid w:val="6DDCD065"/>
    <w:rsid w:val="6E68B681"/>
    <w:rsid w:val="6E8E479D"/>
    <w:rsid w:val="6EC8412B"/>
    <w:rsid w:val="6EF7C82B"/>
    <w:rsid w:val="6F19FC10"/>
    <w:rsid w:val="6F968B8D"/>
    <w:rsid w:val="6FA9B3AB"/>
    <w:rsid w:val="704950C7"/>
    <w:rsid w:val="70681E81"/>
    <w:rsid w:val="70F200F9"/>
    <w:rsid w:val="7146DC64"/>
    <w:rsid w:val="719A4CCB"/>
    <w:rsid w:val="725C2906"/>
    <w:rsid w:val="72FBD522"/>
    <w:rsid w:val="7308B9DB"/>
    <w:rsid w:val="734C9BAE"/>
    <w:rsid w:val="73AF9859"/>
    <w:rsid w:val="73BA4866"/>
    <w:rsid w:val="73C6FA4E"/>
    <w:rsid w:val="749F9CA6"/>
    <w:rsid w:val="74F76203"/>
    <w:rsid w:val="75C05E43"/>
    <w:rsid w:val="75FACC36"/>
    <w:rsid w:val="76074C48"/>
    <w:rsid w:val="760A0ECF"/>
    <w:rsid w:val="763F9C14"/>
    <w:rsid w:val="77AEA48F"/>
    <w:rsid w:val="77C6FFD8"/>
    <w:rsid w:val="78A4D7C7"/>
    <w:rsid w:val="78A6CBE8"/>
    <w:rsid w:val="78B2CF0D"/>
    <w:rsid w:val="78C14ECF"/>
    <w:rsid w:val="79379824"/>
    <w:rsid w:val="7A4E9F6E"/>
    <w:rsid w:val="7A8D8025"/>
    <w:rsid w:val="7B8D3DAA"/>
    <w:rsid w:val="7BC2D9BA"/>
    <w:rsid w:val="7BC87547"/>
    <w:rsid w:val="7C6F81E2"/>
    <w:rsid w:val="7C828C7E"/>
    <w:rsid w:val="7CB55D9D"/>
    <w:rsid w:val="7D20D7D4"/>
    <w:rsid w:val="7D4C4FF5"/>
    <w:rsid w:val="7D5EAA1B"/>
    <w:rsid w:val="7E1C76EF"/>
    <w:rsid w:val="7E963378"/>
    <w:rsid w:val="7FCC71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AC53"/>
  <w15:docId w15:val="{860DE9F8-BB47-6E44-B7AF-9090BBAD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2C"/>
    <w:rPr>
      <w:rFonts w:ascii="Times New Roman" w:eastAsia="Times New Roman" w:hAnsi="Times New Roman" w:cs="Times New Roman"/>
    </w:rPr>
  </w:style>
  <w:style w:type="paragraph" w:styleId="Heading1">
    <w:name w:val="heading 1"/>
    <w:basedOn w:val="Normal"/>
    <w:link w:val="Heading1Char"/>
    <w:uiPriority w:val="9"/>
    <w:qFormat/>
    <w:rsid w:val="0069753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DB34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537"/>
    <w:rPr>
      <w:rFonts w:ascii="Times New Roman" w:eastAsia="Times New Roman" w:hAnsi="Times New Roman" w:cs="Times New Roman"/>
      <w:b/>
      <w:bCs/>
      <w:kern w:val="36"/>
      <w:sz w:val="48"/>
      <w:szCs w:val="48"/>
    </w:rPr>
  </w:style>
  <w:style w:type="character" w:customStyle="1" w:styleId="file">
    <w:name w:val="file"/>
    <w:basedOn w:val="DefaultParagraphFont"/>
    <w:rsid w:val="00697537"/>
  </w:style>
  <w:style w:type="character" w:styleId="Hyperlink">
    <w:name w:val="Hyperlink"/>
    <w:basedOn w:val="DefaultParagraphFont"/>
    <w:uiPriority w:val="99"/>
    <w:unhideWhenUsed/>
    <w:rsid w:val="00697537"/>
    <w:rPr>
      <w:color w:val="0000FF"/>
      <w:u w:val="single"/>
    </w:rPr>
  </w:style>
  <w:style w:type="paragraph" w:customStyle="1" w:styleId="bwalignc">
    <w:name w:val="bwalignc"/>
    <w:basedOn w:val="Normal"/>
    <w:rsid w:val="00697537"/>
    <w:pPr>
      <w:spacing w:before="100" w:beforeAutospacing="1" w:after="100" w:afterAutospacing="1"/>
    </w:pPr>
  </w:style>
  <w:style w:type="paragraph" w:styleId="NormalWeb">
    <w:name w:val="Normal (Web)"/>
    <w:basedOn w:val="Normal"/>
    <w:uiPriority w:val="99"/>
    <w:unhideWhenUsed/>
    <w:rsid w:val="00697537"/>
    <w:pPr>
      <w:spacing w:before="100" w:beforeAutospacing="1" w:after="100" w:afterAutospacing="1"/>
    </w:pPr>
  </w:style>
  <w:style w:type="character" w:styleId="CommentReference">
    <w:name w:val="annotation reference"/>
    <w:basedOn w:val="DefaultParagraphFont"/>
    <w:uiPriority w:val="99"/>
    <w:semiHidden/>
    <w:unhideWhenUsed/>
    <w:rsid w:val="00E473A2"/>
    <w:rPr>
      <w:sz w:val="16"/>
      <w:szCs w:val="16"/>
    </w:rPr>
  </w:style>
  <w:style w:type="paragraph" w:styleId="CommentText">
    <w:name w:val="annotation text"/>
    <w:basedOn w:val="Normal"/>
    <w:link w:val="CommentTextChar"/>
    <w:uiPriority w:val="99"/>
    <w:unhideWhenUsed/>
    <w:rsid w:val="00E473A2"/>
    <w:rPr>
      <w:sz w:val="20"/>
      <w:szCs w:val="20"/>
    </w:rPr>
  </w:style>
  <w:style w:type="character" w:customStyle="1" w:styleId="CommentTextChar">
    <w:name w:val="Comment Text Char"/>
    <w:basedOn w:val="DefaultParagraphFont"/>
    <w:link w:val="CommentText"/>
    <w:uiPriority w:val="99"/>
    <w:rsid w:val="00E473A2"/>
    <w:rPr>
      <w:sz w:val="20"/>
      <w:szCs w:val="20"/>
    </w:rPr>
  </w:style>
  <w:style w:type="paragraph" w:styleId="CommentSubject">
    <w:name w:val="annotation subject"/>
    <w:basedOn w:val="CommentText"/>
    <w:next w:val="CommentText"/>
    <w:link w:val="CommentSubjectChar"/>
    <w:uiPriority w:val="99"/>
    <w:semiHidden/>
    <w:unhideWhenUsed/>
    <w:rsid w:val="00E473A2"/>
    <w:rPr>
      <w:b/>
      <w:bCs/>
    </w:rPr>
  </w:style>
  <w:style w:type="character" w:customStyle="1" w:styleId="CommentSubjectChar">
    <w:name w:val="Comment Subject Char"/>
    <w:basedOn w:val="CommentTextChar"/>
    <w:link w:val="CommentSubject"/>
    <w:uiPriority w:val="99"/>
    <w:semiHidden/>
    <w:rsid w:val="00E473A2"/>
    <w:rPr>
      <w:b/>
      <w:bCs/>
      <w:sz w:val="20"/>
      <w:szCs w:val="20"/>
    </w:rPr>
  </w:style>
  <w:style w:type="paragraph" w:styleId="ListParagraph">
    <w:name w:val="List Paragraph"/>
    <w:basedOn w:val="Normal"/>
    <w:uiPriority w:val="34"/>
    <w:qFormat/>
    <w:rsid w:val="003534B4"/>
    <w:pPr>
      <w:ind w:left="720"/>
      <w:contextualSpacing/>
    </w:pPr>
  </w:style>
  <w:style w:type="paragraph" w:styleId="Header">
    <w:name w:val="header"/>
    <w:basedOn w:val="Normal"/>
    <w:link w:val="HeaderChar"/>
    <w:uiPriority w:val="99"/>
    <w:unhideWhenUsed/>
    <w:rsid w:val="00E23A2B"/>
    <w:pPr>
      <w:tabs>
        <w:tab w:val="center" w:pos="4680"/>
        <w:tab w:val="right" w:pos="9360"/>
      </w:tabs>
    </w:pPr>
  </w:style>
  <w:style w:type="character" w:customStyle="1" w:styleId="HeaderChar">
    <w:name w:val="Header Char"/>
    <w:basedOn w:val="DefaultParagraphFont"/>
    <w:link w:val="Header"/>
    <w:uiPriority w:val="99"/>
    <w:rsid w:val="00E23A2B"/>
  </w:style>
  <w:style w:type="paragraph" w:styleId="Footer">
    <w:name w:val="footer"/>
    <w:basedOn w:val="Normal"/>
    <w:link w:val="FooterChar"/>
    <w:uiPriority w:val="99"/>
    <w:unhideWhenUsed/>
    <w:rsid w:val="00E23A2B"/>
    <w:pPr>
      <w:tabs>
        <w:tab w:val="center" w:pos="4680"/>
        <w:tab w:val="right" w:pos="9360"/>
      </w:tabs>
    </w:pPr>
  </w:style>
  <w:style w:type="character" w:customStyle="1" w:styleId="FooterChar">
    <w:name w:val="Footer Char"/>
    <w:basedOn w:val="DefaultParagraphFont"/>
    <w:link w:val="Footer"/>
    <w:uiPriority w:val="99"/>
    <w:rsid w:val="00E23A2B"/>
  </w:style>
  <w:style w:type="character" w:styleId="UnresolvedMention">
    <w:name w:val="Unresolved Mention"/>
    <w:basedOn w:val="DefaultParagraphFont"/>
    <w:uiPriority w:val="99"/>
    <w:unhideWhenUsed/>
    <w:rsid w:val="004574D6"/>
    <w:rPr>
      <w:color w:val="605E5C"/>
      <w:shd w:val="clear" w:color="auto" w:fill="E1DFDD"/>
    </w:rPr>
  </w:style>
  <w:style w:type="paragraph" w:customStyle="1" w:styleId="Default">
    <w:name w:val="Default"/>
    <w:rsid w:val="009458BA"/>
    <w:pPr>
      <w:autoSpaceDE w:val="0"/>
      <w:autoSpaceDN w:val="0"/>
      <w:adjustRightInd w:val="0"/>
    </w:pPr>
    <w:rPr>
      <w:rFonts w:ascii="Century Gothic" w:hAnsi="Century Gothic" w:cs="Century Gothic"/>
      <w:color w:val="000000"/>
    </w:rPr>
  </w:style>
  <w:style w:type="paragraph" w:styleId="FootnoteText">
    <w:name w:val="footnote text"/>
    <w:basedOn w:val="Normal"/>
    <w:link w:val="FootnoteTextChar"/>
    <w:uiPriority w:val="99"/>
    <w:semiHidden/>
    <w:unhideWhenUsed/>
    <w:rsid w:val="00954D06"/>
    <w:rPr>
      <w:sz w:val="20"/>
      <w:szCs w:val="20"/>
    </w:rPr>
  </w:style>
  <w:style w:type="character" w:customStyle="1" w:styleId="FootnoteTextChar">
    <w:name w:val="Footnote Text Char"/>
    <w:basedOn w:val="DefaultParagraphFont"/>
    <w:link w:val="FootnoteText"/>
    <w:uiPriority w:val="99"/>
    <w:semiHidden/>
    <w:rsid w:val="00954D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4D06"/>
    <w:rPr>
      <w:vertAlign w:val="superscript"/>
    </w:rPr>
  </w:style>
  <w:style w:type="character" w:styleId="FollowedHyperlink">
    <w:name w:val="FollowedHyperlink"/>
    <w:basedOn w:val="DefaultParagraphFont"/>
    <w:uiPriority w:val="99"/>
    <w:semiHidden/>
    <w:unhideWhenUsed/>
    <w:rsid w:val="004E2B44"/>
    <w:rPr>
      <w:color w:val="954F72" w:themeColor="followedHyperlink"/>
      <w:u w:val="single"/>
    </w:rPr>
  </w:style>
  <w:style w:type="character" w:customStyle="1" w:styleId="normaltextrun">
    <w:name w:val="normaltextrun"/>
    <w:basedOn w:val="DefaultParagraphFont"/>
    <w:rsid w:val="006A095C"/>
  </w:style>
  <w:style w:type="paragraph" w:styleId="Revision">
    <w:name w:val="Revision"/>
    <w:hidden/>
    <w:uiPriority w:val="99"/>
    <w:semiHidden/>
    <w:rsid w:val="001852B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852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B5"/>
    <w:rPr>
      <w:rFonts w:ascii="Segoe UI" w:eastAsia="Times New Roman" w:hAnsi="Segoe UI" w:cs="Segoe UI"/>
      <w:sz w:val="18"/>
      <w:szCs w:val="18"/>
    </w:rPr>
  </w:style>
  <w:style w:type="character" w:customStyle="1" w:styleId="eop">
    <w:name w:val="eop"/>
    <w:basedOn w:val="DefaultParagraphFont"/>
    <w:rsid w:val="000879AD"/>
  </w:style>
  <w:style w:type="character" w:customStyle="1" w:styleId="apple-converted-space">
    <w:name w:val="apple-converted-space"/>
    <w:basedOn w:val="DefaultParagraphFont"/>
    <w:rsid w:val="002B4A0F"/>
  </w:style>
  <w:style w:type="paragraph" w:customStyle="1" w:styleId="xxmsonormal">
    <w:name w:val="x_x_msonormal"/>
    <w:basedOn w:val="Normal"/>
    <w:rsid w:val="007D5E1D"/>
    <w:rPr>
      <w:rFonts w:ascii="Calibri" w:eastAsiaTheme="minorHAnsi" w:hAnsi="Calibri" w:cs="Calibri"/>
    </w:rPr>
  </w:style>
  <w:style w:type="character" w:styleId="Strong">
    <w:name w:val="Strong"/>
    <w:basedOn w:val="DefaultParagraphFont"/>
    <w:uiPriority w:val="22"/>
    <w:qFormat/>
    <w:rsid w:val="00116A68"/>
    <w:rPr>
      <w:b/>
      <w:bCs/>
    </w:rPr>
  </w:style>
  <w:style w:type="character" w:customStyle="1" w:styleId="Heading2Char">
    <w:name w:val="Heading 2 Char"/>
    <w:basedOn w:val="DefaultParagraphFont"/>
    <w:link w:val="Heading2"/>
    <w:uiPriority w:val="9"/>
    <w:rsid w:val="00DB34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95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D5A0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42">
      <w:bodyDiv w:val="1"/>
      <w:marLeft w:val="0"/>
      <w:marRight w:val="0"/>
      <w:marTop w:val="0"/>
      <w:marBottom w:val="0"/>
      <w:divBdr>
        <w:top w:val="none" w:sz="0" w:space="0" w:color="auto"/>
        <w:left w:val="none" w:sz="0" w:space="0" w:color="auto"/>
        <w:bottom w:val="none" w:sz="0" w:space="0" w:color="auto"/>
        <w:right w:val="none" w:sz="0" w:space="0" w:color="auto"/>
      </w:divBdr>
    </w:div>
    <w:div w:id="9769590">
      <w:bodyDiv w:val="1"/>
      <w:marLeft w:val="0"/>
      <w:marRight w:val="0"/>
      <w:marTop w:val="0"/>
      <w:marBottom w:val="0"/>
      <w:divBdr>
        <w:top w:val="none" w:sz="0" w:space="0" w:color="auto"/>
        <w:left w:val="none" w:sz="0" w:space="0" w:color="auto"/>
        <w:bottom w:val="none" w:sz="0" w:space="0" w:color="auto"/>
        <w:right w:val="none" w:sz="0" w:space="0" w:color="auto"/>
      </w:divBdr>
    </w:div>
    <w:div w:id="41491902">
      <w:bodyDiv w:val="1"/>
      <w:marLeft w:val="0"/>
      <w:marRight w:val="0"/>
      <w:marTop w:val="0"/>
      <w:marBottom w:val="0"/>
      <w:divBdr>
        <w:top w:val="none" w:sz="0" w:space="0" w:color="auto"/>
        <w:left w:val="none" w:sz="0" w:space="0" w:color="auto"/>
        <w:bottom w:val="none" w:sz="0" w:space="0" w:color="auto"/>
        <w:right w:val="none" w:sz="0" w:space="0" w:color="auto"/>
      </w:divBdr>
    </w:div>
    <w:div w:id="64182219">
      <w:bodyDiv w:val="1"/>
      <w:marLeft w:val="0"/>
      <w:marRight w:val="0"/>
      <w:marTop w:val="0"/>
      <w:marBottom w:val="0"/>
      <w:divBdr>
        <w:top w:val="none" w:sz="0" w:space="0" w:color="auto"/>
        <w:left w:val="none" w:sz="0" w:space="0" w:color="auto"/>
        <w:bottom w:val="none" w:sz="0" w:space="0" w:color="auto"/>
        <w:right w:val="none" w:sz="0" w:space="0" w:color="auto"/>
      </w:divBdr>
    </w:div>
    <w:div w:id="78913493">
      <w:bodyDiv w:val="1"/>
      <w:marLeft w:val="0"/>
      <w:marRight w:val="0"/>
      <w:marTop w:val="0"/>
      <w:marBottom w:val="0"/>
      <w:divBdr>
        <w:top w:val="none" w:sz="0" w:space="0" w:color="auto"/>
        <w:left w:val="none" w:sz="0" w:space="0" w:color="auto"/>
        <w:bottom w:val="none" w:sz="0" w:space="0" w:color="auto"/>
        <w:right w:val="none" w:sz="0" w:space="0" w:color="auto"/>
      </w:divBdr>
    </w:div>
    <w:div w:id="129713048">
      <w:bodyDiv w:val="1"/>
      <w:marLeft w:val="0"/>
      <w:marRight w:val="0"/>
      <w:marTop w:val="0"/>
      <w:marBottom w:val="0"/>
      <w:divBdr>
        <w:top w:val="none" w:sz="0" w:space="0" w:color="auto"/>
        <w:left w:val="none" w:sz="0" w:space="0" w:color="auto"/>
        <w:bottom w:val="none" w:sz="0" w:space="0" w:color="auto"/>
        <w:right w:val="none" w:sz="0" w:space="0" w:color="auto"/>
      </w:divBdr>
      <w:divsChild>
        <w:div w:id="305166952">
          <w:marLeft w:val="446"/>
          <w:marRight w:val="0"/>
          <w:marTop w:val="60"/>
          <w:marBottom w:val="60"/>
          <w:divBdr>
            <w:top w:val="none" w:sz="0" w:space="0" w:color="auto"/>
            <w:left w:val="none" w:sz="0" w:space="0" w:color="auto"/>
            <w:bottom w:val="none" w:sz="0" w:space="0" w:color="auto"/>
            <w:right w:val="none" w:sz="0" w:space="0" w:color="auto"/>
          </w:divBdr>
        </w:div>
      </w:divsChild>
    </w:div>
    <w:div w:id="130177816">
      <w:bodyDiv w:val="1"/>
      <w:marLeft w:val="0"/>
      <w:marRight w:val="0"/>
      <w:marTop w:val="0"/>
      <w:marBottom w:val="0"/>
      <w:divBdr>
        <w:top w:val="none" w:sz="0" w:space="0" w:color="auto"/>
        <w:left w:val="none" w:sz="0" w:space="0" w:color="auto"/>
        <w:bottom w:val="none" w:sz="0" w:space="0" w:color="auto"/>
        <w:right w:val="none" w:sz="0" w:space="0" w:color="auto"/>
      </w:divBdr>
    </w:div>
    <w:div w:id="159121914">
      <w:bodyDiv w:val="1"/>
      <w:marLeft w:val="0"/>
      <w:marRight w:val="0"/>
      <w:marTop w:val="0"/>
      <w:marBottom w:val="0"/>
      <w:divBdr>
        <w:top w:val="none" w:sz="0" w:space="0" w:color="auto"/>
        <w:left w:val="none" w:sz="0" w:space="0" w:color="auto"/>
        <w:bottom w:val="none" w:sz="0" w:space="0" w:color="auto"/>
        <w:right w:val="none" w:sz="0" w:space="0" w:color="auto"/>
      </w:divBdr>
    </w:div>
    <w:div w:id="167260907">
      <w:bodyDiv w:val="1"/>
      <w:marLeft w:val="0"/>
      <w:marRight w:val="0"/>
      <w:marTop w:val="0"/>
      <w:marBottom w:val="0"/>
      <w:divBdr>
        <w:top w:val="none" w:sz="0" w:space="0" w:color="auto"/>
        <w:left w:val="none" w:sz="0" w:space="0" w:color="auto"/>
        <w:bottom w:val="none" w:sz="0" w:space="0" w:color="auto"/>
        <w:right w:val="none" w:sz="0" w:space="0" w:color="auto"/>
      </w:divBdr>
    </w:div>
    <w:div w:id="177162014">
      <w:bodyDiv w:val="1"/>
      <w:marLeft w:val="0"/>
      <w:marRight w:val="0"/>
      <w:marTop w:val="0"/>
      <w:marBottom w:val="0"/>
      <w:divBdr>
        <w:top w:val="none" w:sz="0" w:space="0" w:color="auto"/>
        <w:left w:val="none" w:sz="0" w:space="0" w:color="auto"/>
        <w:bottom w:val="none" w:sz="0" w:space="0" w:color="auto"/>
        <w:right w:val="none" w:sz="0" w:space="0" w:color="auto"/>
      </w:divBdr>
    </w:div>
    <w:div w:id="205220265">
      <w:bodyDiv w:val="1"/>
      <w:marLeft w:val="0"/>
      <w:marRight w:val="0"/>
      <w:marTop w:val="0"/>
      <w:marBottom w:val="0"/>
      <w:divBdr>
        <w:top w:val="none" w:sz="0" w:space="0" w:color="auto"/>
        <w:left w:val="none" w:sz="0" w:space="0" w:color="auto"/>
        <w:bottom w:val="none" w:sz="0" w:space="0" w:color="auto"/>
        <w:right w:val="none" w:sz="0" w:space="0" w:color="auto"/>
      </w:divBdr>
    </w:div>
    <w:div w:id="214389619">
      <w:bodyDiv w:val="1"/>
      <w:marLeft w:val="0"/>
      <w:marRight w:val="0"/>
      <w:marTop w:val="0"/>
      <w:marBottom w:val="0"/>
      <w:divBdr>
        <w:top w:val="none" w:sz="0" w:space="0" w:color="auto"/>
        <w:left w:val="none" w:sz="0" w:space="0" w:color="auto"/>
        <w:bottom w:val="none" w:sz="0" w:space="0" w:color="auto"/>
        <w:right w:val="none" w:sz="0" w:space="0" w:color="auto"/>
      </w:divBdr>
    </w:div>
    <w:div w:id="235166864">
      <w:bodyDiv w:val="1"/>
      <w:marLeft w:val="0"/>
      <w:marRight w:val="0"/>
      <w:marTop w:val="0"/>
      <w:marBottom w:val="0"/>
      <w:divBdr>
        <w:top w:val="none" w:sz="0" w:space="0" w:color="auto"/>
        <w:left w:val="none" w:sz="0" w:space="0" w:color="auto"/>
        <w:bottom w:val="none" w:sz="0" w:space="0" w:color="auto"/>
        <w:right w:val="none" w:sz="0" w:space="0" w:color="auto"/>
      </w:divBdr>
      <w:divsChild>
        <w:div w:id="1388995681">
          <w:marLeft w:val="1166"/>
          <w:marRight w:val="0"/>
          <w:marTop w:val="40"/>
          <w:marBottom w:val="40"/>
          <w:divBdr>
            <w:top w:val="none" w:sz="0" w:space="0" w:color="auto"/>
            <w:left w:val="none" w:sz="0" w:space="0" w:color="auto"/>
            <w:bottom w:val="none" w:sz="0" w:space="0" w:color="auto"/>
            <w:right w:val="none" w:sz="0" w:space="0" w:color="auto"/>
          </w:divBdr>
        </w:div>
      </w:divsChild>
    </w:div>
    <w:div w:id="243927515">
      <w:bodyDiv w:val="1"/>
      <w:marLeft w:val="0"/>
      <w:marRight w:val="0"/>
      <w:marTop w:val="0"/>
      <w:marBottom w:val="0"/>
      <w:divBdr>
        <w:top w:val="none" w:sz="0" w:space="0" w:color="auto"/>
        <w:left w:val="none" w:sz="0" w:space="0" w:color="auto"/>
        <w:bottom w:val="none" w:sz="0" w:space="0" w:color="auto"/>
        <w:right w:val="none" w:sz="0" w:space="0" w:color="auto"/>
      </w:divBdr>
    </w:div>
    <w:div w:id="248344284">
      <w:bodyDiv w:val="1"/>
      <w:marLeft w:val="0"/>
      <w:marRight w:val="0"/>
      <w:marTop w:val="0"/>
      <w:marBottom w:val="0"/>
      <w:divBdr>
        <w:top w:val="none" w:sz="0" w:space="0" w:color="auto"/>
        <w:left w:val="none" w:sz="0" w:space="0" w:color="auto"/>
        <w:bottom w:val="none" w:sz="0" w:space="0" w:color="auto"/>
        <w:right w:val="none" w:sz="0" w:space="0" w:color="auto"/>
      </w:divBdr>
      <w:divsChild>
        <w:div w:id="46536113">
          <w:marLeft w:val="1166"/>
          <w:marRight w:val="0"/>
          <w:marTop w:val="40"/>
          <w:marBottom w:val="40"/>
          <w:divBdr>
            <w:top w:val="none" w:sz="0" w:space="0" w:color="auto"/>
            <w:left w:val="none" w:sz="0" w:space="0" w:color="auto"/>
            <w:bottom w:val="none" w:sz="0" w:space="0" w:color="auto"/>
            <w:right w:val="none" w:sz="0" w:space="0" w:color="auto"/>
          </w:divBdr>
        </w:div>
        <w:div w:id="701975185">
          <w:marLeft w:val="1166"/>
          <w:marRight w:val="0"/>
          <w:marTop w:val="40"/>
          <w:marBottom w:val="40"/>
          <w:divBdr>
            <w:top w:val="none" w:sz="0" w:space="0" w:color="auto"/>
            <w:left w:val="none" w:sz="0" w:space="0" w:color="auto"/>
            <w:bottom w:val="none" w:sz="0" w:space="0" w:color="auto"/>
            <w:right w:val="none" w:sz="0" w:space="0" w:color="auto"/>
          </w:divBdr>
        </w:div>
        <w:div w:id="924454059">
          <w:marLeft w:val="1166"/>
          <w:marRight w:val="0"/>
          <w:marTop w:val="40"/>
          <w:marBottom w:val="40"/>
          <w:divBdr>
            <w:top w:val="none" w:sz="0" w:space="0" w:color="auto"/>
            <w:left w:val="none" w:sz="0" w:space="0" w:color="auto"/>
            <w:bottom w:val="none" w:sz="0" w:space="0" w:color="auto"/>
            <w:right w:val="none" w:sz="0" w:space="0" w:color="auto"/>
          </w:divBdr>
        </w:div>
        <w:div w:id="965963248">
          <w:marLeft w:val="446"/>
          <w:marRight w:val="0"/>
          <w:marTop w:val="40"/>
          <w:marBottom w:val="40"/>
          <w:divBdr>
            <w:top w:val="none" w:sz="0" w:space="0" w:color="auto"/>
            <w:left w:val="none" w:sz="0" w:space="0" w:color="auto"/>
            <w:bottom w:val="none" w:sz="0" w:space="0" w:color="auto"/>
            <w:right w:val="none" w:sz="0" w:space="0" w:color="auto"/>
          </w:divBdr>
        </w:div>
        <w:div w:id="1861897402">
          <w:marLeft w:val="1166"/>
          <w:marRight w:val="0"/>
          <w:marTop w:val="40"/>
          <w:marBottom w:val="40"/>
          <w:divBdr>
            <w:top w:val="none" w:sz="0" w:space="0" w:color="auto"/>
            <w:left w:val="none" w:sz="0" w:space="0" w:color="auto"/>
            <w:bottom w:val="none" w:sz="0" w:space="0" w:color="auto"/>
            <w:right w:val="none" w:sz="0" w:space="0" w:color="auto"/>
          </w:divBdr>
        </w:div>
      </w:divsChild>
    </w:div>
    <w:div w:id="261963018">
      <w:bodyDiv w:val="1"/>
      <w:marLeft w:val="0"/>
      <w:marRight w:val="0"/>
      <w:marTop w:val="0"/>
      <w:marBottom w:val="0"/>
      <w:divBdr>
        <w:top w:val="none" w:sz="0" w:space="0" w:color="auto"/>
        <w:left w:val="none" w:sz="0" w:space="0" w:color="auto"/>
        <w:bottom w:val="none" w:sz="0" w:space="0" w:color="auto"/>
        <w:right w:val="none" w:sz="0" w:space="0" w:color="auto"/>
      </w:divBdr>
    </w:div>
    <w:div w:id="266818511">
      <w:bodyDiv w:val="1"/>
      <w:marLeft w:val="0"/>
      <w:marRight w:val="0"/>
      <w:marTop w:val="0"/>
      <w:marBottom w:val="0"/>
      <w:divBdr>
        <w:top w:val="none" w:sz="0" w:space="0" w:color="auto"/>
        <w:left w:val="none" w:sz="0" w:space="0" w:color="auto"/>
        <w:bottom w:val="none" w:sz="0" w:space="0" w:color="auto"/>
        <w:right w:val="none" w:sz="0" w:space="0" w:color="auto"/>
      </w:divBdr>
    </w:div>
    <w:div w:id="271523238">
      <w:bodyDiv w:val="1"/>
      <w:marLeft w:val="0"/>
      <w:marRight w:val="0"/>
      <w:marTop w:val="0"/>
      <w:marBottom w:val="0"/>
      <w:divBdr>
        <w:top w:val="none" w:sz="0" w:space="0" w:color="auto"/>
        <w:left w:val="none" w:sz="0" w:space="0" w:color="auto"/>
        <w:bottom w:val="none" w:sz="0" w:space="0" w:color="auto"/>
        <w:right w:val="none" w:sz="0" w:space="0" w:color="auto"/>
      </w:divBdr>
    </w:div>
    <w:div w:id="275019816">
      <w:bodyDiv w:val="1"/>
      <w:marLeft w:val="0"/>
      <w:marRight w:val="0"/>
      <w:marTop w:val="0"/>
      <w:marBottom w:val="0"/>
      <w:divBdr>
        <w:top w:val="none" w:sz="0" w:space="0" w:color="auto"/>
        <w:left w:val="none" w:sz="0" w:space="0" w:color="auto"/>
        <w:bottom w:val="none" w:sz="0" w:space="0" w:color="auto"/>
        <w:right w:val="none" w:sz="0" w:space="0" w:color="auto"/>
      </w:divBdr>
    </w:div>
    <w:div w:id="281350372">
      <w:bodyDiv w:val="1"/>
      <w:marLeft w:val="0"/>
      <w:marRight w:val="0"/>
      <w:marTop w:val="0"/>
      <w:marBottom w:val="0"/>
      <w:divBdr>
        <w:top w:val="none" w:sz="0" w:space="0" w:color="auto"/>
        <w:left w:val="none" w:sz="0" w:space="0" w:color="auto"/>
        <w:bottom w:val="none" w:sz="0" w:space="0" w:color="auto"/>
        <w:right w:val="none" w:sz="0" w:space="0" w:color="auto"/>
      </w:divBdr>
    </w:div>
    <w:div w:id="286473731">
      <w:bodyDiv w:val="1"/>
      <w:marLeft w:val="0"/>
      <w:marRight w:val="0"/>
      <w:marTop w:val="0"/>
      <w:marBottom w:val="0"/>
      <w:divBdr>
        <w:top w:val="none" w:sz="0" w:space="0" w:color="auto"/>
        <w:left w:val="none" w:sz="0" w:space="0" w:color="auto"/>
        <w:bottom w:val="none" w:sz="0" w:space="0" w:color="auto"/>
        <w:right w:val="none" w:sz="0" w:space="0" w:color="auto"/>
      </w:divBdr>
    </w:div>
    <w:div w:id="291448823">
      <w:bodyDiv w:val="1"/>
      <w:marLeft w:val="0"/>
      <w:marRight w:val="0"/>
      <w:marTop w:val="0"/>
      <w:marBottom w:val="0"/>
      <w:divBdr>
        <w:top w:val="none" w:sz="0" w:space="0" w:color="auto"/>
        <w:left w:val="none" w:sz="0" w:space="0" w:color="auto"/>
        <w:bottom w:val="none" w:sz="0" w:space="0" w:color="auto"/>
        <w:right w:val="none" w:sz="0" w:space="0" w:color="auto"/>
      </w:divBdr>
      <w:divsChild>
        <w:div w:id="1786579959">
          <w:marLeft w:val="547"/>
          <w:marRight w:val="0"/>
          <w:marTop w:val="40"/>
          <w:marBottom w:val="40"/>
          <w:divBdr>
            <w:top w:val="none" w:sz="0" w:space="0" w:color="auto"/>
            <w:left w:val="none" w:sz="0" w:space="0" w:color="auto"/>
            <w:bottom w:val="none" w:sz="0" w:space="0" w:color="auto"/>
            <w:right w:val="none" w:sz="0" w:space="0" w:color="auto"/>
          </w:divBdr>
        </w:div>
        <w:div w:id="1828665005">
          <w:marLeft w:val="547"/>
          <w:marRight w:val="0"/>
          <w:marTop w:val="40"/>
          <w:marBottom w:val="40"/>
          <w:divBdr>
            <w:top w:val="none" w:sz="0" w:space="0" w:color="auto"/>
            <w:left w:val="none" w:sz="0" w:space="0" w:color="auto"/>
            <w:bottom w:val="none" w:sz="0" w:space="0" w:color="auto"/>
            <w:right w:val="none" w:sz="0" w:space="0" w:color="auto"/>
          </w:divBdr>
        </w:div>
      </w:divsChild>
    </w:div>
    <w:div w:id="296376375">
      <w:bodyDiv w:val="1"/>
      <w:marLeft w:val="0"/>
      <w:marRight w:val="0"/>
      <w:marTop w:val="0"/>
      <w:marBottom w:val="0"/>
      <w:divBdr>
        <w:top w:val="none" w:sz="0" w:space="0" w:color="auto"/>
        <w:left w:val="none" w:sz="0" w:space="0" w:color="auto"/>
        <w:bottom w:val="none" w:sz="0" w:space="0" w:color="auto"/>
        <w:right w:val="none" w:sz="0" w:space="0" w:color="auto"/>
      </w:divBdr>
    </w:div>
    <w:div w:id="297028553">
      <w:bodyDiv w:val="1"/>
      <w:marLeft w:val="0"/>
      <w:marRight w:val="0"/>
      <w:marTop w:val="0"/>
      <w:marBottom w:val="0"/>
      <w:divBdr>
        <w:top w:val="none" w:sz="0" w:space="0" w:color="auto"/>
        <w:left w:val="none" w:sz="0" w:space="0" w:color="auto"/>
        <w:bottom w:val="none" w:sz="0" w:space="0" w:color="auto"/>
        <w:right w:val="none" w:sz="0" w:space="0" w:color="auto"/>
      </w:divBdr>
    </w:div>
    <w:div w:id="308294241">
      <w:bodyDiv w:val="1"/>
      <w:marLeft w:val="0"/>
      <w:marRight w:val="0"/>
      <w:marTop w:val="0"/>
      <w:marBottom w:val="0"/>
      <w:divBdr>
        <w:top w:val="none" w:sz="0" w:space="0" w:color="auto"/>
        <w:left w:val="none" w:sz="0" w:space="0" w:color="auto"/>
        <w:bottom w:val="none" w:sz="0" w:space="0" w:color="auto"/>
        <w:right w:val="none" w:sz="0" w:space="0" w:color="auto"/>
      </w:divBdr>
    </w:div>
    <w:div w:id="309942388">
      <w:bodyDiv w:val="1"/>
      <w:marLeft w:val="0"/>
      <w:marRight w:val="0"/>
      <w:marTop w:val="0"/>
      <w:marBottom w:val="0"/>
      <w:divBdr>
        <w:top w:val="none" w:sz="0" w:space="0" w:color="auto"/>
        <w:left w:val="none" w:sz="0" w:space="0" w:color="auto"/>
        <w:bottom w:val="none" w:sz="0" w:space="0" w:color="auto"/>
        <w:right w:val="none" w:sz="0" w:space="0" w:color="auto"/>
      </w:divBdr>
    </w:div>
    <w:div w:id="316962532">
      <w:bodyDiv w:val="1"/>
      <w:marLeft w:val="0"/>
      <w:marRight w:val="0"/>
      <w:marTop w:val="0"/>
      <w:marBottom w:val="0"/>
      <w:divBdr>
        <w:top w:val="none" w:sz="0" w:space="0" w:color="auto"/>
        <w:left w:val="none" w:sz="0" w:space="0" w:color="auto"/>
        <w:bottom w:val="none" w:sz="0" w:space="0" w:color="auto"/>
        <w:right w:val="none" w:sz="0" w:space="0" w:color="auto"/>
      </w:divBdr>
    </w:div>
    <w:div w:id="337579760">
      <w:bodyDiv w:val="1"/>
      <w:marLeft w:val="0"/>
      <w:marRight w:val="0"/>
      <w:marTop w:val="0"/>
      <w:marBottom w:val="0"/>
      <w:divBdr>
        <w:top w:val="none" w:sz="0" w:space="0" w:color="auto"/>
        <w:left w:val="none" w:sz="0" w:space="0" w:color="auto"/>
        <w:bottom w:val="none" w:sz="0" w:space="0" w:color="auto"/>
        <w:right w:val="none" w:sz="0" w:space="0" w:color="auto"/>
      </w:divBdr>
      <w:divsChild>
        <w:div w:id="814374579">
          <w:marLeft w:val="446"/>
          <w:marRight w:val="0"/>
          <w:marTop w:val="60"/>
          <w:marBottom w:val="60"/>
          <w:divBdr>
            <w:top w:val="none" w:sz="0" w:space="0" w:color="auto"/>
            <w:left w:val="none" w:sz="0" w:space="0" w:color="auto"/>
            <w:bottom w:val="none" w:sz="0" w:space="0" w:color="auto"/>
            <w:right w:val="none" w:sz="0" w:space="0" w:color="auto"/>
          </w:divBdr>
        </w:div>
      </w:divsChild>
    </w:div>
    <w:div w:id="340207993">
      <w:bodyDiv w:val="1"/>
      <w:marLeft w:val="0"/>
      <w:marRight w:val="0"/>
      <w:marTop w:val="0"/>
      <w:marBottom w:val="0"/>
      <w:divBdr>
        <w:top w:val="none" w:sz="0" w:space="0" w:color="auto"/>
        <w:left w:val="none" w:sz="0" w:space="0" w:color="auto"/>
        <w:bottom w:val="none" w:sz="0" w:space="0" w:color="auto"/>
        <w:right w:val="none" w:sz="0" w:space="0" w:color="auto"/>
      </w:divBdr>
    </w:div>
    <w:div w:id="349990880">
      <w:bodyDiv w:val="1"/>
      <w:marLeft w:val="0"/>
      <w:marRight w:val="0"/>
      <w:marTop w:val="0"/>
      <w:marBottom w:val="0"/>
      <w:divBdr>
        <w:top w:val="none" w:sz="0" w:space="0" w:color="auto"/>
        <w:left w:val="none" w:sz="0" w:space="0" w:color="auto"/>
        <w:bottom w:val="none" w:sz="0" w:space="0" w:color="auto"/>
        <w:right w:val="none" w:sz="0" w:space="0" w:color="auto"/>
      </w:divBdr>
      <w:divsChild>
        <w:div w:id="84152983">
          <w:marLeft w:val="1166"/>
          <w:marRight w:val="0"/>
          <w:marTop w:val="120"/>
          <w:marBottom w:val="60"/>
          <w:divBdr>
            <w:top w:val="none" w:sz="0" w:space="0" w:color="auto"/>
            <w:left w:val="none" w:sz="0" w:space="0" w:color="auto"/>
            <w:bottom w:val="none" w:sz="0" w:space="0" w:color="auto"/>
            <w:right w:val="none" w:sz="0" w:space="0" w:color="auto"/>
          </w:divBdr>
        </w:div>
        <w:div w:id="134489535">
          <w:marLeft w:val="274"/>
          <w:marRight w:val="0"/>
          <w:marTop w:val="120"/>
          <w:marBottom w:val="60"/>
          <w:divBdr>
            <w:top w:val="none" w:sz="0" w:space="0" w:color="auto"/>
            <w:left w:val="none" w:sz="0" w:space="0" w:color="auto"/>
            <w:bottom w:val="none" w:sz="0" w:space="0" w:color="auto"/>
            <w:right w:val="none" w:sz="0" w:space="0" w:color="auto"/>
          </w:divBdr>
        </w:div>
        <w:div w:id="340397000">
          <w:marLeft w:val="274"/>
          <w:marRight w:val="0"/>
          <w:marTop w:val="120"/>
          <w:marBottom w:val="60"/>
          <w:divBdr>
            <w:top w:val="none" w:sz="0" w:space="0" w:color="auto"/>
            <w:left w:val="none" w:sz="0" w:space="0" w:color="auto"/>
            <w:bottom w:val="none" w:sz="0" w:space="0" w:color="auto"/>
            <w:right w:val="none" w:sz="0" w:space="0" w:color="auto"/>
          </w:divBdr>
        </w:div>
        <w:div w:id="399863306">
          <w:marLeft w:val="274"/>
          <w:marRight w:val="0"/>
          <w:marTop w:val="120"/>
          <w:marBottom w:val="60"/>
          <w:divBdr>
            <w:top w:val="none" w:sz="0" w:space="0" w:color="auto"/>
            <w:left w:val="none" w:sz="0" w:space="0" w:color="auto"/>
            <w:bottom w:val="none" w:sz="0" w:space="0" w:color="auto"/>
            <w:right w:val="none" w:sz="0" w:space="0" w:color="auto"/>
          </w:divBdr>
        </w:div>
        <w:div w:id="489715152">
          <w:marLeft w:val="274"/>
          <w:marRight w:val="0"/>
          <w:marTop w:val="120"/>
          <w:marBottom w:val="60"/>
          <w:divBdr>
            <w:top w:val="none" w:sz="0" w:space="0" w:color="auto"/>
            <w:left w:val="none" w:sz="0" w:space="0" w:color="auto"/>
            <w:bottom w:val="none" w:sz="0" w:space="0" w:color="auto"/>
            <w:right w:val="none" w:sz="0" w:space="0" w:color="auto"/>
          </w:divBdr>
        </w:div>
        <w:div w:id="854686221">
          <w:marLeft w:val="1166"/>
          <w:marRight w:val="0"/>
          <w:marTop w:val="120"/>
          <w:marBottom w:val="60"/>
          <w:divBdr>
            <w:top w:val="none" w:sz="0" w:space="0" w:color="auto"/>
            <w:left w:val="none" w:sz="0" w:space="0" w:color="auto"/>
            <w:bottom w:val="none" w:sz="0" w:space="0" w:color="auto"/>
            <w:right w:val="none" w:sz="0" w:space="0" w:color="auto"/>
          </w:divBdr>
        </w:div>
        <w:div w:id="1048800557">
          <w:marLeft w:val="1166"/>
          <w:marRight w:val="0"/>
          <w:marTop w:val="120"/>
          <w:marBottom w:val="60"/>
          <w:divBdr>
            <w:top w:val="none" w:sz="0" w:space="0" w:color="auto"/>
            <w:left w:val="none" w:sz="0" w:space="0" w:color="auto"/>
            <w:bottom w:val="none" w:sz="0" w:space="0" w:color="auto"/>
            <w:right w:val="none" w:sz="0" w:space="0" w:color="auto"/>
          </w:divBdr>
        </w:div>
      </w:divsChild>
    </w:div>
    <w:div w:id="366417033">
      <w:bodyDiv w:val="1"/>
      <w:marLeft w:val="0"/>
      <w:marRight w:val="0"/>
      <w:marTop w:val="0"/>
      <w:marBottom w:val="0"/>
      <w:divBdr>
        <w:top w:val="none" w:sz="0" w:space="0" w:color="auto"/>
        <w:left w:val="none" w:sz="0" w:space="0" w:color="auto"/>
        <w:bottom w:val="none" w:sz="0" w:space="0" w:color="auto"/>
        <w:right w:val="none" w:sz="0" w:space="0" w:color="auto"/>
      </w:divBdr>
    </w:div>
    <w:div w:id="367343396">
      <w:bodyDiv w:val="1"/>
      <w:marLeft w:val="0"/>
      <w:marRight w:val="0"/>
      <w:marTop w:val="0"/>
      <w:marBottom w:val="0"/>
      <w:divBdr>
        <w:top w:val="none" w:sz="0" w:space="0" w:color="auto"/>
        <w:left w:val="none" w:sz="0" w:space="0" w:color="auto"/>
        <w:bottom w:val="none" w:sz="0" w:space="0" w:color="auto"/>
        <w:right w:val="none" w:sz="0" w:space="0" w:color="auto"/>
      </w:divBdr>
    </w:div>
    <w:div w:id="369959174">
      <w:bodyDiv w:val="1"/>
      <w:marLeft w:val="0"/>
      <w:marRight w:val="0"/>
      <w:marTop w:val="0"/>
      <w:marBottom w:val="0"/>
      <w:divBdr>
        <w:top w:val="none" w:sz="0" w:space="0" w:color="auto"/>
        <w:left w:val="none" w:sz="0" w:space="0" w:color="auto"/>
        <w:bottom w:val="none" w:sz="0" w:space="0" w:color="auto"/>
        <w:right w:val="none" w:sz="0" w:space="0" w:color="auto"/>
      </w:divBdr>
    </w:div>
    <w:div w:id="378358118">
      <w:bodyDiv w:val="1"/>
      <w:marLeft w:val="0"/>
      <w:marRight w:val="0"/>
      <w:marTop w:val="0"/>
      <w:marBottom w:val="0"/>
      <w:divBdr>
        <w:top w:val="none" w:sz="0" w:space="0" w:color="auto"/>
        <w:left w:val="none" w:sz="0" w:space="0" w:color="auto"/>
        <w:bottom w:val="none" w:sz="0" w:space="0" w:color="auto"/>
        <w:right w:val="none" w:sz="0" w:space="0" w:color="auto"/>
      </w:divBdr>
    </w:div>
    <w:div w:id="379479595">
      <w:bodyDiv w:val="1"/>
      <w:marLeft w:val="0"/>
      <w:marRight w:val="0"/>
      <w:marTop w:val="0"/>
      <w:marBottom w:val="0"/>
      <w:divBdr>
        <w:top w:val="none" w:sz="0" w:space="0" w:color="auto"/>
        <w:left w:val="none" w:sz="0" w:space="0" w:color="auto"/>
        <w:bottom w:val="none" w:sz="0" w:space="0" w:color="auto"/>
        <w:right w:val="none" w:sz="0" w:space="0" w:color="auto"/>
      </w:divBdr>
      <w:divsChild>
        <w:div w:id="119954973">
          <w:marLeft w:val="446"/>
          <w:marRight w:val="0"/>
          <w:marTop w:val="120"/>
          <w:marBottom w:val="0"/>
          <w:divBdr>
            <w:top w:val="none" w:sz="0" w:space="0" w:color="auto"/>
            <w:left w:val="none" w:sz="0" w:space="0" w:color="auto"/>
            <w:bottom w:val="none" w:sz="0" w:space="0" w:color="auto"/>
            <w:right w:val="none" w:sz="0" w:space="0" w:color="auto"/>
          </w:divBdr>
        </w:div>
        <w:div w:id="1627080123">
          <w:marLeft w:val="446"/>
          <w:marRight w:val="0"/>
          <w:marTop w:val="120"/>
          <w:marBottom w:val="0"/>
          <w:divBdr>
            <w:top w:val="none" w:sz="0" w:space="0" w:color="auto"/>
            <w:left w:val="none" w:sz="0" w:space="0" w:color="auto"/>
            <w:bottom w:val="none" w:sz="0" w:space="0" w:color="auto"/>
            <w:right w:val="none" w:sz="0" w:space="0" w:color="auto"/>
          </w:divBdr>
        </w:div>
        <w:div w:id="1810514482">
          <w:marLeft w:val="446"/>
          <w:marRight w:val="0"/>
          <w:marTop w:val="120"/>
          <w:marBottom w:val="0"/>
          <w:divBdr>
            <w:top w:val="none" w:sz="0" w:space="0" w:color="auto"/>
            <w:left w:val="none" w:sz="0" w:space="0" w:color="auto"/>
            <w:bottom w:val="none" w:sz="0" w:space="0" w:color="auto"/>
            <w:right w:val="none" w:sz="0" w:space="0" w:color="auto"/>
          </w:divBdr>
        </w:div>
      </w:divsChild>
    </w:div>
    <w:div w:id="390739061">
      <w:bodyDiv w:val="1"/>
      <w:marLeft w:val="0"/>
      <w:marRight w:val="0"/>
      <w:marTop w:val="0"/>
      <w:marBottom w:val="0"/>
      <w:divBdr>
        <w:top w:val="none" w:sz="0" w:space="0" w:color="auto"/>
        <w:left w:val="none" w:sz="0" w:space="0" w:color="auto"/>
        <w:bottom w:val="none" w:sz="0" w:space="0" w:color="auto"/>
        <w:right w:val="none" w:sz="0" w:space="0" w:color="auto"/>
      </w:divBdr>
    </w:div>
    <w:div w:id="402340565">
      <w:bodyDiv w:val="1"/>
      <w:marLeft w:val="0"/>
      <w:marRight w:val="0"/>
      <w:marTop w:val="0"/>
      <w:marBottom w:val="0"/>
      <w:divBdr>
        <w:top w:val="none" w:sz="0" w:space="0" w:color="auto"/>
        <w:left w:val="none" w:sz="0" w:space="0" w:color="auto"/>
        <w:bottom w:val="none" w:sz="0" w:space="0" w:color="auto"/>
        <w:right w:val="none" w:sz="0" w:space="0" w:color="auto"/>
      </w:divBdr>
    </w:div>
    <w:div w:id="427654454">
      <w:bodyDiv w:val="1"/>
      <w:marLeft w:val="0"/>
      <w:marRight w:val="0"/>
      <w:marTop w:val="0"/>
      <w:marBottom w:val="0"/>
      <w:divBdr>
        <w:top w:val="none" w:sz="0" w:space="0" w:color="auto"/>
        <w:left w:val="none" w:sz="0" w:space="0" w:color="auto"/>
        <w:bottom w:val="none" w:sz="0" w:space="0" w:color="auto"/>
        <w:right w:val="none" w:sz="0" w:space="0" w:color="auto"/>
      </w:divBdr>
    </w:div>
    <w:div w:id="438916500">
      <w:bodyDiv w:val="1"/>
      <w:marLeft w:val="0"/>
      <w:marRight w:val="0"/>
      <w:marTop w:val="0"/>
      <w:marBottom w:val="0"/>
      <w:divBdr>
        <w:top w:val="none" w:sz="0" w:space="0" w:color="auto"/>
        <w:left w:val="none" w:sz="0" w:space="0" w:color="auto"/>
        <w:bottom w:val="none" w:sz="0" w:space="0" w:color="auto"/>
        <w:right w:val="none" w:sz="0" w:space="0" w:color="auto"/>
      </w:divBdr>
    </w:div>
    <w:div w:id="440028667">
      <w:bodyDiv w:val="1"/>
      <w:marLeft w:val="0"/>
      <w:marRight w:val="0"/>
      <w:marTop w:val="0"/>
      <w:marBottom w:val="0"/>
      <w:divBdr>
        <w:top w:val="none" w:sz="0" w:space="0" w:color="auto"/>
        <w:left w:val="none" w:sz="0" w:space="0" w:color="auto"/>
        <w:bottom w:val="none" w:sz="0" w:space="0" w:color="auto"/>
        <w:right w:val="none" w:sz="0" w:space="0" w:color="auto"/>
      </w:divBdr>
    </w:div>
    <w:div w:id="467093620">
      <w:bodyDiv w:val="1"/>
      <w:marLeft w:val="0"/>
      <w:marRight w:val="0"/>
      <w:marTop w:val="0"/>
      <w:marBottom w:val="0"/>
      <w:divBdr>
        <w:top w:val="none" w:sz="0" w:space="0" w:color="auto"/>
        <w:left w:val="none" w:sz="0" w:space="0" w:color="auto"/>
        <w:bottom w:val="none" w:sz="0" w:space="0" w:color="auto"/>
        <w:right w:val="none" w:sz="0" w:space="0" w:color="auto"/>
      </w:divBdr>
    </w:div>
    <w:div w:id="473184383">
      <w:bodyDiv w:val="1"/>
      <w:marLeft w:val="0"/>
      <w:marRight w:val="0"/>
      <w:marTop w:val="0"/>
      <w:marBottom w:val="0"/>
      <w:divBdr>
        <w:top w:val="none" w:sz="0" w:space="0" w:color="auto"/>
        <w:left w:val="none" w:sz="0" w:space="0" w:color="auto"/>
        <w:bottom w:val="none" w:sz="0" w:space="0" w:color="auto"/>
        <w:right w:val="none" w:sz="0" w:space="0" w:color="auto"/>
      </w:divBdr>
    </w:div>
    <w:div w:id="480582070">
      <w:bodyDiv w:val="1"/>
      <w:marLeft w:val="0"/>
      <w:marRight w:val="0"/>
      <w:marTop w:val="0"/>
      <w:marBottom w:val="0"/>
      <w:divBdr>
        <w:top w:val="none" w:sz="0" w:space="0" w:color="auto"/>
        <w:left w:val="none" w:sz="0" w:space="0" w:color="auto"/>
        <w:bottom w:val="none" w:sz="0" w:space="0" w:color="auto"/>
        <w:right w:val="none" w:sz="0" w:space="0" w:color="auto"/>
      </w:divBdr>
    </w:div>
    <w:div w:id="496263205">
      <w:bodyDiv w:val="1"/>
      <w:marLeft w:val="0"/>
      <w:marRight w:val="0"/>
      <w:marTop w:val="0"/>
      <w:marBottom w:val="0"/>
      <w:divBdr>
        <w:top w:val="none" w:sz="0" w:space="0" w:color="auto"/>
        <w:left w:val="none" w:sz="0" w:space="0" w:color="auto"/>
        <w:bottom w:val="none" w:sz="0" w:space="0" w:color="auto"/>
        <w:right w:val="none" w:sz="0" w:space="0" w:color="auto"/>
      </w:divBdr>
      <w:divsChild>
        <w:div w:id="846364071">
          <w:marLeft w:val="446"/>
          <w:marRight w:val="0"/>
          <w:marTop w:val="0"/>
          <w:marBottom w:val="120"/>
          <w:divBdr>
            <w:top w:val="none" w:sz="0" w:space="0" w:color="auto"/>
            <w:left w:val="none" w:sz="0" w:space="0" w:color="auto"/>
            <w:bottom w:val="none" w:sz="0" w:space="0" w:color="auto"/>
            <w:right w:val="none" w:sz="0" w:space="0" w:color="auto"/>
          </w:divBdr>
        </w:div>
        <w:div w:id="1500345324">
          <w:marLeft w:val="446"/>
          <w:marRight w:val="0"/>
          <w:marTop w:val="0"/>
          <w:marBottom w:val="120"/>
          <w:divBdr>
            <w:top w:val="none" w:sz="0" w:space="0" w:color="auto"/>
            <w:left w:val="none" w:sz="0" w:space="0" w:color="auto"/>
            <w:bottom w:val="none" w:sz="0" w:space="0" w:color="auto"/>
            <w:right w:val="none" w:sz="0" w:space="0" w:color="auto"/>
          </w:divBdr>
        </w:div>
      </w:divsChild>
    </w:div>
    <w:div w:id="514273376">
      <w:bodyDiv w:val="1"/>
      <w:marLeft w:val="0"/>
      <w:marRight w:val="0"/>
      <w:marTop w:val="0"/>
      <w:marBottom w:val="0"/>
      <w:divBdr>
        <w:top w:val="none" w:sz="0" w:space="0" w:color="auto"/>
        <w:left w:val="none" w:sz="0" w:space="0" w:color="auto"/>
        <w:bottom w:val="none" w:sz="0" w:space="0" w:color="auto"/>
        <w:right w:val="none" w:sz="0" w:space="0" w:color="auto"/>
      </w:divBdr>
    </w:div>
    <w:div w:id="557594380">
      <w:bodyDiv w:val="1"/>
      <w:marLeft w:val="0"/>
      <w:marRight w:val="0"/>
      <w:marTop w:val="0"/>
      <w:marBottom w:val="0"/>
      <w:divBdr>
        <w:top w:val="none" w:sz="0" w:space="0" w:color="auto"/>
        <w:left w:val="none" w:sz="0" w:space="0" w:color="auto"/>
        <w:bottom w:val="none" w:sz="0" w:space="0" w:color="auto"/>
        <w:right w:val="none" w:sz="0" w:space="0" w:color="auto"/>
      </w:divBdr>
    </w:div>
    <w:div w:id="571819892">
      <w:bodyDiv w:val="1"/>
      <w:marLeft w:val="0"/>
      <w:marRight w:val="0"/>
      <w:marTop w:val="0"/>
      <w:marBottom w:val="0"/>
      <w:divBdr>
        <w:top w:val="none" w:sz="0" w:space="0" w:color="auto"/>
        <w:left w:val="none" w:sz="0" w:space="0" w:color="auto"/>
        <w:bottom w:val="none" w:sz="0" w:space="0" w:color="auto"/>
        <w:right w:val="none" w:sz="0" w:space="0" w:color="auto"/>
      </w:divBdr>
    </w:div>
    <w:div w:id="579944797">
      <w:bodyDiv w:val="1"/>
      <w:marLeft w:val="0"/>
      <w:marRight w:val="0"/>
      <w:marTop w:val="0"/>
      <w:marBottom w:val="0"/>
      <w:divBdr>
        <w:top w:val="none" w:sz="0" w:space="0" w:color="auto"/>
        <w:left w:val="none" w:sz="0" w:space="0" w:color="auto"/>
        <w:bottom w:val="none" w:sz="0" w:space="0" w:color="auto"/>
        <w:right w:val="none" w:sz="0" w:space="0" w:color="auto"/>
      </w:divBdr>
    </w:div>
    <w:div w:id="583954206">
      <w:bodyDiv w:val="1"/>
      <w:marLeft w:val="0"/>
      <w:marRight w:val="0"/>
      <w:marTop w:val="0"/>
      <w:marBottom w:val="0"/>
      <w:divBdr>
        <w:top w:val="none" w:sz="0" w:space="0" w:color="auto"/>
        <w:left w:val="none" w:sz="0" w:space="0" w:color="auto"/>
        <w:bottom w:val="none" w:sz="0" w:space="0" w:color="auto"/>
        <w:right w:val="none" w:sz="0" w:space="0" w:color="auto"/>
      </w:divBdr>
    </w:div>
    <w:div w:id="596257760">
      <w:bodyDiv w:val="1"/>
      <w:marLeft w:val="0"/>
      <w:marRight w:val="0"/>
      <w:marTop w:val="0"/>
      <w:marBottom w:val="0"/>
      <w:divBdr>
        <w:top w:val="none" w:sz="0" w:space="0" w:color="auto"/>
        <w:left w:val="none" w:sz="0" w:space="0" w:color="auto"/>
        <w:bottom w:val="none" w:sz="0" w:space="0" w:color="auto"/>
        <w:right w:val="none" w:sz="0" w:space="0" w:color="auto"/>
      </w:divBdr>
      <w:divsChild>
        <w:div w:id="429812908">
          <w:marLeft w:val="446"/>
          <w:marRight w:val="0"/>
          <w:marTop w:val="60"/>
          <w:marBottom w:val="60"/>
          <w:divBdr>
            <w:top w:val="none" w:sz="0" w:space="0" w:color="auto"/>
            <w:left w:val="none" w:sz="0" w:space="0" w:color="auto"/>
            <w:bottom w:val="none" w:sz="0" w:space="0" w:color="auto"/>
            <w:right w:val="none" w:sz="0" w:space="0" w:color="auto"/>
          </w:divBdr>
        </w:div>
      </w:divsChild>
    </w:div>
    <w:div w:id="597837344">
      <w:bodyDiv w:val="1"/>
      <w:marLeft w:val="0"/>
      <w:marRight w:val="0"/>
      <w:marTop w:val="0"/>
      <w:marBottom w:val="0"/>
      <w:divBdr>
        <w:top w:val="none" w:sz="0" w:space="0" w:color="auto"/>
        <w:left w:val="none" w:sz="0" w:space="0" w:color="auto"/>
        <w:bottom w:val="none" w:sz="0" w:space="0" w:color="auto"/>
        <w:right w:val="none" w:sz="0" w:space="0" w:color="auto"/>
      </w:divBdr>
    </w:div>
    <w:div w:id="598636477">
      <w:bodyDiv w:val="1"/>
      <w:marLeft w:val="0"/>
      <w:marRight w:val="0"/>
      <w:marTop w:val="0"/>
      <w:marBottom w:val="0"/>
      <w:divBdr>
        <w:top w:val="none" w:sz="0" w:space="0" w:color="auto"/>
        <w:left w:val="none" w:sz="0" w:space="0" w:color="auto"/>
        <w:bottom w:val="none" w:sz="0" w:space="0" w:color="auto"/>
        <w:right w:val="none" w:sz="0" w:space="0" w:color="auto"/>
      </w:divBdr>
    </w:div>
    <w:div w:id="616444974">
      <w:bodyDiv w:val="1"/>
      <w:marLeft w:val="0"/>
      <w:marRight w:val="0"/>
      <w:marTop w:val="0"/>
      <w:marBottom w:val="0"/>
      <w:divBdr>
        <w:top w:val="none" w:sz="0" w:space="0" w:color="auto"/>
        <w:left w:val="none" w:sz="0" w:space="0" w:color="auto"/>
        <w:bottom w:val="none" w:sz="0" w:space="0" w:color="auto"/>
        <w:right w:val="none" w:sz="0" w:space="0" w:color="auto"/>
      </w:divBdr>
    </w:div>
    <w:div w:id="620378872">
      <w:bodyDiv w:val="1"/>
      <w:marLeft w:val="0"/>
      <w:marRight w:val="0"/>
      <w:marTop w:val="0"/>
      <w:marBottom w:val="0"/>
      <w:divBdr>
        <w:top w:val="none" w:sz="0" w:space="0" w:color="auto"/>
        <w:left w:val="none" w:sz="0" w:space="0" w:color="auto"/>
        <w:bottom w:val="none" w:sz="0" w:space="0" w:color="auto"/>
        <w:right w:val="none" w:sz="0" w:space="0" w:color="auto"/>
      </w:divBdr>
    </w:div>
    <w:div w:id="622271157">
      <w:bodyDiv w:val="1"/>
      <w:marLeft w:val="0"/>
      <w:marRight w:val="0"/>
      <w:marTop w:val="0"/>
      <w:marBottom w:val="0"/>
      <w:divBdr>
        <w:top w:val="none" w:sz="0" w:space="0" w:color="auto"/>
        <w:left w:val="none" w:sz="0" w:space="0" w:color="auto"/>
        <w:bottom w:val="none" w:sz="0" w:space="0" w:color="auto"/>
        <w:right w:val="none" w:sz="0" w:space="0" w:color="auto"/>
      </w:divBdr>
    </w:div>
    <w:div w:id="624699213">
      <w:bodyDiv w:val="1"/>
      <w:marLeft w:val="0"/>
      <w:marRight w:val="0"/>
      <w:marTop w:val="0"/>
      <w:marBottom w:val="0"/>
      <w:divBdr>
        <w:top w:val="none" w:sz="0" w:space="0" w:color="auto"/>
        <w:left w:val="none" w:sz="0" w:space="0" w:color="auto"/>
        <w:bottom w:val="none" w:sz="0" w:space="0" w:color="auto"/>
        <w:right w:val="none" w:sz="0" w:space="0" w:color="auto"/>
      </w:divBdr>
    </w:div>
    <w:div w:id="630526371">
      <w:bodyDiv w:val="1"/>
      <w:marLeft w:val="0"/>
      <w:marRight w:val="0"/>
      <w:marTop w:val="0"/>
      <w:marBottom w:val="0"/>
      <w:divBdr>
        <w:top w:val="none" w:sz="0" w:space="0" w:color="auto"/>
        <w:left w:val="none" w:sz="0" w:space="0" w:color="auto"/>
        <w:bottom w:val="none" w:sz="0" w:space="0" w:color="auto"/>
        <w:right w:val="none" w:sz="0" w:space="0" w:color="auto"/>
      </w:divBdr>
    </w:div>
    <w:div w:id="643698959">
      <w:bodyDiv w:val="1"/>
      <w:marLeft w:val="0"/>
      <w:marRight w:val="0"/>
      <w:marTop w:val="0"/>
      <w:marBottom w:val="0"/>
      <w:divBdr>
        <w:top w:val="none" w:sz="0" w:space="0" w:color="auto"/>
        <w:left w:val="none" w:sz="0" w:space="0" w:color="auto"/>
        <w:bottom w:val="none" w:sz="0" w:space="0" w:color="auto"/>
        <w:right w:val="none" w:sz="0" w:space="0" w:color="auto"/>
      </w:divBdr>
    </w:div>
    <w:div w:id="647320893">
      <w:bodyDiv w:val="1"/>
      <w:marLeft w:val="0"/>
      <w:marRight w:val="0"/>
      <w:marTop w:val="0"/>
      <w:marBottom w:val="0"/>
      <w:divBdr>
        <w:top w:val="none" w:sz="0" w:space="0" w:color="auto"/>
        <w:left w:val="none" w:sz="0" w:space="0" w:color="auto"/>
        <w:bottom w:val="none" w:sz="0" w:space="0" w:color="auto"/>
        <w:right w:val="none" w:sz="0" w:space="0" w:color="auto"/>
      </w:divBdr>
    </w:div>
    <w:div w:id="672222890">
      <w:bodyDiv w:val="1"/>
      <w:marLeft w:val="0"/>
      <w:marRight w:val="0"/>
      <w:marTop w:val="0"/>
      <w:marBottom w:val="0"/>
      <w:divBdr>
        <w:top w:val="none" w:sz="0" w:space="0" w:color="auto"/>
        <w:left w:val="none" w:sz="0" w:space="0" w:color="auto"/>
        <w:bottom w:val="none" w:sz="0" w:space="0" w:color="auto"/>
        <w:right w:val="none" w:sz="0" w:space="0" w:color="auto"/>
      </w:divBdr>
    </w:div>
    <w:div w:id="761029071">
      <w:bodyDiv w:val="1"/>
      <w:marLeft w:val="0"/>
      <w:marRight w:val="0"/>
      <w:marTop w:val="0"/>
      <w:marBottom w:val="0"/>
      <w:divBdr>
        <w:top w:val="none" w:sz="0" w:space="0" w:color="auto"/>
        <w:left w:val="none" w:sz="0" w:space="0" w:color="auto"/>
        <w:bottom w:val="none" w:sz="0" w:space="0" w:color="auto"/>
        <w:right w:val="none" w:sz="0" w:space="0" w:color="auto"/>
      </w:divBdr>
    </w:div>
    <w:div w:id="781655078">
      <w:bodyDiv w:val="1"/>
      <w:marLeft w:val="0"/>
      <w:marRight w:val="0"/>
      <w:marTop w:val="0"/>
      <w:marBottom w:val="0"/>
      <w:divBdr>
        <w:top w:val="none" w:sz="0" w:space="0" w:color="auto"/>
        <w:left w:val="none" w:sz="0" w:space="0" w:color="auto"/>
        <w:bottom w:val="none" w:sz="0" w:space="0" w:color="auto"/>
        <w:right w:val="none" w:sz="0" w:space="0" w:color="auto"/>
      </w:divBdr>
    </w:div>
    <w:div w:id="787508015">
      <w:bodyDiv w:val="1"/>
      <w:marLeft w:val="0"/>
      <w:marRight w:val="0"/>
      <w:marTop w:val="0"/>
      <w:marBottom w:val="0"/>
      <w:divBdr>
        <w:top w:val="none" w:sz="0" w:space="0" w:color="auto"/>
        <w:left w:val="none" w:sz="0" w:space="0" w:color="auto"/>
        <w:bottom w:val="none" w:sz="0" w:space="0" w:color="auto"/>
        <w:right w:val="none" w:sz="0" w:space="0" w:color="auto"/>
      </w:divBdr>
    </w:div>
    <w:div w:id="795951942">
      <w:bodyDiv w:val="1"/>
      <w:marLeft w:val="0"/>
      <w:marRight w:val="0"/>
      <w:marTop w:val="0"/>
      <w:marBottom w:val="0"/>
      <w:divBdr>
        <w:top w:val="none" w:sz="0" w:space="0" w:color="auto"/>
        <w:left w:val="none" w:sz="0" w:space="0" w:color="auto"/>
        <w:bottom w:val="none" w:sz="0" w:space="0" w:color="auto"/>
        <w:right w:val="none" w:sz="0" w:space="0" w:color="auto"/>
      </w:divBdr>
    </w:div>
    <w:div w:id="806170927">
      <w:bodyDiv w:val="1"/>
      <w:marLeft w:val="0"/>
      <w:marRight w:val="0"/>
      <w:marTop w:val="0"/>
      <w:marBottom w:val="0"/>
      <w:divBdr>
        <w:top w:val="none" w:sz="0" w:space="0" w:color="auto"/>
        <w:left w:val="none" w:sz="0" w:space="0" w:color="auto"/>
        <w:bottom w:val="none" w:sz="0" w:space="0" w:color="auto"/>
        <w:right w:val="none" w:sz="0" w:space="0" w:color="auto"/>
      </w:divBdr>
    </w:div>
    <w:div w:id="815151065">
      <w:bodyDiv w:val="1"/>
      <w:marLeft w:val="0"/>
      <w:marRight w:val="0"/>
      <w:marTop w:val="0"/>
      <w:marBottom w:val="0"/>
      <w:divBdr>
        <w:top w:val="none" w:sz="0" w:space="0" w:color="auto"/>
        <w:left w:val="none" w:sz="0" w:space="0" w:color="auto"/>
        <w:bottom w:val="none" w:sz="0" w:space="0" w:color="auto"/>
        <w:right w:val="none" w:sz="0" w:space="0" w:color="auto"/>
      </w:divBdr>
    </w:div>
    <w:div w:id="830753255">
      <w:bodyDiv w:val="1"/>
      <w:marLeft w:val="0"/>
      <w:marRight w:val="0"/>
      <w:marTop w:val="0"/>
      <w:marBottom w:val="0"/>
      <w:divBdr>
        <w:top w:val="none" w:sz="0" w:space="0" w:color="auto"/>
        <w:left w:val="none" w:sz="0" w:space="0" w:color="auto"/>
        <w:bottom w:val="none" w:sz="0" w:space="0" w:color="auto"/>
        <w:right w:val="none" w:sz="0" w:space="0" w:color="auto"/>
      </w:divBdr>
    </w:div>
    <w:div w:id="835268795">
      <w:bodyDiv w:val="1"/>
      <w:marLeft w:val="0"/>
      <w:marRight w:val="0"/>
      <w:marTop w:val="0"/>
      <w:marBottom w:val="0"/>
      <w:divBdr>
        <w:top w:val="none" w:sz="0" w:space="0" w:color="auto"/>
        <w:left w:val="none" w:sz="0" w:space="0" w:color="auto"/>
        <w:bottom w:val="none" w:sz="0" w:space="0" w:color="auto"/>
        <w:right w:val="none" w:sz="0" w:space="0" w:color="auto"/>
      </w:divBdr>
    </w:div>
    <w:div w:id="866718527">
      <w:bodyDiv w:val="1"/>
      <w:marLeft w:val="0"/>
      <w:marRight w:val="0"/>
      <w:marTop w:val="0"/>
      <w:marBottom w:val="0"/>
      <w:divBdr>
        <w:top w:val="none" w:sz="0" w:space="0" w:color="auto"/>
        <w:left w:val="none" w:sz="0" w:space="0" w:color="auto"/>
        <w:bottom w:val="none" w:sz="0" w:space="0" w:color="auto"/>
        <w:right w:val="none" w:sz="0" w:space="0" w:color="auto"/>
      </w:divBdr>
    </w:div>
    <w:div w:id="880702676">
      <w:bodyDiv w:val="1"/>
      <w:marLeft w:val="0"/>
      <w:marRight w:val="0"/>
      <w:marTop w:val="0"/>
      <w:marBottom w:val="0"/>
      <w:divBdr>
        <w:top w:val="none" w:sz="0" w:space="0" w:color="auto"/>
        <w:left w:val="none" w:sz="0" w:space="0" w:color="auto"/>
        <w:bottom w:val="none" w:sz="0" w:space="0" w:color="auto"/>
        <w:right w:val="none" w:sz="0" w:space="0" w:color="auto"/>
      </w:divBdr>
    </w:div>
    <w:div w:id="886140369">
      <w:bodyDiv w:val="1"/>
      <w:marLeft w:val="0"/>
      <w:marRight w:val="0"/>
      <w:marTop w:val="0"/>
      <w:marBottom w:val="0"/>
      <w:divBdr>
        <w:top w:val="none" w:sz="0" w:space="0" w:color="auto"/>
        <w:left w:val="none" w:sz="0" w:space="0" w:color="auto"/>
        <w:bottom w:val="none" w:sz="0" w:space="0" w:color="auto"/>
        <w:right w:val="none" w:sz="0" w:space="0" w:color="auto"/>
      </w:divBdr>
    </w:div>
    <w:div w:id="889848119">
      <w:bodyDiv w:val="1"/>
      <w:marLeft w:val="0"/>
      <w:marRight w:val="0"/>
      <w:marTop w:val="0"/>
      <w:marBottom w:val="0"/>
      <w:divBdr>
        <w:top w:val="none" w:sz="0" w:space="0" w:color="auto"/>
        <w:left w:val="none" w:sz="0" w:space="0" w:color="auto"/>
        <w:bottom w:val="none" w:sz="0" w:space="0" w:color="auto"/>
        <w:right w:val="none" w:sz="0" w:space="0" w:color="auto"/>
      </w:divBdr>
    </w:div>
    <w:div w:id="915363133">
      <w:bodyDiv w:val="1"/>
      <w:marLeft w:val="0"/>
      <w:marRight w:val="0"/>
      <w:marTop w:val="0"/>
      <w:marBottom w:val="0"/>
      <w:divBdr>
        <w:top w:val="none" w:sz="0" w:space="0" w:color="auto"/>
        <w:left w:val="none" w:sz="0" w:space="0" w:color="auto"/>
        <w:bottom w:val="none" w:sz="0" w:space="0" w:color="auto"/>
        <w:right w:val="none" w:sz="0" w:space="0" w:color="auto"/>
      </w:divBdr>
    </w:div>
    <w:div w:id="939722571">
      <w:bodyDiv w:val="1"/>
      <w:marLeft w:val="0"/>
      <w:marRight w:val="0"/>
      <w:marTop w:val="0"/>
      <w:marBottom w:val="0"/>
      <w:divBdr>
        <w:top w:val="none" w:sz="0" w:space="0" w:color="auto"/>
        <w:left w:val="none" w:sz="0" w:space="0" w:color="auto"/>
        <w:bottom w:val="none" w:sz="0" w:space="0" w:color="auto"/>
        <w:right w:val="none" w:sz="0" w:space="0" w:color="auto"/>
      </w:divBdr>
      <w:divsChild>
        <w:div w:id="136385305">
          <w:marLeft w:val="0"/>
          <w:marRight w:val="0"/>
          <w:marTop w:val="0"/>
          <w:marBottom w:val="0"/>
          <w:divBdr>
            <w:top w:val="none" w:sz="0" w:space="0" w:color="auto"/>
            <w:left w:val="none" w:sz="0" w:space="0" w:color="auto"/>
            <w:bottom w:val="none" w:sz="0" w:space="0" w:color="auto"/>
            <w:right w:val="none" w:sz="0" w:space="0" w:color="auto"/>
          </w:divBdr>
        </w:div>
        <w:div w:id="1186559429">
          <w:marLeft w:val="0"/>
          <w:marRight w:val="0"/>
          <w:marTop w:val="0"/>
          <w:marBottom w:val="0"/>
          <w:divBdr>
            <w:top w:val="none" w:sz="0" w:space="0" w:color="auto"/>
            <w:left w:val="none" w:sz="0" w:space="0" w:color="auto"/>
            <w:bottom w:val="none" w:sz="0" w:space="0" w:color="auto"/>
            <w:right w:val="none" w:sz="0" w:space="0" w:color="auto"/>
          </w:divBdr>
          <w:divsChild>
            <w:div w:id="1700084191">
              <w:marLeft w:val="0"/>
              <w:marRight w:val="0"/>
              <w:marTop w:val="0"/>
              <w:marBottom w:val="0"/>
              <w:divBdr>
                <w:top w:val="none" w:sz="0" w:space="0" w:color="auto"/>
                <w:left w:val="none" w:sz="0" w:space="0" w:color="auto"/>
                <w:bottom w:val="none" w:sz="0" w:space="0" w:color="auto"/>
                <w:right w:val="none" w:sz="0" w:space="0" w:color="auto"/>
              </w:divBdr>
            </w:div>
          </w:divsChild>
        </w:div>
        <w:div w:id="1239554077">
          <w:marLeft w:val="0"/>
          <w:marRight w:val="180"/>
          <w:marTop w:val="0"/>
          <w:marBottom w:val="0"/>
          <w:divBdr>
            <w:top w:val="none" w:sz="0" w:space="0" w:color="auto"/>
            <w:left w:val="none" w:sz="0" w:space="0" w:color="auto"/>
            <w:bottom w:val="none" w:sz="0" w:space="0" w:color="auto"/>
            <w:right w:val="none" w:sz="0" w:space="0" w:color="auto"/>
          </w:divBdr>
          <w:divsChild>
            <w:div w:id="611787360">
              <w:marLeft w:val="0"/>
              <w:marRight w:val="0"/>
              <w:marTop w:val="0"/>
              <w:marBottom w:val="0"/>
              <w:divBdr>
                <w:top w:val="none" w:sz="0" w:space="0" w:color="auto"/>
                <w:left w:val="none" w:sz="0" w:space="0" w:color="auto"/>
                <w:bottom w:val="none" w:sz="0" w:space="0" w:color="auto"/>
                <w:right w:val="none" w:sz="0" w:space="0" w:color="auto"/>
              </w:divBdr>
            </w:div>
          </w:divsChild>
        </w:div>
        <w:div w:id="1784494063">
          <w:marLeft w:val="0"/>
          <w:marRight w:val="0"/>
          <w:marTop w:val="0"/>
          <w:marBottom w:val="0"/>
          <w:divBdr>
            <w:top w:val="none" w:sz="0" w:space="0" w:color="auto"/>
            <w:left w:val="none" w:sz="0" w:space="0" w:color="auto"/>
            <w:bottom w:val="none" w:sz="0" w:space="0" w:color="auto"/>
            <w:right w:val="none" w:sz="0" w:space="0" w:color="auto"/>
          </w:divBdr>
          <w:divsChild>
            <w:div w:id="9230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26624">
      <w:bodyDiv w:val="1"/>
      <w:marLeft w:val="0"/>
      <w:marRight w:val="0"/>
      <w:marTop w:val="0"/>
      <w:marBottom w:val="0"/>
      <w:divBdr>
        <w:top w:val="none" w:sz="0" w:space="0" w:color="auto"/>
        <w:left w:val="none" w:sz="0" w:space="0" w:color="auto"/>
        <w:bottom w:val="none" w:sz="0" w:space="0" w:color="auto"/>
        <w:right w:val="none" w:sz="0" w:space="0" w:color="auto"/>
      </w:divBdr>
    </w:div>
    <w:div w:id="958611517">
      <w:bodyDiv w:val="1"/>
      <w:marLeft w:val="0"/>
      <w:marRight w:val="0"/>
      <w:marTop w:val="0"/>
      <w:marBottom w:val="0"/>
      <w:divBdr>
        <w:top w:val="none" w:sz="0" w:space="0" w:color="auto"/>
        <w:left w:val="none" w:sz="0" w:space="0" w:color="auto"/>
        <w:bottom w:val="none" w:sz="0" w:space="0" w:color="auto"/>
        <w:right w:val="none" w:sz="0" w:space="0" w:color="auto"/>
      </w:divBdr>
    </w:div>
    <w:div w:id="960379814">
      <w:bodyDiv w:val="1"/>
      <w:marLeft w:val="0"/>
      <w:marRight w:val="0"/>
      <w:marTop w:val="0"/>
      <w:marBottom w:val="0"/>
      <w:divBdr>
        <w:top w:val="none" w:sz="0" w:space="0" w:color="auto"/>
        <w:left w:val="none" w:sz="0" w:space="0" w:color="auto"/>
        <w:bottom w:val="none" w:sz="0" w:space="0" w:color="auto"/>
        <w:right w:val="none" w:sz="0" w:space="0" w:color="auto"/>
      </w:divBdr>
    </w:div>
    <w:div w:id="1019039712">
      <w:bodyDiv w:val="1"/>
      <w:marLeft w:val="0"/>
      <w:marRight w:val="0"/>
      <w:marTop w:val="0"/>
      <w:marBottom w:val="0"/>
      <w:divBdr>
        <w:top w:val="none" w:sz="0" w:space="0" w:color="auto"/>
        <w:left w:val="none" w:sz="0" w:space="0" w:color="auto"/>
        <w:bottom w:val="none" w:sz="0" w:space="0" w:color="auto"/>
        <w:right w:val="none" w:sz="0" w:space="0" w:color="auto"/>
      </w:divBdr>
    </w:div>
    <w:div w:id="1025908925">
      <w:bodyDiv w:val="1"/>
      <w:marLeft w:val="0"/>
      <w:marRight w:val="0"/>
      <w:marTop w:val="0"/>
      <w:marBottom w:val="0"/>
      <w:divBdr>
        <w:top w:val="none" w:sz="0" w:space="0" w:color="auto"/>
        <w:left w:val="none" w:sz="0" w:space="0" w:color="auto"/>
        <w:bottom w:val="none" w:sz="0" w:space="0" w:color="auto"/>
        <w:right w:val="none" w:sz="0" w:space="0" w:color="auto"/>
      </w:divBdr>
    </w:div>
    <w:div w:id="1028145011">
      <w:bodyDiv w:val="1"/>
      <w:marLeft w:val="0"/>
      <w:marRight w:val="0"/>
      <w:marTop w:val="0"/>
      <w:marBottom w:val="0"/>
      <w:divBdr>
        <w:top w:val="none" w:sz="0" w:space="0" w:color="auto"/>
        <w:left w:val="none" w:sz="0" w:space="0" w:color="auto"/>
        <w:bottom w:val="none" w:sz="0" w:space="0" w:color="auto"/>
        <w:right w:val="none" w:sz="0" w:space="0" w:color="auto"/>
      </w:divBdr>
    </w:div>
    <w:div w:id="1037506965">
      <w:bodyDiv w:val="1"/>
      <w:marLeft w:val="0"/>
      <w:marRight w:val="0"/>
      <w:marTop w:val="0"/>
      <w:marBottom w:val="0"/>
      <w:divBdr>
        <w:top w:val="none" w:sz="0" w:space="0" w:color="auto"/>
        <w:left w:val="none" w:sz="0" w:space="0" w:color="auto"/>
        <w:bottom w:val="none" w:sz="0" w:space="0" w:color="auto"/>
        <w:right w:val="none" w:sz="0" w:space="0" w:color="auto"/>
      </w:divBdr>
    </w:div>
    <w:div w:id="1037512383">
      <w:bodyDiv w:val="1"/>
      <w:marLeft w:val="0"/>
      <w:marRight w:val="0"/>
      <w:marTop w:val="0"/>
      <w:marBottom w:val="0"/>
      <w:divBdr>
        <w:top w:val="none" w:sz="0" w:space="0" w:color="auto"/>
        <w:left w:val="none" w:sz="0" w:space="0" w:color="auto"/>
        <w:bottom w:val="none" w:sz="0" w:space="0" w:color="auto"/>
        <w:right w:val="none" w:sz="0" w:space="0" w:color="auto"/>
      </w:divBdr>
    </w:div>
    <w:div w:id="1057436148">
      <w:bodyDiv w:val="1"/>
      <w:marLeft w:val="0"/>
      <w:marRight w:val="0"/>
      <w:marTop w:val="0"/>
      <w:marBottom w:val="0"/>
      <w:divBdr>
        <w:top w:val="none" w:sz="0" w:space="0" w:color="auto"/>
        <w:left w:val="none" w:sz="0" w:space="0" w:color="auto"/>
        <w:bottom w:val="none" w:sz="0" w:space="0" w:color="auto"/>
        <w:right w:val="none" w:sz="0" w:space="0" w:color="auto"/>
      </w:divBdr>
    </w:div>
    <w:div w:id="1082412105">
      <w:bodyDiv w:val="1"/>
      <w:marLeft w:val="0"/>
      <w:marRight w:val="0"/>
      <w:marTop w:val="0"/>
      <w:marBottom w:val="0"/>
      <w:divBdr>
        <w:top w:val="none" w:sz="0" w:space="0" w:color="auto"/>
        <w:left w:val="none" w:sz="0" w:space="0" w:color="auto"/>
        <w:bottom w:val="none" w:sz="0" w:space="0" w:color="auto"/>
        <w:right w:val="none" w:sz="0" w:space="0" w:color="auto"/>
      </w:divBdr>
    </w:div>
    <w:div w:id="1083990272">
      <w:bodyDiv w:val="1"/>
      <w:marLeft w:val="0"/>
      <w:marRight w:val="0"/>
      <w:marTop w:val="0"/>
      <w:marBottom w:val="0"/>
      <w:divBdr>
        <w:top w:val="none" w:sz="0" w:space="0" w:color="auto"/>
        <w:left w:val="none" w:sz="0" w:space="0" w:color="auto"/>
        <w:bottom w:val="none" w:sz="0" w:space="0" w:color="auto"/>
        <w:right w:val="none" w:sz="0" w:space="0" w:color="auto"/>
      </w:divBdr>
    </w:div>
    <w:div w:id="1099788147">
      <w:bodyDiv w:val="1"/>
      <w:marLeft w:val="0"/>
      <w:marRight w:val="0"/>
      <w:marTop w:val="0"/>
      <w:marBottom w:val="0"/>
      <w:divBdr>
        <w:top w:val="none" w:sz="0" w:space="0" w:color="auto"/>
        <w:left w:val="none" w:sz="0" w:space="0" w:color="auto"/>
        <w:bottom w:val="none" w:sz="0" w:space="0" w:color="auto"/>
        <w:right w:val="none" w:sz="0" w:space="0" w:color="auto"/>
      </w:divBdr>
      <w:divsChild>
        <w:div w:id="626736939">
          <w:marLeft w:val="446"/>
          <w:marRight w:val="0"/>
          <w:marTop w:val="60"/>
          <w:marBottom w:val="60"/>
          <w:divBdr>
            <w:top w:val="none" w:sz="0" w:space="0" w:color="auto"/>
            <w:left w:val="none" w:sz="0" w:space="0" w:color="auto"/>
            <w:bottom w:val="none" w:sz="0" w:space="0" w:color="auto"/>
            <w:right w:val="none" w:sz="0" w:space="0" w:color="auto"/>
          </w:divBdr>
        </w:div>
        <w:div w:id="810097454">
          <w:marLeft w:val="446"/>
          <w:marRight w:val="0"/>
          <w:marTop w:val="60"/>
          <w:marBottom w:val="60"/>
          <w:divBdr>
            <w:top w:val="none" w:sz="0" w:space="0" w:color="auto"/>
            <w:left w:val="none" w:sz="0" w:space="0" w:color="auto"/>
            <w:bottom w:val="none" w:sz="0" w:space="0" w:color="auto"/>
            <w:right w:val="none" w:sz="0" w:space="0" w:color="auto"/>
          </w:divBdr>
        </w:div>
        <w:div w:id="1507591172">
          <w:marLeft w:val="446"/>
          <w:marRight w:val="0"/>
          <w:marTop w:val="60"/>
          <w:marBottom w:val="60"/>
          <w:divBdr>
            <w:top w:val="none" w:sz="0" w:space="0" w:color="auto"/>
            <w:left w:val="none" w:sz="0" w:space="0" w:color="auto"/>
            <w:bottom w:val="none" w:sz="0" w:space="0" w:color="auto"/>
            <w:right w:val="none" w:sz="0" w:space="0" w:color="auto"/>
          </w:divBdr>
        </w:div>
      </w:divsChild>
    </w:div>
    <w:div w:id="1126461959">
      <w:bodyDiv w:val="1"/>
      <w:marLeft w:val="0"/>
      <w:marRight w:val="0"/>
      <w:marTop w:val="0"/>
      <w:marBottom w:val="0"/>
      <w:divBdr>
        <w:top w:val="none" w:sz="0" w:space="0" w:color="auto"/>
        <w:left w:val="none" w:sz="0" w:space="0" w:color="auto"/>
        <w:bottom w:val="none" w:sz="0" w:space="0" w:color="auto"/>
        <w:right w:val="none" w:sz="0" w:space="0" w:color="auto"/>
      </w:divBdr>
    </w:div>
    <w:div w:id="1126656490">
      <w:bodyDiv w:val="1"/>
      <w:marLeft w:val="0"/>
      <w:marRight w:val="0"/>
      <w:marTop w:val="0"/>
      <w:marBottom w:val="0"/>
      <w:divBdr>
        <w:top w:val="none" w:sz="0" w:space="0" w:color="auto"/>
        <w:left w:val="none" w:sz="0" w:space="0" w:color="auto"/>
        <w:bottom w:val="none" w:sz="0" w:space="0" w:color="auto"/>
        <w:right w:val="none" w:sz="0" w:space="0" w:color="auto"/>
      </w:divBdr>
    </w:div>
    <w:div w:id="1145270588">
      <w:bodyDiv w:val="1"/>
      <w:marLeft w:val="0"/>
      <w:marRight w:val="0"/>
      <w:marTop w:val="0"/>
      <w:marBottom w:val="0"/>
      <w:divBdr>
        <w:top w:val="none" w:sz="0" w:space="0" w:color="auto"/>
        <w:left w:val="none" w:sz="0" w:space="0" w:color="auto"/>
        <w:bottom w:val="none" w:sz="0" w:space="0" w:color="auto"/>
        <w:right w:val="none" w:sz="0" w:space="0" w:color="auto"/>
      </w:divBdr>
      <w:divsChild>
        <w:div w:id="1742410868">
          <w:marLeft w:val="446"/>
          <w:marRight w:val="0"/>
          <w:marTop w:val="120"/>
          <w:marBottom w:val="0"/>
          <w:divBdr>
            <w:top w:val="none" w:sz="0" w:space="0" w:color="auto"/>
            <w:left w:val="none" w:sz="0" w:space="0" w:color="auto"/>
            <w:bottom w:val="none" w:sz="0" w:space="0" w:color="auto"/>
            <w:right w:val="none" w:sz="0" w:space="0" w:color="auto"/>
          </w:divBdr>
        </w:div>
      </w:divsChild>
    </w:div>
    <w:div w:id="1148277967">
      <w:bodyDiv w:val="1"/>
      <w:marLeft w:val="0"/>
      <w:marRight w:val="0"/>
      <w:marTop w:val="0"/>
      <w:marBottom w:val="0"/>
      <w:divBdr>
        <w:top w:val="none" w:sz="0" w:space="0" w:color="auto"/>
        <w:left w:val="none" w:sz="0" w:space="0" w:color="auto"/>
        <w:bottom w:val="none" w:sz="0" w:space="0" w:color="auto"/>
        <w:right w:val="none" w:sz="0" w:space="0" w:color="auto"/>
      </w:divBdr>
      <w:divsChild>
        <w:div w:id="235943578">
          <w:marLeft w:val="446"/>
          <w:marRight w:val="0"/>
          <w:marTop w:val="60"/>
          <w:marBottom w:val="60"/>
          <w:divBdr>
            <w:top w:val="none" w:sz="0" w:space="0" w:color="auto"/>
            <w:left w:val="none" w:sz="0" w:space="0" w:color="auto"/>
            <w:bottom w:val="none" w:sz="0" w:space="0" w:color="auto"/>
            <w:right w:val="none" w:sz="0" w:space="0" w:color="auto"/>
          </w:divBdr>
        </w:div>
        <w:div w:id="1369377559">
          <w:marLeft w:val="446"/>
          <w:marRight w:val="0"/>
          <w:marTop w:val="60"/>
          <w:marBottom w:val="60"/>
          <w:divBdr>
            <w:top w:val="none" w:sz="0" w:space="0" w:color="auto"/>
            <w:left w:val="none" w:sz="0" w:space="0" w:color="auto"/>
            <w:bottom w:val="none" w:sz="0" w:space="0" w:color="auto"/>
            <w:right w:val="none" w:sz="0" w:space="0" w:color="auto"/>
          </w:divBdr>
        </w:div>
        <w:div w:id="1949777806">
          <w:marLeft w:val="446"/>
          <w:marRight w:val="0"/>
          <w:marTop w:val="60"/>
          <w:marBottom w:val="60"/>
          <w:divBdr>
            <w:top w:val="none" w:sz="0" w:space="0" w:color="auto"/>
            <w:left w:val="none" w:sz="0" w:space="0" w:color="auto"/>
            <w:bottom w:val="none" w:sz="0" w:space="0" w:color="auto"/>
            <w:right w:val="none" w:sz="0" w:space="0" w:color="auto"/>
          </w:divBdr>
        </w:div>
      </w:divsChild>
    </w:div>
    <w:div w:id="1151219286">
      <w:bodyDiv w:val="1"/>
      <w:marLeft w:val="0"/>
      <w:marRight w:val="0"/>
      <w:marTop w:val="0"/>
      <w:marBottom w:val="0"/>
      <w:divBdr>
        <w:top w:val="none" w:sz="0" w:space="0" w:color="auto"/>
        <w:left w:val="none" w:sz="0" w:space="0" w:color="auto"/>
        <w:bottom w:val="none" w:sz="0" w:space="0" w:color="auto"/>
        <w:right w:val="none" w:sz="0" w:space="0" w:color="auto"/>
      </w:divBdr>
    </w:div>
    <w:div w:id="1152988688">
      <w:bodyDiv w:val="1"/>
      <w:marLeft w:val="0"/>
      <w:marRight w:val="0"/>
      <w:marTop w:val="0"/>
      <w:marBottom w:val="0"/>
      <w:divBdr>
        <w:top w:val="none" w:sz="0" w:space="0" w:color="auto"/>
        <w:left w:val="none" w:sz="0" w:space="0" w:color="auto"/>
        <w:bottom w:val="none" w:sz="0" w:space="0" w:color="auto"/>
        <w:right w:val="none" w:sz="0" w:space="0" w:color="auto"/>
      </w:divBdr>
    </w:div>
    <w:div w:id="1154181068">
      <w:bodyDiv w:val="1"/>
      <w:marLeft w:val="0"/>
      <w:marRight w:val="0"/>
      <w:marTop w:val="0"/>
      <w:marBottom w:val="0"/>
      <w:divBdr>
        <w:top w:val="none" w:sz="0" w:space="0" w:color="auto"/>
        <w:left w:val="none" w:sz="0" w:space="0" w:color="auto"/>
        <w:bottom w:val="none" w:sz="0" w:space="0" w:color="auto"/>
        <w:right w:val="none" w:sz="0" w:space="0" w:color="auto"/>
      </w:divBdr>
    </w:div>
    <w:div w:id="1164394736">
      <w:bodyDiv w:val="1"/>
      <w:marLeft w:val="0"/>
      <w:marRight w:val="0"/>
      <w:marTop w:val="0"/>
      <w:marBottom w:val="0"/>
      <w:divBdr>
        <w:top w:val="none" w:sz="0" w:space="0" w:color="auto"/>
        <w:left w:val="none" w:sz="0" w:space="0" w:color="auto"/>
        <w:bottom w:val="none" w:sz="0" w:space="0" w:color="auto"/>
        <w:right w:val="none" w:sz="0" w:space="0" w:color="auto"/>
      </w:divBdr>
    </w:div>
    <w:div w:id="1165517087">
      <w:bodyDiv w:val="1"/>
      <w:marLeft w:val="0"/>
      <w:marRight w:val="0"/>
      <w:marTop w:val="0"/>
      <w:marBottom w:val="0"/>
      <w:divBdr>
        <w:top w:val="none" w:sz="0" w:space="0" w:color="auto"/>
        <w:left w:val="none" w:sz="0" w:space="0" w:color="auto"/>
        <w:bottom w:val="none" w:sz="0" w:space="0" w:color="auto"/>
        <w:right w:val="none" w:sz="0" w:space="0" w:color="auto"/>
      </w:divBdr>
    </w:div>
    <w:div w:id="1167749713">
      <w:bodyDiv w:val="1"/>
      <w:marLeft w:val="0"/>
      <w:marRight w:val="0"/>
      <w:marTop w:val="0"/>
      <w:marBottom w:val="0"/>
      <w:divBdr>
        <w:top w:val="none" w:sz="0" w:space="0" w:color="auto"/>
        <w:left w:val="none" w:sz="0" w:space="0" w:color="auto"/>
        <w:bottom w:val="none" w:sz="0" w:space="0" w:color="auto"/>
        <w:right w:val="none" w:sz="0" w:space="0" w:color="auto"/>
      </w:divBdr>
    </w:div>
    <w:div w:id="1179343968">
      <w:bodyDiv w:val="1"/>
      <w:marLeft w:val="0"/>
      <w:marRight w:val="0"/>
      <w:marTop w:val="0"/>
      <w:marBottom w:val="0"/>
      <w:divBdr>
        <w:top w:val="none" w:sz="0" w:space="0" w:color="auto"/>
        <w:left w:val="none" w:sz="0" w:space="0" w:color="auto"/>
        <w:bottom w:val="none" w:sz="0" w:space="0" w:color="auto"/>
        <w:right w:val="none" w:sz="0" w:space="0" w:color="auto"/>
      </w:divBdr>
      <w:divsChild>
        <w:div w:id="2062436772">
          <w:marLeft w:val="446"/>
          <w:marRight w:val="0"/>
          <w:marTop w:val="40"/>
          <w:marBottom w:val="40"/>
          <w:divBdr>
            <w:top w:val="none" w:sz="0" w:space="0" w:color="auto"/>
            <w:left w:val="none" w:sz="0" w:space="0" w:color="auto"/>
            <w:bottom w:val="none" w:sz="0" w:space="0" w:color="auto"/>
            <w:right w:val="none" w:sz="0" w:space="0" w:color="auto"/>
          </w:divBdr>
        </w:div>
      </w:divsChild>
    </w:div>
    <w:div w:id="1180316873">
      <w:bodyDiv w:val="1"/>
      <w:marLeft w:val="0"/>
      <w:marRight w:val="0"/>
      <w:marTop w:val="0"/>
      <w:marBottom w:val="0"/>
      <w:divBdr>
        <w:top w:val="none" w:sz="0" w:space="0" w:color="auto"/>
        <w:left w:val="none" w:sz="0" w:space="0" w:color="auto"/>
        <w:bottom w:val="none" w:sz="0" w:space="0" w:color="auto"/>
        <w:right w:val="none" w:sz="0" w:space="0" w:color="auto"/>
      </w:divBdr>
    </w:div>
    <w:div w:id="1185170317">
      <w:bodyDiv w:val="1"/>
      <w:marLeft w:val="0"/>
      <w:marRight w:val="0"/>
      <w:marTop w:val="0"/>
      <w:marBottom w:val="0"/>
      <w:divBdr>
        <w:top w:val="none" w:sz="0" w:space="0" w:color="auto"/>
        <w:left w:val="none" w:sz="0" w:space="0" w:color="auto"/>
        <w:bottom w:val="none" w:sz="0" w:space="0" w:color="auto"/>
        <w:right w:val="none" w:sz="0" w:space="0" w:color="auto"/>
      </w:divBdr>
    </w:div>
    <w:div w:id="1192571328">
      <w:bodyDiv w:val="1"/>
      <w:marLeft w:val="0"/>
      <w:marRight w:val="0"/>
      <w:marTop w:val="0"/>
      <w:marBottom w:val="0"/>
      <w:divBdr>
        <w:top w:val="none" w:sz="0" w:space="0" w:color="auto"/>
        <w:left w:val="none" w:sz="0" w:space="0" w:color="auto"/>
        <w:bottom w:val="none" w:sz="0" w:space="0" w:color="auto"/>
        <w:right w:val="none" w:sz="0" w:space="0" w:color="auto"/>
      </w:divBdr>
    </w:div>
    <w:div w:id="1205095886">
      <w:bodyDiv w:val="1"/>
      <w:marLeft w:val="0"/>
      <w:marRight w:val="0"/>
      <w:marTop w:val="0"/>
      <w:marBottom w:val="0"/>
      <w:divBdr>
        <w:top w:val="none" w:sz="0" w:space="0" w:color="auto"/>
        <w:left w:val="none" w:sz="0" w:space="0" w:color="auto"/>
        <w:bottom w:val="none" w:sz="0" w:space="0" w:color="auto"/>
        <w:right w:val="none" w:sz="0" w:space="0" w:color="auto"/>
      </w:divBdr>
    </w:div>
    <w:div w:id="1217661649">
      <w:bodyDiv w:val="1"/>
      <w:marLeft w:val="0"/>
      <w:marRight w:val="0"/>
      <w:marTop w:val="0"/>
      <w:marBottom w:val="0"/>
      <w:divBdr>
        <w:top w:val="none" w:sz="0" w:space="0" w:color="auto"/>
        <w:left w:val="none" w:sz="0" w:space="0" w:color="auto"/>
        <w:bottom w:val="none" w:sz="0" w:space="0" w:color="auto"/>
        <w:right w:val="none" w:sz="0" w:space="0" w:color="auto"/>
      </w:divBdr>
    </w:div>
    <w:div w:id="1233272574">
      <w:bodyDiv w:val="1"/>
      <w:marLeft w:val="0"/>
      <w:marRight w:val="0"/>
      <w:marTop w:val="0"/>
      <w:marBottom w:val="0"/>
      <w:divBdr>
        <w:top w:val="none" w:sz="0" w:space="0" w:color="auto"/>
        <w:left w:val="none" w:sz="0" w:space="0" w:color="auto"/>
        <w:bottom w:val="none" w:sz="0" w:space="0" w:color="auto"/>
        <w:right w:val="none" w:sz="0" w:space="0" w:color="auto"/>
      </w:divBdr>
    </w:div>
    <w:div w:id="1238125587">
      <w:bodyDiv w:val="1"/>
      <w:marLeft w:val="0"/>
      <w:marRight w:val="0"/>
      <w:marTop w:val="0"/>
      <w:marBottom w:val="0"/>
      <w:divBdr>
        <w:top w:val="none" w:sz="0" w:space="0" w:color="auto"/>
        <w:left w:val="none" w:sz="0" w:space="0" w:color="auto"/>
        <w:bottom w:val="none" w:sz="0" w:space="0" w:color="auto"/>
        <w:right w:val="none" w:sz="0" w:space="0" w:color="auto"/>
      </w:divBdr>
    </w:div>
    <w:div w:id="1265921666">
      <w:bodyDiv w:val="1"/>
      <w:marLeft w:val="0"/>
      <w:marRight w:val="0"/>
      <w:marTop w:val="0"/>
      <w:marBottom w:val="0"/>
      <w:divBdr>
        <w:top w:val="none" w:sz="0" w:space="0" w:color="auto"/>
        <w:left w:val="none" w:sz="0" w:space="0" w:color="auto"/>
        <w:bottom w:val="none" w:sz="0" w:space="0" w:color="auto"/>
        <w:right w:val="none" w:sz="0" w:space="0" w:color="auto"/>
      </w:divBdr>
    </w:div>
    <w:div w:id="1269005830">
      <w:bodyDiv w:val="1"/>
      <w:marLeft w:val="0"/>
      <w:marRight w:val="0"/>
      <w:marTop w:val="0"/>
      <w:marBottom w:val="0"/>
      <w:divBdr>
        <w:top w:val="none" w:sz="0" w:space="0" w:color="auto"/>
        <w:left w:val="none" w:sz="0" w:space="0" w:color="auto"/>
        <w:bottom w:val="none" w:sz="0" w:space="0" w:color="auto"/>
        <w:right w:val="none" w:sz="0" w:space="0" w:color="auto"/>
      </w:divBdr>
    </w:div>
    <w:div w:id="1274481704">
      <w:bodyDiv w:val="1"/>
      <w:marLeft w:val="0"/>
      <w:marRight w:val="0"/>
      <w:marTop w:val="0"/>
      <w:marBottom w:val="0"/>
      <w:divBdr>
        <w:top w:val="none" w:sz="0" w:space="0" w:color="auto"/>
        <w:left w:val="none" w:sz="0" w:space="0" w:color="auto"/>
        <w:bottom w:val="none" w:sz="0" w:space="0" w:color="auto"/>
        <w:right w:val="none" w:sz="0" w:space="0" w:color="auto"/>
      </w:divBdr>
    </w:div>
    <w:div w:id="1286428387">
      <w:bodyDiv w:val="1"/>
      <w:marLeft w:val="0"/>
      <w:marRight w:val="0"/>
      <w:marTop w:val="0"/>
      <w:marBottom w:val="0"/>
      <w:divBdr>
        <w:top w:val="none" w:sz="0" w:space="0" w:color="auto"/>
        <w:left w:val="none" w:sz="0" w:space="0" w:color="auto"/>
        <w:bottom w:val="none" w:sz="0" w:space="0" w:color="auto"/>
        <w:right w:val="none" w:sz="0" w:space="0" w:color="auto"/>
      </w:divBdr>
    </w:div>
    <w:div w:id="1292205421">
      <w:bodyDiv w:val="1"/>
      <w:marLeft w:val="0"/>
      <w:marRight w:val="0"/>
      <w:marTop w:val="0"/>
      <w:marBottom w:val="0"/>
      <w:divBdr>
        <w:top w:val="none" w:sz="0" w:space="0" w:color="auto"/>
        <w:left w:val="none" w:sz="0" w:space="0" w:color="auto"/>
        <w:bottom w:val="none" w:sz="0" w:space="0" w:color="auto"/>
        <w:right w:val="none" w:sz="0" w:space="0" w:color="auto"/>
      </w:divBdr>
    </w:div>
    <w:div w:id="1301108846">
      <w:bodyDiv w:val="1"/>
      <w:marLeft w:val="0"/>
      <w:marRight w:val="0"/>
      <w:marTop w:val="0"/>
      <w:marBottom w:val="0"/>
      <w:divBdr>
        <w:top w:val="none" w:sz="0" w:space="0" w:color="auto"/>
        <w:left w:val="none" w:sz="0" w:space="0" w:color="auto"/>
        <w:bottom w:val="none" w:sz="0" w:space="0" w:color="auto"/>
        <w:right w:val="none" w:sz="0" w:space="0" w:color="auto"/>
      </w:divBdr>
    </w:div>
    <w:div w:id="1345091658">
      <w:bodyDiv w:val="1"/>
      <w:marLeft w:val="0"/>
      <w:marRight w:val="0"/>
      <w:marTop w:val="0"/>
      <w:marBottom w:val="0"/>
      <w:divBdr>
        <w:top w:val="none" w:sz="0" w:space="0" w:color="auto"/>
        <w:left w:val="none" w:sz="0" w:space="0" w:color="auto"/>
        <w:bottom w:val="none" w:sz="0" w:space="0" w:color="auto"/>
        <w:right w:val="none" w:sz="0" w:space="0" w:color="auto"/>
      </w:divBdr>
    </w:div>
    <w:div w:id="1351566337">
      <w:bodyDiv w:val="1"/>
      <w:marLeft w:val="0"/>
      <w:marRight w:val="0"/>
      <w:marTop w:val="0"/>
      <w:marBottom w:val="0"/>
      <w:divBdr>
        <w:top w:val="none" w:sz="0" w:space="0" w:color="auto"/>
        <w:left w:val="none" w:sz="0" w:space="0" w:color="auto"/>
        <w:bottom w:val="none" w:sz="0" w:space="0" w:color="auto"/>
        <w:right w:val="none" w:sz="0" w:space="0" w:color="auto"/>
      </w:divBdr>
    </w:div>
    <w:div w:id="1360400453">
      <w:bodyDiv w:val="1"/>
      <w:marLeft w:val="0"/>
      <w:marRight w:val="0"/>
      <w:marTop w:val="0"/>
      <w:marBottom w:val="0"/>
      <w:divBdr>
        <w:top w:val="none" w:sz="0" w:space="0" w:color="auto"/>
        <w:left w:val="none" w:sz="0" w:space="0" w:color="auto"/>
        <w:bottom w:val="none" w:sz="0" w:space="0" w:color="auto"/>
        <w:right w:val="none" w:sz="0" w:space="0" w:color="auto"/>
      </w:divBdr>
    </w:div>
    <w:div w:id="1360618235">
      <w:bodyDiv w:val="1"/>
      <w:marLeft w:val="0"/>
      <w:marRight w:val="0"/>
      <w:marTop w:val="0"/>
      <w:marBottom w:val="0"/>
      <w:divBdr>
        <w:top w:val="none" w:sz="0" w:space="0" w:color="auto"/>
        <w:left w:val="none" w:sz="0" w:space="0" w:color="auto"/>
        <w:bottom w:val="none" w:sz="0" w:space="0" w:color="auto"/>
        <w:right w:val="none" w:sz="0" w:space="0" w:color="auto"/>
      </w:divBdr>
    </w:div>
    <w:div w:id="1399784656">
      <w:bodyDiv w:val="1"/>
      <w:marLeft w:val="0"/>
      <w:marRight w:val="0"/>
      <w:marTop w:val="0"/>
      <w:marBottom w:val="0"/>
      <w:divBdr>
        <w:top w:val="none" w:sz="0" w:space="0" w:color="auto"/>
        <w:left w:val="none" w:sz="0" w:space="0" w:color="auto"/>
        <w:bottom w:val="none" w:sz="0" w:space="0" w:color="auto"/>
        <w:right w:val="none" w:sz="0" w:space="0" w:color="auto"/>
      </w:divBdr>
    </w:div>
    <w:div w:id="1409763742">
      <w:bodyDiv w:val="1"/>
      <w:marLeft w:val="0"/>
      <w:marRight w:val="0"/>
      <w:marTop w:val="0"/>
      <w:marBottom w:val="0"/>
      <w:divBdr>
        <w:top w:val="none" w:sz="0" w:space="0" w:color="auto"/>
        <w:left w:val="none" w:sz="0" w:space="0" w:color="auto"/>
        <w:bottom w:val="none" w:sz="0" w:space="0" w:color="auto"/>
        <w:right w:val="none" w:sz="0" w:space="0" w:color="auto"/>
      </w:divBdr>
    </w:div>
    <w:div w:id="1411385978">
      <w:bodyDiv w:val="1"/>
      <w:marLeft w:val="0"/>
      <w:marRight w:val="0"/>
      <w:marTop w:val="0"/>
      <w:marBottom w:val="0"/>
      <w:divBdr>
        <w:top w:val="none" w:sz="0" w:space="0" w:color="auto"/>
        <w:left w:val="none" w:sz="0" w:space="0" w:color="auto"/>
        <w:bottom w:val="none" w:sz="0" w:space="0" w:color="auto"/>
        <w:right w:val="none" w:sz="0" w:space="0" w:color="auto"/>
      </w:divBdr>
    </w:div>
    <w:div w:id="1440905000">
      <w:bodyDiv w:val="1"/>
      <w:marLeft w:val="0"/>
      <w:marRight w:val="0"/>
      <w:marTop w:val="0"/>
      <w:marBottom w:val="0"/>
      <w:divBdr>
        <w:top w:val="none" w:sz="0" w:space="0" w:color="auto"/>
        <w:left w:val="none" w:sz="0" w:space="0" w:color="auto"/>
        <w:bottom w:val="none" w:sz="0" w:space="0" w:color="auto"/>
        <w:right w:val="none" w:sz="0" w:space="0" w:color="auto"/>
      </w:divBdr>
      <w:divsChild>
        <w:div w:id="996886849">
          <w:marLeft w:val="446"/>
          <w:marRight w:val="0"/>
          <w:marTop w:val="40"/>
          <w:marBottom w:val="40"/>
          <w:divBdr>
            <w:top w:val="none" w:sz="0" w:space="0" w:color="auto"/>
            <w:left w:val="none" w:sz="0" w:space="0" w:color="auto"/>
            <w:bottom w:val="none" w:sz="0" w:space="0" w:color="auto"/>
            <w:right w:val="none" w:sz="0" w:space="0" w:color="auto"/>
          </w:divBdr>
        </w:div>
        <w:div w:id="1110709789">
          <w:marLeft w:val="446"/>
          <w:marRight w:val="0"/>
          <w:marTop w:val="40"/>
          <w:marBottom w:val="40"/>
          <w:divBdr>
            <w:top w:val="none" w:sz="0" w:space="0" w:color="auto"/>
            <w:left w:val="none" w:sz="0" w:space="0" w:color="auto"/>
            <w:bottom w:val="none" w:sz="0" w:space="0" w:color="auto"/>
            <w:right w:val="none" w:sz="0" w:space="0" w:color="auto"/>
          </w:divBdr>
        </w:div>
      </w:divsChild>
    </w:div>
    <w:div w:id="1442185588">
      <w:bodyDiv w:val="1"/>
      <w:marLeft w:val="0"/>
      <w:marRight w:val="0"/>
      <w:marTop w:val="0"/>
      <w:marBottom w:val="0"/>
      <w:divBdr>
        <w:top w:val="none" w:sz="0" w:space="0" w:color="auto"/>
        <w:left w:val="none" w:sz="0" w:space="0" w:color="auto"/>
        <w:bottom w:val="none" w:sz="0" w:space="0" w:color="auto"/>
        <w:right w:val="none" w:sz="0" w:space="0" w:color="auto"/>
      </w:divBdr>
    </w:div>
    <w:div w:id="1453137954">
      <w:bodyDiv w:val="1"/>
      <w:marLeft w:val="0"/>
      <w:marRight w:val="0"/>
      <w:marTop w:val="0"/>
      <w:marBottom w:val="0"/>
      <w:divBdr>
        <w:top w:val="none" w:sz="0" w:space="0" w:color="auto"/>
        <w:left w:val="none" w:sz="0" w:space="0" w:color="auto"/>
        <w:bottom w:val="none" w:sz="0" w:space="0" w:color="auto"/>
        <w:right w:val="none" w:sz="0" w:space="0" w:color="auto"/>
      </w:divBdr>
    </w:div>
    <w:div w:id="1462921978">
      <w:bodyDiv w:val="1"/>
      <w:marLeft w:val="0"/>
      <w:marRight w:val="0"/>
      <w:marTop w:val="0"/>
      <w:marBottom w:val="0"/>
      <w:divBdr>
        <w:top w:val="none" w:sz="0" w:space="0" w:color="auto"/>
        <w:left w:val="none" w:sz="0" w:space="0" w:color="auto"/>
        <w:bottom w:val="none" w:sz="0" w:space="0" w:color="auto"/>
        <w:right w:val="none" w:sz="0" w:space="0" w:color="auto"/>
      </w:divBdr>
    </w:div>
    <w:div w:id="1467889391">
      <w:bodyDiv w:val="1"/>
      <w:marLeft w:val="0"/>
      <w:marRight w:val="0"/>
      <w:marTop w:val="0"/>
      <w:marBottom w:val="0"/>
      <w:divBdr>
        <w:top w:val="none" w:sz="0" w:space="0" w:color="auto"/>
        <w:left w:val="none" w:sz="0" w:space="0" w:color="auto"/>
        <w:bottom w:val="none" w:sz="0" w:space="0" w:color="auto"/>
        <w:right w:val="none" w:sz="0" w:space="0" w:color="auto"/>
      </w:divBdr>
    </w:div>
    <w:div w:id="1470513310">
      <w:bodyDiv w:val="1"/>
      <w:marLeft w:val="0"/>
      <w:marRight w:val="0"/>
      <w:marTop w:val="0"/>
      <w:marBottom w:val="0"/>
      <w:divBdr>
        <w:top w:val="none" w:sz="0" w:space="0" w:color="auto"/>
        <w:left w:val="none" w:sz="0" w:space="0" w:color="auto"/>
        <w:bottom w:val="none" w:sz="0" w:space="0" w:color="auto"/>
        <w:right w:val="none" w:sz="0" w:space="0" w:color="auto"/>
      </w:divBdr>
    </w:div>
    <w:div w:id="1471895795">
      <w:bodyDiv w:val="1"/>
      <w:marLeft w:val="0"/>
      <w:marRight w:val="0"/>
      <w:marTop w:val="0"/>
      <w:marBottom w:val="0"/>
      <w:divBdr>
        <w:top w:val="none" w:sz="0" w:space="0" w:color="auto"/>
        <w:left w:val="none" w:sz="0" w:space="0" w:color="auto"/>
        <w:bottom w:val="none" w:sz="0" w:space="0" w:color="auto"/>
        <w:right w:val="none" w:sz="0" w:space="0" w:color="auto"/>
      </w:divBdr>
    </w:div>
    <w:div w:id="1478566309">
      <w:bodyDiv w:val="1"/>
      <w:marLeft w:val="0"/>
      <w:marRight w:val="0"/>
      <w:marTop w:val="0"/>
      <w:marBottom w:val="0"/>
      <w:divBdr>
        <w:top w:val="none" w:sz="0" w:space="0" w:color="auto"/>
        <w:left w:val="none" w:sz="0" w:space="0" w:color="auto"/>
        <w:bottom w:val="none" w:sz="0" w:space="0" w:color="auto"/>
        <w:right w:val="none" w:sz="0" w:space="0" w:color="auto"/>
      </w:divBdr>
    </w:div>
    <w:div w:id="1491410438">
      <w:bodyDiv w:val="1"/>
      <w:marLeft w:val="0"/>
      <w:marRight w:val="0"/>
      <w:marTop w:val="0"/>
      <w:marBottom w:val="0"/>
      <w:divBdr>
        <w:top w:val="none" w:sz="0" w:space="0" w:color="auto"/>
        <w:left w:val="none" w:sz="0" w:space="0" w:color="auto"/>
        <w:bottom w:val="none" w:sz="0" w:space="0" w:color="auto"/>
        <w:right w:val="none" w:sz="0" w:space="0" w:color="auto"/>
      </w:divBdr>
    </w:div>
    <w:div w:id="1497264035">
      <w:bodyDiv w:val="1"/>
      <w:marLeft w:val="0"/>
      <w:marRight w:val="0"/>
      <w:marTop w:val="0"/>
      <w:marBottom w:val="0"/>
      <w:divBdr>
        <w:top w:val="none" w:sz="0" w:space="0" w:color="auto"/>
        <w:left w:val="none" w:sz="0" w:space="0" w:color="auto"/>
        <w:bottom w:val="none" w:sz="0" w:space="0" w:color="auto"/>
        <w:right w:val="none" w:sz="0" w:space="0" w:color="auto"/>
      </w:divBdr>
    </w:div>
    <w:div w:id="1501507961">
      <w:bodyDiv w:val="1"/>
      <w:marLeft w:val="0"/>
      <w:marRight w:val="0"/>
      <w:marTop w:val="0"/>
      <w:marBottom w:val="0"/>
      <w:divBdr>
        <w:top w:val="none" w:sz="0" w:space="0" w:color="auto"/>
        <w:left w:val="none" w:sz="0" w:space="0" w:color="auto"/>
        <w:bottom w:val="none" w:sz="0" w:space="0" w:color="auto"/>
        <w:right w:val="none" w:sz="0" w:space="0" w:color="auto"/>
      </w:divBdr>
      <w:divsChild>
        <w:div w:id="302348275">
          <w:marLeft w:val="446"/>
          <w:marRight w:val="0"/>
          <w:marTop w:val="120"/>
          <w:marBottom w:val="120"/>
          <w:divBdr>
            <w:top w:val="none" w:sz="0" w:space="0" w:color="auto"/>
            <w:left w:val="none" w:sz="0" w:space="0" w:color="auto"/>
            <w:bottom w:val="none" w:sz="0" w:space="0" w:color="auto"/>
            <w:right w:val="none" w:sz="0" w:space="0" w:color="auto"/>
          </w:divBdr>
        </w:div>
      </w:divsChild>
    </w:div>
    <w:div w:id="1503886008">
      <w:bodyDiv w:val="1"/>
      <w:marLeft w:val="0"/>
      <w:marRight w:val="0"/>
      <w:marTop w:val="0"/>
      <w:marBottom w:val="0"/>
      <w:divBdr>
        <w:top w:val="none" w:sz="0" w:space="0" w:color="auto"/>
        <w:left w:val="none" w:sz="0" w:space="0" w:color="auto"/>
        <w:bottom w:val="none" w:sz="0" w:space="0" w:color="auto"/>
        <w:right w:val="none" w:sz="0" w:space="0" w:color="auto"/>
      </w:divBdr>
    </w:div>
    <w:div w:id="1505320064">
      <w:bodyDiv w:val="1"/>
      <w:marLeft w:val="0"/>
      <w:marRight w:val="0"/>
      <w:marTop w:val="0"/>
      <w:marBottom w:val="0"/>
      <w:divBdr>
        <w:top w:val="none" w:sz="0" w:space="0" w:color="auto"/>
        <w:left w:val="none" w:sz="0" w:space="0" w:color="auto"/>
        <w:bottom w:val="none" w:sz="0" w:space="0" w:color="auto"/>
        <w:right w:val="none" w:sz="0" w:space="0" w:color="auto"/>
      </w:divBdr>
    </w:div>
    <w:div w:id="1514343159">
      <w:bodyDiv w:val="1"/>
      <w:marLeft w:val="0"/>
      <w:marRight w:val="0"/>
      <w:marTop w:val="0"/>
      <w:marBottom w:val="0"/>
      <w:divBdr>
        <w:top w:val="none" w:sz="0" w:space="0" w:color="auto"/>
        <w:left w:val="none" w:sz="0" w:space="0" w:color="auto"/>
        <w:bottom w:val="none" w:sz="0" w:space="0" w:color="auto"/>
        <w:right w:val="none" w:sz="0" w:space="0" w:color="auto"/>
      </w:divBdr>
    </w:div>
    <w:div w:id="1530600880">
      <w:bodyDiv w:val="1"/>
      <w:marLeft w:val="0"/>
      <w:marRight w:val="0"/>
      <w:marTop w:val="0"/>
      <w:marBottom w:val="0"/>
      <w:divBdr>
        <w:top w:val="none" w:sz="0" w:space="0" w:color="auto"/>
        <w:left w:val="none" w:sz="0" w:space="0" w:color="auto"/>
        <w:bottom w:val="none" w:sz="0" w:space="0" w:color="auto"/>
        <w:right w:val="none" w:sz="0" w:space="0" w:color="auto"/>
      </w:divBdr>
    </w:div>
    <w:div w:id="1534802790">
      <w:bodyDiv w:val="1"/>
      <w:marLeft w:val="0"/>
      <w:marRight w:val="0"/>
      <w:marTop w:val="0"/>
      <w:marBottom w:val="0"/>
      <w:divBdr>
        <w:top w:val="none" w:sz="0" w:space="0" w:color="auto"/>
        <w:left w:val="none" w:sz="0" w:space="0" w:color="auto"/>
        <w:bottom w:val="none" w:sz="0" w:space="0" w:color="auto"/>
        <w:right w:val="none" w:sz="0" w:space="0" w:color="auto"/>
      </w:divBdr>
    </w:div>
    <w:div w:id="1538349124">
      <w:bodyDiv w:val="1"/>
      <w:marLeft w:val="0"/>
      <w:marRight w:val="0"/>
      <w:marTop w:val="0"/>
      <w:marBottom w:val="0"/>
      <w:divBdr>
        <w:top w:val="none" w:sz="0" w:space="0" w:color="auto"/>
        <w:left w:val="none" w:sz="0" w:space="0" w:color="auto"/>
        <w:bottom w:val="none" w:sz="0" w:space="0" w:color="auto"/>
        <w:right w:val="none" w:sz="0" w:space="0" w:color="auto"/>
      </w:divBdr>
    </w:div>
    <w:div w:id="1539777064">
      <w:bodyDiv w:val="1"/>
      <w:marLeft w:val="0"/>
      <w:marRight w:val="0"/>
      <w:marTop w:val="0"/>
      <w:marBottom w:val="0"/>
      <w:divBdr>
        <w:top w:val="none" w:sz="0" w:space="0" w:color="auto"/>
        <w:left w:val="none" w:sz="0" w:space="0" w:color="auto"/>
        <w:bottom w:val="none" w:sz="0" w:space="0" w:color="auto"/>
        <w:right w:val="none" w:sz="0" w:space="0" w:color="auto"/>
      </w:divBdr>
    </w:div>
    <w:div w:id="1561674276">
      <w:bodyDiv w:val="1"/>
      <w:marLeft w:val="0"/>
      <w:marRight w:val="0"/>
      <w:marTop w:val="0"/>
      <w:marBottom w:val="0"/>
      <w:divBdr>
        <w:top w:val="none" w:sz="0" w:space="0" w:color="auto"/>
        <w:left w:val="none" w:sz="0" w:space="0" w:color="auto"/>
        <w:bottom w:val="none" w:sz="0" w:space="0" w:color="auto"/>
        <w:right w:val="none" w:sz="0" w:space="0" w:color="auto"/>
      </w:divBdr>
    </w:div>
    <w:div w:id="1562867153">
      <w:bodyDiv w:val="1"/>
      <w:marLeft w:val="0"/>
      <w:marRight w:val="0"/>
      <w:marTop w:val="0"/>
      <w:marBottom w:val="0"/>
      <w:divBdr>
        <w:top w:val="none" w:sz="0" w:space="0" w:color="auto"/>
        <w:left w:val="none" w:sz="0" w:space="0" w:color="auto"/>
        <w:bottom w:val="none" w:sz="0" w:space="0" w:color="auto"/>
        <w:right w:val="none" w:sz="0" w:space="0" w:color="auto"/>
      </w:divBdr>
    </w:div>
    <w:div w:id="1569807918">
      <w:bodyDiv w:val="1"/>
      <w:marLeft w:val="0"/>
      <w:marRight w:val="0"/>
      <w:marTop w:val="0"/>
      <w:marBottom w:val="0"/>
      <w:divBdr>
        <w:top w:val="none" w:sz="0" w:space="0" w:color="auto"/>
        <w:left w:val="none" w:sz="0" w:space="0" w:color="auto"/>
        <w:bottom w:val="none" w:sz="0" w:space="0" w:color="auto"/>
        <w:right w:val="none" w:sz="0" w:space="0" w:color="auto"/>
      </w:divBdr>
    </w:div>
    <w:div w:id="1585993748">
      <w:bodyDiv w:val="1"/>
      <w:marLeft w:val="0"/>
      <w:marRight w:val="0"/>
      <w:marTop w:val="0"/>
      <w:marBottom w:val="0"/>
      <w:divBdr>
        <w:top w:val="none" w:sz="0" w:space="0" w:color="auto"/>
        <w:left w:val="none" w:sz="0" w:space="0" w:color="auto"/>
        <w:bottom w:val="none" w:sz="0" w:space="0" w:color="auto"/>
        <w:right w:val="none" w:sz="0" w:space="0" w:color="auto"/>
      </w:divBdr>
    </w:div>
    <w:div w:id="1589190339">
      <w:bodyDiv w:val="1"/>
      <w:marLeft w:val="0"/>
      <w:marRight w:val="0"/>
      <w:marTop w:val="0"/>
      <w:marBottom w:val="0"/>
      <w:divBdr>
        <w:top w:val="none" w:sz="0" w:space="0" w:color="auto"/>
        <w:left w:val="none" w:sz="0" w:space="0" w:color="auto"/>
        <w:bottom w:val="none" w:sz="0" w:space="0" w:color="auto"/>
        <w:right w:val="none" w:sz="0" w:space="0" w:color="auto"/>
      </w:divBdr>
    </w:div>
    <w:div w:id="1602686472">
      <w:bodyDiv w:val="1"/>
      <w:marLeft w:val="0"/>
      <w:marRight w:val="0"/>
      <w:marTop w:val="0"/>
      <w:marBottom w:val="0"/>
      <w:divBdr>
        <w:top w:val="none" w:sz="0" w:space="0" w:color="auto"/>
        <w:left w:val="none" w:sz="0" w:space="0" w:color="auto"/>
        <w:bottom w:val="none" w:sz="0" w:space="0" w:color="auto"/>
        <w:right w:val="none" w:sz="0" w:space="0" w:color="auto"/>
      </w:divBdr>
    </w:div>
    <w:div w:id="1622150995">
      <w:bodyDiv w:val="1"/>
      <w:marLeft w:val="0"/>
      <w:marRight w:val="0"/>
      <w:marTop w:val="0"/>
      <w:marBottom w:val="0"/>
      <w:divBdr>
        <w:top w:val="none" w:sz="0" w:space="0" w:color="auto"/>
        <w:left w:val="none" w:sz="0" w:space="0" w:color="auto"/>
        <w:bottom w:val="none" w:sz="0" w:space="0" w:color="auto"/>
        <w:right w:val="none" w:sz="0" w:space="0" w:color="auto"/>
      </w:divBdr>
    </w:div>
    <w:div w:id="1633318884">
      <w:bodyDiv w:val="1"/>
      <w:marLeft w:val="0"/>
      <w:marRight w:val="0"/>
      <w:marTop w:val="0"/>
      <w:marBottom w:val="0"/>
      <w:divBdr>
        <w:top w:val="none" w:sz="0" w:space="0" w:color="auto"/>
        <w:left w:val="none" w:sz="0" w:space="0" w:color="auto"/>
        <w:bottom w:val="none" w:sz="0" w:space="0" w:color="auto"/>
        <w:right w:val="none" w:sz="0" w:space="0" w:color="auto"/>
      </w:divBdr>
    </w:div>
    <w:div w:id="1665279348">
      <w:bodyDiv w:val="1"/>
      <w:marLeft w:val="0"/>
      <w:marRight w:val="0"/>
      <w:marTop w:val="0"/>
      <w:marBottom w:val="0"/>
      <w:divBdr>
        <w:top w:val="none" w:sz="0" w:space="0" w:color="auto"/>
        <w:left w:val="none" w:sz="0" w:space="0" w:color="auto"/>
        <w:bottom w:val="none" w:sz="0" w:space="0" w:color="auto"/>
        <w:right w:val="none" w:sz="0" w:space="0" w:color="auto"/>
      </w:divBdr>
    </w:div>
    <w:div w:id="1679501481">
      <w:bodyDiv w:val="1"/>
      <w:marLeft w:val="0"/>
      <w:marRight w:val="0"/>
      <w:marTop w:val="0"/>
      <w:marBottom w:val="0"/>
      <w:divBdr>
        <w:top w:val="none" w:sz="0" w:space="0" w:color="auto"/>
        <w:left w:val="none" w:sz="0" w:space="0" w:color="auto"/>
        <w:bottom w:val="none" w:sz="0" w:space="0" w:color="auto"/>
        <w:right w:val="none" w:sz="0" w:space="0" w:color="auto"/>
      </w:divBdr>
    </w:div>
    <w:div w:id="1696154053">
      <w:bodyDiv w:val="1"/>
      <w:marLeft w:val="0"/>
      <w:marRight w:val="0"/>
      <w:marTop w:val="0"/>
      <w:marBottom w:val="0"/>
      <w:divBdr>
        <w:top w:val="none" w:sz="0" w:space="0" w:color="auto"/>
        <w:left w:val="none" w:sz="0" w:space="0" w:color="auto"/>
        <w:bottom w:val="none" w:sz="0" w:space="0" w:color="auto"/>
        <w:right w:val="none" w:sz="0" w:space="0" w:color="auto"/>
      </w:divBdr>
    </w:div>
    <w:div w:id="1703937709">
      <w:bodyDiv w:val="1"/>
      <w:marLeft w:val="0"/>
      <w:marRight w:val="0"/>
      <w:marTop w:val="0"/>
      <w:marBottom w:val="0"/>
      <w:divBdr>
        <w:top w:val="none" w:sz="0" w:space="0" w:color="auto"/>
        <w:left w:val="none" w:sz="0" w:space="0" w:color="auto"/>
        <w:bottom w:val="none" w:sz="0" w:space="0" w:color="auto"/>
        <w:right w:val="none" w:sz="0" w:space="0" w:color="auto"/>
      </w:divBdr>
      <w:divsChild>
        <w:div w:id="1129859246">
          <w:marLeft w:val="547"/>
          <w:marRight w:val="0"/>
          <w:marTop w:val="40"/>
          <w:marBottom w:val="40"/>
          <w:divBdr>
            <w:top w:val="none" w:sz="0" w:space="0" w:color="auto"/>
            <w:left w:val="none" w:sz="0" w:space="0" w:color="auto"/>
            <w:bottom w:val="none" w:sz="0" w:space="0" w:color="auto"/>
            <w:right w:val="none" w:sz="0" w:space="0" w:color="auto"/>
          </w:divBdr>
        </w:div>
        <w:div w:id="1669794225">
          <w:marLeft w:val="547"/>
          <w:marRight w:val="0"/>
          <w:marTop w:val="40"/>
          <w:marBottom w:val="40"/>
          <w:divBdr>
            <w:top w:val="none" w:sz="0" w:space="0" w:color="auto"/>
            <w:left w:val="none" w:sz="0" w:space="0" w:color="auto"/>
            <w:bottom w:val="none" w:sz="0" w:space="0" w:color="auto"/>
            <w:right w:val="none" w:sz="0" w:space="0" w:color="auto"/>
          </w:divBdr>
        </w:div>
        <w:div w:id="1923951719">
          <w:marLeft w:val="547"/>
          <w:marRight w:val="0"/>
          <w:marTop w:val="40"/>
          <w:marBottom w:val="40"/>
          <w:divBdr>
            <w:top w:val="none" w:sz="0" w:space="0" w:color="auto"/>
            <w:left w:val="none" w:sz="0" w:space="0" w:color="auto"/>
            <w:bottom w:val="none" w:sz="0" w:space="0" w:color="auto"/>
            <w:right w:val="none" w:sz="0" w:space="0" w:color="auto"/>
          </w:divBdr>
        </w:div>
      </w:divsChild>
    </w:div>
    <w:div w:id="1722637009">
      <w:bodyDiv w:val="1"/>
      <w:marLeft w:val="0"/>
      <w:marRight w:val="0"/>
      <w:marTop w:val="0"/>
      <w:marBottom w:val="0"/>
      <w:divBdr>
        <w:top w:val="none" w:sz="0" w:space="0" w:color="auto"/>
        <w:left w:val="none" w:sz="0" w:space="0" w:color="auto"/>
        <w:bottom w:val="none" w:sz="0" w:space="0" w:color="auto"/>
        <w:right w:val="none" w:sz="0" w:space="0" w:color="auto"/>
      </w:divBdr>
      <w:divsChild>
        <w:div w:id="1158300836">
          <w:marLeft w:val="446"/>
          <w:marRight w:val="0"/>
          <w:marTop w:val="60"/>
          <w:marBottom w:val="60"/>
          <w:divBdr>
            <w:top w:val="none" w:sz="0" w:space="0" w:color="auto"/>
            <w:left w:val="none" w:sz="0" w:space="0" w:color="auto"/>
            <w:bottom w:val="none" w:sz="0" w:space="0" w:color="auto"/>
            <w:right w:val="none" w:sz="0" w:space="0" w:color="auto"/>
          </w:divBdr>
        </w:div>
      </w:divsChild>
    </w:div>
    <w:div w:id="1726638040">
      <w:bodyDiv w:val="1"/>
      <w:marLeft w:val="0"/>
      <w:marRight w:val="0"/>
      <w:marTop w:val="0"/>
      <w:marBottom w:val="0"/>
      <w:divBdr>
        <w:top w:val="none" w:sz="0" w:space="0" w:color="auto"/>
        <w:left w:val="none" w:sz="0" w:space="0" w:color="auto"/>
        <w:bottom w:val="none" w:sz="0" w:space="0" w:color="auto"/>
        <w:right w:val="none" w:sz="0" w:space="0" w:color="auto"/>
      </w:divBdr>
    </w:div>
    <w:div w:id="1750301174">
      <w:bodyDiv w:val="1"/>
      <w:marLeft w:val="0"/>
      <w:marRight w:val="0"/>
      <w:marTop w:val="0"/>
      <w:marBottom w:val="0"/>
      <w:divBdr>
        <w:top w:val="none" w:sz="0" w:space="0" w:color="auto"/>
        <w:left w:val="none" w:sz="0" w:space="0" w:color="auto"/>
        <w:bottom w:val="none" w:sz="0" w:space="0" w:color="auto"/>
        <w:right w:val="none" w:sz="0" w:space="0" w:color="auto"/>
      </w:divBdr>
    </w:div>
    <w:div w:id="1751152739">
      <w:bodyDiv w:val="1"/>
      <w:marLeft w:val="0"/>
      <w:marRight w:val="0"/>
      <w:marTop w:val="0"/>
      <w:marBottom w:val="0"/>
      <w:divBdr>
        <w:top w:val="none" w:sz="0" w:space="0" w:color="auto"/>
        <w:left w:val="none" w:sz="0" w:space="0" w:color="auto"/>
        <w:bottom w:val="none" w:sz="0" w:space="0" w:color="auto"/>
        <w:right w:val="none" w:sz="0" w:space="0" w:color="auto"/>
      </w:divBdr>
    </w:div>
    <w:div w:id="1751852907">
      <w:bodyDiv w:val="1"/>
      <w:marLeft w:val="0"/>
      <w:marRight w:val="0"/>
      <w:marTop w:val="0"/>
      <w:marBottom w:val="0"/>
      <w:divBdr>
        <w:top w:val="none" w:sz="0" w:space="0" w:color="auto"/>
        <w:left w:val="none" w:sz="0" w:space="0" w:color="auto"/>
        <w:bottom w:val="none" w:sz="0" w:space="0" w:color="auto"/>
        <w:right w:val="none" w:sz="0" w:space="0" w:color="auto"/>
      </w:divBdr>
    </w:div>
    <w:div w:id="1769541574">
      <w:bodyDiv w:val="1"/>
      <w:marLeft w:val="0"/>
      <w:marRight w:val="0"/>
      <w:marTop w:val="0"/>
      <w:marBottom w:val="0"/>
      <w:divBdr>
        <w:top w:val="none" w:sz="0" w:space="0" w:color="auto"/>
        <w:left w:val="none" w:sz="0" w:space="0" w:color="auto"/>
        <w:bottom w:val="none" w:sz="0" w:space="0" w:color="auto"/>
        <w:right w:val="none" w:sz="0" w:space="0" w:color="auto"/>
      </w:divBdr>
    </w:div>
    <w:div w:id="1773550573">
      <w:bodyDiv w:val="1"/>
      <w:marLeft w:val="0"/>
      <w:marRight w:val="0"/>
      <w:marTop w:val="0"/>
      <w:marBottom w:val="0"/>
      <w:divBdr>
        <w:top w:val="none" w:sz="0" w:space="0" w:color="auto"/>
        <w:left w:val="none" w:sz="0" w:space="0" w:color="auto"/>
        <w:bottom w:val="none" w:sz="0" w:space="0" w:color="auto"/>
        <w:right w:val="none" w:sz="0" w:space="0" w:color="auto"/>
      </w:divBdr>
    </w:div>
    <w:div w:id="1797138654">
      <w:bodyDiv w:val="1"/>
      <w:marLeft w:val="0"/>
      <w:marRight w:val="0"/>
      <w:marTop w:val="0"/>
      <w:marBottom w:val="0"/>
      <w:divBdr>
        <w:top w:val="none" w:sz="0" w:space="0" w:color="auto"/>
        <w:left w:val="none" w:sz="0" w:space="0" w:color="auto"/>
        <w:bottom w:val="none" w:sz="0" w:space="0" w:color="auto"/>
        <w:right w:val="none" w:sz="0" w:space="0" w:color="auto"/>
      </w:divBdr>
    </w:div>
    <w:div w:id="1811628215">
      <w:bodyDiv w:val="1"/>
      <w:marLeft w:val="0"/>
      <w:marRight w:val="0"/>
      <w:marTop w:val="0"/>
      <w:marBottom w:val="0"/>
      <w:divBdr>
        <w:top w:val="none" w:sz="0" w:space="0" w:color="auto"/>
        <w:left w:val="none" w:sz="0" w:space="0" w:color="auto"/>
        <w:bottom w:val="none" w:sz="0" w:space="0" w:color="auto"/>
        <w:right w:val="none" w:sz="0" w:space="0" w:color="auto"/>
      </w:divBdr>
    </w:div>
    <w:div w:id="1815682125">
      <w:bodyDiv w:val="1"/>
      <w:marLeft w:val="0"/>
      <w:marRight w:val="0"/>
      <w:marTop w:val="0"/>
      <w:marBottom w:val="0"/>
      <w:divBdr>
        <w:top w:val="none" w:sz="0" w:space="0" w:color="auto"/>
        <w:left w:val="none" w:sz="0" w:space="0" w:color="auto"/>
        <w:bottom w:val="none" w:sz="0" w:space="0" w:color="auto"/>
        <w:right w:val="none" w:sz="0" w:space="0" w:color="auto"/>
      </w:divBdr>
    </w:div>
    <w:div w:id="1821381627">
      <w:bodyDiv w:val="1"/>
      <w:marLeft w:val="0"/>
      <w:marRight w:val="0"/>
      <w:marTop w:val="0"/>
      <w:marBottom w:val="0"/>
      <w:divBdr>
        <w:top w:val="none" w:sz="0" w:space="0" w:color="auto"/>
        <w:left w:val="none" w:sz="0" w:space="0" w:color="auto"/>
        <w:bottom w:val="none" w:sz="0" w:space="0" w:color="auto"/>
        <w:right w:val="none" w:sz="0" w:space="0" w:color="auto"/>
      </w:divBdr>
    </w:div>
    <w:div w:id="1833982514">
      <w:bodyDiv w:val="1"/>
      <w:marLeft w:val="0"/>
      <w:marRight w:val="0"/>
      <w:marTop w:val="0"/>
      <w:marBottom w:val="0"/>
      <w:divBdr>
        <w:top w:val="none" w:sz="0" w:space="0" w:color="auto"/>
        <w:left w:val="none" w:sz="0" w:space="0" w:color="auto"/>
        <w:bottom w:val="none" w:sz="0" w:space="0" w:color="auto"/>
        <w:right w:val="none" w:sz="0" w:space="0" w:color="auto"/>
      </w:divBdr>
    </w:div>
    <w:div w:id="1849179110">
      <w:bodyDiv w:val="1"/>
      <w:marLeft w:val="0"/>
      <w:marRight w:val="0"/>
      <w:marTop w:val="0"/>
      <w:marBottom w:val="0"/>
      <w:divBdr>
        <w:top w:val="none" w:sz="0" w:space="0" w:color="auto"/>
        <w:left w:val="none" w:sz="0" w:space="0" w:color="auto"/>
        <w:bottom w:val="none" w:sz="0" w:space="0" w:color="auto"/>
        <w:right w:val="none" w:sz="0" w:space="0" w:color="auto"/>
      </w:divBdr>
    </w:div>
    <w:div w:id="1850832040">
      <w:bodyDiv w:val="1"/>
      <w:marLeft w:val="0"/>
      <w:marRight w:val="0"/>
      <w:marTop w:val="0"/>
      <w:marBottom w:val="0"/>
      <w:divBdr>
        <w:top w:val="none" w:sz="0" w:space="0" w:color="auto"/>
        <w:left w:val="none" w:sz="0" w:space="0" w:color="auto"/>
        <w:bottom w:val="none" w:sz="0" w:space="0" w:color="auto"/>
        <w:right w:val="none" w:sz="0" w:space="0" w:color="auto"/>
      </w:divBdr>
    </w:div>
    <w:div w:id="1851487142">
      <w:bodyDiv w:val="1"/>
      <w:marLeft w:val="0"/>
      <w:marRight w:val="0"/>
      <w:marTop w:val="0"/>
      <w:marBottom w:val="0"/>
      <w:divBdr>
        <w:top w:val="none" w:sz="0" w:space="0" w:color="auto"/>
        <w:left w:val="none" w:sz="0" w:space="0" w:color="auto"/>
        <w:bottom w:val="none" w:sz="0" w:space="0" w:color="auto"/>
        <w:right w:val="none" w:sz="0" w:space="0" w:color="auto"/>
      </w:divBdr>
    </w:div>
    <w:div w:id="1867138304">
      <w:bodyDiv w:val="1"/>
      <w:marLeft w:val="0"/>
      <w:marRight w:val="0"/>
      <w:marTop w:val="0"/>
      <w:marBottom w:val="0"/>
      <w:divBdr>
        <w:top w:val="none" w:sz="0" w:space="0" w:color="auto"/>
        <w:left w:val="none" w:sz="0" w:space="0" w:color="auto"/>
        <w:bottom w:val="none" w:sz="0" w:space="0" w:color="auto"/>
        <w:right w:val="none" w:sz="0" w:space="0" w:color="auto"/>
      </w:divBdr>
    </w:div>
    <w:div w:id="1867401685">
      <w:bodyDiv w:val="1"/>
      <w:marLeft w:val="0"/>
      <w:marRight w:val="0"/>
      <w:marTop w:val="0"/>
      <w:marBottom w:val="0"/>
      <w:divBdr>
        <w:top w:val="none" w:sz="0" w:space="0" w:color="auto"/>
        <w:left w:val="none" w:sz="0" w:space="0" w:color="auto"/>
        <w:bottom w:val="none" w:sz="0" w:space="0" w:color="auto"/>
        <w:right w:val="none" w:sz="0" w:space="0" w:color="auto"/>
      </w:divBdr>
    </w:div>
    <w:div w:id="1892382931">
      <w:bodyDiv w:val="1"/>
      <w:marLeft w:val="0"/>
      <w:marRight w:val="0"/>
      <w:marTop w:val="0"/>
      <w:marBottom w:val="0"/>
      <w:divBdr>
        <w:top w:val="none" w:sz="0" w:space="0" w:color="auto"/>
        <w:left w:val="none" w:sz="0" w:space="0" w:color="auto"/>
        <w:bottom w:val="none" w:sz="0" w:space="0" w:color="auto"/>
        <w:right w:val="none" w:sz="0" w:space="0" w:color="auto"/>
      </w:divBdr>
    </w:div>
    <w:div w:id="1907912893">
      <w:bodyDiv w:val="1"/>
      <w:marLeft w:val="0"/>
      <w:marRight w:val="0"/>
      <w:marTop w:val="0"/>
      <w:marBottom w:val="0"/>
      <w:divBdr>
        <w:top w:val="none" w:sz="0" w:space="0" w:color="auto"/>
        <w:left w:val="none" w:sz="0" w:space="0" w:color="auto"/>
        <w:bottom w:val="none" w:sz="0" w:space="0" w:color="auto"/>
        <w:right w:val="none" w:sz="0" w:space="0" w:color="auto"/>
      </w:divBdr>
    </w:div>
    <w:div w:id="1913812270">
      <w:bodyDiv w:val="1"/>
      <w:marLeft w:val="0"/>
      <w:marRight w:val="0"/>
      <w:marTop w:val="0"/>
      <w:marBottom w:val="0"/>
      <w:divBdr>
        <w:top w:val="none" w:sz="0" w:space="0" w:color="auto"/>
        <w:left w:val="none" w:sz="0" w:space="0" w:color="auto"/>
        <w:bottom w:val="none" w:sz="0" w:space="0" w:color="auto"/>
        <w:right w:val="none" w:sz="0" w:space="0" w:color="auto"/>
      </w:divBdr>
    </w:div>
    <w:div w:id="1920746117">
      <w:bodyDiv w:val="1"/>
      <w:marLeft w:val="0"/>
      <w:marRight w:val="0"/>
      <w:marTop w:val="0"/>
      <w:marBottom w:val="0"/>
      <w:divBdr>
        <w:top w:val="none" w:sz="0" w:space="0" w:color="auto"/>
        <w:left w:val="none" w:sz="0" w:space="0" w:color="auto"/>
        <w:bottom w:val="none" w:sz="0" w:space="0" w:color="auto"/>
        <w:right w:val="none" w:sz="0" w:space="0" w:color="auto"/>
      </w:divBdr>
      <w:divsChild>
        <w:div w:id="409890960">
          <w:marLeft w:val="1166"/>
          <w:marRight w:val="0"/>
          <w:marTop w:val="40"/>
          <w:marBottom w:val="40"/>
          <w:divBdr>
            <w:top w:val="none" w:sz="0" w:space="0" w:color="auto"/>
            <w:left w:val="none" w:sz="0" w:space="0" w:color="auto"/>
            <w:bottom w:val="none" w:sz="0" w:space="0" w:color="auto"/>
            <w:right w:val="none" w:sz="0" w:space="0" w:color="auto"/>
          </w:divBdr>
        </w:div>
      </w:divsChild>
    </w:div>
    <w:div w:id="1922444517">
      <w:bodyDiv w:val="1"/>
      <w:marLeft w:val="0"/>
      <w:marRight w:val="0"/>
      <w:marTop w:val="0"/>
      <w:marBottom w:val="0"/>
      <w:divBdr>
        <w:top w:val="none" w:sz="0" w:space="0" w:color="auto"/>
        <w:left w:val="none" w:sz="0" w:space="0" w:color="auto"/>
        <w:bottom w:val="none" w:sz="0" w:space="0" w:color="auto"/>
        <w:right w:val="none" w:sz="0" w:space="0" w:color="auto"/>
      </w:divBdr>
    </w:div>
    <w:div w:id="1923753596">
      <w:bodyDiv w:val="1"/>
      <w:marLeft w:val="0"/>
      <w:marRight w:val="0"/>
      <w:marTop w:val="0"/>
      <w:marBottom w:val="0"/>
      <w:divBdr>
        <w:top w:val="none" w:sz="0" w:space="0" w:color="auto"/>
        <w:left w:val="none" w:sz="0" w:space="0" w:color="auto"/>
        <w:bottom w:val="none" w:sz="0" w:space="0" w:color="auto"/>
        <w:right w:val="none" w:sz="0" w:space="0" w:color="auto"/>
      </w:divBdr>
    </w:div>
    <w:div w:id="1937670141">
      <w:bodyDiv w:val="1"/>
      <w:marLeft w:val="0"/>
      <w:marRight w:val="0"/>
      <w:marTop w:val="0"/>
      <w:marBottom w:val="0"/>
      <w:divBdr>
        <w:top w:val="none" w:sz="0" w:space="0" w:color="auto"/>
        <w:left w:val="none" w:sz="0" w:space="0" w:color="auto"/>
        <w:bottom w:val="none" w:sz="0" w:space="0" w:color="auto"/>
        <w:right w:val="none" w:sz="0" w:space="0" w:color="auto"/>
      </w:divBdr>
    </w:div>
    <w:div w:id="1947037729">
      <w:bodyDiv w:val="1"/>
      <w:marLeft w:val="0"/>
      <w:marRight w:val="0"/>
      <w:marTop w:val="0"/>
      <w:marBottom w:val="0"/>
      <w:divBdr>
        <w:top w:val="none" w:sz="0" w:space="0" w:color="auto"/>
        <w:left w:val="none" w:sz="0" w:space="0" w:color="auto"/>
        <w:bottom w:val="none" w:sz="0" w:space="0" w:color="auto"/>
        <w:right w:val="none" w:sz="0" w:space="0" w:color="auto"/>
      </w:divBdr>
    </w:div>
    <w:div w:id="1948466643">
      <w:bodyDiv w:val="1"/>
      <w:marLeft w:val="0"/>
      <w:marRight w:val="0"/>
      <w:marTop w:val="0"/>
      <w:marBottom w:val="0"/>
      <w:divBdr>
        <w:top w:val="none" w:sz="0" w:space="0" w:color="auto"/>
        <w:left w:val="none" w:sz="0" w:space="0" w:color="auto"/>
        <w:bottom w:val="none" w:sz="0" w:space="0" w:color="auto"/>
        <w:right w:val="none" w:sz="0" w:space="0" w:color="auto"/>
      </w:divBdr>
      <w:divsChild>
        <w:div w:id="120465626">
          <w:marLeft w:val="446"/>
          <w:marRight w:val="0"/>
          <w:marTop w:val="60"/>
          <w:marBottom w:val="60"/>
          <w:divBdr>
            <w:top w:val="none" w:sz="0" w:space="0" w:color="auto"/>
            <w:left w:val="none" w:sz="0" w:space="0" w:color="auto"/>
            <w:bottom w:val="none" w:sz="0" w:space="0" w:color="auto"/>
            <w:right w:val="none" w:sz="0" w:space="0" w:color="auto"/>
          </w:divBdr>
        </w:div>
        <w:div w:id="412438128">
          <w:marLeft w:val="446"/>
          <w:marRight w:val="0"/>
          <w:marTop w:val="60"/>
          <w:marBottom w:val="60"/>
          <w:divBdr>
            <w:top w:val="none" w:sz="0" w:space="0" w:color="auto"/>
            <w:left w:val="none" w:sz="0" w:space="0" w:color="auto"/>
            <w:bottom w:val="none" w:sz="0" w:space="0" w:color="auto"/>
            <w:right w:val="none" w:sz="0" w:space="0" w:color="auto"/>
          </w:divBdr>
        </w:div>
        <w:div w:id="770053455">
          <w:marLeft w:val="446"/>
          <w:marRight w:val="0"/>
          <w:marTop w:val="60"/>
          <w:marBottom w:val="60"/>
          <w:divBdr>
            <w:top w:val="none" w:sz="0" w:space="0" w:color="auto"/>
            <w:left w:val="none" w:sz="0" w:space="0" w:color="auto"/>
            <w:bottom w:val="none" w:sz="0" w:space="0" w:color="auto"/>
            <w:right w:val="none" w:sz="0" w:space="0" w:color="auto"/>
          </w:divBdr>
        </w:div>
        <w:div w:id="995038166">
          <w:marLeft w:val="446"/>
          <w:marRight w:val="0"/>
          <w:marTop w:val="60"/>
          <w:marBottom w:val="60"/>
          <w:divBdr>
            <w:top w:val="none" w:sz="0" w:space="0" w:color="auto"/>
            <w:left w:val="none" w:sz="0" w:space="0" w:color="auto"/>
            <w:bottom w:val="none" w:sz="0" w:space="0" w:color="auto"/>
            <w:right w:val="none" w:sz="0" w:space="0" w:color="auto"/>
          </w:divBdr>
        </w:div>
        <w:div w:id="1333876615">
          <w:marLeft w:val="446"/>
          <w:marRight w:val="0"/>
          <w:marTop w:val="60"/>
          <w:marBottom w:val="60"/>
          <w:divBdr>
            <w:top w:val="none" w:sz="0" w:space="0" w:color="auto"/>
            <w:left w:val="none" w:sz="0" w:space="0" w:color="auto"/>
            <w:bottom w:val="none" w:sz="0" w:space="0" w:color="auto"/>
            <w:right w:val="none" w:sz="0" w:space="0" w:color="auto"/>
          </w:divBdr>
        </w:div>
        <w:div w:id="1806073229">
          <w:marLeft w:val="446"/>
          <w:marRight w:val="0"/>
          <w:marTop w:val="60"/>
          <w:marBottom w:val="60"/>
          <w:divBdr>
            <w:top w:val="none" w:sz="0" w:space="0" w:color="auto"/>
            <w:left w:val="none" w:sz="0" w:space="0" w:color="auto"/>
            <w:bottom w:val="none" w:sz="0" w:space="0" w:color="auto"/>
            <w:right w:val="none" w:sz="0" w:space="0" w:color="auto"/>
          </w:divBdr>
        </w:div>
      </w:divsChild>
    </w:div>
    <w:div w:id="1958028908">
      <w:bodyDiv w:val="1"/>
      <w:marLeft w:val="0"/>
      <w:marRight w:val="0"/>
      <w:marTop w:val="0"/>
      <w:marBottom w:val="0"/>
      <w:divBdr>
        <w:top w:val="none" w:sz="0" w:space="0" w:color="auto"/>
        <w:left w:val="none" w:sz="0" w:space="0" w:color="auto"/>
        <w:bottom w:val="none" w:sz="0" w:space="0" w:color="auto"/>
        <w:right w:val="none" w:sz="0" w:space="0" w:color="auto"/>
      </w:divBdr>
    </w:div>
    <w:div w:id="1970697533">
      <w:bodyDiv w:val="1"/>
      <w:marLeft w:val="0"/>
      <w:marRight w:val="0"/>
      <w:marTop w:val="0"/>
      <w:marBottom w:val="0"/>
      <w:divBdr>
        <w:top w:val="none" w:sz="0" w:space="0" w:color="auto"/>
        <w:left w:val="none" w:sz="0" w:space="0" w:color="auto"/>
        <w:bottom w:val="none" w:sz="0" w:space="0" w:color="auto"/>
        <w:right w:val="none" w:sz="0" w:space="0" w:color="auto"/>
      </w:divBdr>
    </w:div>
    <w:div w:id="1974822922">
      <w:bodyDiv w:val="1"/>
      <w:marLeft w:val="0"/>
      <w:marRight w:val="0"/>
      <w:marTop w:val="0"/>
      <w:marBottom w:val="0"/>
      <w:divBdr>
        <w:top w:val="none" w:sz="0" w:space="0" w:color="auto"/>
        <w:left w:val="none" w:sz="0" w:space="0" w:color="auto"/>
        <w:bottom w:val="none" w:sz="0" w:space="0" w:color="auto"/>
        <w:right w:val="none" w:sz="0" w:space="0" w:color="auto"/>
      </w:divBdr>
    </w:div>
    <w:div w:id="1976832369">
      <w:bodyDiv w:val="1"/>
      <w:marLeft w:val="0"/>
      <w:marRight w:val="0"/>
      <w:marTop w:val="0"/>
      <w:marBottom w:val="0"/>
      <w:divBdr>
        <w:top w:val="none" w:sz="0" w:space="0" w:color="auto"/>
        <w:left w:val="none" w:sz="0" w:space="0" w:color="auto"/>
        <w:bottom w:val="none" w:sz="0" w:space="0" w:color="auto"/>
        <w:right w:val="none" w:sz="0" w:space="0" w:color="auto"/>
      </w:divBdr>
    </w:div>
    <w:div w:id="1977831062">
      <w:bodyDiv w:val="1"/>
      <w:marLeft w:val="0"/>
      <w:marRight w:val="0"/>
      <w:marTop w:val="0"/>
      <w:marBottom w:val="0"/>
      <w:divBdr>
        <w:top w:val="none" w:sz="0" w:space="0" w:color="auto"/>
        <w:left w:val="none" w:sz="0" w:space="0" w:color="auto"/>
        <w:bottom w:val="none" w:sz="0" w:space="0" w:color="auto"/>
        <w:right w:val="none" w:sz="0" w:space="0" w:color="auto"/>
      </w:divBdr>
    </w:div>
    <w:div w:id="1985501379">
      <w:bodyDiv w:val="1"/>
      <w:marLeft w:val="0"/>
      <w:marRight w:val="0"/>
      <w:marTop w:val="0"/>
      <w:marBottom w:val="0"/>
      <w:divBdr>
        <w:top w:val="none" w:sz="0" w:space="0" w:color="auto"/>
        <w:left w:val="none" w:sz="0" w:space="0" w:color="auto"/>
        <w:bottom w:val="none" w:sz="0" w:space="0" w:color="auto"/>
        <w:right w:val="none" w:sz="0" w:space="0" w:color="auto"/>
      </w:divBdr>
      <w:divsChild>
        <w:div w:id="1201823587">
          <w:marLeft w:val="446"/>
          <w:marRight w:val="0"/>
          <w:marTop w:val="120"/>
          <w:marBottom w:val="0"/>
          <w:divBdr>
            <w:top w:val="none" w:sz="0" w:space="0" w:color="auto"/>
            <w:left w:val="none" w:sz="0" w:space="0" w:color="auto"/>
            <w:bottom w:val="none" w:sz="0" w:space="0" w:color="auto"/>
            <w:right w:val="none" w:sz="0" w:space="0" w:color="auto"/>
          </w:divBdr>
        </w:div>
      </w:divsChild>
    </w:div>
    <w:div w:id="2006929507">
      <w:bodyDiv w:val="1"/>
      <w:marLeft w:val="0"/>
      <w:marRight w:val="0"/>
      <w:marTop w:val="0"/>
      <w:marBottom w:val="0"/>
      <w:divBdr>
        <w:top w:val="none" w:sz="0" w:space="0" w:color="auto"/>
        <w:left w:val="none" w:sz="0" w:space="0" w:color="auto"/>
        <w:bottom w:val="none" w:sz="0" w:space="0" w:color="auto"/>
        <w:right w:val="none" w:sz="0" w:space="0" w:color="auto"/>
      </w:divBdr>
    </w:div>
    <w:div w:id="2010671543">
      <w:bodyDiv w:val="1"/>
      <w:marLeft w:val="0"/>
      <w:marRight w:val="0"/>
      <w:marTop w:val="0"/>
      <w:marBottom w:val="0"/>
      <w:divBdr>
        <w:top w:val="none" w:sz="0" w:space="0" w:color="auto"/>
        <w:left w:val="none" w:sz="0" w:space="0" w:color="auto"/>
        <w:bottom w:val="none" w:sz="0" w:space="0" w:color="auto"/>
        <w:right w:val="none" w:sz="0" w:space="0" w:color="auto"/>
      </w:divBdr>
    </w:div>
    <w:div w:id="2036031507">
      <w:bodyDiv w:val="1"/>
      <w:marLeft w:val="0"/>
      <w:marRight w:val="0"/>
      <w:marTop w:val="0"/>
      <w:marBottom w:val="0"/>
      <w:divBdr>
        <w:top w:val="none" w:sz="0" w:space="0" w:color="auto"/>
        <w:left w:val="none" w:sz="0" w:space="0" w:color="auto"/>
        <w:bottom w:val="none" w:sz="0" w:space="0" w:color="auto"/>
        <w:right w:val="none" w:sz="0" w:space="0" w:color="auto"/>
      </w:divBdr>
    </w:div>
    <w:div w:id="2053924376">
      <w:bodyDiv w:val="1"/>
      <w:marLeft w:val="0"/>
      <w:marRight w:val="0"/>
      <w:marTop w:val="0"/>
      <w:marBottom w:val="0"/>
      <w:divBdr>
        <w:top w:val="none" w:sz="0" w:space="0" w:color="auto"/>
        <w:left w:val="none" w:sz="0" w:space="0" w:color="auto"/>
        <w:bottom w:val="none" w:sz="0" w:space="0" w:color="auto"/>
        <w:right w:val="none" w:sz="0" w:space="0" w:color="auto"/>
      </w:divBdr>
    </w:div>
    <w:div w:id="2056463800">
      <w:bodyDiv w:val="1"/>
      <w:marLeft w:val="0"/>
      <w:marRight w:val="0"/>
      <w:marTop w:val="0"/>
      <w:marBottom w:val="0"/>
      <w:divBdr>
        <w:top w:val="none" w:sz="0" w:space="0" w:color="auto"/>
        <w:left w:val="none" w:sz="0" w:space="0" w:color="auto"/>
        <w:bottom w:val="none" w:sz="0" w:space="0" w:color="auto"/>
        <w:right w:val="none" w:sz="0" w:space="0" w:color="auto"/>
      </w:divBdr>
    </w:div>
    <w:div w:id="2057852997">
      <w:bodyDiv w:val="1"/>
      <w:marLeft w:val="0"/>
      <w:marRight w:val="0"/>
      <w:marTop w:val="0"/>
      <w:marBottom w:val="0"/>
      <w:divBdr>
        <w:top w:val="none" w:sz="0" w:space="0" w:color="auto"/>
        <w:left w:val="none" w:sz="0" w:space="0" w:color="auto"/>
        <w:bottom w:val="none" w:sz="0" w:space="0" w:color="auto"/>
        <w:right w:val="none" w:sz="0" w:space="0" w:color="auto"/>
      </w:divBdr>
    </w:div>
    <w:div w:id="2066294819">
      <w:bodyDiv w:val="1"/>
      <w:marLeft w:val="0"/>
      <w:marRight w:val="0"/>
      <w:marTop w:val="0"/>
      <w:marBottom w:val="0"/>
      <w:divBdr>
        <w:top w:val="none" w:sz="0" w:space="0" w:color="auto"/>
        <w:left w:val="none" w:sz="0" w:space="0" w:color="auto"/>
        <w:bottom w:val="none" w:sz="0" w:space="0" w:color="auto"/>
        <w:right w:val="none" w:sz="0" w:space="0" w:color="auto"/>
      </w:divBdr>
    </w:div>
    <w:div w:id="2067676779">
      <w:bodyDiv w:val="1"/>
      <w:marLeft w:val="0"/>
      <w:marRight w:val="0"/>
      <w:marTop w:val="0"/>
      <w:marBottom w:val="0"/>
      <w:divBdr>
        <w:top w:val="none" w:sz="0" w:space="0" w:color="auto"/>
        <w:left w:val="none" w:sz="0" w:space="0" w:color="auto"/>
        <w:bottom w:val="none" w:sz="0" w:space="0" w:color="auto"/>
        <w:right w:val="none" w:sz="0" w:space="0" w:color="auto"/>
      </w:divBdr>
    </w:div>
    <w:div w:id="2068449807">
      <w:bodyDiv w:val="1"/>
      <w:marLeft w:val="0"/>
      <w:marRight w:val="0"/>
      <w:marTop w:val="0"/>
      <w:marBottom w:val="0"/>
      <w:divBdr>
        <w:top w:val="none" w:sz="0" w:space="0" w:color="auto"/>
        <w:left w:val="none" w:sz="0" w:space="0" w:color="auto"/>
        <w:bottom w:val="none" w:sz="0" w:space="0" w:color="auto"/>
        <w:right w:val="none" w:sz="0" w:space="0" w:color="auto"/>
      </w:divBdr>
    </w:div>
    <w:div w:id="2085175842">
      <w:bodyDiv w:val="1"/>
      <w:marLeft w:val="0"/>
      <w:marRight w:val="0"/>
      <w:marTop w:val="0"/>
      <w:marBottom w:val="0"/>
      <w:divBdr>
        <w:top w:val="none" w:sz="0" w:space="0" w:color="auto"/>
        <w:left w:val="none" w:sz="0" w:space="0" w:color="auto"/>
        <w:bottom w:val="none" w:sz="0" w:space="0" w:color="auto"/>
        <w:right w:val="none" w:sz="0" w:space="0" w:color="auto"/>
      </w:divBdr>
    </w:div>
    <w:div w:id="2101561335">
      <w:bodyDiv w:val="1"/>
      <w:marLeft w:val="0"/>
      <w:marRight w:val="0"/>
      <w:marTop w:val="0"/>
      <w:marBottom w:val="0"/>
      <w:divBdr>
        <w:top w:val="none" w:sz="0" w:space="0" w:color="auto"/>
        <w:left w:val="none" w:sz="0" w:space="0" w:color="auto"/>
        <w:bottom w:val="none" w:sz="0" w:space="0" w:color="auto"/>
        <w:right w:val="none" w:sz="0" w:space="0" w:color="auto"/>
      </w:divBdr>
      <w:divsChild>
        <w:div w:id="723138196">
          <w:marLeft w:val="1166"/>
          <w:marRight w:val="0"/>
          <w:marTop w:val="60"/>
          <w:marBottom w:val="60"/>
          <w:divBdr>
            <w:top w:val="none" w:sz="0" w:space="0" w:color="auto"/>
            <w:left w:val="none" w:sz="0" w:space="0" w:color="auto"/>
            <w:bottom w:val="none" w:sz="0" w:space="0" w:color="auto"/>
            <w:right w:val="none" w:sz="0" w:space="0" w:color="auto"/>
          </w:divBdr>
        </w:div>
        <w:div w:id="877547471">
          <w:marLeft w:val="446"/>
          <w:marRight w:val="0"/>
          <w:marTop w:val="60"/>
          <w:marBottom w:val="60"/>
          <w:divBdr>
            <w:top w:val="none" w:sz="0" w:space="0" w:color="auto"/>
            <w:left w:val="none" w:sz="0" w:space="0" w:color="auto"/>
            <w:bottom w:val="none" w:sz="0" w:space="0" w:color="auto"/>
            <w:right w:val="none" w:sz="0" w:space="0" w:color="auto"/>
          </w:divBdr>
        </w:div>
        <w:div w:id="1123840976">
          <w:marLeft w:val="446"/>
          <w:marRight w:val="0"/>
          <w:marTop w:val="60"/>
          <w:marBottom w:val="60"/>
          <w:divBdr>
            <w:top w:val="none" w:sz="0" w:space="0" w:color="auto"/>
            <w:left w:val="none" w:sz="0" w:space="0" w:color="auto"/>
            <w:bottom w:val="none" w:sz="0" w:space="0" w:color="auto"/>
            <w:right w:val="none" w:sz="0" w:space="0" w:color="auto"/>
          </w:divBdr>
        </w:div>
        <w:div w:id="1189681566">
          <w:marLeft w:val="446"/>
          <w:marRight w:val="0"/>
          <w:marTop w:val="60"/>
          <w:marBottom w:val="60"/>
          <w:divBdr>
            <w:top w:val="none" w:sz="0" w:space="0" w:color="auto"/>
            <w:left w:val="none" w:sz="0" w:space="0" w:color="auto"/>
            <w:bottom w:val="none" w:sz="0" w:space="0" w:color="auto"/>
            <w:right w:val="none" w:sz="0" w:space="0" w:color="auto"/>
          </w:divBdr>
        </w:div>
        <w:div w:id="1507669925">
          <w:marLeft w:val="1166"/>
          <w:marRight w:val="0"/>
          <w:marTop w:val="60"/>
          <w:marBottom w:val="60"/>
          <w:divBdr>
            <w:top w:val="none" w:sz="0" w:space="0" w:color="auto"/>
            <w:left w:val="none" w:sz="0" w:space="0" w:color="auto"/>
            <w:bottom w:val="none" w:sz="0" w:space="0" w:color="auto"/>
            <w:right w:val="none" w:sz="0" w:space="0" w:color="auto"/>
          </w:divBdr>
        </w:div>
        <w:div w:id="1546480717">
          <w:marLeft w:val="446"/>
          <w:marRight w:val="0"/>
          <w:marTop w:val="60"/>
          <w:marBottom w:val="60"/>
          <w:divBdr>
            <w:top w:val="none" w:sz="0" w:space="0" w:color="auto"/>
            <w:left w:val="none" w:sz="0" w:space="0" w:color="auto"/>
            <w:bottom w:val="none" w:sz="0" w:space="0" w:color="auto"/>
            <w:right w:val="none" w:sz="0" w:space="0" w:color="auto"/>
          </w:divBdr>
        </w:div>
        <w:div w:id="1939216702">
          <w:marLeft w:val="446"/>
          <w:marRight w:val="0"/>
          <w:marTop w:val="60"/>
          <w:marBottom w:val="60"/>
          <w:divBdr>
            <w:top w:val="none" w:sz="0" w:space="0" w:color="auto"/>
            <w:left w:val="none" w:sz="0" w:space="0" w:color="auto"/>
            <w:bottom w:val="none" w:sz="0" w:space="0" w:color="auto"/>
            <w:right w:val="none" w:sz="0" w:space="0" w:color="auto"/>
          </w:divBdr>
        </w:div>
      </w:divsChild>
    </w:div>
    <w:div w:id="2109496659">
      <w:bodyDiv w:val="1"/>
      <w:marLeft w:val="0"/>
      <w:marRight w:val="0"/>
      <w:marTop w:val="0"/>
      <w:marBottom w:val="0"/>
      <w:divBdr>
        <w:top w:val="none" w:sz="0" w:space="0" w:color="auto"/>
        <w:left w:val="none" w:sz="0" w:space="0" w:color="auto"/>
        <w:bottom w:val="none" w:sz="0" w:space="0" w:color="auto"/>
        <w:right w:val="none" w:sz="0" w:space="0" w:color="auto"/>
      </w:divBdr>
    </w:div>
    <w:div w:id="2112122861">
      <w:bodyDiv w:val="1"/>
      <w:marLeft w:val="0"/>
      <w:marRight w:val="0"/>
      <w:marTop w:val="0"/>
      <w:marBottom w:val="0"/>
      <w:divBdr>
        <w:top w:val="none" w:sz="0" w:space="0" w:color="auto"/>
        <w:left w:val="none" w:sz="0" w:space="0" w:color="auto"/>
        <w:bottom w:val="none" w:sz="0" w:space="0" w:color="auto"/>
        <w:right w:val="none" w:sz="0" w:space="0" w:color="auto"/>
      </w:divBdr>
    </w:div>
    <w:div w:id="2115510546">
      <w:bodyDiv w:val="1"/>
      <w:marLeft w:val="0"/>
      <w:marRight w:val="0"/>
      <w:marTop w:val="0"/>
      <w:marBottom w:val="0"/>
      <w:divBdr>
        <w:top w:val="none" w:sz="0" w:space="0" w:color="auto"/>
        <w:left w:val="none" w:sz="0" w:space="0" w:color="auto"/>
        <w:bottom w:val="none" w:sz="0" w:space="0" w:color="auto"/>
        <w:right w:val="none" w:sz="0" w:space="0" w:color="auto"/>
      </w:divBdr>
    </w:div>
    <w:div w:id="2117214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ts.businesswire.com/ct/CT?id=smartlink&amp;url=https%3A%2F%2Fclinicaltrials.gov%2Fct2%2Fshow%2FNCT04899310%3Fterm%3DNCT04899310%26rank%3D1&amp;esheet=52488695&amp;newsitemid=20210909005497&amp;lan=en-US&amp;anchor=Phase+1%2F2+Landmark+study&amp;index=10&amp;md5=aad80a55859673adaef8420b06d34783" TargetMode="External"/><Relationship Id="rId18" Type="http://schemas.openxmlformats.org/officeDocument/2006/relationships/hyperlink" Target="https://investors.modernatx.com/news/news-details/2022/Moderna-to-Host-Annual-Science-and-Technology-Day-on-May-17-2022/default.aspx"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https://investors.modernatx.com/news/news-details/2022/Moderna-and-Takeda-Announce-Plans-to-Transfer-Marketing-Authorization-for-SpikevaxTM-COVID-19-Vaccine-in-Japan-to-Moderna/default.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cts.businesswire.com/ct/CT?id=smartlink&amp;url=https%3A%2F%2Fclinicaltrials.gov%2Fct2%2Fshow%2FNCT04159103%3Fterm%3Dmoderna%26cond%3DPropionic%2BAcidemia%26draw%3D2%26rank%3D1&amp;esheet=52472324&amp;newsitemid=20210805005476&amp;lan=en-US&amp;anchor=Phase+1%2F2+Paramount+study&amp;index=10&amp;md5=fb4fdc3624b339104f9cb72a7977f272" TargetMode="External"/><Relationship Id="rId17" Type="http://schemas.openxmlformats.org/officeDocument/2006/relationships/hyperlink" Target="https://www.ft.com/reports/americas-fastest-growing-companies" TargetMode="External"/><Relationship Id="rId25" Type="http://schemas.openxmlformats.org/officeDocument/2006/relationships/hyperlink" Target="https://pr.report/pX6AVcbU"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tune.com/company/moderna/fortune500/" TargetMode="External"/><Relationship Id="rId20" Type="http://schemas.openxmlformats.org/officeDocument/2006/relationships/hyperlink" Target="https://investors.modernatx.com/news/news-details/2022/Moderna-Finalizes-Plan-for-Long-Term-Strategic-Partnership-with-The-Government-of-Canada/default.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s.businesswire.com/ct/CT?id=smartlink&amp;url=http%3A%2F%2Fwww.modernatx.com%2F&amp;esheet=52472324&amp;newsitemid=20210805005476&amp;lan=en-US&amp;anchor=Moderna%2C+Inc&amp;index=1&amp;md5=2d3ba9963ffd418d3bd00931ad11b64b" TargetMode="External"/><Relationship Id="rId24" Type="http://schemas.openxmlformats.org/officeDocument/2006/relationships/hyperlink" Target="https://pr.report/VauKZHQ2" TargetMode="External"/><Relationship Id="rId32" Type="http://schemas.openxmlformats.org/officeDocument/2006/relationships/footer" Target="footer3.xml"/><Relationship Id="rId37"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assets.modernatx.com/m/ccaae809ca9152c/original/Moderna_ESG_2021.pdf" TargetMode="External"/><Relationship Id="rId23" Type="http://schemas.openxmlformats.org/officeDocument/2006/relationships/hyperlink" Target="https://investors.modernatx.com/news/news-details/2022/IAVI-and-Moderna-Launch-First-in-Africa-Clinical-Trial-of-mRNA-HIV-Vaccine-Development-Program/default.aspx" TargetMode="External"/><Relationship Id="rId28" Type="http://schemas.openxmlformats.org/officeDocument/2006/relationships/header" Target="header2.xml"/><Relationship Id="rId36" Type="http://schemas.openxmlformats.org/officeDocument/2006/relationships/hyperlink" Target="mailto:Lavina.Talukdar@modernatx.com" TargetMode="External"/><Relationship Id="rId10" Type="http://schemas.openxmlformats.org/officeDocument/2006/relationships/endnotes" Target="endnotes.xml"/><Relationship Id="rId19" Type="http://schemas.openxmlformats.org/officeDocument/2006/relationships/hyperlink" Target="https://investors.modernatx.com/news/news-details/2022/Moderna-Announces-Plan-to-Bring-mRNA-Innovation-to-the-United-Kingdom/default.asp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dernatx.com/pipeline" TargetMode="External"/><Relationship Id="rId22" Type="http://schemas.openxmlformats.org/officeDocument/2006/relationships/hyperlink" Target="https://investors.modernatx.com/news/news-details/2022/IAVI-and-Moderna-Partner-to-Tackle-Broad-Global-Health-Priorities-Using-mRNA-for-Vaccines-and-Antibodies/default.aspx" TargetMode="External"/><Relationship Id="rId27" Type="http://schemas.openxmlformats.org/officeDocument/2006/relationships/footer" Target="footer1.xml"/><Relationship Id="rId30" Type="http://schemas.openxmlformats.org/officeDocument/2006/relationships/hyperlink" Target="https://cts.businesswire.com/ct/CT?id=smartlink&amp;url=http%3A%2F%2Fwww.modernatx.com&amp;esheet=52517810&amp;newsitemid=20211028006070&amp;lan=en-US&amp;anchor=www.modernatx.com&amp;index=5&amp;md5=47c7a46fc8e4b4852359c747f09662e8" TargetMode="External"/><Relationship Id="rId35" Type="http://schemas.openxmlformats.org/officeDocument/2006/relationships/hyperlink" Target="https://cts.businesswire.com/ct/CT?id=smartlink&amp;url=http%3A%2F%2Fwww.sec.gov&amp;esheet=52385083&amp;newsitemid=20210224006096&amp;lan=en-US&amp;anchor=www.sec.gov&amp;index=7&amp;md5=c67af9e6ad30dea42bb9fe515d4cf0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4B316CE531A845A6F15531458BADAC" ma:contentTypeVersion="13" ma:contentTypeDescription="Create a new document." ma:contentTypeScope="" ma:versionID="63dcaf032b58adef51dd168405d36bd4">
  <xsd:schema xmlns:xsd="http://www.w3.org/2001/XMLSchema" xmlns:xs="http://www.w3.org/2001/XMLSchema" xmlns:p="http://schemas.microsoft.com/office/2006/metadata/properties" xmlns:ns3="ea06ca42-99c5-4e9e-922b-0f764eadac28" xmlns:ns4="2ba2afb6-d9ac-4b11-8a51-df012402fb0e" targetNamespace="http://schemas.microsoft.com/office/2006/metadata/properties" ma:root="true" ma:fieldsID="d26b71c46a80728ebf2fe9ea66ae92bc" ns3:_="" ns4:_="">
    <xsd:import namespace="ea06ca42-99c5-4e9e-922b-0f764eadac28"/>
    <xsd:import namespace="2ba2afb6-d9ac-4b11-8a51-df012402fb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6ca42-99c5-4e9e-922b-0f764eada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2afb6-d9ac-4b11-8a51-df012402fb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57293-E28F-4FB6-8C75-219A82B21A1A}">
  <ds:schemaRefs>
    <ds:schemaRef ds:uri="http://schemas.openxmlformats.org/officeDocument/2006/bibliography"/>
  </ds:schemaRefs>
</ds:datastoreItem>
</file>

<file path=customXml/itemProps2.xml><?xml version="1.0" encoding="utf-8"?>
<ds:datastoreItem xmlns:ds="http://schemas.openxmlformats.org/officeDocument/2006/customXml" ds:itemID="{441356A7-B6DB-4ED3-B1DE-0E6AA7F9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6ca42-99c5-4e9e-922b-0f764eadac28"/>
    <ds:schemaRef ds:uri="2ba2afb6-d9ac-4b11-8a51-df012402f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37E4A-1DD5-4CFC-93F3-5CEC5D6411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EA0AF2-1258-4821-B232-87249FC5A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3899</Words>
  <Characters>22228</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26075</CharactersWithSpaces>
  <SharedDoc>false</SharedDoc>
  <HLinks>
    <vt:vector size="210" baseType="variant">
      <vt:variant>
        <vt:i4>5636128</vt:i4>
      </vt:variant>
      <vt:variant>
        <vt:i4>102</vt:i4>
      </vt:variant>
      <vt:variant>
        <vt:i4>0</vt:i4>
      </vt:variant>
      <vt:variant>
        <vt:i4>5</vt:i4>
      </vt:variant>
      <vt:variant>
        <vt:lpwstr>mailto:Lavina.Talukdar@modernatx.com</vt:lpwstr>
      </vt:variant>
      <vt:variant>
        <vt:lpwstr/>
      </vt:variant>
      <vt:variant>
        <vt:i4>589948</vt:i4>
      </vt:variant>
      <vt:variant>
        <vt:i4>99</vt:i4>
      </vt:variant>
      <vt:variant>
        <vt:i4>0</vt:i4>
      </vt:variant>
      <vt:variant>
        <vt:i4>5</vt:i4>
      </vt:variant>
      <vt:variant>
        <vt:lpwstr>mailto:Colleen.Hussey@modernatx.com</vt:lpwstr>
      </vt:variant>
      <vt:variant>
        <vt:lpwstr/>
      </vt:variant>
      <vt:variant>
        <vt:i4>4718661</vt:i4>
      </vt:variant>
      <vt:variant>
        <vt:i4>96</vt:i4>
      </vt:variant>
      <vt:variant>
        <vt:i4>0</vt:i4>
      </vt:variant>
      <vt:variant>
        <vt:i4>5</vt:i4>
      </vt:variant>
      <vt:variant>
        <vt:lpwstr>https://cts.businesswire.com/ct/CT?id=smartlink&amp;url=http%3A%2F%2Fwww.sec.gov&amp;esheet=52385083&amp;newsitemid=20210224006096&amp;lan=en-US&amp;anchor=www.sec.gov&amp;index=7&amp;md5=c67af9e6ad30dea42bb9fe515d4cf0df</vt:lpwstr>
      </vt:variant>
      <vt:variant>
        <vt:lpwstr/>
      </vt:variant>
      <vt:variant>
        <vt:i4>93</vt:i4>
      </vt:variant>
      <vt:variant>
        <vt:i4>93</vt:i4>
      </vt:variant>
      <vt:variant>
        <vt:i4>0</vt:i4>
      </vt:variant>
      <vt:variant>
        <vt:i4>5</vt:i4>
      </vt:variant>
      <vt:variant>
        <vt:lpwstr>https://cts.businesswire.com/ct/CT?id=smartlink&amp;url=http%3A%2F%2Fwww.modernatx.com&amp;esheet=52517810&amp;newsitemid=20211028006070&amp;lan=en-US&amp;anchor=www.modernatx.com&amp;index=5&amp;md5=47c7a46fc8e4b4852359c747f09662e8</vt:lpwstr>
      </vt:variant>
      <vt:variant>
        <vt:lpwstr/>
      </vt:variant>
      <vt:variant>
        <vt:i4>6160469</vt:i4>
      </vt:variant>
      <vt:variant>
        <vt:i4>90</vt:i4>
      </vt:variant>
      <vt:variant>
        <vt:i4>0</vt:i4>
      </vt:variant>
      <vt:variant>
        <vt:i4>5</vt:i4>
      </vt:variant>
      <vt:variant>
        <vt:lpwstr>https://cts.businesswire.com/ct/CT?id=smartlink&amp;url=https%3A%2F%2Finvestors.modernatx.com%2F&amp;esheet=52508839&amp;newsitemid=20211014005274&amp;lan=en-US&amp;anchor=investors.modernatx.com&amp;index=1&amp;md5=3bc2e713acf49ec4cf370c89e802cedc</vt:lpwstr>
      </vt:variant>
      <vt:variant>
        <vt:lpwstr/>
      </vt:variant>
      <vt:variant>
        <vt:i4>3604603</vt:i4>
      </vt:variant>
      <vt:variant>
        <vt:i4>87</vt:i4>
      </vt:variant>
      <vt:variant>
        <vt:i4>0</vt:i4>
      </vt:variant>
      <vt:variant>
        <vt:i4>5</vt:i4>
      </vt:variant>
      <vt:variant>
        <vt:lpwstr>http://investors.modernatx.com/</vt:lpwstr>
      </vt:variant>
      <vt:variant>
        <vt:lpwstr/>
      </vt:variant>
      <vt:variant>
        <vt:i4>6553653</vt:i4>
      </vt:variant>
      <vt:variant>
        <vt:i4>84</vt:i4>
      </vt:variant>
      <vt:variant>
        <vt:i4>0</vt:i4>
      </vt:variant>
      <vt:variant>
        <vt:i4>5</vt:i4>
      </vt:variant>
      <vt:variant>
        <vt:lpwstr>https://cts.businesswire.com/ct/CT?id=smartlink&amp;url=https%3A%2F%2Fclinicaltrials.gov%2Fct2%2Fshow%2FNCT04899310%3Fterm%3DNCT04899310%26rank%3D1&amp;esheet=52488695&amp;newsitemid=20210909005497&amp;lan=en-US&amp;anchor=Phase+1%2F2+Landmark+study&amp;index=10&amp;md5=aad80a55859673adaef8420b06d34783</vt:lpwstr>
      </vt:variant>
      <vt:variant>
        <vt:lpwstr/>
      </vt:variant>
      <vt:variant>
        <vt:i4>3276907</vt:i4>
      </vt:variant>
      <vt:variant>
        <vt:i4>81</vt:i4>
      </vt:variant>
      <vt:variant>
        <vt:i4>0</vt:i4>
      </vt:variant>
      <vt:variant>
        <vt:i4>5</vt:i4>
      </vt:variant>
      <vt:variant>
        <vt:lpwstr>https://cts.businesswire.com/ct/CT?id=smartlink&amp;url=https%3A%2F%2Fclinicaltrials.gov%2Fct2%2Fshow%2FNCT04159103%3Fterm%3Dmoderna%26cond%3DPropionic%2BAcidemia%26draw%3D2%26rank%3D1&amp;esheet=52472324&amp;newsitemid=20210805005476&amp;lan=en-US&amp;anchor=Phase+1%2F2+Paramount+study&amp;index=10&amp;md5=fb4fdc3624b339104f9cb72a7977f272</vt:lpwstr>
      </vt:variant>
      <vt:variant>
        <vt:lpwstr/>
      </vt:variant>
      <vt:variant>
        <vt:i4>2359416</vt:i4>
      </vt:variant>
      <vt:variant>
        <vt:i4>78</vt:i4>
      </vt:variant>
      <vt:variant>
        <vt:i4>0</vt:i4>
      </vt:variant>
      <vt:variant>
        <vt:i4>5</vt:i4>
      </vt:variant>
      <vt:variant>
        <vt:lpwstr>https://s29.q4cdn.com/435878511/files/doc_presentations/2022/04/AACR2022_CT183_Carneiro-AACR-2022-MEDI1191-Poster_Final.pdf</vt:lpwstr>
      </vt:variant>
      <vt:variant>
        <vt:lpwstr/>
      </vt:variant>
      <vt:variant>
        <vt:i4>1179740</vt:i4>
      </vt:variant>
      <vt:variant>
        <vt:i4>75</vt:i4>
      </vt:variant>
      <vt:variant>
        <vt:i4>0</vt:i4>
      </vt:variant>
      <vt:variant>
        <vt:i4>5</vt:i4>
      </vt:variant>
      <vt:variant>
        <vt:lpwstr>https://investors.modernatx.com/news/news-details/2022/Moderna-Announces-First-Participant-Dosed-in-Phase-1-Study-of-its-HIV-Trimer-mRNA-Vaccine/default.aspx</vt:lpwstr>
      </vt:variant>
      <vt:variant>
        <vt:lpwstr/>
      </vt:variant>
      <vt:variant>
        <vt:i4>6815840</vt:i4>
      </vt:variant>
      <vt:variant>
        <vt:i4>72</vt:i4>
      </vt:variant>
      <vt:variant>
        <vt:i4>0</vt:i4>
      </vt:variant>
      <vt:variant>
        <vt:i4>5</vt:i4>
      </vt:variant>
      <vt:variant>
        <vt:lpwstr>https://investors.modernatx.com/news/news-details/2022/IAVI-and-Moderna-Launch-Trial-of-HIV-Vaccine-Antigens-Delivered-Through-mRNA-Technology/default.aspx</vt:lpwstr>
      </vt:variant>
      <vt:variant>
        <vt:lpwstr/>
      </vt:variant>
      <vt:variant>
        <vt:i4>2162788</vt:i4>
      </vt:variant>
      <vt:variant>
        <vt:i4>69</vt:i4>
      </vt:variant>
      <vt:variant>
        <vt:i4>0</vt:i4>
      </vt:variant>
      <vt:variant>
        <vt:i4>5</vt:i4>
      </vt:variant>
      <vt:variant>
        <vt:lpwstr>https://www.science.org/doi/10.1126/science.abj8222</vt:lpwstr>
      </vt:variant>
      <vt:variant>
        <vt:lpwstr/>
      </vt:variant>
      <vt:variant>
        <vt:i4>5439510</vt:i4>
      </vt:variant>
      <vt:variant>
        <vt:i4>66</vt:i4>
      </vt:variant>
      <vt:variant>
        <vt:i4>0</vt:i4>
      </vt:variant>
      <vt:variant>
        <vt:i4>5</vt:i4>
      </vt:variant>
      <vt:variant>
        <vt:lpwstr>https://investors.modernatx.com/news/news-details/2022/Moderna-Announces-First-Participant-Dosed-in-Phase-1-Study-of-its-mRNA-Epstein-Barr-Virus-EBV-Vaccine/default.aspx</vt:lpwstr>
      </vt:variant>
      <vt:variant>
        <vt:lpwstr/>
      </vt:variant>
      <vt:variant>
        <vt:i4>8192046</vt:i4>
      </vt:variant>
      <vt:variant>
        <vt:i4>63</vt:i4>
      </vt:variant>
      <vt:variant>
        <vt:i4>0</vt:i4>
      </vt:variant>
      <vt:variant>
        <vt:i4>5</vt:i4>
      </vt:variant>
      <vt:variant>
        <vt:lpwstr>https://cmvictory.com/</vt:lpwstr>
      </vt:variant>
      <vt:variant>
        <vt:lpwstr/>
      </vt:variant>
      <vt:variant>
        <vt:i4>7274557</vt:i4>
      </vt:variant>
      <vt:variant>
        <vt:i4>60</vt:i4>
      </vt:variant>
      <vt:variant>
        <vt:i4>0</vt:i4>
      </vt:variant>
      <vt:variant>
        <vt:i4>5</vt:i4>
      </vt:variant>
      <vt:variant>
        <vt:lpwstr>https://clinicaltrials.gov/ct2/show/NCT05085366</vt:lpwstr>
      </vt:variant>
      <vt:variant>
        <vt:lpwstr/>
      </vt:variant>
      <vt:variant>
        <vt:i4>6422633</vt:i4>
      </vt:variant>
      <vt:variant>
        <vt:i4>57</vt:i4>
      </vt:variant>
      <vt:variant>
        <vt:i4>0</vt:i4>
      </vt:variant>
      <vt:variant>
        <vt:i4>5</vt:i4>
      </vt:variant>
      <vt:variant>
        <vt:lpwstr>https://investors.modernatx.com/news/news-details/2021/Moderna-Announces-First-Participant-Dosed-in-Phase-3-Pivotal-Registration-Study-of-Its-mRNA-Cytomegalovirus-CMV-Vaccine-10-26-2021/default.aspx</vt:lpwstr>
      </vt:variant>
      <vt:variant>
        <vt:lpwstr/>
      </vt:variant>
      <vt:variant>
        <vt:i4>1048577</vt:i4>
      </vt:variant>
      <vt:variant>
        <vt:i4>54</vt:i4>
      </vt:variant>
      <vt:variant>
        <vt:i4>0</vt:i4>
      </vt:variant>
      <vt:variant>
        <vt:i4>5</vt:i4>
      </vt:variant>
      <vt:variant>
        <vt:lpwstr>https://investors.modernatx.com/news/news-details/2022/Moderna-Initiates-Phase-3-Portion-of-Pivotal-Trial-for-mRNA-Respiratory-Syncytial-Virus-RSV-Vaccine-Candidate-Following-Independent-Safety-Review-of-Interim-Data-02-22-2022/default.aspx</vt:lpwstr>
      </vt:variant>
      <vt:variant>
        <vt:lpwstr/>
      </vt:variant>
      <vt:variant>
        <vt:i4>2949177</vt:i4>
      </vt:variant>
      <vt:variant>
        <vt:i4>51</vt:i4>
      </vt:variant>
      <vt:variant>
        <vt:i4>0</vt:i4>
      </vt:variant>
      <vt:variant>
        <vt:i4>5</vt:i4>
      </vt:variant>
      <vt:variant>
        <vt:lpwstr>https://investors.modernatx.com/news/news-details/2022/Moderna-Announces-First-Participants-Dosed-in-Phase-12-Study-with-mRNA-1020-and-mRNA-1030-Seasonal-Influenza-Vaccine-Candidates/default.aspx</vt:lpwstr>
      </vt:variant>
      <vt:variant>
        <vt:lpwstr/>
      </vt:variant>
      <vt:variant>
        <vt:i4>3080318</vt:i4>
      </vt:variant>
      <vt:variant>
        <vt:i4>48</vt:i4>
      </vt:variant>
      <vt:variant>
        <vt:i4>0</vt:i4>
      </vt:variant>
      <vt:variant>
        <vt:i4>5</vt:i4>
      </vt:variant>
      <vt:variant>
        <vt:lpwstr>https://investors.modernatx.com/news/news-details/2022/Moderna-Files-for-Authorization-of-Its-COVID-19-Vaccine-in-Young-Children-Six-Months-to-Under-Six-Years-of-Age/default.aspx</vt:lpwstr>
      </vt:variant>
      <vt:variant>
        <vt:lpwstr/>
      </vt:variant>
      <vt:variant>
        <vt:i4>1704013</vt:i4>
      </vt:variant>
      <vt:variant>
        <vt:i4>45</vt:i4>
      </vt:variant>
      <vt:variant>
        <vt:i4>0</vt:i4>
      </vt:variant>
      <vt:variant>
        <vt:i4>5</vt:i4>
      </vt:variant>
      <vt:variant>
        <vt:lpwstr>https://investors.modernatx.com/news/news-details/2022/Moderna-Announces-First-Participant-Dosed-in-Phase-2-Study-of-Omicron-Specific-Bivalent-Booster-Candidate/default.aspx</vt:lpwstr>
      </vt:variant>
      <vt:variant>
        <vt:lpwstr/>
      </vt:variant>
      <vt:variant>
        <vt:i4>6946849</vt:i4>
      </vt:variant>
      <vt:variant>
        <vt:i4>42</vt:i4>
      </vt:variant>
      <vt:variant>
        <vt:i4>0</vt:i4>
      </vt:variant>
      <vt:variant>
        <vt:i4>5</vt:i4>
      </vt:variant>
      <vt:variant>
        <vt:lpwstr>https://investors.modernatx.com/news/news-details/2022/Moderna-Announces-Clinical-Update-on-Bivalent-COVID-19-Booster-Platform/default.aspx</vt:lpwstr>
      </vt:variant>
      <vt:variant>
        <vt:lpwstr/>
      </vt:variant>
      <vt:variant>
        <vt:i4>2293877</vt:i4>
      </vt:variant>
      <vt:variant>
        <vt:i4>39</vt:i4>
      </vt:variant>
      <vt:variant>
        <vt:i4>0</vt:i4>
      </vt:variant>
      <vt:variant>
        <vt:i4>5</vt:i4>
      </vt:variant>
      <vt:variant>
        <vt:lpwstr>https://investors.modernatx.com/news/news-details/2022/Moderna-Receives-FDA-Approval-for-Emergency-Use-Authorization-of-2nd-Booster-Dose-of-Its-COVID-19-Vaccine-mRNA-1273/default.aspx</vt:lpwstr>
      </vt:variant>
      <vt:variant>
        <vt:lpwstr/>
      </vt:variant>
      <vt:variant>
        <vt:i4>2359349</vt:i4>
      </vt:variant>
      <vt:variant>
        <vt:i4>36</vt:i4>
      </vt:variant>
      <vt:variant>
        <vt:i4>0</vt:i4>
      </vt:variant>
      <vt:variant>
        <vt:i4>5</vt:i4>
      </vt:variant>
      <vt:variant>
        <vt:lpwstr>https://time.com/collection/time100-companies-2022/6159456/moderna-innovators/</vt:lpwstr>
      </vt:variant>
      <vt:variant>
        <vt:lpwstr/>
      </vt:variant>
      <vt:variant>
        <vt:i4>2293879</vt:i4>
      </vt:variant>
      <vt:variant>
        <vt:i4>33</vt:i4>
      </vt:variant>
      <vt:variant>
        <vt:i4>0</vt:i4>
      </vt:variant>
      <vt:variant>
        <vt:i4>5</vt:i4>
      </vt:variant>
      <vt:variant>
        <vt:lpwstr>https://mrna-access.modernatx.com/</vt:lpwstr>
      </vt:variant>
      <vt:variant>
        <vt:lpwstr/>
      </vt:variant>
      <vt:variant>
        <vt:i4>3407923</vt:i4>
      </vt:variant>
      <vt:variant>
        <vt:i4>30</vt:i4>
      </vt:variant>
      <vt:variant>
        <vt:i4>0</vt:i4>
      </vt:variant>
      <vt:variant>
        <vt:i4>5</vt:i4>
      </vt:variant>
      <vt:variant>
        <vt:lpwstr>https://investors.modernatx.com/news/news-details/2022/Moderna-Announces-Its-Global-Public-Health-Strategy/default.aspx</vt:lpwstr>
      </vt:variant>
      <vt:variant>
        <vt:lpwstr/>
      </vt:variant>
      <vt:variant>
        <vt:i4>7864417</vt:i4>
      </vt:variant>
      <vt:variant>
        <vt:i4>27</vt:i4>
      </vt:variant>
      <vt:variant>
        <vt:i4>0</vt:i4>
      </vt:variant>
      <vt:variant>
        <vt:i4>5</vt:i4>
      </vt:variant>
      <vt:variant>
        <vt:lpwstr>https://investors.modernatx.com/news/news-details/2022/Moderna-Announces-Memorandum-of-Understanding-with-the-Government-of-the-Republic-of-Kenya-to-Establish-its-First-mRNA-Manufacturing-Facility-in-Africa-03-07-2022/default.aspx</vt:lpwstr>
      </vt:variant>
      <vt:variant>
        <vt:lpwstr/>
      </vt:variant>
      <vt:variant>
        <vt:i4>6291564</vt:i4>
      </vt:variant>
      <vt:variant>
        <vt:i4>24</vt:i4>
      </vt:variant>
      <vt:variant>
        <vt:i4>0</vt:i4>
      </vt:variant>
      <vt:variant>
        <vt:i4>5</vt:i4>
      </vt:variant>
      <vt:variant>
        <vt:lpwstr>https://investors.modernatx.com/news/news-details/2022/Moderna-Finalizes-Strategic-Partnership-with-Australian-Government/default.aspx</vt:lpwstr>
      </vt:variant>
      <vt:variant>
        <vt:lpwstr/>
      </vt:variant>
      <vt:variant>
        <vt:i4>4325456</vt:i4>
      </vt:variant>
      <vt:variant>
        <vt:i4>21</vt:i4>
      </vt:variant>
      <vt:variant>
        <vt:i4>0</vt:i4>
      </vt:variant>
      <vt:variant>
        <vt:i4>5</vt:i4>
      </vt:variant>
      <vt:variant>
        <vt:lpwstr>https://investors.modernatx.com/news/news-details/2022/Moderna-Finalizes-Plan-for-Long-Term-Strategic-Partnership-with-The-Government-of-Canada/default.aspx</vt:lpwstr>
      </vt:variant>
      <vt:variant>
        <vt:lpwstr/>
      </vt:variant>
      <vt:variant>
        <vt:i4>1376259</vt:i4>
      </vt:variant>
      <vt:variant>
        <vt:i4>18</vt:i4>
      </vt:variant>
      <vt:variant>
        <vt:i4>0</vt:i4>
      </vt:variant>
      <vt:variant>
        <vt:i4>5</vt:i4>
      </vt:variant>
      <vt:variant>
        <vt:lpwstr>https://investors.modernatx.com/news/news-details/2022/Moderna-Announces-Establishment-of-Enterprise-Solutions-Hub-in-Atlanta-Georgia-03-03-2022/default.aspx</vt:lpwstr>
      </vt:variant>
      <vt:variant>
        <vt:lpwstr/>
      </vt:variant>
      <vt:variant>
        <vt:i4>786527</vt:i4>
      </vt:variant>
      <vt:variant>
        <vt:i4>15</vt:i4>
      </vt:variant>
      <vt:variant>
        <vt:i4>0</vt:i4>
      </vt:variant>
      <vt:variant>
        <vt:i4>5</vt:i4>
      </vt:variant>
      <vt:variant>
        <vt:lpwstr>https://investors.modernatx.com/news/news-details/2022/Arpa-Garay-Joins-Moderna-as-Chief-Commercial-Officer/default.aspx</vt:lpwstr>
      </vt:variant>
      <vt:variant>
        <vt:lpwstr/>
      </vt:variant>
      <vt:variant>
        <vt:i4>983112</vt:i4>
      </vt:variant>
      <vt:variant>
        <vt:i4>12</vt:i4>
      </vt:variant>
      <vt:variant>
        <vt:i4>0</vt:i4>
      </vt:variant>
      <vt:variant>
        <vt:i4>5</vt:i4>
      </vt:variant>
      <vt:variant>
        <vt:lpwstr>https://investors.modernatx.com/news/news-details/2022/Jorge-Gomez-Joins-Moderna-as-Chief-Financial-Officer/default.aspx</vt:lpwstr>
      </vt:variant>
      <vt:variant>
        <vt:lpwstr/>
      </vt:variant>
      <vt:variant>
        <vt:i4>4522059</vt:i4>
      </vt:variant>
      <vt:variant>
        <vt:i4>9</vt:i4>
      </vt:variant>
      <vt:variant>
        <vt:i4>0</vt:i4>
      </vt:variant>
      <vt:variant>
        <vt:i4>5</vt:i4>
      </vt:variant>
      <vt:variant>
        <vt:lpwstr>http://www.modernatx.com/pipeline</vt:lpwstr>
      </vt:variant>
      <vt:variant>
        <vt:lpwstr/>
      </vt:variant>
      <vt:variant>
        <vt:i4>6553653</vt:i4>
      </vt:variant>
      <vt:variant>
        <vt:i4>6</vt:i4>
      </vt:variant>
      <vt:variant>
        <vt:i4>0</vt:i4>
      </vt:variant>
      <vt:variant>
        <vt:i4>5</vt:i4>
      </vt:variant>
      <vt:variant>
        <vt:lpwstr>https://cts.businesswire.com/ct/CT?id=smartlink&amp;url=https%3A%2F%2Fclinicaltrials.gov%2Fct2%2Fshow%2FNCT04899310%3Fterm%3DNCT04899310%26rank%3D1&amp;esheet=52488695&amp;newsitemid=20210909005497&amp;lan=en-US&amp;anchor=Phase+1%2F2+Landmark+study&amp;index=10&amp;md5=aad80a55859673adaef8420b06d34783</vt:lpwstr>
      </vt:variant>
      <vt:variant>
        <vt:lpwstr/>
      </vt:variant>
      <vt:variant>
        <vt:i4>3276907</vt:i4>
      </vt:variant>
      <vt:variant>
        <vt:i4>3</vt:i4>
      </vt:variant>
      <vt:variant>
        <vt:i4>0</vt:i4>
      </vt:variant>
      <vt:variant>
        <vt:i4>5</vt:i4>
      </vt:variant>
      <vt:variant>
        <vt:lpwstr>https://cts.businesswire.com/ct/CT?id=smartlink&amp;url=https%3A%2F%2Fclinicaltrials.gov%2Fct2%2Fshow%2FNCT04159103%3Fterm%3Dmoderna%26cond%3DPropionic%2BAcidemia%26draw%3D2%26rank%3D1&amp;esheet=52472324&amp;newsitemid=20210805005476&amp;lan=en-US&amp;anchor=Phase+1%2F2+Paramount+study&amp;index=10&amp;md5=fb4fdc3624b339104f9cb72a7977f272</vt:lpwstr>
      </vt:variant>
      <vt:variant>
        <vt:lpwstr/>
      </vt:variant>
      <vt:variant>
        <vt:i4>5046339</vt:i4>
      </vt:variant>
      <vt:variant>
        <vt:i4>0</vt:i4>
      </vt:variant>
      <vt:variant>
        <vt:i4>0</vt:i4>
      </vt:variant>
      <vt:variant>
        <vt:i4>5</vt:i4>
      </vt:variant>
      <vt:variant>
        <vt:lpwstr>https://cts.businesswire.com/ct/CT?id=smartlink&amp;url=http%3A%2F%2Fwww.modernatx.com%2F&amp;esheet=52472324&amp;newsitemid=20210805005476&amp;lan=en-US&amp;anchor=Moderna%2C+Inc&amp;index=1&amp;md5=2d3ba9963ffd418d3bd00931ad11b64b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Hussey</dc:creator>
  <cp:keywords/>
  <dc:description/>
  <cp:lastModifiedBy>Elise Meyer</cp:lastModifiedBy>
  <cp:revision>2</cp:revision>
  <cp:lastPrinted>2022-05-03T13:53:00Z</cp:lastPrinted>
  <dcterms:created xsi:type="dcterms:W3CDTF">2022-08-03T01:40:00Z</dcterms:created>
  <dcterms:modified xsi:type="dcterms:W3CDTF">2022-08-03T01:40:00Z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0x010100B54B316CE531A845A6F15531458BADAC</vt:lpwstr>
  </property>
</Properties>
</file>