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7E13" w14:textId="77777777" w:rsidR="00A77B3E" w:rsidRDefault="00000000">
      <w:pPr>
        <w:spacing w:line="288" w:lineRule="auto"/>
        <w:jc w:val="center"/>
        <w:rPr>
          <w:sz w:val="20"/>
        </w:rPr>
      </w:pPr>
      <w:bookmarkStart w:id="0" w:name="Section1"/>
      <w:bookmarkEnd w:id="0"/>
      <w:r>
        <w:rPr>
          <w:noProof/>
        </w:rPr>
        <w:drawing>
          <wp:inline distT="0" distB="0" distL="0" distR="0" wp14:anchorId="06026C78" wp14:editId="2607EDB2">
            <wp:extent cx="2619375" cy="9715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9375" cy="971550"/>
                    </a:xfrm>
                    <a:prstGeom prst="rect">
                      <a:avLst/>
                    </a:prstGeom>
                    <a:noFill/>
                    <a:ln>
                      <a:noFill/>
                    </a:ln>
                  </pic:spPr>
                </pic:pic>
              </a:graphicData>
            </a:graphic>
          </wp:inline>
        </w:drawing>
      </w:r>
    </w:p>
    <w:p w14:paraId="1AD06DCE" w14:textId="77777777" w:rsidR="00A77B3E" w:rsidRDefault="00A77B3E">
      <w:pPr>
        <w:spacing w:line="288" w:lineRule="auto"/>
        <w:jc w:val="center"/>
        <w:rPr>
          <w:sz w:val="20"/>
        </w:rPr>
      </w:pPr>
    </w:p>
    <w:p w14:paraId="49113594" w14:textId="77777777" w:rsidR="00A77B3E" w:rsidRDefault="00000000">
      <w:pPr>
        <w:spacing w:line="288" w:lineRule="auto"/>
        <w:rPr>
          <w:sz w:val="18"/>
        </w:rPr>
      </w:pPr>
      <w:r>
        <w:rPr>
          <w:sz w:val="18"/>
        </w:rPr>
        <w:t>Contact: John L. Spaid, Chief Financial Officer</w:t>
      </w:r>
    </w:p>
    <w:p w14:paraId="34413C05" w14:textId="77777777" w:rsidR="00A77B3E" w:rsidRDefault="00000000">
      <w:pPr>
        <w:spacing w:line="288" w:lineRule="auto"/>
        <w:rPr>
          <w:sz w:val="18"/>
        </w:rPr>
      </w:pPr>
      <w:r>
        <w:rPr>
          <w:sz w:val="18"/>
        </w:rPr>
        <w:t>Phone: (615) 890-9100</w:t>
      </w:r>
    </w:p>
    <w:p w14:paraId="45A849B5" w14:textId="77777777" w:rsidR="00A77B3E" w:rsidRDefault="00A77B3E">
      <w:pPr>
        <w:spacing w:line="288" w:lineRule="auto"/>
        <w:rPr>
          <w:sz w:val="20"/>
        </w:rPr>
      </w:pPr>
    </w:p>
    <w:p w14:paraId="64207FF1" w14:textId="77777777" w:rsidR="00A77B3E" w:rsidRDefault="00000000">
      <w:pPr>
        <w:spacing w:line="288" w:lineRule="auto"/>
        <w:jc w:val="center"/>
        <w:rPr>
          <w:sz w:val="32"/>
        </w:rPr>
      </w:pPr>
      <w:r>
        <w:rPr>
          <w:sz w:val="32"/>
        </w:rPr>
        <w:t>NHI Announces Second Quarter 2022 Results</w:t>
      </w:r>
    </w:p>
    <w:p w14:paraId="4DD91C90" w14:textId="77777777" w:rsidR="00A77B3E" w:rsidRDefault="00A77B3E">
      <w:pPr>
        <w:spacing w:line="288" w:lineRule="auto"/>
        <w:jc w:val="both"/>
        <w:rPr>
          <w:sz w:val="20"/>
        </w:rPr>
      </w:pPr>
    </w:p>
    <w:p w14:paraId="1D299C41" w14:textId="77777777" w:rsidR="00A77B3E" w:rsidRDefault="00000000">
      <w:pPr>
        <w:spacing w:line="288" w:lineRule="auto"/>
        <w:jc w:val="both"/>
        <w:rPr>
          <w:sz w:val="20"/>
        </w:rPr>
      </w:pPr>
      <w:r>
        <w:rPr>
          <w:sz w:val="20"/>
        </w:rPr>
        <w:t>MURFREESBORO, Tenn. – (August 8, 2022) National Health Investors, Inc. (NYSE:NHI) announced today its results for the three and six months ended June 30, 2022.</w:t>
      </w:r>
    </w:p>
    <w:p w14:paraId="605C1838" w14:textId="77777777" w:rsidR="00A77B3E" w:rsidRDefault="00A77B3E">
      <w:pPr>
        <w:spacing w:line="288" w:lineRule="auto"/>
        <w:jc w:val="both"/>
        <w:rPr>
          <w:sz w:val="20"/>
        </w:rPr>
      </w:pPr>
    </w:p>
    <w:p w14:paraId="4819F56F" w14:textId="77777777" w:rsidR="00A77B3E" w:rsidRDefault="00000000">
      <w:pPr>
        <w:spacing w:line="288" w:lineRule="auto"/>
        <w:jc w:val="both"/>
        <w:rPr>
          <w:sz w:val="20"/>
        </w:rPr>
      </w:pPr>
      <w:r>
        <w:rPr>
          <w:b/>
          <w:sz w:val="20"/>
        </w:rPr>
        <w:t>Financial Results and Recent Events</w:t>
      </w:r>
    </w:p>
    <w:p w14:paraId="26E97C0B" w14:textId="77777777" w:rsidR="00A77B3E" w:rsidRDefault="00A77B3E">
      <w:pPr>
        <w:spacing w:line="288" w:lineRule="auto"/>
        <w:jc w:val="both"/>
        <w:rPr>
          <w:sz w:val="20"/>
        </w:rPr>
      </w:pPr>
    </w:p>
    <w:p w14:paraId="664867DE" w14:textId="77777777" w:rsidR="007C1CFF" w:rsidRDefault="00000000">
      <w:pPr>
        <w:numPr>
          <w:ilvl w:val="0"/>
          <w:numId w:val="13"/>
        </w:numPr>
        <w:spacing w:line="288" w:lineRule="auto"/>
        <w:ind w:left="360"/>
        <w:jc w:val="both"/>
        <w:rPr>
          <w:sz w:val="20"/>
        </w:rPr>
      </w:pPr>
      <w:r>
        <w:rPr>
          <w:sz w:val="20"/>
        </w:rPr>
        <w:t>Net income attributable to common stockholders per diluted common share for the three months ended June 30, 2022 was $0.47, compared to $0.85, during the same period in the prior year. Net income attributable to common stockholders per diluted common share for the six months ended June 30, 2022 was $0.66, compared to $1.63 during the same period in the prior year.</w:t>
      </w:r>
    </w:p>
    <w:p w14:paraId="02C5A07F" w14:textId="77777777" w:rsidR="00A77B3E" w:rsidRDefault="00A77B3E">
      <w:pPr>
        <w:spacing w:line="288" w:lineRule="auto"/>
        <w:ind w:left="-360"/>
        <w:jc w:val="both"/>
        <w:rPr>
          <w:sz w:val="20"/>
        </w:rPr>
      </w:pPr>
    </w:p>
    <w:p w14:paraId="72AACA60" w14:textId="77777777" w:rsidR="007C1CFF" w:rsidRDefault="00000000">
      <w:pPr>
        <w:numPr>
          <w:ilvl w:val="0"/>
          <w:numId w:val="14"/>
        </w:numPr>
        <w:spacing w:line="288" w:lineRule="auto"/>
        <w:ind w:left="360"/>
        <w:jc w:val="both"/>
        <w:rPr>
          <w:sz w:val="20"/>
        </w:rPr>
      </w:pPr>
      <w:r>
        <w:rPr>
          <w:sz w:val="20"/>
        </w:rPr>
        <w:t>National Association of Real Estate Investment Trusts (“NAREIT”) FFO per diluted common share for the three months ended June 30, 2022 was $0.71, compared to $1.16 during the same period in the prior year. NAREIT FFO per diluted common share for the six months ended June 30, 2022 was $1.76, compared to $2.39 during the same period in the prior year.</w:t>
      </w:r>
    </w:p>
    <w:p w14:paraId="1D22C575" w14:textId="77777777" w:rsidR="00A77B3E" w:rsidRDefault="00A77B3E">
      <w:pPr>
        <w:spacing w:line="288" w:lineRule="auto"/>
        <w:ind w:left="-360"/>
        <w:jc w:val="both"/>
        <w:rPr>
          <w:sz w:val="20"/>
        </w:rPr>
      </w:pPr>
    </w:p>
    <w:p w14:paraId="59FDD85E" w14:textId="77777777" w:rsidR="007C1CFF" w:rsidRDefault="00000000">
      <w:pPr>
        <w:numPr>
          <w:ilvl w:val="0"/>
          <w:numId w:val="15"/>
        </w:numPr>
        <w:spacing w:line="288" w:lineRule="auto"/>
        <w:ind w:left="360"/>
        <w:jc w:val="both"/>
        <w:rPr>
          <w:sz w:val="20"/>
        </w:rPr>
      </w:pPr>
      <w:r>
        <w:rPr>
          <w:sz w:val="20"/>
        </w:rPr>
        <w:t>Normalized FFO per diluted common share for the three months ended June 30, 2022 was $1.26, compared to $1.16 during the same period in the prior year. Normalized FFO per diluted common share for the six months ended June 30, 2022 was $2.37, compared to $2.40 during the same period in the prior year.</w:t>
      </w:r>
    </w:p>
    <w:p w14:paraId="7A627732" w14:textId="77777777" w:rsidR="00A77B3E" w:rsidRDefault="00A77B3E">
      <w:pPr>
        <w:spacing w:line="288" w:lineRule="auto"/>
        <w:ind w:left="-360"/>
        <w:jc w:val="both"/>
        <w:rPr>
          <w:sz w:val="20"/>
        </w:rPr>
      </w:pPr>
    </w:p>
    <w:p w14:paraId="2E83AC55" w14:textId="77777777" w:rsidR="007C1CFF" w:rsidRDefault="00000000">
      <w:pPr>
        <w:numPr>
          <w:ilvl w:val="0"/>
          <w:numId w:val="16"/>
        </w:numPr>
        <w:spacing w:line="288" w:lineRule="auto"/>
        <w:ind w:left="360"/>
        <w:jc w:val="both"/>
        <w:rPr>
          <w:sz w:val="20"/>
        </w:rPr>
      </w:pPr>
      <w:r>
        <w:rPr>
          <w:sz w:val="20"/>
        </w:rPr>
        <w:t>Normalized FAD for the three months ended June 30, 2022 was $56.3 million, compared to $52.8 million, during the same period in the prior year. Normalized FAD for the six months ended June 30, 2022 was $109.0 million, compared to $112.4 million during the same period in the prior year.</w:t>
      </w:r>
    </w:p>
    <w:p w14:paraId="0C76F367" w14:textId="77777777" w:rsidR="00A77B3E" w:rsidRDefault="00A77B3E">
      <w:pPr>
        <w:spacing w:line="288" w:lineRule="auto"/>
        <w:ind w:left="-360"/>
        <w:jc w:val="both"/>
        <w:rPr>
          <w:sz w:val="20"/>
        </w:rPr>
      </w:pPr>
    </w:p>
    <w:p w14:paraId="4A646493" w14:textId="77777777" w:rsidR="007C1CFF" w:rsidRDefault="00000000">
      <w:pPr>
        <w:numPr>
          <w:ilvl w:val="0"/>
          <w:numId w:val="17"/>
        </w:numPr>
        <w:spacing w:line="288" w:lineRule="auto"/>
        <w:ind w:left="360"/>
        <w:jc w:val="both"/>
        <w:rPr>
          <w:sz w:val="20"/>
        </w:rPr>
      </w:pPr>
      <w:r>
        <w:rPr>
          <w:sz w:val="20"/>
        </w:rPr>
        <w:t>During second quarter of 2022, NHI converted Bickford Senior Living (“Bickford”) to the cash basis of accounting for its four master lease agreements, and wrote off approximately $18.1 million of straight-line rents receivable and $7.1 million of lease incentives to rental income.</w:t>
      </w:r>
    </w:p>
    <w:p w14:paraId="0873310D" w14:textId="77777777" w:rsidR="00A77B3E" w:rsidRDefault="00A77B3E">
      <w:pPr>
        <w:spacing w:line="288" w:lineRule="auto"/>
        <w:ind w:left="-360"/>
        <w:jc w:val="both"/>
        <w:rPr>
          <w:sz w:val="20"/>
        </w:rPr>
      </w:pPr>
    </w:p>
    <w:p w14:paraId="462D6470" w14:textId="77777777" w:rsidR="007C1CFF" w:rsidRDefault="00000000">
      <w:pPr>
        <w:numPr>
          <w:ilvl w:val="0"/>
          <w:numId w:val="18"/>
        </w:numPr>
        <w:spacing w:line="288" w:lineRule="auto"/>
        <w:ind w:left="360"/>
        <w:jc w:val="both"/>
        <w:rPr>
          <w:sz w:val="20"/>
        </w:rPr>
      </w:pPr>
      <w:r>
        <w:rPr>
          <w:sz w:val="20"/>
        </w:rPr>
        <w:t>Effective April 1, 2022, NHI settled the outstanding litigation against Welltower and its related affiliates that resulted in the receipt of $6.9 million in previously escrowed cash and termination of the master lease for 17 legacy Holiday independent living facilities.</w:t>
      </w:r>
    </w:p>
    <w:p w14:paraId="5672F6AD" w14:textId="77777777" w:rsidR="00A77B3E" w:rsidRDefault="00A77B3E">
      <w:pPr>
        <w:spacing w:line="288" w:lineRule="auto"/>
        <w:ind w:left="-360"/>
        <w:jc w:val="both"/>
        <w:rPr>
          <w:sz w:val="20"/>
        </w:rPr>
      </w:pPr>
    </w:p>
    <w:p w14:paraId="136E2A76" w14:textId="77777777" w:rsidR="007C1CFF" w:rsidRDefault="00000000">
      <w:pPr>
        <w:numPr>
          <w:ilvl w:val="0"/>
          <w:numId w:val="19"/>
        </w:numPr>
        <w:spacing w:line="288" w:lineRule="auto"/>
        <w:ind w:left="360"/>
        <w:jc w:val="both"/>
        <w:rPr>
          <w:sz w:val="20"/>
        </w:rPr>
      </w:pPr>
      <w:r>
        <w:rPr>
          <w:sz w:val="20"/>
        </w:rPr>
        <w:t>Also, effective April 1, 2022, NHI formed a new Seniors Housing Operating Portfolio (“SHOP”) reportable segment that is comprised of the operations of 15 legacy Holiday independent living facilities with a combined 1,731 units operated in two separate ventures on behalf of the Company by two independent managers. The ventures contributed approximately $2.9 million to NHI’s net operating income (“NOI”) during the quarter.</w:t>
      </w:r>
    </w:p>
    <w:p w14:paraId="045F9BA8" w14:textId="77777777" w:rsidR="00A77B3E" w:rsidRDefault="00A77B3E">
      <w:pPr>
        <w:spacing w:line="288" w:lineRule="auto"/>
        <w:ind w:left="-360"/>
        <w:jc w:val="both"/>
        <w:rPr>
          <w:sz w:val="20"/>
        </w:rPr>
      </w:pPr>
    </w:p>
    <w:p w14:paraId="62E324A4" w14:textId="77777777" w:rsidR="007C1CFF" w:rsidRDefault="00000000">
      <w:pPr>
        <w:numPr>
          <w:ilvl w:val="0"/>
          <w:numId w:val="20"/>
        </w:numPr>
        <w:spacing w:line="288" w:lineRule="auto"/>
        <w:ind w:left="360"/>
        <w:jc w:val="both"/>
        <w:rPr>
          <w:sz w:val="20"/>
        </w:rPr>
      </w:pPr>
      <w:r>
        <w:rPr>
          <w:sz w:val="20"/>
        </w:rPr>
        <w:t>Completed the disposition of 10 underperforming senior housing properties for net proceeds of approximately $76.3 million during the second quarter. Since the second quarter of 2021 the Company has completed the disposition of 31 senior housing properties for net proceeds of approximately $288.2 million with a cumulative EBITDARM coverage of 0.50x.</w:t>
      </w:r>
    </w:p>
    <w:p w14:paraId="3F0192A7" w14:textId="77777777" w:rsidR="00A77B3E" w:rsidRDefault="00A77B3E">
      <w:pPr>
        <w:spacing w:line="288" w:lineRule="auto"/>
        <w:jc w:val="both"/>
        <w:rPr>
          <w:sz w:val="20"/>
        </w:rPr>
      </w:pPr>
    </w:p>
    <w:p w14:paraId="3A63D9CC" w14:textId="77777777" w:rsidR="007C1CFF" w:rsidRDefault="00000000">
      <w:pPr>
        <w:numPr>
          <w:ilvl w:val="0"/>
          <w:numId w:val="21"/>
        </w:numPr>
        <w:spacing w:line="288" w:lineRule="auto"/>
        <w:ind w:left="360"/>
        <w:jc w:val="both"/>
        <w:rPr>
          <w:sz w:val="20"/>
        </w:rPr>
      </w:pPr>
      <w:r>
        <w:rPr>
          <w:sz w:val="20"/>
        </w:rPr>
        <w:t>Repurchased approximately 1.2 million shares for $70 million under the Company’s $240 million share repurchase authorization. As a result, quarterly dividends declined by approximately $4.3 million on an annualized basis.</w:t>
      </w:r>
    </w:p>
    <w:p w14:paraId="23A74BBD" w14:textId="77777777" w:rsidR="00A77B3E" w:rsidRDefault="00A77B3E">
      <w:pPr>
        <w:spacing w:line="288" w:lineRule="auto"/>
        <w:jc w:val="both"/>
        <w:rPr>
          <w:sz w:val="20"/>
        </w:rPr>
      </w:pPr>
    </w:p>
    <w:p w14:paraId="64116953" w14:textId="77777777" w:rsidR="007C1CFF" w:rsidRDefault="00000000">
      <w:pPr>
        <w:numPr>
          <w:ilvl w:val="0"/>
          <w:numId w:val="22"/>
        </w:numPr>
        <w:spacing w:line="288" w:lineRule="auto"/>
        <w:ind w:left="360"/>
        <w:jc w:val="both"/>
        <w:rPr>
          <w:sz w:val="20"/>
        </w:rPr>
      </w:pPr>
      <w:r>
        <w:rPr>
          <w:sz w:val="20"/>
        </w:rPr>
        <w:lastRenderedPageBreak/>
        <w:t>Reduced debt by approximately $145.0 million and reported net debt to Adjusted EBITDA of 4.0x for the second quarter of 2022 with no balance outstanding on the $700 million revolver as of June 30, 2022.</w:t>
      </w:r>
    </w:p>
    <w:p w14:paraId="0B0282ED" w14:textId="77777777" w:rsidR="00A77B3E" w:rsidRDefault="00A77B3E">
      <w:pPr>
        <w:spacing w:line="288" w:lineRule="auto"/>
        <w:ind w:left="-360"/>
        <w:jc w:val="both"/>
        <w:rPr>
          <w:sz w:val="20"/>
        </w:rPr>
      </w:pPr>
    </w:p>
    <w:p w14:paraId="7A65758B" w14:textId="77777777" w:rsidR="007C1CFF" w:rsidRDefault="00000000">
      <w:pPr>
        <w:numPr>
          <w:ilvl w:val="0"/>
          <w:numId w:val="23"/>
        </w:numPr>
        <w:spacing w:line="288" w:lineRule="auto"/>
        <w:ind w:left="360"/>
        <w:jc w:val="both"/>
        <w:rPr>
          <w:sz w:val="20"/>
        </w:rPr>
      </w:pPr>
      <w:r>
        <w:rPr>
          <w:sz w:val="20"/>
        </w:rPr>
        <w:t>Results for the three months ended June 30, 2022 compared to the same period in the prior year were impacted by the following:</w:t>
      </w:r>
    </w:p>
    <w:p w14:paraId="215B3F39" w14:textId="77777777" w:rsidR="00A77B3E" w:rsidRDefault="00A77B3E">
      <w:pPr>
        <w:spacing w:line="288" w:lineRule="auto"/>
        <w:ind w:left="-360"/>
        <w:jc w:val="both"/>
        <w:rPr>
          <w:sz w:val="20"/>
        </w:rPr>
      </w:pPr>
    </w:p>
    <w:p w14:paraId="44952C92" w14:textId="77777777" w:rsidR="007C1CFF" w:rsidRDefault="00000000">
      <w:pPr>
        <w:numPr>
          <w:ilvl w:val="0"/>
          <w:numId w:val="24"/>
        </w:numPr>
        <w:spacing w:after="120" w:line="288" w:lineRule="auto"/>
        <w:jc w:val="both"/>
        <w:rPr>
          <w:sz w:val="20"/>
        </w:rPr>
      </w:pPr>
      <w:r>
        <w:rPr>
          <w:sz w:val="20"/>
        </w:rPr>
        <w:t xml:space="preserve">Rental income excluding the effects of straight-line lease revenue and property taxes and insurance on leased properties was approximately $9.3 million lower primarily from the $7.1 million write off of Bickford’s lease incentives and asset dispositions completed since the end of the second quarter of 2021. Rental income includes approximately $6.9 million related to the previously disclosed litigation settlement with Welltower (NYSE: WELL); </w:t>
      </w:r>
    </w:p>
    <w:p w14:paraId="29DBC617" w14:textId="77777777" w:rsidR="007C1CFF" w:rsidRDefault="00000000">
      <w:pPr>
        <w:numPr>
          <w:ilvl w:val="0"/>
          <w:numId w:val="25"/>
        </w:numPr>
        <w:spacing w:after="120" w:line="288" w:lineRule="auto"/>
        <w:jc w:val="both"/>
        <w:rPr>
          <w:sz w:val="20"/>
        </w:rPr>
      </w:pPr>
      <w:r>
        <w:rPr>
          <w:sz w:val="20"/>
        </w:rPr>
        <w:t xml:space="preserve">Interest income and other was approximately $1.9 million higher primarily from increased commitment fundings on existing new loans and the origination of new loans since the end of the second quarter of 2021; </w:t>
      </w:r>
    </w:p>
    <w:p w14:paraId="6F4B2D28" w14:textId="77777777" w:rsidR="007C1CFF" w:rsidRDefault="00000000">
      <w:pPr>
        <w:numPr>
          <w:ilvl w:val="0"/>
          <w:numId w:val="26"/>
        </w:numPr>
        <w:spacing w:after="120" w:line="288" w:lineRule="auto"/>
        <w:jc w:val="both"/>
        <w:rPr>
          <w:sz w:val="20"/>
        </w:rPr>
      </w:pPr>
      <w:r>
        <w:rPr>
          <w:sz w:val="20"/>
        </w:rPr>
        <w:t>The new SHOP activities contributed NOI of approximately $2.9 million comprised of revenues from resident fees and related services of $12.0 million and operating expenses of $9.1 million;</w:t>
      </w:r>
    </w:p>
    <w:p w14:paraId="32103857" w14:textId="77777777" w:rsidR="007C1CFF" w:rsidRDefault="00000000">
      <w:pPr>
        <w:numPr>
          <w:ilvl w:val="0"/>
          <w:numId w:val="27"/>
        </w:numPr>
        <w:spacing w:after="120" w:line="288" w:lineRule="auto"/>
        <w:jc w:val="both"/>
        <w:rPr>
          <w:sz w:val="20"/>
        </w:rPr>
      </w:pPr>
      <w:r>
        <w:rPr>
          <w:sz w:val="20"/>
        </w:rPr>
        <w:t>Interest expense was approximately $2.0 million lower, as a result of the expiration of NHI’s interest rate swap agreements on December 31, 2021 and the repayments of indebtedness, including the payoffs of the convertible bond that matured in April 2021 and $250.0 million on term loans;</w:t>
      </w:r>
    </w:p>
    <w:p w14:paraId="334E2F28" w14:textId="77777777" w:rsidR="007C1CFF" w:rsidRDefault="00000000">
      <w:pPr>
        <w:numPr>
          <w:ilvl w:val="0"/>
          <w:numId w:val="28"/>
        </w:numPr>
        <w:spacing w:after="120" w:line="288" w:lineRule="auto"/>
        <w:jc w:val="both"/>
        <w:rPr>
          <w:sz w:val="20"/>
        </w:rPr>
      </w:pPr>
      <w:r>
        <w:rPr>
          <w:sz w:val="20"/>
        </w:rPr>
        <w:t>General and administrative expenses were approximately $1.5 million higher;</w:t>
      </w:r>
    </w:p>
    <w:p w14:paraId="5973EB4B" w14:textId="77777777" w:rsidR="007C1CFF" w:rsidRDefault="00000000">
      <w:pPr>
        <w:numPr>
          <w:ilvl w:val="0"/>
          <w:numId w:val="29"/>
        </w:numPr>
        <w:spacing w:after="120" w:line="288" w:lineRule="auto"/>
        <w:jc w:val="both"/>
        <w:rPr>
          <w:sz w:val="20"/>
        </w:rPr>
      </w:pPr>
      <w:r>
        <w:rPr>
          <w:sz w:val="20"/>
        </w:rPr>
        <w:t xml:space="preserve">Gains from the sales of real estate assets were $10.5 million, representing an increase of $4.0 million; </w:t>
      </w:r>
    </w:p>
    <w:p w14:paraId="4F168D50" w14:textId="77777777" w:rsidR="007C1CFF" w:rsidRDefault="00000000">
      <w:pPr>
        <w:numPr>
          <w:ilvl w:val="0"/>
          <w:numId w:val="30"/>
        </w:numPr>
        <w:spacing w:after="120" w:line="288" w:lineRule="auto"/>
        <w:jc w:val="both"/>
        <w:rPr>
          <w:sz w:val="20"/>
        </w:rPr>
      </w:pPr>
      <w:r>
        <w:rPr>
          <w:sz w:val="20"/>
        </w:rPr>
        <w:t>Loan and realty losses were $4.1 million, representing an increase of $2.9 million;</w:t>
      </w:r>
    </w:p>
    <w:p w14:paraId="2F381393" w14:textId="77777777" w:rsidR="007C1CFF" w:rsidRDefault="00000000">
      <w:pPr>
        <w:numPr>
          <w:ilvl w:val="0"/>
          <w:numId w:val="31"/>
        </w:numPr>
        <w:spacing w:after="120" w:line="288" w:lineRule="auto"/>
        <w:jc w:val="both"/>
        <w:rPr>
          <w:sz w:val="20"/>
        </w:rPr>
      </w:pPr>
      <w:r>
        <w:rPr>
          <w:sz w:val="20"/>
        </w:rPr>
        <w:t>Depreciation expense was approximately $2.9 million lower primarily from dispositions completed since July 1, 2021; and</w:t>
      </w:r>
    </w:p>
    <w:p w14:paraId="1553BC41" w14:textId="77777777" w:rsidR="007C1CFF" w:rsidRDefault="00000000">
      <w:pPr>
        <w:numPr>
          <w:ilvl w:val="0"/>
          <w:numId w:val="32"/>
        </w:numPr>
        <w:spacing w:after="120" w:line="288" w:lineRule="auto"/>
        <w:jc w:val="both"/>
        <w:rPr>
          <w:sz w:val="20"/>
        </w:rPr>
      </w:pPr>
      <w:r>
        <w:rPr>
          <w:sz w:val="20"/>
        </w:rPr>
        <w:t xml:space="preserve">Gain on note payoff of $1.1 million was recognized for the prepayment fee received from the early repayment of a $111.3 million mortgage note receivable in the second quarter of 2022. </w:t>
      </w:r>
    </w:p>
    <w:p w14:paraId="4869D8E3" w14:textId="77777777" w:rsidR="00A77B3E" w:rsidRDefault="00A77B3E">
      <w:pPr>
        <w:spacing w:line="288" w:lineRule="auto"/>
        <w:ind w:left="-360"/>
        <w:jc w:val="both"/>
        <w:rPr>
          <w:sz w:val="20"/>
          <w:shd w:val="clear" w:color="auto" w:fill="BFE4FF"/>
        </w:rPr>
      </w:pPr>
    </w:p>
    <w:p w14:paraId="1FB25D0D" w14:textId="77777777" w:rsidR="00A77B3E" w:rsidRDefault="00000000">
      <w:pPr>
        <w:spacing w:line="288" w:lineRule="auto"/>
        <w:jc w:val="both"/>
        <w:rPr>
          <w:sz w:val="20"/>
        </w:rPr>
      </w:pPr>
      <w:r>
        <w:rPr>
          <w:sz w:val="20"/>
        </w:rPr>
        <w:t xml:space="preserve">Eric Mendelsohn, NHI President and CEO, stated, “We have accomplished much of the portfolio optimization activity that we have regularly communicated including approximately $288.2 million of underperforming senior housing dispositions, restructuring of the Bickford lease, formation of our SHOP ventures, and issuing annual guidance in April of this year.” </w:t>
      </w:r>
    </w:p>
    <w:p w14:paraId="18A8745F" w14:textId="77777777" w:rsidR="00A77B3E" w:rsidRDefault="00A77B3E">
      <w:pPr>
        <w:spacing w:line="288" w:lineRule="auto"/>
        <w:jc w:val="both"/>
        <w:rPr>
          <w:sz w:val="20"/>
        </w:rPr>
      </w:pPr>
    </w:p>
    <w:p w14:paraId="11852047" w14:textId="77777777" w:rsidR="00A77B3E" w:rsidRDefault="00000000">
      <w:pPr>
        <w:spacing w:line="288" w:lineRule="auto"/>
        <w:jc w:val="both"/>
        <w:rPr>
          <w:sz w:val="20"/>
        </w:rPr>
      </w:pPr>
      <w:r>
        <w:rPr>
          <w:sz w:val="20"/>
        </w:rPr>
        <w:t>Mr. Mendelsohn continued, “Our second quarter GAAP results were impacted by our conversion of Bickford to cash basis accounting but were otherwise in-line with expectations. We have updated our guidance which includes a modest revision to FAD as our visibility continues to improve with the portfolio optimization efforts largely complete.”</w:t>
      </w:r>
    </w:p>
    <w:p w14:paraId="3B340D60" w14:textId="77777777" w:rsidR="00A77B3E" w:rsidRDefault="00A77B3E">
      <w:pPr>
        <w:spacing w:line="288" w:lineRule="auto"/>
        <w:jc w:val="both"/>
        <w:rPr>
          <w:sz w:val="20"/>
          <w:shd w:val="clear" w:color="auto" w:fill="BFE4FF"/>
        </w:rPr>
      </w:pPr>
    </w:p>
    <w:p w14:paraId="56F1DD96" w14:textId="77777777" w:rsidR="00A77B3E" w:rsidRDefault="00000000">
      <w:pPr>
        <w:spacing w:line="288" w:lineRule="auto"/>
        <w:jc w:val="both"/>
        <w:rPr>
          <w:sz w:val="20"/>
          <w:shd w:val="clear" w:color="auto" w:fill="BFE4FF"/>
        </w:rPr>
      </w:pPr>
      <w:r>
        <w:rPr>
          <w:sz w:val="20"/>
        </w:rPr>
        <w:t>Mr. Mendelsohn concluded, “Our focus now is very much on returning to growth. We are in excellent financial health with leverage at the lower end of our targeted range which gives us significant capital to deploy without the need to issue equity in the immediate future.”</w:t>
      </w:r>
    </w:p>
    <w:p w14:paraId="17CEA8CC" w14:textId="77777777" w:rsidR="00A77B3E" w:rsidRDefault="00A77B3E">
      <w:pPr>
        <w:spacing w:line="288" w:lineRule="auto"/>
        <w:jc w:val="both"/>
        <w:rPr>
          <w:sz w:val="20"/>
          <w:shd w:val="clear" w:color="auto" w:fill="BFE4FF"/>
        </w:rPr>
      </w:pPr>
    </w:p>
    <w:p w14:paraId="6E2E63C3" w14:textId="77777777" w:rsidR="00A77B3E" w:rsidRDefault="00A77B3E">
      <w:pPr>
        <w:spacing w:line="288" w:lineRule="auto"/>
        <w:jc w:val="both"/>
        <w:rPr>
          <w:sz w:val="20"/>
        </w:rPr>
        <w:sectPr w:rsidR="00A77B3E">
          <w:headerReference w:type="default" r:id="rId8"/>
          <w:footerReference w:type="default" r:id="rId9"/>
          <w:type w:val="continuous"/>
          <w:pgSz w:w="12240" w:h="15840"/>
          <w:pgMar w:top="1260" w:right="900" w:bottom="900" w:left="900" w:header="270" w:footer="270" w:gutter="0"/>
          <w:cols w:space="708"/>
          <w:docGrid w:linePitch="360"/>
        </w:sectPr>
      </w:pPr>
    </w:p>
    <w:p w14:paraId="04B61EE3" w14:textId="77777777" w:rsidR="007C1CFF" w:rsidRDefault="00000000">
      <w:pPr>
        <w:spacing w:line="288" w:lineRule="auto"/>
        <w:jc w:val="both"/>
        <w:rPr>
          <w:b/>
          <w:i/>
          <w:shd w:val="clear" w:color="auto" w:fill="BFE4FF"/>
        </w:rPr>
      </w:pPr>
      <w:bookmarkStart w:id="1" w:name="Section2"/>
      <w:bookmarkEnd w:id="1"/>
      <w:r>
        <w:rPr>
          <w:b/>
          <w:sz w:val="20"/>
        </w:rPr>
        <w:t>Portfolio Activity</w:t>
      </w:r>
    </w:p>
    <w:p w14:paraId="59CBA56F" w14:textId="77777777" w:rsidR="007C1CFF" w:rsidRDefault="007C1CFF">
      <w:pPr>
        <w:spacing w:line="288" w:lineRule="auto"/>
        <w:jc w:val="both"/>
        <w:rPr>
          <w:b/>
          <w:sz w:val="20"/>
        </w:rPr>
      </w:pPr>
    </w:p>
    <w:p w14:paraId="74966B4A" w14:textId="77777777" w:rsidR="007C1CFF" w:rsidRDefault="00000000">
      <w:pPr>
        <w:spacing w:line="288" w:lineRule="auto"/>
        <w:jc w:val="both"/>
        <w:rPr>
          <w:sz w:val="20"/>
          <w:u w:val="single"/>
        </w:rPr>
      </w:pPr>
      <w:r>
        <w:rPr>
          <w:sz w:val="20"/>
          <w:u w:val="single"/>
        </w:rPr>
        <w:t>Asset Acquisition</w:t>
      </w:r>
    </w:p>
    <w:p w14:paraId="499ED92A" w14:textId="77777777" w:rsidR="007C1CFF" w:rsidRDefault="007C1CFF">
      <w:pPr>
        <w:spacing w:line="288" w:lineRule="auto"/>
        <w:jc w:val="both"/>
        <w:rPr>
          <w:b/>
          <w:sz w:val="20"/>
        </w:rPr>
      </w:pPr>
    </w:p>
    <w:p w14:paraId="6DFDEDA8" w14:textId="77777777" w:rsidR="007C1CFF" w:rsidRDefault="00000000">
      <w:pPr>
        <w:spacing w:line="288" w:lineRule="auto"/>
        <w:jc w:val="both"/>
        <w:rPr>
          <w:sz w:val="20"/>
        </w:rPr>
      </w:pPr>
      <w:r>
        <w:rPr>
          <w:sz w:val="20"/>
        </w:rPr>
        <w:t xml:space="preserve">On April 29, 2022, NHI acquired a 53-unit assisted living facility located in Oshkosh, Wisconsin, from Encore Senior Living. The acquisition price was $13.3 million and included the full payment of an outstanding construction note receivable to the Company of $9.1 million, including interest. The facility was added to an existing master lease for a term of 15 years at an initial lease rate of 7.25%, with an annual escalator of 2.5%. </w:t>
      </w:r>
    </w:p>
    <w:p w14:paraId="41933839" w14:textId="77777777" w:rsidR="007C1CFF" w:rsidRDefault="007C1CFF">
      <w:pPr>
        <w:spacing w:line="288" w:lineRule="auto"/>
        <w:ind w:firstLine="270"/>
        <w:jc w:val="both"/>
        <w:rPr>
          <w:i/>
          <w:sz w:val="18"/>
          <w:u w:val="single"/>
          <w:shd w:val="clear" w:color="auto" w:fill="BFE4FF"/>
        </w:rPr>
      </w:pPr>
    </w:p>
    <w:p w14:paraId="47E0B5A7" w14:textId="77777777" w:rsidR="007C1CFF" w:rsidRDefault="00000000">
      <w:pPr>
        <w:spacing w:line="288" w:lineRule="auto"/>
        <w:jc w:val="both"/>
        <w:rPr>
          <w:sz w:val="20"/>
          <w:u w:val="single"/>
        </w:rPr>
      </w:pPr>
      <w:r>
        <w:rPr>
          <w:sz w:val="20"/>
          <w:u w:val="single"/>
        </w:rPr>
        <w:t>Asset Dispositions</w:t>
      </w:r>
    </w:p>
    <w:p w14:paraId="12A5A46F" w14:textId="77777777" w:rsidR="007C1CFF" w:rsidRDefault="007C1CFF">
      <w:pPr>
        <w:spacing w:line="288" w:lineRule="auto"/>
        <w:jc w:val="both"/>
        <w:rPr>
          <w:i/>
          <w:sz w:val="20"/>
        </w:rPr>
      </w:pPr>
    </w:p>
    <w:p w14:paraId="77A1E4DA" w14:textId="77777777" w:rsidR="007C1CFF" w:rsidRDefault="00000000">
      <w:pPr>
        <w:spacing w:line="288" w:lineRule="auto"/>
        <w:jc w:val="both"/>
        <w:rPr>
          <w:i/>
          <w:sz w:val="20"/>
          <w:u w:val="single"/>
        </w:rPr>
      </w:pPr>
      <w:r>
        <w:rPr>
          <w:sz w:val="20"/>
        </w:rPr>
        <w:t>During the second quarter of 2022, NHI sold 11 properties with a net book value of approximately $85.1 million for net cash proceeds of approximately $95.8 million. The following table represents the real estate property dispositions within the Company’s Real Estate Investments reportable segment through June 30, 2022 (</w:t>
      </w:r>
      <w:r>
        <w:rPr>
          <w:i/>
          <w:sz w:val="20"/>
        </w:rPr>
        <w:t>$ in thousands</w:t>
      </w:r>
      <w:r>
        <w:rPr>
          <w:sz w:val="20"/>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60"/>
        <w:gridCol w:w="885"/>
        <w:gridCol w:w="60"/>
        <w:gridCol w:w="945"/>
        <w:gridCol w:w="60"/>
        <w:gridCol w:w="765"/>
        <w:gridCol w:w="60"/>
        <w:gridCol w:w="1245"/>
        <w:gridCol w:w="60"/>
        <w:gridCol w:w="1140"/>
        <w:gridCol w:w="60"/>
        <w:gridCol w:w="1575"/>
      </w:tblGrid>
      <w:tr w:rsidR="007C1CFF" w14:paraId="1347CD2B" w14:textId="77777777">
        <w:trPr>
          <w:cantSplit/>
          <w:trHeight w:hRule="exact" w:val="705"/>
        </w:trPr>
        <w:tc>
          <w:tcPr>
            <w:tcW w:w="3525" w:type="dxa"/>
            <w:tcBorders>
              <w:top w:val="nil"/>
              <w:left w:val="nil"/>
              <w:bottom w:val="single" w:sz="8" w:space="0" w:color="000000"/>
              <w:right w:val="nil"/>
            </w:tcBorders>
            <w:tcMar>
              <w:top w:w="0" w:type="dxa"/>
              <w:left w:w="53" w:type="dxa"/>
              <w:bottom w:w="0" w:type="dxa"/>
              <w:right w:w="53" w:type="dxa"/>
            </w:tcMar>
            <w:vAlign w:val="bottom"/>
          </w:tcPr>
          <w:p w14:paraId="18D577AF" w14:textId="77777777" w:rsidR="007C1CFF" w:rsidRDefault="00000000">
            <w:pPr>
              <w:keepNext/>
              <w:spacing w:before="75" w:after="30"/>
            </w:pPr>
            <w:r>
              <w:rPr>
                <w:color w:val="000000"/>
                <w:sz w:val="20"/>
              </w:rPr>
              <w:lastRenderedPageBreak/>
              <w:t>Operator</w:t>
            </w:r>
          </w:p>
        </w:tc>
        <w:tc>
          <w:tcPr>
            <w:tcW w:w="60" w:type="dxa"/>
            <w:tcBorders>
              <w:top w:val="nil"/>
              <w:left w:val="nil"/>
              <w:bottom w:val="nil"/>
              <w:right w:val="nil"/>
            </w:tcBorders>
            <w:tcMar>
              <w:top w:w="0" w:type="dxa"/>
              <w:left w:w="0" w:type="dxa"/>
              <w:bottom w:w="0" w:type="dxa"/>
              <w:right w:w="0" w:type="dxa"/>
            </w:tcMar>
            <w:vAlign w:val="bottom"/>
          </w:tcPr>
          <w:p w14:paraId="505D2B0C" w14:textId="77777777" w:rsidR="007C1CFF" w:rsidRDefault="007C1CFF">
            <w:pPr>
              <w:keepNext/>
            </w:pPr>
          </w:p>
        </w:tc>
        <w:tc>
          <w:tcPr>
            <w:tcW w:w="885" w:type="dxa"/>
            <w:tcBorders>
              <w:top w:val="nil"/>
              <w:left w:val="nil"/>
              <w:bottom w:val="single" w:sz="8" w:space="0" w:color="000000"/>
              <w:right w:val="nil"/>
            </w:tcBorders>
            <w:tcMar>
              <w:top w:w="0" w:type="dxa"/>
              <w:left w:w="53" w:type="dxa"/>
              <w:bottom w:w="0" w:type="dxa"/>
              <w:right w:w="53" w:type="dxa"/>
            </w:tcMar>
            <w:vAlign w:val="bottom"/>
          </w:tcPr>
          <w:p w14:paraId="21494739" w14:textId="77777777" w:rsidR="007C1CFF" w:rsidRDefault="00000000">
            <w:pPr>
              <w:keepNext/>
              <w:spacing w:before="75" w:after="30"/>
              <w:jc w:val="center"/>
            </w:pPr>
            <w:r>
              <w:rPr>
                <w:color w:val="000000"/>
                <w:sz w:val="20"/>
              </w:rPr>
              <w:t>Date</w:t>
            </w:r>
          </w:p>
        </w:tc>
        <w:tc>
          <w:tcPr>
            <w:tcW w:w="60" w:type="dxa"/>
            <w:tcBorders>
              <w:top w:val="nil"/>
              <w:left w:val="nil"/>
              <w:bottom w:val="nil"/>
              <w:right w:val="nil"/>
            </w:tcBorders>
            <w:tcMar>
              <w:top w:w="0" w:type="dxa"/>
              <w:left w:w="0" w:type="dxa"/>
              <w:bottom w:w="0" w:type="dxa"/>
              <w:right w:w="0" w:type="dxa"/>
            </w:tcMar>
            <w:vAlign w:val="bottom"/>
          </w:tcPr>
          <w:p w14:paraId="133E23B6" w14:textId="77777777" w:rsidR="007C1CFF" w:rsidRDefault="007C1CFF">
            <w:pPr>
              <w:keepNext/>
            </w:pPr>
          </w:p>
        </w:tc>
        <w:tc>
          <w:tcPr>
            <w:tcW w:w="945" w:type="dxa"/>
            <w:tcBorders>
              <w:top w:val="nil"/>
              <w:left w:val="nil"/>
              <w:bottom w:val="single" w:sz="8" w:space="0" w:color="000000"/>
              <w:right w:val="nil"/>
            </w:tcBorders>
            <w:tcMar>
              <w:top w:w="0" w:type="dxa"/>
              <w:left w:w="53" w:type="dxa"/>
              <w:bottom w:w="0" w:type="dxa"/>
              <w:right w:w="53" w:type="dxa"/>
            </w:tcMar>
            <w:vAlign w:val="bottom"/>
          </w:tcPr>
          <w:p w14:paraId="51ECB3F7" w14:textId="77777777" w:rsidR="007C1CFF" w:rsidRDefault="00000000">
            <w:pPr>
              <w:keepNext/>
              <w:spacing w:before="75" w:after="30"/>
              <w:jc w:val="center"/>
            </w:pPr>
            <w:r>
              <w:rPr>
                <w:color w:val="000000"/>
                <w:sz w:val="20"/>
              </w:rPr>
              <w:t>Properties</w:t>
            </w:r>
          </w:p>
        </w:tc>
        <w:tc>
          <w:tcPr>
            <w:tcW w:w="60" w:type="dxa"/>
            <w:tcBorders>
              <w:top w:val="nil"/>
              <w:left w:val="nil"/>
              <w:bottom w:val="nil"/>
              <w:right w:val="nil"/>
            </w:tcBorders>
            <w:tcMar>
              <w:top w:w="0" w:type="dxa"/>
              <w:left w:w="0" w:type="dxa"/>
              <w:bottom w:w="0" w:type="dxa"/>
              <w:right w:w="0" w:type="dxa"/>
            </w:tcMar>
            <w:vAlign w:val="bottom"/>
          </w:tcPr>
          <w:p w14:paraId="00C0E313" w14:textId="77777777" w:rsidR="007C1CFF" w:rsidRDefault="007C1CFF">
            <w:pPr>
              <w:keepNext/>
            </w:pPr>
          </w:p>
        </w:tc>
        <w:tc>
          <w:tcPr>
            <w:tcW w:w="765" w:type="dxa"/>
            <w:tcBorders>
              <w:top w:val="nil"/>
              <w:left w:val="nil"/>
              <w:bottom w:val="single" w:sz="8" w:space="0" w:color="000000"/>
              <w:right w:val="nil"/>
            </w:tcBorders>
            <w:tcMar>
              <w:top w:w="0" w:type="dxa"/>
              <w:left w:w="53" w:type="dxa"/>
              <w:bottom w:w="0" w:type="dxa"/>
              <w:right w:w="53" w:type="dxa"/>
            </w:tcMar>
            <w:vAlign w:val="bottom"/>
          </w:tcPr>
          <w:p w14:paraId="02D4094D" w14:textId="77777777" w:rsidR="007C1CFF" w:rsidRDefault="00000000">
            <w:pPr>
              <w:keepNext/>
              <w:spacing w:before="75" w:after="30"/>
              <w:jc w:val="center"/>
            </w:pPr>
            <w:r>
              <w:rPr>
                <w:color w:val="000000"/>
                <w:sz w:val="20"/>
              </w:rPr>
              <w:t>Asset Class</w:t>
            </w:r>
          </w:p>
        </w:tc>
        <w:tc>
          <w:tcPr>
            <w:tcW w:w="60" w:type="dxa"/>
            <w:tcBorders>
              <w:top w:val="nil"/>
              <w:left w:val="nil"/>
              <w:bottom w:val="nil"/>
              <w:right w:val="nil"/>
            </w:tcBorders>
            <w:tcMar>
              <w:top w:w="0" w:type="dxa"/>
              <w:left w:w="0" w:type="dxa"/>
              <w:bottom w:w="0" w:type="dxa"/>
              <w:right w:w="0" w:type="dxa"/>
            </w:tcMar>
            <w:vAlign w:val="bottom"/>
          </w:tcPr>
          <w:p w14:paraId="1B7587B2" w14:textId="77777777" w:rsidR="007C1CFF" w:rsidRDefault="007C1CFF">
            <w:pPr>
              <w:keepNext/>
            </w:pPr>
          </w:p>
        </w:tc>
        <w:tc>
          <w:tcPr>
            <w:tcW w:w="1245" w:type="dxa"/>
            <w:tcBorders>
              <w:top w:val="nil"/>
              <w:left w:val="nil"/>
              <w:bottom w:val="single" w:sz="8" w:space="0" w:color="000000"/>
              <w:right w:val="nil"/>
            </w:tcBorders>
            <w:tcMar>
              <w:top w:w="0" w:type="dxa"/>
              <w:left w:w="53" w:type="dxa"/>
              <w:bottom w:w="0" w:type="dxa"/>
              <w:right w:w="53" w:type="dxa"/>
            </w:tcMar>
            <w:vAlign w:val="bottom"/>
          </w:tcPr>
          <w:p w14:paraId="06E389E6" w14:textId="77777777" w:rsidR="007C1CFF" w:rsidRDefault="00000000">
            <w:pPr>
              <w:keepNext/>
              <w:spacing w:before="75" w:after="30"/>
              <w:jc w:val="center"/>
            </w:pPr>
            <w:r>
              <w:rPr>
                <w:color w:val="000000"/>
                <w:sz w:val="20"/>
              </w:rPr>
              <w:t>Net Proceeds</w:t>
            </w:r>
          </w:p>
        </w:tc>
        <w:tc>
          <w:tcPr>
            <w:tcW w:w="60" w:type="dxa"/>
            <w:tcBorders>
              <w:top w:val="nil"/>
              <w:left w:val="nil"/>
              <w:bottom w:val="nil"/>
              <w:right w:val="nil"/>
            </w:tcBorders>
            <w:tcMar>
              <w:top w:w="0" w:type="dxa"/>
              <w:left w:w="0" w:type="dxa"/>
              <w:bottom w:w="0" w:type="dxa"/>
              <w:right w:w="0" w:type="dxa"/>
            </w:tcMar>
            <w:vAlign w:val="bottom"/>
          </w:tcPr>
          <w:p w14:paraId="622DF9A8" w14:textId="77777777" w:rsidR="007C1CFF" w:rsidRDefault="007C1CFF">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14:paraId="18CF93F6" w14:textId="77777777" w:rsidR="007C1CFF" w:rsidRDefault="00000000">
            <w:pPr>
              <w:keepNext/>
              <w:spacing w:before="75" w:after="30"/>
              <w:jc w:val="center"/>
            </w:pPr>
            <w:r>
              <w:rPr>
                <w:color w:val="000000"/>
                <w:sz w:val="20"/>
              </w:rPr>
              <w:t>Net Real Estate Investment</w:t>
            </w:r>
          </w:p>
        </w:tc>
        <w:tc>
          <w:tcPr>
            <w:tcW w:w="60" w:type="dxa"/>
            <w:tcBorders>
              <w:top w:val="nil"/>
              <w:left w:val="nil"/>
              <w:bottom w:val="nil"/>
              <w:right w:val="nil"/>
            </w:tcBorders>
            <w:tcMar>
              <w:top w:w="0" w:type="dxa"/>
              <w:left w:w="0" w:type="dxa"/>
              <w:bottom w:w="0" w:type="dxa"/>
              <w:right w:w="0" w:type="dxa"/>
            </w:tcMar>
            <w:vAlign w:val="bottom"/>
          </w:tcPr>
          <w:p w14:paraId="6E6C1224" w14:textId="77777777" w:rsidR="007C1CFF" w:rsidRDefault="007C1CFF">
            <w:pPr>
              <w:keepNext/>
            </w:pPr>
          </w:p>
        </w:tc>
        <w:tc>
          <w:tcPr>
            <w:tcW w:w="1575" w:type="dxa"/>
            <w:tcBorders>
              <w:top w:val="nil"/>
              <w:left w:val="nil"/>
              <w:bottom w:val="single" w:sz="8" w:space="0" w:color="000000"/>
              <w:right w:val="nil"/>
            </w:tcBorders>
            <w:tcMar>
              <w:top w:w="0" w:type="dxa"/>
              <w:left w:w="53" w:type="dxa"/>
              <w:bottom w:w="0" w:type="dxa"/>
              <w:right w:w="53" w:type="dxa"/>
            </w:tcMar>
            <w:vAlign w:val="bottom"/>
          </w:tcPr>
          <w:p w14:paraId="4300DDBF" w14:textId="77777777" w:rsidR="007C1CFF" w:rsidRDefault="00000000">
            <w:pPr>
              <w:keepNext/>
              <w:spacing w:before="75" w:after="30"/>
              <w:jc w:val="center"/>
              <w:rPr>
                <w:sz w:val="20"/>
              </w:rPr>
            </w:pPr>
            <w:r>
              <w:rPr>
                <w:sz w:val="20"/>
              </w:rPr>
              <w:t>Gain/(Impairment)</w:t>
            </w:r>
            <w:r>
              <w:rPr>
                <w:sz w:val="20"/>
                <w:vertAlign w:val="superscript"/>
              </w:rPr>
              <w:t>2</w:t>
            </w:r>
          </w:p>
        </w:tc>
      </w:tr>
      <w:tr w:rsidR="007C1CFF" w14:paraId="3DC37EA7" w14:textId="77777777">
        <w:trPr>
          <w:cantSplit/>
          <w:trHeight w:hRule="exact" w:val="255"/>
        </w:trPr>
        <w:tc>
          <w:tcPr>
            <w:tcW w:w="3525" w:type="dxa"/>
            <w:tcBorders>
              <w:top w:val="single" w:sz="8" w:space="0" w:color="000000"/>
              <w:left w:val="nil"/>
              <w:bottom w:val="nil"/>
              <w:right w:val="nil"/>
            </w:tcBorders>
            <w:tcMar>
              <w:top w:w="0" w:type="dxa"/>
              <w:left w:w="53" w:type="dxa"/>
              <w:bottom w:w="0" w:type="dxa"/>
              <w:right w:w="53" w:type="dxa"/>
            </w:tcMar>
            <w:vAlign w:val="bottom"/>
          </w:tcPr>
          <w:p w14:paraId="4496A9DC" w14:textId="77777777" w:rsidR="007C1CFF" w:rsidRDefault="00000000">
            <w:pPr>
              <w:keepNext/>
              <w:spacing w:before="55" w:after="30"/>
            </w:pPr>
            <w:r>
              <w:rPr>
                <w:color w:val="000000"/>
                <w:sz w:val="20"/>
              </w:rPr>
              <w:t>Hospital Corporation of America</w:t>
            </w:r>
          </w:p>
        </w:tc>
        <w:tc>
          <w:tcPr>
            <w:tcW w:w="60" w:type="dxa"/>
            <w:tcBorders>
              <w:top w:val="nil"/>
              <w:left w:val="nil"/>
              <w:bottom w:val="nil"/>
              <w:right w:val="nil"/>
            </w:tcBorders>
            <w:tcMar>
              <w:top w:w="0" w:type="dxa"/>
              <w:left w:w="0" w:type="dxa"/>
              <w:bottom w:w="0" w:type="dxa"/>
              <w:right w:w="0" w:type="dxa"/>
            </w:tcMar>
            <w:vAlign w:val="bottom"/>
          </w:tcPr>
          <w:p w14:paraId="62FF4273" w14:textId="77777777" w:rsidR="007C1CFF" w:rsidRDefault="007C1CFF">
            <w:pPr>
              <w:keepNext/>
            </w:pPr>
          </w:p>
        </w:tc>
        <w:tc>
          <w:tcPr>
            <w:tcW w:w="885" w:type="dxa"/>
            <w:tcBorders>
              <w:top w:val="single" w:sz="8" w:space="0" w:color="000000"/>
              <w:left w:val="nil"/>
              <w:bottom w:val="nil"/>
              <w:right w:val="nil"/>
            </w:tcBorders>
            <w:tcMar>
              <w:top w:w="0" w:type="dxa"/>
              <w:left w:w="53" w:type="dxa"/>
              <w:bottom w:w="0" w:type="dxa"/>
              <w:right w:w="53" w:type="dxa"/>
            </w:tcMar>
            <w:vAlign w:val="bottom"/>
          </w:tcPr>
          <w:p w14:paraId="75A51455" w14:textId="77777777" w:rsidR="007C1CFF" w:rsidRDefault="00000000">
            <w:pPr>
              <w:keepNext/>
              <w:spacing w:before="55" w:after="30"/>
              <w:jc w:val="center"/>
            </w:pPr>
            <w:r>
              <w:rPr>
                <w:color w:val="000000"/>
                <w:sz w:val="20"/>
              </w:rPr>
              <w:t>Q1 2022</w:t>
            </w:r>
          </w:p>
        </w:tc>
        <w:tc>
          <w:tcPr>
            <w:tcW w:w="60" w:type="dxa"/>
            <w:tcBorders>
              <w:top w:val="nil"/>
              <w:left w:val="nil"/>
              <w:bottom w:val="nil"/>
              <w:right w:val="nil"/>
            </w:tcBorders>
            <w:tcMar>
              <w:top w:w="0" w:type="dxa"/>
              <w:left w:w="0" w:type="dxa"/>
              <w:bottom w:w="0" w:type="dxa"/>
              <w:right w:w="0" w:type="dxa"/>
            </w:tcMar>
            <w:vAlign w:val="bottom"/>
          </w:tcPr>
          <w:p w14:paraId="590A09EC" w14:textId="77777777" w:rsidR="007C1CFF" w:rsidRDefault="007C1CFF">
            <w:pPr>
              <w:keepNext/>
            </w:pPr>
          </w:p>
        </w:tc>
        <w:tc>
          <w:tcPr>
            <w:tcW w:w="945" w:type="dxa"/>
            <w:tcBorders>
              <w:top w:val="single" w:sz="8" w:space="0" w:color="000000"/>
              <w:left w:val="nil"/>
              <w:bottom w:val="nil"/>
              <w:right w:val="nil"/>
            </w:tcBorders>
            <w:tcMar>
              <w:top w:w="0" w:type="dxa"/>
              <w:left w:w="53" w:type="dxa"/>
              <w:bottom w:w="0" w:type="dxa"/>
              <w:right w:w="15" w:type="dxa"/>
            </w:tcMar>
            <w:vAlign w:val="bottom"/>
          </w:tcPr>
          <w:p w14:paraId="712B851D" w14:textId="77777777" w:rsidR="007C1CFF" w:rsidRDefault="00000000">
            <w:pPr>
              <w:keepNext/>
              <w:spacing w:before="55" w:after="30"/>
              <w:jc w:val="center"/>
            </w:pPr>
            <w:r>
              <w:rPr>
                <w:color w:val="000000"/>
                <w:sz w:val="20"/>
              </w:rPr>
              <w:t>1</w:t>
            </w:r>
          </w:p>
        </w:tc>
        <w:tc>
          <w:tcPr>
            <w:tcW w:w="60" w:type="dxa"/>
            <w:tcBorders>
              <w:top w:val="nil"/>
              <w:left w:val="nil"/>
              <w:bottom w:val="nil"/>
              <w:right w:val="nil"/>
            </w:tcBorders>
            <w:tcMar>
              <w:top w:w="0" w:type="dxa"/>
              <w:left w:w="0" w:type="dxa"/>
              <w:bottom w:w="0" w:type="dxa"/>
              <w:right w:w="0" w:type="dxa"/>
            </w:tcMar>
            <w:vAlign w:val="bottom"/>
          </w:tcPr>
          <w:p w14:paraId="2D9E9655" w14:textId="77777777" w:rsidR="007C1CFF" w:rsidRDefault="007C1CFF">
            <w:pPr>
              <w:keepNext/>
            </w:pPr>
          </w:p>
        </w:tc>
        <w:tc>
          <w:tcPr>
            <w:tcW w:w="765" w:type="dxa"/>
            <w:tcBorders>
              <w:top w:val="single" w:sz="8" w:space="0" w:color="000000"/>
              <w:left w:val="nil"/>
              <w:bottom w:val="nil"/>
              <w:right w:val="nil"/>
            </w:tcBorders>
            <w:tcMar>
              <w:top w:w="0" w:type="dxa"/>
              <w:left w:w="53" w:type="dxa"/>
              <w:bottom w:w="0" w:type="dxa"/>
              <w:right w:w="53" w:type="dxa"/>
            </w:tcMar>
            <w:vAlign w:val="bottom"/>
          </w:tcPr>
          <w:p w14:paraId="37FA0AD4" w14:textId="77777777" w:rsidR="007C1CFF" w:rsidRDefault="00000000">
            <w:pPr>
              <w:keepNext/>
              <w:spacing w:before="55" w:after="30"/>
              <w:jc w:val="center"/>
            </w:pPr>
            <w:r>
              <w:rPr>
                <w:color w:val="000000"/>
                <w:sz w:val="20"/>
              </w:rPr>
              <w:t>MOB</w:t>
            </w:r>
          </w:p>
        </w:tc>
        <w:tc>
          <w:tcPr>
            <w:tcW w:w="60" w:type="dxa"/>
            <w:tcBorders>
              <w:top w:val="nil"/>
              <w:left w:val="nil"/>
              <w:bottom w:val="nil"/>
              <w:right w:val="nil"/>
            </w:tcBorders>
            <w:tcMar>
              <w:top w:w="0" w:type="dxa"/>
              <w:left w:w="0" w:type="dxa"/>
              <w:bottom w:w="0" w:type="dxa"/>
              <w:right w:w="0" w:type="dxa"/>
            </w:tcMar>
            <w:vAlign w:val="bottom"/>
          </w:tcPr>
          <w:p w14:paraId="0E7E3997" w14:textId="77777777" w:rsidR="007C1CFF" w:rsidRDefault="007C1CFF">
            <w:pPr>
              <w:keepNext/>
            </w:pPr>
          </w:p>
        </w:tc>
        <w:tc>
          <w:tcPr>
            <w:tcW w:w="1245" w:type="dxa"/>
            <w:tcBorders>
              <w:top w:val="single" w:sz="8" w:space="0" w:color="000000"/>
              <w:left w:val="nil"/>
              <w:bottom w:val="nil"/>
              <w:right w:val="nil"/>
            </w:tcBorders>
            <w:tcMar>
              <w:top w:w="0" w:type="dxa"/>
              <w:left w:w="0" w:type="dxa"/>
              <w:bottom w:w="0" w:type="dxa"/>
              <w:right w:w="15" w:type="dxa"/>
            </w:tcMar>
            <w:vAlign w:val="bottom"/>
          </w:tcPr>
          <w:p w14:paraId="1B740FC7" w14:textId="77777777" w:rsidR="007C1CFF" w:rsidRDefault="00000000">
            <w:pPr>
              <w:keepNext/>
              <w:tabs>
                <w:tab w:val="left" w:pos="662"/>
                <w:tab w:val="left" w:pos="1177"/>
              </w:tabs>
              <w:spacing w:before="55" w:after="30"/>
              <w:jc w:val="right"/>
            </w:pPr>
            <w:r>
              <w:rPr>
                <w:color w:val="000000"/>
                <w:sz w:val="20"/>
              </w:rPr>
              <w:t>$</w:t>
            </w:r>
            <w:r>
              <w:rPr>
                <w:color w:val="000000"/>
                <w:sz w:val="20"/>
              </w:rPr>
              <w:tab/>
              <w:t>4,868</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4E8E086E" w14:textId="77777777" w:rsidR="007C1CFF" w:rsidRDefault="007C1CFF">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14:paraId="39E63436" w14:textId="77777777" w:rsidR="007C1CFF" w:rsidRDefault="00000000">
            <w:pPr>
              <w:keepNext/>
              <w:tabs>
                <w:tab w:val="left" w:pos="557"/>
                <w:tab w:val="left" w:pos="1072"/>
              </w:tabs>
              <w:spacing w:before="55" w:after="30"/>
              <w:jc w:val="right"/>
            </w:pPr>
            <w:r>
              <w:rPr>
                <w:color w:val="000000"/>
                <w:sz w:val="20"/>
              </w:rPr>
              <w:t>$</w:t>
            </w:r>
            <w:r>
              <w:rPr>
                <w:color w:val="000000"/>
                <w:sz w:val="20"/>
              </w:rPr>
              <w:tab/>
              <w:t>1,904</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4F6DC3B3" w14:textId="77777777" w:rsidR="007C1CFF" w:rsidRDefault="007C1CFF">
            <w:pPr>
              <w:keepNext/>
            </w:pPr>
          </w:p>
        </w:tc>
        <w:tc>
          <w:tcPr>
            <w:tcW w:w="1575" w:type="dxa"/>
            <w:tcBorders>
              <w:top w:val="single" w:sz="8" w:space="0" w:color="000000"/>
              <w:left w:val="nil"/>
              <w:bottom w:val="nil"/>
              <w:right w:val="nil"/>
            </w:tcBorders>
            <w:tcMar>
              <w:top w:w="0" w:type="dxa"/>
              <w:left w:w="0" w:type="dxa"/>
              <w:bottom w:w="0" w:type="dxa"/>
              <w:right w:w="15" w:type="dxa"/>
            </w:tcMar>
            <w:vAlign w:val="bottom"/>
          </w:tcPr>
          <w:p w14:paraId="40F979D4" w14:textId="77777777" w:rsidR="007C1CFF" w:rsidRDefault="00000000">
            <w:pPr>
              <w:keepNext/>
              <w:tabs>
                <w:tab w:val="left" w:pos="992"/>
                <w:tab w:val="left" w:pos="1507"/>
              </w:tabs>
              <w:spacing w:before="55" w:after="30"/>
              <w:jc w:val="right"/>
            </w:pPr>
            <w:r>
              <w:rPr>
                <w:color w:val="000000"/>
                <w:sz w:val="20"/>
              </w:rPr>
              <w:t>$</w:t>
            </w:r>
            <w:r>
              <w:rPr>
                <w:color w:val="000000"/>
                <w:sz w:val="20"/>
              </w:rPr>
              <w:tab/>
              <w:t>2,964</w:t>
            </w:r>
            <w:r>
              <w:rPr>
                <w:color w:val="000000"/>
                <w:sz w:val="20"/>
              </w:rPr>
              <w:tab/>
            </w:r>
          </w:p>
        </w:tc>
      </w:tr>
      <w:tr w:rsidR="007C1CFF" w14:paraId="19767928" w14:textId="77777777">
        <w:trPr>
          <w:cantSplit/>
          <w:trHeight w:hRule="exact" w:val="255"/>
        </w:trPr>
        <w:tc>
          <w:tcPr>
            <w:tcW w:w="3525" w:type="dxa"/>
            <w:tcBorders>
              <w:top w:val="nil"/>
              <w:left w:val="nil"/>
              <w:bottom w:val="nil"/>
              <w:right w:val="nil"/>
            </w:tcBorders>
            <w:tcMar>
              <w:top w:w="0" w:type="dxa"/>
              <w:left w:w="53" w:type="dxa"/>
              <w:bottom w:w="0" w:type="dxa"/>
              <w:right w:w="53" w:type="dxa"/>
            </w:tcMar>
            <w:vAlign w:val="bottom"/>
          </w:tcPr>
          <w:p w14:paraId="0FDE8ED5" w14:textId="77777777" w:rsidR="007C1CFF" w:rsidRDefault="00000000">
            <w:pPr>
              <w:keepNext/>
              <w:spacing w:before="75" w:after="30"/>
              <w:rPr>
                <w:sz w:val="20"/>
              </w:rPr>
            </w:pPr>
            <w:r>
              <w:rPr>
                <w:sz w:val="20"/>
              </w:rPr>
              <w:t>Vitality Senior Living</w:t>
            </w:r>
            <w:r>
              <w:rPr>
                <w:sz w:val="20"/>
                <w:vertAlign w:val="superscript"/>
              </w:rPr>
              <w:t>1</w:t>
            </w:r>
          </w:p>
        </w:tc>
        <w:tc>
          <w:tcPr>
            <w:tcW w:w="60" w:type="dxa"/>
            <w:tcBorders>
              <w:top w:val="nil"/>
              <w:left w:val="nil"/>
              <w:bottom w:val="nil"/>
              <w:right w:val="nil"/>
            </w:tcBorders>
            <w:tcMar>
              <w:top w:w="0" w:type="dxa"/>
              <w:left w:w="0" w:type="dxa"/>
              <w:bottom w:w="0" w:type="dxa"/>
              <w:right w:w="0" w:type="dxa"/>
            </w:tcMar>
            <w:vAlign w:val="bottom"/>
          </w:tcPr>
          <w:p w14:paraId="681A43C3" w14:textId="77777777" w:rsidR="007C1CFF" w:rsidRDefault="007C1CFF">
            <w:pPr>
              <w:keepNext/>
            </w:pPr>
          </w:p>
        </w:tc>
        <w:tc>
          <w:tcPr>
            <w:tcW w:w="885" w:type="dxa"/>
            <w:tcBorders>
              <w:top w:val="nil"/>
              <w:left w:val="nil"/>
              <w:bottom w:val="nil"/>
              <w:right w:val="nil"/>
            </w:tcBorders>
            <w:tcMar>
              <w:top w:w="0" w:type="dxa"/>
              <w:left w:w="53" w:type="dxa"/>
              <w:bottom w:w="0" w:type="dxa"/>
              <w:right w:w="53" w:type="dxa"/>
            </w:tcMar>
            <w:vAlign w:val="bottom"/>
          </w:tcPr>
          <w:p w14:paraId="52A68D7E" w14:textId="77777777" w:rsidR="007C1CFF" w:rsidRDefault="00000000">
            <w:pPr>
              <w:keepNext/>
              <w:spacing w:before="75" w:after="30"/>
              <w:jc w:val="center"/>
            </w:pPr>
            <w:r>
              <w:rPr>
                <w:color w:val="000000"/>
                <w:sz w:val="20"/>
              </w:rPr>
              <w:t>Q1 2022</w:t>
            </w:r>
          </w:p>
        </w:tc>
        <w:tc>
          <w:tcPr>
            <w:tcW w:w="60" w:type="dxa"/>
            <w:tcBorders>
              <w:top w:val="nil"/>
              <w:left w:val="nil"/>
              <w:bottom w:val="nil"/>
              <w:right w:val="nil"/>
            </w:tcBorders>
            <w:tcMar>
              <w:top w:w="0" w:type="dxa"/>
              <w:left w:w="0" w:type="dxa"/>
              <w:bottom w:w="0" w:type="dxa"/>
              <w:right w:w="0" w:type="dxa"/>
            </w:tcMar>
            <w:vAlign w:val="bottom"/>
          </w:tcPr>
          <w:p w14:paraId="5A8F0C10" w14:textId="77777777" w:rsidR="007C1CFF" w:rsidRDefault="007C1CFF">
            <w:pPr>
              <w:keepNext/>
            </w:pPr>
          </w:p>
        </w:tc>
        <w:tc>
          <w:tcPr>
            <w:tcW w:w="945" w:type="dxa"/>
            <w:tcBorders>
              <w:top w:val="nil"/>
              <w:left w:val="nil"/>
              <w:bottom w:val="nil"/>
              <w:right w:val="nil"/>
            </w:tcBorders>
            <w:tcMar>
              <w:top w:w="0" w:type="dxa"/>
              <w:left w:w="53" w:type="dxa"/>
              <w:bottom w:w="0" w:type="dxa"/>
              <w:right w:w="15" w:type="dxa"/>
            </w:tcMar>
            <w:vAlign w:val="bottom"/>
          </w:tcPr>
          <w:p w14:paraId="3CCEB43B" w14:textId="77777777" w:rsidR="007C1CFF" w:rsidRDefault="00000000">
            <w:pPr>
              <w:keepNext/>
              <w:spacing w:before="75" w:after="30"/>
              <w:jc w:val="center"/>
            </w:pPr>
            <w:r>
              <w:rPr>
                <w:color w:val="000000"/>
                <w:sz w:val="20"/>
              </w:rPr>
              <w:t>1</w:t>
            </w:r>
          </w:p>
        </w:tc>
        <w:tc>
          <w:tcPr>
            <w:tcW w:w="60" w:type="dxa"/>
            <w:tcBorders>
              <w:top w:val="nil"/>
              <w:left w:val="nil"/>
              <w:bottom w:val="nil"/>
              <w:right w:val="nil"/>
            </w:tcBorders>
            <w:tcMar>
              <w:top w:w="0" w:type="dxa"/>
              <w:left w:w="0" w:type="dxa"/>
              <w:bottom w:w="0" w:type="dxa"/>
              <w:right w:w="0" w:type="dxa"/>
            </w:tcMar>
            <w:vAlign w:val="bottom"/>
          </w:tcPr>
          <w:p w14:paraId="60E4FCEB" w14:textId="77777777" w:rsidR="007C1CFF" w:rsidRDefault="007C1CFF">
            <w:pPr>
              <w:keepNext/>
            </w:pPr>
          </w:p>
        </w:tc>
        <w:tc>
          <w:tcPr>
            <w:tcW w:w="765" w:type="dxa"/>
            <w:tcBorders>
              <w:top w:val="nil"/>
              <w:left w:val="nil"/>
              <w:bottom w:val="nil"/>
              <w:right w:val="nil"/>
            </w:tcBorders>
            <w:tcMar>
              <w:top w:w="0" w:type="dxa"/>
              <w:left w:w="53" w:type="dxa"/>
              <w:bottom w:w="0" w:type="dxa"/>
              <w:right w:w="53" w:type="dxa"/>
            </w:tcMar>
            <w:vAlign w:val="bottom"/>
          </w:tcPr>
          <w:p w14:paraId="4BC7BA22" w14:textId="77777777" w:rsidR="007C1CFF" w:rsidRDefault="00000000">
            <w:pPr>
              <w:keepNext/>
              <w:spacing w:before="75" w:after="30"/>
              <w:jc w:val="center"/>
            </w:pPr>
            <w:r>
              <w:rPr>
                <w:color w:val="000000"/>
                <w:sz w:val="20"/>
              </w:rPr>
              <w:t>SLC</w:t>
            </w:r>
          </w:p>
        </w:tc>
        <w:tc>
          <w:tcPr>
            <w:tcW w:w="60" w:type="dxa"/>
            <w:tcBorders>
              <w:top w:val="nil"/>
              <w:left w:val="nil"/>
              <w:bottom w:val="nil"/>
              <w:right w:val="nil"/>
            </w:tcBorders>
            <w:tcMar>
              <w:top w:w="0" w:type="dxa"/>
              <w:left w:w="0" w:type="dxa"/>
              <w:bottom w:w="0" w:type="dxa"/>
              <w:right w:w="0" w:type="dxa"/>
            </w:tcMar>
            <w:vAlign w:val="bottom"/>
          </w:tcPr>
          <w:p w14:paraId="483C805E" w14:textId="77777777" w:rsidR="007C1CFF" w:rsidRDefault="007C1CFF">
            <w:pPr>
              <w:keepNext/>
            </w:pPr>
          </w:p>
        </w:tc>
        <w:tc>
          <w:tcPr>
            <w:tcW w:w="1245" w:type="dxa"/>
            <w:tcBorders>
              <w:top w:val="nil"/>
              <w:left w:val="nil"/>
              <w:bottom w:val="nil"/>
              <w:right w:val="nil"/>
            </w:tcBorders>
            <w:tcMar>
              <w:top w:w="0" w:type="dxa"/>
              <w:left w:w="0" w:type="dxa"/>
              <w:bottom w:w="0" w:type="dxa"/>
              <w:right w:w="15" w:type="dxa"/>
            </w:tcMar>
            <w:vAlign w:val="bottom"/>
          </w:tcPr>
          <w:p w14:paraId="54158411" w14:textId="77777777" w:rsidR="007C1CFF" w:rsidRDefault="00000000">
            <w:pPr>
              <w:keepNext/>
              <w:tabs>
                <w:tab w:val="left" w:pos="662"/>
                <w:tab w:val="left" w:pos="1177"/>
              </w:tabs>
              <w:spacing w:before="75" w:after="30"/>
              <w:jc w:val="right"/>
            </w:pPr>
            <w:r>
              <w:rPr>
                <w:color w:val="000000"/>
                <w:sz w:val="20"/>
              </w:rPr>
              <w:tab/>
              <w:t>8,302</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58786BEC" w14:textId="77777777" w:rsidR="007C1CFF" w:rsidRDefault="007C1CFF">
            <w:pPr>
              <w:keepNext/>
            </w:pPr>
          </w:p>
        </w:tc>
        <w:tc>
          <w:tcPr>
            <w:tcW w:w="1140" w:type="dxa"/>
            <w:tcBorders>
              <w:top w:val="nil"/>
              <w:left w:val="nil"/>
              <w:bottom w:val="nil"/>
              <w:right w:val="nil"/>
            </w:tcBorders>
            <w:tcMar>
              <w:top w:w="0" w:type="dxa"/>
              <w:left w:w="0" w:type="dxa"/>
              <w:bottom w:w="0" w:type="dxa"/>
              <w:right w:w="15" w:type="dxa"/>
            </w:tcMar>
            <w:vAlign w:val="bottom"/>
          </w:tcPr>
          <w:p w14:paraId="1ED11E38" w14:textId="77777777" w:rsidR="007C1CFF" w:rsidRDefault="00000000">
            <w:pPr>
              <w:keepNext/>
              <w:tabs>
                <w:tab w:val="left" w:pos="557"/>
                <w:tab w:val="left" w:pos="1072"/>
              </w:tabs>
              <w:spacing w:before="75" w:after="30"/>
              <w:jc w:val="right"/>
            </w:pPr>
            <w:r>
              <w:rPr>
                <w:color w:val="000000"/>
                <w:sz w:val="20"/>
              </w:rPr>
              <w:tab/>
              <w:t>8,285</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578109E2" w14:textId="77777777" w:rsidR="007C1CFF" w:rsidRDefault="007C1CFF">
            <w:pPr>
              <w:keepNext/>
            </w:pPr>
          </w:p>
        </w:tc>
        <w:tc>
          <w:tcPr>
            <w:tcW w:w="1575" w:type="dxa"/>
            <w:tcBorders>
              <w:top w:val="nil"/>
              <w:left w:val="nil"/>
              <w:bottom w:val="nil"/>
              <w:right w:val="nil"/>
            </w:tcBorders>
            <w:tcMar>
              <w:top w:w="0" w:type="dxa"/>
              <w:left w:w="0" w:type="dxa"/>
              <w:bottom w:w="0" w:type="dxa"/>
              <w:right w:w="15" w:type="dxa"/>
            </w:tcMar>
            <w:vAlign w:val="bottom"/>
          </w:tcPr>
          <w:p w14:paraId="0C64FE25" w14:textId="77777777" w:rsidR="007C1CFF" w:rsidRDefault="00000000">
            <w:pPr>
              <w:keepNext/>
              <w:tabs>
                <w:tab w:val="left" w:pos="1242"/>
                <w:tab w:val="left" w:pos="1507"/>
              </w:tabs>
              <w:spacing w:before="75" w:after="30"/>
              <w:jc w:val="right"/>
            </w:pPr>
            <w:r>
              <w:rPr>
                <w:color w:val="000000"/>
                <w:sz w:val="20"/>
              </w:rPr>
              <w:tab/>
              <w:t>17</w:t>
            </w:r>
            <w:r>
              <w:rPr>
                <w:color w:val="000000"/>
                <w:sz w:val="20"/>
              </w:rPr>
              <w:tab/>
            </w:r>
          </w:p>
        </w:tc>
      </w:tr>
      <w:tr w:rsidR="007C1CFF" w14:paraId="598DF1A1" w14:textId="77777777">
        <w:trPr>
          <w:cantSplit/>
          <w:trHeight w:hRule="exact" w:val="255"/>
        </w:trPr>
        <w:tc>
          <w:tcPr>
            <w:tcW w:w="3525" w:type="dxa"/>
            <w:tcBorders>
              <w:top w:val="nil"/>
              <w:left w:val="nil"/>
              <w:bottom w:val="nil"/>
              <w:right w:val="nil"/>
            </w:tcBorders>
            <w:tcMar>
              <w:top w:w="0" w:type="dxa"/>
              <w:left w:w="53" w:type="dxa"/>
              <w:bottom w:w="0" w:type="dxa"/>
              <w:right w:w="53" w:type="dxa"/>
            </w:tcMar>
            <w:vAlign w:val="bottom"/>
          </w:tcPr>
          <w:p w14:paraId="7112B158" w14:textId="77777777" w:rsidR="007C1CFF" w:rsidRDefault="00000000">
            <w:pPr>
              <w:keepNext/>
              <w:spacing w:before="75" w:after="30"/>
              <w:rPr>
                <w:sz w:val="20"/>
              </w:rPr>
            </w:pPr>
            <w:r>
              <w:rPr>
                <w:sz w:val="20"/>
              </w:rPr>
              <w:t>Holiday</w:t>
            </w:r>
            <w:r>
              <w:rPr>
                <w:sz w:val="20"/>
                <w:vertAlign w:val="superscript"/>
              </w:rPr>
              <w:t>1</w:t>
            </w:r>
          </w:p>
        </w:tc>
        <w:tc>
          <w:tcPr>
            <w:tcW w:w="60" w:type="dxa"/>
            <w:tcBorders>
              <w:top w:val="nil"/>
              <w:left w:val="nil"/>
              <w:bottom w:val="nil"/>
              <w:right w:val="nil"/>
            </w:tcBorders>
            <w:tcMar>
              <w:top w:w="0" w:type="dxa"/>
              <w:left w:w="0" w:type="dxa"/>
              <w:bottom w:w="0" w:type="dxa"/>
              <w:right w:w="0" w:type="dxa"/>
            </w:tcMar>
            <w:vAlign w:val="bottom"/>
          </w:tcPr>
          <w:p w14:paraId="752A778C" w14:textId="77777777" w:rsidR="007C1CFF" w:rsidRDefault="007C1CFF">
            <w:pPr>
              <w:keepNext/>
            </w:pPr>
          </w:p>
        </w:tc>
        <w:tc>
          <w:tcPr>
            <w:tcW w:w="885" w:type="dxa"/>
            <w:tcBorders>
              <w:top w:val="nil"/>
              <w:left w:val="nil"/>
              <w:bottom w:val="nil"/>
              <w:right w:val="nil"/>
            </w:tcBorders>
            <w:tcMar>
              <w:top w:w="0" w:type="dxa"/>
              <w:left w:w="53" w:type="dxa"/>
              <w:bottom w:w="0" w:type="dxa"/>
              <w:right w:w="53" w:type="dxa"/>
            </w:tcMar>
            <w:vAlign w:val="bottom"/>
          </w:tcPr>
          <w:p w14:paraId="79393C5A" w14:textId="77777777" w:rsidR="007C1CFF" w:rsidRDefault="00000000">
            <w:pPr>
              <w:keepNext/>
              <w:spacing w:before="75" w:after="30"/>
              <w:jc w:val="center"/>
            </w:pPr>
            <w:r>
              <w:rPr>
                <w:color w:val="000000"/>
                <w:sz w:val="20"/>
              </w:rPr>
              <w:t>Q2 2022</w:t>
            </w:r>
          </w:p>
        </w:tc>
        <w:tc>
          <w:tcPr>
            <w:tcW w:w="60" w:type="dxa"/>
            <w:tcBorders>
              <w:top w:val="nil"/>
              <w:left w:val="nil"/>
              <w:bottom w:val="nil"/>
              <w:right w:val="nil"/>
            </w:tcBorders>
            <w:tcMar>
              <w:top w:w="0" w:type="dxa"/>
              <w:left w:w="0" w:type="dxa"/>
              <w:bottom w:w="0" w:type="dxa"/>
              <w:right w:w="0" w:type="dxa"/>
            </w:tcMar>
            <w:vAlign w:val="bottom"/>
          </w:tcPr>
          <w:p w14:paraId="23CD4AB3" w14:textId="77777777" w:rsidR="007C1CFF" w:rsidRDefault="007C1CFF">
            <w:pPr>
              <w:keepNext/>
            </w:pPr>
          </w:p>
        </w:tc>
        <w:tc>
          <w:tcPr>
            <w:tcW w:w="945" w:type="dxa"/>
            <w:tcBorders>
              <w:top w:val="nil"/>
              <w:left w:val="nil"/>
              <w:bottom w:val="nil"/>
              <w:right w:val="nil"/>
            </w:tcBorders>
            <w:tcMar>
              <w:top w:w="0" w:type="dxa"/>
              <w:left w:w="53" w:type="dxa"/>
              <w:bottom w:w="0" w:type="dxa"/>
              <w:right w:w="53" w:type="dxa"/>
            </w:tcMar>
            <w:vAlign w:val="bottom"/>
          </w:tcPr>
          <w:p w14:paraId="15B76E33" w14:textId="77777777" w:rsidR="007C1CFF" w:rsidRDefault="00000000">
            <w:pPr>
              <w:keepNext/>
              <w:spacing w:before="75" w:after="30"/>
              <w:jc w:val="center"/>
            </w:pPr>
            <w:r>
              <w:rPr>
                <w:color w:val="000000"/>
                <w:sz w:val="20"/>
              </w:rPr>
              <w:t>1</w:t>
            </w:r>
          </w:p>
        </w:tc>
        <w:tc>
          <w:tcPr>
            <w:tcW w:w="60" w:type="dxa"/>
            <w:tcBorders>
              <w:top w:val="nil"/>
              <w:left w:val="nil"/>
              <w:bottom w:val="nil"/>
              <w:right w:val="nil"/>
            </w:tcBorders>
            <w:tcMar>
              <w:top w:w="0" w:type="dxa"/>
              <w:left w:w="0" w:type="dxa"/>
              <w:bottom w:w="0" w:type="dxa"/>
              <w:right w:w="0" w:type="dxa"/>
            </w:tcMar>
            <w:vAlign w:val="bottom"/>
          </w:tcPr>
          <w:p w14:paraId="390B64B5" w14:textId="77777777" w:rsidR="007C1CFF" w:rsidRDefault="007C1CFF">
            <w:pPr>
              <w:keepNext/>
            </w:pPr>
          </w:p>
        </w:tc>
        <w:tc>
          <w:tcPr>
            <w:tcW w:w="765" w:type="dxa"/>
            <w:tcBorders>
              <w:top w:val="nil"/>
              <w:left w:val="nil"/>
              <w:bottom w:val="nil"/>
              <w:right w:val="nil"/>
            </w:tcBorders>
            <w:tcMar>
              <w:top w:w="0" w:type="dxa"/>
              <w:left w:w="53" w:type="dxa"/>
              <w:bottom w:w="0" w:type="dxa"/>
              <w:right w:w="53" w:type="dxa"/>
            </w:tcMar>
            <w:vAlign w:val="bottom"/>
          </w:tcPr>
          <w:p w14:paraId="052346DA" w14:textId="77777777" w:rsidR="007C1CFF" w:rsidRDefault="00000000">
            <w:pPr>
              <w:keepNext/>
              <w:spacing w:before="75" w:after="30"/>
              <w:jc w:val="center"/>
            </w:pPr>
            <w:r>
              <w:rPr>
                <w:color w:val="000000"/>
                <w:sz w:val="20"/>
              </w:rPr>
              <w:t>ILF</w:t>
            </w:r>
          </w:p>
        </w:tc>
        <w:tc>
          <w:tcPr>
            <w:tcW w:w="60" w:type="dxa"/>
            <w:tcBorders>
              <w:top w:val="nil"/>
              <w:left w:val="nil"/>
              <w:bottom w:val="nil"/>
              <w:right w:val="nil"/>
            </w:tcBorders>
            <w:tcMar>
              <w:top w:w="0" w:type="dxa"/>
              <w:left w:w="0" w:type="dxa"/>
              <w:bottom w:w="0" w:type="dxa"/>
              <w:right w:w="0" w:type="dxa"/>
            </w:tcMar>
            <w:vAlign w:val="bottom"/>
          </w:tcPr>
          <w:p w14:paraId="3561DD88" w14:textId="77777777" w:rsidR="007C1CFF" w:rsidRDefault="007C1CFF">
            <w:pPr>
              <w:keepNext/>
            </w:pPr>
          </w:p>
        </w:tc>
        <w:tc>
          <w:tcPr>
            <w:tcW w:w="1245" w:type="dxa"/>
            <w:tcBorders>
              <w:top w:val="nil"/>
              <w:left w:val="nil"/>
              <w:bottom w:val="nil"/>
              <w:right w:val="nil"/>
            </w:tcBorders>
            <w:tcMar>
              <w:top w:w="0" w:type="dxa"/>
              <w:left w:w="0" w:type="dxa"/>
              <w:bottom w:w="0" w:type="dxa"/>
              <w:right w:w="15" w:type="dxa"/>
            </w:tcMar>
            <w:vAlign w:val="bottom"/>
          </w:tcPr>
          <w:p w14:paraId="067C7710" w14:textId="77777777" w:rsidR="007C1CFF" w:rsidRDefault="00000000">
            <w:pPr>
              <w:keepNext/>
              <w:tabs>
                <w:tab w:val="left" w:pos="662"/>
                <w:tab w:val="left" w:pos="1177"/>
              </w:tabs>
              <w:spacing w:before="75" w:after="30"/>
              <w:jc w:val="right"/>
            </w:pPr>
            <w:r>
              <w:rPr>
                <w:color w:val="000000"/>
                <w:sz w:val="20"/>
              </w:rPr>
              <w:tab/>
              <w:t>2,990</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FF04D51" w14:textId="77777777" w:rsidR="007C1CFF" w:rsidRDefault="007C1CFF">
            <w:pPr>
              <w:keepNext/>
            </w:pPr>
          </w:p>
        </w:tc>
        <w:tc>
          <w:tcPr>
            <w:tcW w:w="1140" w:type="dxa"/>
            <w:tcBorders>
              <w:top w:val="nil"/>
              <w:left w:val="nil"/>
              <w:bottom w:val="nil"/>
              <w:right w:val="nil"/>
            </w:tcBorders>
            <w:tcMar>
              <w:top w:w="0" w:type="dxa"/>
              <w:left w:w="0" w:type="dxa"/>
              <w:bottom w:w="0" w:type="dxa"/>
              <w:right w:w="15" w:type="dxa"/>
            </w:tcMar>
            <w:vAlign w:val="bottom"/>
          </w:tcPr>
          <w:p w14:paraId="70D31894" w14:textId="77777777" w:rsidR="007C1CFF" w:rsidRDefault="00000000">
            <w:pPr>
              <w:keepNext/>
              <w:tabs>
                <w:tab w:val="left" w:pos="557"/>
                <w:tab w:val="left" w:pos="1072"/>
              </w:tabs>
              <w:spacing w:before="75" w:after="30"/>
              <w:jc w:val="right"/>
            </w:pPr>
            <w:r>
              <w:rPr>
                <w:color w:val="000000"/>
                <w:sz w:val="20"/>
              </w:rPr>
              <w:tab/>
              <w:t>3,020</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D62E537" w14:textId="77777777" w:rsidR="007C1CFF" w:rsidRDefault="007C1CFF">
            <w:pPr>
              <w:keepNext/>
            </w:pPr>
          </w:p>
        </w:tc>
        <w:tc>
          <w:tcPr>
            <w:tcW w:w="1575" w:type="dxa"/>
            <w:tcBorders>
              <w:top w:val="nil"/>
              <w:left w:val="nil"/>
              <w:bottom w:val="nil"/>
              <w:right w:val="nil"/>
            </w:tcBorders>
            <w:tcMar>
              <w:top w:w="0" w:type="dxa"/>
              <w:left w:w="0" w:type="dxa"/>
              <w:bottom w:w="0" w:type="dxa"/>
              <w:right w:w="15" w:type="dxa"/>
            </w:tcMar>
            <w:vAlign w:val="bottom"/>
          </w:tcPr>
          <w:p w14:paraId="06006E23" w14:textId="77777777" w:rsidR="007C1CFF" w:rsidRDefault="00000000">
            <w:pPr>
              <w:keepNext/>
              <w:tabs>
                <w:tab w:val="left" w:pos="1176"/>
              </w:tabs>
              <w:spacing w:before="75" w:after="30"/>
              <w:jc w:val="right"/>
            </w:pPr>
            <w:r>
              <w:rPr>
                <w:color w:val="000000"/>
                <w:sz w:val="20"/>
              </w:rPr>
              <w:tab/>
              <w:t>(30)</w:t>
            </w:r>
          </w:p>
        </w:tc>
      </w:tr>
      <w:tr w:rsidR="007C1CFF" w14:paraId="6495BE97" w14:textId="77777777">
        <w:trPr>
          <w:cantSplit/>
          <w:trHeight w:hRule="exact" w:val="255"/>
        </w:trPr>
        <w:tc>
          <w:tcPr>
            <w:tcW w:w="3525" w:type="dxa"/>
            <w:tcBorders>
              <w:top w:val="nil"/>
              <w:left w:val="nil"/>
              <w:bottom w:val="nil"/>
              <w:right w:val="nil"/>
            </w:tcBorders>
            <w:tcMar>
              <w:top w:w="0" w:type="dxa"/>
              <w:left w:w="53" w:type="dxa"/>
              <w:bottom w:w="0" w:type="dxa"/>
              <w:right w:w="53" w:type="dxa"/>
            </w:tcMar>
            <w:vAlign w:val="bottom"/>
          </w:tcPr>
          <w:p w14:paraId="357BA12E" w14:textId="77777777" w:rsidR="007C1CFF" w:rsidRDefault="00000000">
            <w:pPr>
              <w:keepNext/>
              <w:spacing w:before="75" w:after="30"/>
              <w:rPr>
                <w:sz w:val="20"/>
              </w:rPr>
            </w:pPr>
            <w:r>
              <w:rPr>
                <w:sz w:val="20"/>
              </w:rPr>
              <w:t>Chancellor Senior Living</w:t>
            </w:r>
            <w:r>
              <w:rPr>
                <w:sz w:val="20"/>
                <w:vertAlign w:val="superscript"/>
              </w:rPr>
              <w:t>1</w:t>
            </w:r>
          </w:p>
        </w:tc>
        <w:tc>
          <w:tcPr>
            <w:tcW w:w="60" w:type="dxa"/>
            <w:tcBorders>
              <w:top w:val="nil"/>
              <w:left w:val="nil"/>
              <w:bottom w:val="nil"/>
              <w:right w:val="nil"/>
            </w:tcBorders>
            <w:tcMar>
              <w:top w:w="0" w:type="dxa"/>
              <w:left w:w="0" w:type="dxa"/>
              <w:bottom w:w="0" w:type="dxa"/>
              <w:right w:w="0" w:type="dxa"/>
            </w:tcMar>
            <w:vAlign w:val="bottom"/>
          </w:tcPr>
          <w:p w14:paraId="62E32691" w14:textId="77777777" w:rsidR="007C1CFF" w:rsidRDefault="007C1CFF">
            <w:pPr>
              <w:keepNext/>
            </w:pPr>
          </w:p>
        </w:tc>
        <w:tc>
          <w:tcPr>
            <w:tcW w:w="885" w:type="dxa"/>
            <w:tcBorders>
              <w:top w:val="nil"/>
              <w:left w:val="nil"/>
              <w:bottom w:val="nil"/>
              <w:right w:val="nil"/>
            </w:tcBorders>
            <w:tcMar>
              <w:top w:w="0" w:type="dxa"/>
              <w:left w:w="53" w:type="dxa"/>
              <w:bottom w:w="0" w:type="dxa"/>
              <w:right w:w="53" w:type="dxa"/>
            </w:tcMar>
            <w:vAlign w:val="bottom"/>
          </w:tcPr>
          <w:p w14:paraId="3F4B861B" w14:textId="77777777" w:rsidR="007C1CFF" w:rsidRDefault="00000000">
            <w:pPr>
              <w:keepNext/>
              <w:spacing w:before="75" w:after="30"/>
              <w:jc w:val="center"/>
            </w:pPr>
            <w:r>
              <w:rPr>
                <w:color w:val="000000"/>
                <w:sz w:val="20"/>
              </w:rPr>
              <w:t>Q2 2022</w:t>
            </w:r>
          </w:p>
        </w:tc>
        <w:tc>
          <w:tcPr>
            <w:tcW w:w="60" w:type="dxa"/>
            <w:tcBorders>
              <w:top w:val="nil"/>
              <w:left w:val="nil"/>
              <w:bottom w:val="nil"/>
              <w:right w:val="nil"/>
            </w:tcBorders>
            <w:tcMar>
              <w:top w:w="0" w:type="dxa"/>
              <w:left w:w="0" w:type="dxa"/>
              <w:bottom w:w="0" w:type="dxa"/>
              <w:right w:w="0" w:type="dxa"/>
            </w:tcMar>
            <w:vAlign w:val="bottom"/>
          </w:tcPr>
          <w:p w14:paraId="4F649632" w14:textId="77777777" w:rsidR="007C1CFF" w:rsidRDefault="007C1CFF">
            <w:pPr>
              <w:keepNext/>
            </w:pPr>
          </w:p>
        </w:tc>
        <w:tc>
          <w:tcPr>
            <w:tcW w:w="945" w:type="dxa"/>
            <w:tcBorders>
              <w:top w:val="nil"/>
              <w:left w:val="nil"/>
              <w:bottom w:val="nil"/>
              <w:right w:val="nil"/>
            </w:tcBorders>
            <w:tcMar>
              <w:top w:w="0" w:type="dxa"/>
              <w:left w:w="53" w:type="dxa"/>
              <w:bottom w:w="0" w:type="dxa"/>
              <w:right w:w="53" w:type="dxa"/>
            </w:tcMar>
            <w:vAlign w:val="bottom"/>
          </w:tcPr>
          <w:p w14:paraId="60E2D494" w14:textId="77777777" w:rsidR="007C1CFF" w:rsidRDefault="00000000">
            <w:pPr>
              <w:keepNext/>
              <w:spacing w:before="75" w:after="30"/>
              <w:jc w:val="center"/>
            </w:pPr>
            <w:r>
              <w:rPr>
                <w:color w:val="000000"/>
                <w:sz w:val="20"/>
              </w:rPr>
              <w:t>2</w:t>
            </w:r>
          </w:p>
        </w:tc>
        <w:tc>
          <w:tcPr>
            <w:tcW w:w="60" w:type="dxa"/>
            <w:tcBorders>
              <w:top w:val="nil"/>
              <w:left w:val="nil"/>
              <w:bottom w:val="nil"/>
              <w:right w:val="nil"/>
            </w:tcBorders>
            <w:tcMar>
              <w:top w:w="0" w:type="dxa"/>
              <w:left w:w="0" w:type="dxa"/>
              <w:bottom w:w="0" w:type="dxa"/>
              <w:right w:w="0" w:type="dxa"/>
            </w:tcMar>
            <w:vAlign w:val="bottom"/>
          </w:tcPr>
          <w:p w14:paraId="7902187D" w14:textId="77777777" w:rsidR="007C1CFF" w:rsidRDefault="007C1CFF">
            <w:pPr>
              <w:keepNext/>
            </w:pPr>
          </w:p>
        </w:tc>
        <w:tc>
          <w:tcPr>
            <w:tcW w:w="765" w:type="dxa"/>
            <w:tcBorders>
              <w:top w:val="nil"/>
              <w:left w:val="nil"/>
              <w:bottom w:val="nil"/>
              <w:right w:val="nil"/>
            </w:tcBorders>
            <w:tcMar>
              <w:top w:w="0" w:type="dxa"/>
              <w:left w:w="53" w:type="dxa"/>
              <w:bottom w:w="0" w:type="dxa"/>
              <w:right w:w="53" w:type="dxa"/>
            </w:tcMar>
            <w:vAlign w:val="bottom"/>
          </w:tcPr>
          <w:p w14:paraId="607274BC" w14:textId="77777777" w:rsidR="007C1CFF" w:rsidRDefault="00000000">
            <w:pPr>
              <w:keepNext/>
              <w:spacing w:before="75" w:after="30"/>
              <w:jc w:val="center"/>
            </w:pPr>
            <w:r>
              <w:rPr>
                <w:color w:val="000000"/>
                <w:sz w:val="20"/>
              </w:rPr>
              <w:t>ALF</w:t>
            </w:r>
          </w:p>
        </w:tc>
        <w:tc>
          <w:tcPr>
            <w:tcW w:w="60" w:type="dxa"/>
            <w:tcBorders>
              <w:top w:val="nil"/>
              <w:left w:val="nil"/>
              <w:bottom w:val="nil"/>
              <w:right w:val="nil"/>
            </w:tcBorders>
            <w:tcMar>
              <w:top w:w="0" w:type="dxa"/>
              <w:left w:w="0" w:type="dxa"/>
              <w:bottom w:w="0" w:type="dxa"/>
              <w:right w:w="0" w:type="dxa"/>
            </w:tcMar>
            <w:vAlign w:val="bottom"/>
          </w:tcPr>
          <w:p w14:paraId="21F53DEB" w14:textId="77777777" w:rsidR="007C1CFF" w:rsidRDefault="007C1CFF">
            <w:pPr>
              <w:keepNext/>
            </w:pPr>
          </w:p>
        </w:tc>
        <w:tc>
          <w:tcPr>
            <w:tcW w:w="1245" w:type="dxa"/>
            <w:tcBorders>
              <w:top w:val="nil"/>
              <w:left w:val="nil"/>
              <w:bottom w:val="nil"/>
              <w:right w:val="nil"/>
            </w:tcBorders>
            <w:tcMar>
              <w:top w:w="0" w:type="dxa"/>
              <w:left w:w="0" w:type="dxa"/>
              <w:bottom w:w="0" w:type="dxa"/>
              <w:right w:w="15" w:type="dxa"/>
            </w:tcMar>
            <w:vAlign w:val="bottom"/>
          </w:tcPr>
          <w:p w14:paraId="5855303E" w14:textId="77777777" w:rsidR="007C1CFF" w:rsidRDefault="00000000">
            <w:pPr>
              <w:keepNext/>
              <w:tabs>
                <w:tab w:val="left" w:pos="662"/>
                <w:tab w:val="left" w:pos="1177"/>
              </w:tabs>
              <w:spacing w:before="75" w:after="30"/>
              <w:jc w:val="right"/>
            </w:pPr>
            <w:r>
              <w:rPr>
                <w:color w:val="000000"/>
                <w:sz w:val="20"/>
              </w:rPr>
              <w:tab/>
              <w:t>7,305</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5728AC7D" w14:textId="77777777" w:rsidR="007C1CFF" w:rsidRDefault="007C1CFF">
            <w:pPr>
              <w:keepNext/>
            </w:pPr>
          </w:p>
        </w:tc>
        <w:tc>
          <w:tcPr>
            <w:tcW w:w="1140" w:type="dxa"/>
            <w:tcBorders>
              <w:top w:val="nil"/>
              <w:left w:val="nil"/>
              <w:bottom w:val="nil"/>
              <w:right w:val="nil"/>
            </w:tcBorders>
            <w:tcMar>
              <w:top w:w="0" w:type="dxa"/>
              <w:left w:w="0" w:type="dxa"/>
              <w:bottom w:w="0" w:type="dxa"/>
              <w:right w:w="15" w:type="dxa"/>
            </w:tcMar>
            <w:vAlign w:val="bottom"/>
          </w:tcPr>
          <w:p w14:paraId="4E6E1BD0" w14:textId="77777777" w:rsidR="007C1CFF" w:rsidRDefault="00000000">
            <w:pPr>
              <w:keepNext/>
              <w:tabs>
                <w:tab w:val="left" w:pos="557"/>
                <w:tab w:val="left" w:pos="1072"/>
              </w:tabs>
              <w:spacing w:before="75" w:after="30"/>
              <w:jc w:val="right"/>
            </w:pPr>
            <w:r>
              <w:rPr>
                <w:color w:val="000000"/>
                <w:sz w:val="20"/>
              </w:rPr>
              <w:tab/>
              <w:t>7,357</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712DE3AF" w14:textId="77777777" w:rsidR="007C1CFF" w:rsidRDefault="007C1CFF">
            <w:pPr>
              <w:keepNext/>
            </w:pPr>
          </w:p>
        </w:tc>
        <w:tc>
          <w:tcPr>
            <w:tcW w:w="1575" w:type="dxa"/>
            <w:tcBorders>
              <w:top w:val="nil"/>
              <w:left w:val="nil"/>
              <w:bottom w:val="nil"/>
              <w:right w:val="nil"/>
            </w:tcBorders>
            <w:tcMar>
              <w:top w:w="0" w:type="dxa"/>
              <w:left w:w="0" w:type="dxa"/>
              <w:bottom w:w="0" w:type="dxa"/>
              <w:right w:w="15" w:type="dxa"/>
            </w:tcMar>
            <w:vAlign w:val="bottom"/>
          </w:tcPr>
          <w:p w14:paraId="0884AAB6" w14:textId="77777777" w:rsidR="007C1CFF" w:rsidRDefault="00000000">
            <w:pPr>
              <w:keepNext/>
              <w:tabs>
                <w:tab w:val="left" w:pos="1176"/>
              </w:tabs>
              <w:spacing w:before="75" w:after="30"/>
              <w:jc w:val="right"/>
            </w:pPr>
            <w:r>
              <w:rPr>
                <w:color w:val="000000"/>
                <w:sz w:val="20"/>
              </w:rPr>
              <w:tab/>
              <w:t>(52)</w:t>
            </w:r>
          </w:p>
        </w:tc>
      </w:tr>
      <w:tr w:rsidR="007C1CFF" w14:paraId="491317C9" w14:textId="77777777">
        <w:trPr>
          <w:cantSplit/>
          <w:trHeight w:hRule="exact" w:val="255"/>
        </w:trPr>
        <w:tc>
          <w:tcPr>
            <w:tcW w:w="3525" w:type="dxa"/>
            <w:tcBorders>
              <w:top w:val="nil"/>
              <w:left w:val="nil"/>
              <w:bottom w:val="nil"/>
              <w:right w:val="nil"/>
            </w:tcBorders>
            <w:tcMar>
              <w:top w:w="0" w:type="dxa"/>
              <w:left w:w="53" w:type="dxa"/>
              <w:bottom w:w="0" w:type="dxa"/>
              <w:right w:w="53" w:type="dxa"/>
            </w:tcMar>
            <w:vAlign w:val="bottom"/>
          </w:tcPr>
          <w:p w14:paraId="5FBD82B7" w14:textId="77777777" w:rsidR="007C1CFF" w:rsidRDefault="00000000">
            <w:pPr>
              <w:keepNext/>
              <w:spacing w:before="75" w:after="30"/>
              <w:rPr>
                <w:sz w:val="20"/>
              </w:rPr>
            </w:pPr>
            <w:r>
              <w:rPr>
                <w:sz w:val="20"/>
              </w:rPr>
              <w:t>Bickford</w:t>
            </w:r>
            <w:r>
              <w:rPr>
                <w:sz w:val="20"/>
                <w:vertAlign w:val="superscript"/>
              </w:rPr>
              <w:t>1</w:t>
            </w:r>
          </w:p>
        </w:tc>
        <w:tc>
          <w:tcPr>
            <w:tcW w:w="60" w:type="dxa"/>
            <w:tcBorders>
              <w:top w:val="nil"/>
              <w:left w:val="nil"/>
              <w:bottom w:val="nil"/>
              <w:right w:val="nil"/>
            </w:tcBorders>
            <w:tcMar>
              <w:top w:w="0" w:type="dxa"/>
              <w:left w:w="0" w:type="dxa"/>
              <w:bottom w:w="0" w:type="dxa"/>
              <w:right w:w="0" w:type="dxa"/>
            </w:tcMar>
            <w:vAlign w:val="bottom"/>
          </w:tcPr>
          <w:p w14:paraId="044C9AD9" w14:textId="77777777" w:rsidR="007C1CFF" w:rsidRDefault="007C1CFF">
            <w:pPr>
              <w:keepNext/>
            </w:pPr>
          </w:p>
        </w:tc>
        <w:tc>
          <w:tcPr>
            <w:tcW w:w="885" w:type="dxa"/>
            <w:tcBorders>
              <w:top w:val="nil"/>
              <w:left w:val="nil"/>
              <w:bottom w:val="nil"/>
              <w:right w:val="nil"/>
            </w:tcBorders>
            <w:tcMar>
              <w:top w:w="0" w:type="dxa"/>
              <w:left w:w="53" w:type="dxa"/>
              <w:bottom w:w="0" w:type="dxa"/>
              <w:right w:w="53" w:type="dxa"/>
            </w:tcMar>
            <w:vAlign w:val="bottom"/>
          </w:tcPr>
          <w:p w14:paraId="09DD2DAF" w14:textId="77777777" w:rsidR="007C1CFF" w:rsidRDefault="00000000">
            <w:pPr>
              <w:keepNext/>
              <w:spacing w:before="75" w:after="30"/>
              <w:jc w:val="center"/>
            </w:pPr>
            <w:r>
              <w:rPr>
                <w:color w:val="000000"/>
                <w:sz w:val="20"/>
              </w:rPr>
              <w:t>Q2 2022</w:t>
            </w:r>
          </w:p>
        </w:tc>
        <w:tc>
          <w:tcPr>
            <w:tcW w:w="60" w:type="dxa"/>
            <w:tcBorders>
              <w:top w:val="nil"/>
              <w:left w:val="nil"/>
              <w:bottom w:val="nil"/>
              <w:right w:val="nil"/>
            </w:tcBorders>
            <w:tcMar>
              <w:top w:w="0" w:type="dxa"/>
              <w:left w:w="0" w:type="dxa"/>
              <w:bottom w:w="0" w:type="dxa"/>
              <w:right w:w="0" w:type="dxa"/>
            </w:tcMar>
            <w:vAlign w:val="bottom"/>
          </w:tcPr>
          <w:p w14:paraId="052E448E" w14:textId="77777777" w:rsidR="007C1CFF" w:rsidRDefault="007C1CFF">
            <w:pPr>
              <w:keepNext/>
            </w:pPr>
          </w:p>
        </w:tc>
        <w:tc>
          <w:tcPr>
            <w:tcW w:w="945" w:type="dxa"/>
            <w:tcBorders>
              <w:top w:val="nil"/>
              <w:left w:val="nil"/>
              <w:bottom w:val="nil"/>
              <w:right w:val="nil"/>
            </w:tcBorders>
            <w:tcMar>
              <w:top w:w="0" w:type="dxa"/>
              <w:left w:w="53" w:type="dxa"/>
              <w:bottom w:w="0" w:type="dxa"/>
              <w:right w:w="53" w:type="dxa"/>
            </w:tcMar>
            <w:vAlign w:val="bottom"/>
          </w:tcPr>
          <w:p w14:paraId="5B08B4FB" w14:textId="77777777" w:rsidR="007C1CFF" w:rsidRDefault="00000000">
            <w:pPr>
              <w:keepNext/>
              <w:spacing w:before="75" w:after="30"/>
              <w:jc w:val="center"/>
            </w:pPr>
            <w:r>
              <w:rPr>
                <w:color w:val="000000"/>
                <w:sz w:val="20"/>
              </w:rPr>
              <w:t>3</w:t>
            </w:r>
          </w:p>
        </w:tc>
        <w:tc>
          <w:tcPr>
            <w:tcW w:w="60" w:type="dxa"/>
            <w:tcBorders>
              <w:top w:val="nil"/>
              <w:left w:val="nil"/>
              <w:bottom w:val="nil"/>
              <w:right w:val="nil"/>
            </w:tcBorders>
            <w:tcMar>
              <w:top w:w="0" w:type="dxa"/>
              <w:left w:w="0" w:type="dxa"/>
              <w:bottom w:w="0" w:type="dxa"/>
              <w:right w:w="0" w:type="dxa"/>
            </w:tcMar>
            <w:vAlign w:val="bottom"/>
          </w:tcPr>
          <w:p w14:paraId="7813E044" w14:textId="77777777" w:rsidR="007C1CFF" w:rsidRDefault="007C1CFF">
            <w:pPr>
              <w:keepNext/>
            </w:pPr>
          </w:p>
        </w:tc>
        <w:tc>
          <w:tcPr>
            <w:tcW w:w="765" w:type="dxa"/>
            <w:tcBorders>
              <w:top w:val="nil"/>
              <w:left w:val="nil"/>
              <w:bottom w:val="nil"/>
              <w:right w:val="nil"/>
            </w:tcBorders>
            <w:tcMar>
              <w:top w:w="0" w:type="dxa"/>
              <w:left w:w="53" w:type="dxa"/>
              <w:bottom w:w="0" w:type="dxa"/>
              <w:right w:w="53" w:type="dxa"/>
            </w:tcMar>
            <w:vAlign w:val="bottom"/>
          </w:tcPr>
          <w:p w14:paraId="2D8F7DCD" w14:textId="77777777" w:rsidR="007C1CFF" w:rsidRDefault="00000000">
            <w:pPr>
              <w:keepNext/>
              <w:spacing w:before="75" w:after="30"/>
              <w:jc w:val="center"/>
            </w:pPr>
            <w:r>
              <w:rPr>
                <w:color w:val="000000"/>
                <w:sz w:val="20"/>
              </w:rPr>
              <w:t>ALF</w:t>
            </w:r>
          </w:p>
        </w:tc>
        <w:tc>
          <w:tcPr>
            <w:tcW w:w="60" w:type="dxa"/>
            <w:tcBorders>
              <w:top w:val="nil"/>
              <w:left w:val="nil"/>
              <w:bottom w:val="nil"/>
              <w:right w:val="nil"/>
            </w:tcBorders>
            <w:tcMar>
              <w:top w:w="0" w:type="dxa"/>
              <w:left w:w="0" w:type="dxa"/>
              <w:bottom w:w="0" w:type="dxa"/>
              <w:right w:w="0" w:type="dxa"/>
            </w:tcMar>
            <w:vAlign w:val="bottom"/>
          </w:tcPr>
          <w:p w14:paraId="74D9E6EE" w14:textId="77777777" w:rsidR="007C1CFF" w:rsidRDefault="007C1CFF">
            <w:pPr>
              <w:keepNext/>
            </w:pPr>
          </w:p>
        </w:tc>
        <w:tc>
          <w:tcPr>
            <w:tcW w:w="1245" w:type="dxa"/>
            <w:tcBorders>
              <w:top w:val="nil"/>
              <w:left w:val="nil"/>
              <w:bottom w:val="nil"/>
              <w:right w:val="nil"/>
            </w:tcBorders>
            <w:tcMar>
              <w:top w:w="0" w:type="dxa"/>
              <w:left w:w="0" w:type="dxa"/>
              <w:bottom w:w="0" w:type="dxa"/>
              <w:right w:w="15" w:type="dxa"/>
            </w:tcMar>
            <w:vAlign w:val="bottom"/>
          </w:tcPr>
          <w:p w14:paraId="667D20E9" w14:textId="77777777" w:rsidR="007C1CFF" w:rsidRDefault="00000000">
            <w:pPr>
              <w:keepNext/>
              <w:tabs>
                <w:tab w:val="left" w:pos="562"/>
                <w:tab w:val="left" w:pos="1177"/>
              </w:tabs>
              <w:spacing w:before="75" w:after="30"/>
              <w:jc w:val="right"/>
            </w:pPr>
            <w:r>
              <w:rPr>
                <w:color w:val="000000"/>
                <w:sz w:val="20"/>
              </w:rPr>
              <w:tab/>
              <w:t>25,959</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9646C93" w14:textId="77777777" w:rsidR="007C1CFF" w:rsidRDefault="007C1CFF">
            <w:pPr>
              <w:keepNext/>
            </w:pPr>
          </w:p>
        </w:tc>
        <w:tc>
          <w:tcPr>
            <w:tcW w:w="1140" w:type="dxa"/>
            <w:tcBorders>
              <w:top w:val="nil"/>
              <w:left w:val="nil"/>
              <w:bottom w:val="nil"/>
              <w:right w:val="nil"/>
            </w:tcBorders>
            <w:tcMar>
              <w:top w:w="0" w:type="dxa"/>
              <w:left w:w="0" w:type="dxa"/>
              <w:bottom w:w="0" w:type="dxa"/>
              <w:right w:w="15" w:type="dxa"/>
            </w:tcMar>
            <w:vAlign w:val="bottom"/>
          </w:tcPr>
          <w:p w14:paraId="4CA62CC0" w14:textId="77777777" w:rsidR="007C1CFF" w:rsidRDefault="00000000">
            <w:pPr>
              <w:keepNext/>
              <w:tabs>
                <w:tab w:val="left" w:pos="457"/>
                <w:tab w:val="left" w:pos="1072"/>
              </w:tabs>
              <w:spacing w:before="75" w:after="30"/>
              <w:jc w:val="right"/>
            </w:pPr>
            <w:r>
              <w:rPr>
                <w:color w:val="000000"/>
                <w:sz w:val="20"/>
              </w:rPr>
              <w:tab/>
              <w:t>28,268</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1E0FAA6D" w14:textId="77777777" w:rsidR="007C1CFF" w:rsidRDefault="007C1CFF">
            <w:pPr>
              <w:keepNext/>
            </w:pPr>
          </w:p>
        </w:tc>
        <w:tc>
          <w:tcPr>
            <w:tcW w:w="1575" w:type="dxa"/>
            <w:tcBorders>
              <w:top w:val="nil"/>
              <w:left w:val="nil"/>
              <w:bottom w:val="nil"/>
              <w:right w:val="nil"/>
            </w:tcBorders>
            <w:tcMar>
              <w:top w:w="0" w:type="dxa"/>
              <w:left w:w="0" w:type="dxa"/>
              <w:bottom w:w="0" w:type="dxa"/>
              <w:right w:w="15" w:type="dxa"/>
            </w:tcMar>
            <w:vAlign w:val="bottom"/>
          </w:tcPr>
          <w:p w14:paraId="5A09E7EB" w14:textId="77777777" w:rsidR="007C1CFF" w:rsidRDefault="00000000">
            <w:pPr>
              <w:keepNext/>
              <w:tabs>
                <w:tab w:val="left" w:pos="926"/>
              </w:tabs>
              <w:spacing w:before="75" w:after="30"/>
              <w:jc w:val="right"/>
            </w:pPr>
            <w:r>
              <w:rPr>
                <w:color w:val="000000"/>
                <w:sz w:val="20"/>
              </w:rPr>
              <w:tab/>
              <w:t>(2,309)</w:t>
            </w:r>
          </w:p>
        </w:tc>
      </w:tr>
      <w:tr w:rsidR="007C1CFF" w14:paraId="757AF232" w14:textId="77777777">
        <w:trPr>
          <w:cantSplit/>
          <w:trHeight w:hRule="exact" w:val="255"/>
        </w:trPr>
        <w:tc>
          <w:tcPr>
            <w:tcW w:w="3525" w:type="dxa"/>
            <w:tcBorders>
              <w:top w:val="nil"/>
              <w:left w:val="nil"/>
              <w:bottom w:val="nil"/>
              <w:right w:val="nil"/>
            </w:tcBorders>
            <w:tcMar>
              <w:top w:w="0" w:type="dxa"/>
              <w:left w:w="53" w:type="dxa"/>
              <w:bottom w:w="0" w:type="dxa"/>
              <w:right w:w="53" w:type="dxa"/>
            </w:tcMar>
            <w:vAlign w:val="bottom"/>
          </w:tcPr>
          <w:p w14:paraId="7C8445B2" w14:textId="77777777" w:rsidR="007C1CFF" w:rsidRDefault="00000000">
            <w:pPr>
              <w:keepNext/>
              <w:spacing w:before="75" w:after="30"/>
            </w:pPr>
            <w:r>
              <w:rPr>
                <w:color w:val="000000"/>
                <w:sz w:val="20"/>
              </w:rPr>
              <w:t>Comfort Care</w:t>
            </w:r>
          </w:p>
        </w:tc>
        <w:tc>
          <w:tcPr>
            <w:tcW w:w="60" w:type="dxa"/>
            <w:tcBorders>
              <w:top w:val="nil"/>
              <w:left w:val="nil"/>
              <w:bottom w:val="nil"/>
              <w:right w:val="nil"/>
            </w:tcBorders>
            <w:tcMar>
              <w:top w:w="0" w:type="dxa"/>
              <w:left w:w="0" w:type="dxa"/>
              <w:bottom w:w="0" w:type="dxa"/>
              <w:right w:w="0" w:type="dxa"/>
            </w:tcMar>
            <w:vAlign w:val="bottom"/>
          </w:tcPr>
          <w:p w14:paraId="7972A908" w14:textId="77777777" w:rsidR="007C1CFF" w:rsidRDefault="007C1CFF">
            <w:pPr>
              <w:keepNext/>
            </w:pPr>
          </w:p>
        </w:tc>
        <w:tc>
          <w:tcPr>
            <w:tcW w:w="885" w:type="dxa"/>
            <w:tcBorders>
              <w:top w:val="nil"/>
              <w:left w:val="nil"/>
              <w:bottom w:val="nil"/>
              <w:right w:val="nil"/>
            </w:tcBorders>
            <w:tcMar>
              <w:top w:w="0" w:type="dxa"/>
              <w:left w:w="53" w:type="dxa"/>
              <w:bottom w:w="0" w:type="dxa"/>
              <w:right w:w="53" w:type="dxa"/>
            </w:tcMar>
            <w:vAlign w:val="bottom"/>
          </w:tcPr>
          <w:p w14:paraId="3ECBA359" w14:textId="77777777" w:rsidR="007C1CFF" w:rsidRDefault="00000000">
            <w:pPr>
              <w:keepNext/>
              <w:spacing w:before="75" w:after="30"/>
              <w:jc w:val="center"/>
            </w:pPr>
            <w:r>
              <w:rPr>
                <w:color w:val="000000"/>
                <w:sz w:val="20"/>
              </w:rPr>
              <w:t>Q2 2022</w:t>
            </w:r>
          </w:p>
        </w:tc>
        <w:tc>
          <w:tcPr>
            <w:tcW w:w="60" w:type="dxa"/>
            <w:tcBorders>
              <w:top w:val="nil"/>
              <w:left w:val="nil"/>
              <w:bottom w:val="nil"/>
              <w:right w:val="nil"/>
            </w:tcBorders>
            <w:tcMar>
              <w:top w:w="0" w:type="dxa"/>
              <w:left w:w="0" w:type="dxa"/>
              <w:bottom w:w="0" w:type="dxa"/>
              <w:right w:w="0" w:type="dxa"/>
            </w:tcMar>
            <w:vAlign w:val="bottom"/>
          </w:tcPr>
          <w:p w14:paraId="25466886" w14:textId="77777777" w:rsidR="007C1CFF" w:rsidRDefault="007C1CFF">
            <w:pPr>
              <w:keepNext/>
            </w:pPr>
          </w:p>
        </w:tc>
        <w:tc>
          <w:tcPr>
            <w:tcW w:w="945" w:type="dxa"/>
            <w:tcBorders>
              <w:top w:val="nil"/>
              <w:left w:val="nil"/>
              <w:bottom w:val="nil"/>
              <w:right w:val="nil"/>
            </w:tcBorders>
            <w:tcMar>
              <w:top w:w="0" w:type="dxa"/>
              <w:left w:w="53" w:type="dxa"/>
              <w:bottom w:w="0" w:type="dxa"/>
              <w:right w:w="53" w:type="dxa"/>
            </w:tcMar>
            <w:vAlign w:val="bottom"/>
          </w:tcPr>
          <w:p w14:paraId="19249255" w14:textId="77777777" w:rsidR="007C1CFF" w:rsidRDefault="00000000">
            <w:pPr>
              <w:keepNext/>
              <w:spacing w:before="75" w:after="30"/>
              <w:jc w:val="center"/>
            </w:pPr>
            <w:r>
              <w:rPr>
                <w:color w:val="000000"/>
                <w:sz w:val="20"/>
              </w:rPr>
              <w:t>4</w:t>
            </w:r>
          </w:p>
        </w:tc>
        <w:tc>
          <w:tcPr>
            <w:tcW w:w="60" w:type="dxa"/>
            <w:tcBorders>
              <w:top w:val="nil"/>
              <w:left w:val="nil"/>
              <w:bottom w:val="nil"/>
              <w:right w:val="nil"/>
            </w:tcBorders>
            <w:tcMar>
              <w:top w:w="0" w:type="dxa"/>
              <w:left w:w="0" w:type="dxa"/>
              <w:bottom w:w="0" w:type="dxa"/>
              <w:right w:w="0" w:type="dxa"/>
            </w:tcMar>
            <w:vAlign w:val="bottom"/>
          </w:tcPr>
          <w:p w14:paraId="2B0E7C74" w14:textId="77777777" w:rsidR="007C1CFF" w:rsidRDefault="007C1CFF">
            <w:pPr>
              <w:keepNext/>
            </w:pPr>
          </w:p>
        </w:tc>
        <w:tc>
          <w:tcPr>
            <w:tcW w:w="765" w:type="dxa"/>
            <w:tcBorders>
              <w:top w:val="nil"/>
              <w:left w:val="nil"/>
              <w:bottom w:val="nil"/>
              <w:right w:val="nil"/>
            </w:tcBorders>
            <w:tcMar>
              <w:top w:w="0" w:type="dxa"/>
              <w:left w:w="53" w:type="dxa"/>
              <w:bottom w:w="0" w:type="dxa"/>
              <w:right w:w="53" w:type="dxa"/>
            </w:tcMar>
            <w:vAlign w:val="bottom"/>
          </w:tcPr>
          <w:p w14:paraId="65C9431B" w14:textId="77777777" w:rsidR="007C1CFF" w:rsidRDefault="00000000">
            <w:pPr>
              <w:keepNext/>
              <w:spacing w:before="75" w:after="30"/>
              <w:jc w:val="center"/>
            </w:pPr>
            <w:r>
              <w:rPr>
                <w:color w:val="000000"/>
                <w:sz w:val="20"/>
              </w:rPr>
              <w:t>ALF</w:t>
            </w:r>
          </w:p>
        </w:tc>
        <w:tc>
          <w:tcPr>
            <w:tcW w:w="60" w:type="dxa"/>
            <w:tcBorders>
              <w:top w:val="nil"/>
              <w:left w:val="nil"/>
              <w:bottom w:val="nil"/>
              <w:right w:val="nil"/>
            </w:tcBorders>
            <w:tcMar>
              <w:top w:w="0" w:type="dxa"/>
              <w:left w:w="0" w:type="dxa"/>
              <w:bottom w:w="0" w:type="dxa"/>
              <w:right w:w="0" w:type="dxa"/>
            </w:tcMar>
            <w:vAlign w:val="bottom"/>
          </w:tcPr>
          <w:p w14:paraId="75206242" w14:textId="77777777" w:rsidR="007C1CFF" w:rsidRDefault="007C1CFF">
            <w:pPr>
              <w:keepNext/>
            </w:pPr>
          </w:p>
        </w:tc>
        <w:tc>
          <w:tcPr>
            <w:tcW w:w="1245" w:type="dxa"/>
            <w:tcBorders>
              <w:top w:val="nil"/>
              <w:left w:val="nil"/>
              <w:bottom w:val="nil"/>
              <w:right w:val="nil"/>
            </w:tcBorders>
            <w:tcMar>
              <w:top w:w="0" w:type="dxa"/>
              <w:left w:w="0" w:type="dxa"/>
              <w:bottom w:w="0" w:type="dxa"/>
              <w:right w:w="15" w:type="dxa"/>
            </w:tcMar>
            <w:vAlign w:val="bottom"/>
          </w:tcPr>
          <w:p w14:paraId="76667D0D" w14:textId="77777777" w:rsidR="007C1CFF" w:rsidRDefault="00000000">
            <w:pPr>
              <w:keepNext/>
              <w:tabs>
                <w:tab w:val="left" w:pos="562"/>
                <w:tab w:val="left" w:pos="1177"/>
              </w:tabs>
              <w:spacing w:before="75" w:after="30"/>
              <w:jc w:val="right"/>
            </w:pPr>
            <w:r>
              <w:rPr>
                <w:color w:val="000000"/>
                <w:sz w:val="20"/>
              </w:rPr>
              <w:tab/>
              <w:t>40,000</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54D85E52" w14:textId="77777777" w:rsidR="007C1CFF" w:rsidRDefault="007C1CFF">
            <w:pPr>
              <w:keepNext/>
            </w:pPr>
          </w:p>
        </w:tc>
        <w:tc>
          <w:tcPr>
            <w:tcW w:w="1140" w:type="dxa"/>
            <w:tcBorders>
              <w:top w:val="nil"/>
              <w:left w:val="nil"/>
              <w:bottom w:val="nil"/>
              <w:right w:val="nil"/>
            </w:tcBorders>
            <w:tcMar>
              <w:top w:w="0" w:type="dxa"/>
              <w:left w:w="0" w:type="dxa"/>
              <w:bottom w:w="0" w:type="dxa"/>
              <w:right w:w="15" w:type="dxa"/>
            </w:tcMar>
            <w:vAlign w:val="bottom"/>
          </w:tcPr>
          <w:p w14:paraId="0BA760B6" w14:textId="77777777" w:rsidR="007C1CFF" w:rsidRDefault="00000000">
            <w:pPr>
              <w:keepNext/>
              <w:tabs>
                <w:tab w:val="left" w:pos="457"/>
                <w:tab w:val="left" w:pos="1072"/>
              </w:tabs>
              <w:spacing w:before="75" w:after="30"/>
              <w:jc w:val="right"/>
            </w:pPr>
            <w:r>
              <w:rPr>
                <w:color w:val="000000"/>
                <w:sz w:val="20"/>
              </w:rPr>
              <w:tab/>
              <w:t>38,445</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2F35CF54" w14:textId="77777777" w:rsidR="007C1CFF" w:rsidRDefault="007C1CFF">
            <w:pPr>
              <w:keepNext/>
            </w:pPr>
          </w:p>
        </w:tc>
        <w:tc>
          <w:tcPr>
            <w:tcW w:w="1575" w:type="dxa"/>
            <w:tcBorders>
              <w:top w:val="nil"/>
              <w:left w:val="nil"/>
              <w:bottom w:val="nil"/>
              <w:right w:val="nil"/>
            </w:tcBorders>
            <w:tcMar>
              <w:top w:w="0" w:type="dxa"/>
              <w:left w:w="0" w:type="dxa"/>
              <w:bottom w:w="0" w:type="dxa"/>
              <w:right w:w="15" w:type="dxa"/>
            </w:tcMar>
            <w:vAlign w:val="bottom"/>
          </w:tcPr>
          <w:p w14:paraId="3E5F9F9C" w14:textId="77777777" w:rsidR="007C1CFF" w:rsidRDefault="00000000">
            <w:pPr>
              <w:keepNext/>
              <w:tabs>
                <w:tab w:val="left" w:pos="992"/>
                <w:tab w:val="left" w:pos="1507"/>
              </w:tabs>
              <w:spacing w:before="75" w:after="30"/>
              <w:jc w:val="right"/>
            </w:pPr>
            <w:r>
              <w:rPr>
                <w:color w:val="000000"/>
                <w:sz w:val="20"/>
              </w:rPr>
              <w:tab/>
              <w:t>1,556</w:t>
            </w:r>
            <w:r>
              <w:rPr>
                <w:color w:val="000000"/>
                <w:sz w:val="20"/>
              </w:rPr>
              <w:tab/>
            </w:r>
          </w:p>
        </w:tc>
      </w:tr>
      <w:tr w:rsidR="007C1CFF" w14:paraId="61512657" w14:textId="77777777">
        <w:trPr>
          <w:cantSplit/>
          <w:trHeight w:hRule="exact" w:val="255"/>
        </w:trPr>
        <w:tc>
          <w:tcPr>
            <w:tcW w:w="3525" w:type="dxa"/>
            <w:tcBorders>
              <w:top w:val="nil"/>
              <w:left w:val="nil"/>
              <w:bottom w:val="nil"/>
              <w:right w:val="nil"/>
            </w:tcBorders>
            <w:tcMar>
              <w:top w:w="0" w:type="dxa"/>
              <w:left w:w="53" w:type="dxa"/>
              <w:bottom w:w="0" w:type="dxa"/>
              <w:right w:w="53" w:type="dxa"/>
            </w:tcMar>
            <w:vAlign w:val="bottom"/>
          </w:tcPr>
          <w:p w14:paraId="08AA4FCB" w14:textId="77777777" w:rsidR="007C1CFF" w:rsidRDefault="00000000">
            <w:pPr>
              <w:keepNext/>
              <w:spacing w:before="75" w:after="30"/>
            </w:pPr>
            <w:r>
              <w:rPr>
                <w:color w:val="000000"/>
                <w:sz w:val="20"/>
              </w:rPr>
              <w:t>Helix Healthcare</w:t>
            </w:r>
          </w:p>
        </w:tc>
        <w:tc>
          <w:tcPr>
            <w:tcW w:w="60" w:type="dxa"/>
            <w:tcBorders>
              <w:top w:val="nil"/>
              <w:left w:val="nil"/>
              <w:bottom w:val="nil"/>
              <w:right w:val="nil"/>
            </w:tcBorders>
            <w:tcMar>
              <w:top w:w="0" w:type="dxa"/>
              <w:left w:w="0" w:type="dxa"/>
              <w:bottom w:w="0" w:type="dxa"/>
              <w:right w:w="0" w:type="dxa"/>
            </w:tcMar>
            <w:vAlign w:val="bottom"/>
          </w:tcPr>
          <w:p w14:paraId="08C3DA51" w14:textId="77777777" w:rsidR="007C1CFF" w:rsidRDefault="007C1CFF">
            <w:pPr>
              <w:keepNext/>
            </w:pPr>
          </w:p>
        </w:tc>
        <w:tc>
          <w:tcPr>
            <w:tcW w:w="885" w:type="dxa"/>
            <w:tcBorders>
              <w:top w:val="nil"/>
              <w:left w:val="nil"/>
              <w:bottom w:val="nil"/>
              <w:right w:val="nil"/>
            </w:tcBorders>
            <w:tcMar>
              <w:top w:w="0" w:type="dxa"/>
              <w:left w:w="53" w:type="dxa"/>
              <w:bottom w:w="0" w:type="dxa"/>
              <w:right w:w="53" w:type="dxa"/>
            </w:tcMar>
            <w:vAlign w:val="bottom"/>
          </w:tcPr>
          <w:p w14:paraId="5C9B1869" w14:textId="77777777" w:rsidR="007C1CFF" w:rsidRDefault="00000000">
            <w:pPr>
              <w:keepNext/>
              <w:spacing w:before="75" w:after="30"/>
              <w:jc w:val="center"/>
            </w:pPr>
            <w:r>
              <w:rPr>
                <w:color w:val="000000"/>
                <w:sz w:val="20"/>
              </w:rPr>
              <w:t>Q2 2022</w:t>
            </w:r>
          </w:p>
        </w:tc>
        <w:tc>
          <w:tcPr>
            <w:tcW w:w="60" w:type="dxa"/>
            <w:tcBorders>
              <w:top w:val="nil"/>
              <w:left w:val="nil"/>
              <w:bottom w:val="nil"/>
              <w:right w:val="nil"/>
            </w:tcBorders>
            <w:tcMar>
              <w:top w:w="0" w:type="dxa"/>
              <w:left w:w="0" w:type="dxa"/>
              <w:bottom w:w="0" w:type="dxa"/>
              <w:right w:w="0" w:type="dxa"/>
            </w:tcMar>
            <w:vAlign w:val="bottom"/>
          </w:tcPr>
          <w:p w14:paraId="45045CD2" w14:textId="77777777" w:rsidR="007C1CFF" w:rsidRDefault="007C1CFF">
            <w:pPr>
              <w:keepNext/>
            </w:pPr>
          </w:p>
        </w:tc>
        <w:tc>
          <w:tcPr>
            <w:tcW w:w="945" w:type="dxa"/>
            <w:tcBorders>
              <w:top w:val="nil"/>
              <w:left w:val="nil"/>
              <w:bottom w:val="nil"/>
              <w:right w:val="nil"/>
            </w:tcBorders>
            <w:tcMar>
              <w:top w:w="0" w:type="dxa"/>
              <w:left w:w="53" w:type="dxa"/>
              <w:bottom w:w="0" w:type="dxa"/>
              <w:right w:w="53" w:type="dxa"/>
            </w:tcMar>
            <w:vAlign w:val="bottom"/>
          </w:tcPr>
          <w:p w14:paraId="5369B49D" w14:textId="77777777" w:rsidR="007C1CFF" w:rsidRDefault="00000000">
            <w:pPr>
              <w:keepNext/>
              <w:spacing w:before="75" w:after="30"/>
              <w:jc w:val="center"/>
            </w:pPr>
            <w:r>
              <w:rPr>
                <w:color w:val="000000"/>
                <w:sz w:val="20"/>
              </w:rPr>
              <w:t>1</w:t>
            </w:r>
          </w:p>
        </w:tc>
        <w:tc>
          <w:tcPr>
            <w:tcW w:w="60" w:type="dxa"/>
            <w:tcBorders>
              <w:top w:val="nil"/>
              <w:left w:val="nil"/>
              <w:bottom w:val="nil"/>
              <w:right w:val="nil"/>
            </w:tcBorders>
            <w:tcMar>
              <w:top w:w="0" w:type="dxa"/>
              <w:left w:w="0" w:type="dxa"/>
              <w:bottom w:w="0" w:type="dxa"/>
              <w:right w:w="0" w:type="dxa"/>
            </w:tcMar>
            <w:vAlign w:val="bottom"/>
          </w:tcPr>
          <w:p w14:paraId="1942BA16" w14:textId="77777777" w:rsidR="007C1CFF" w:rsidRDefault="007C1CFF">
            <w:pPr>
              <w:keepNext/>
            </w:pPr>
          </w:p>
        </w:tc>
        <w:tc>
          <w:tcPr>
            <w:tcW w:w="765" w:type="dxa"/>
            <w:tcBorders>
              <w:top w:val="nil"/>
              <w:left w:val="nil"/>
              <w:bottom w:val="nil"/>
              <w:right w:val="nil"/>
            </w:tcBorders>
            <w:tcMar>
              <w:top w:w="0" w:type="dxa"/>
              <w:left w:w="53" w:type="dxa"/>
              <w:bottom w:w="0" w:type="dxa"/>
              <w:right w:w="53" w:type="dxa"/>
            </w:tcMar>
            <w:vAlign w:val="bottom"/>
          </w:tcPr>
          <w:p w14:paraId="2FE9A9AC" w14:textId="77777777" w:rsidR="007C1CFF" w:rsidRDefault="00000000">
            <w:pPr>
              <w:keepNext/>
              <w:spacing w:before="75" w:after="30"/>
              <w:jc w:val="center"/>
            </w:pPr>
            <w:r>
              <w:rPr>
                <w:color w:val="000000"/>
                <w:sz w:val="20"/>
              </w:rPr>
              <w:t>HOSP</w:t>
            </w:r>
          </w:p>
        </w:tc>
        <w:tc>
          <w:tcPr>
            <w:tcW w:w="60" w:type="dxa"/>
            <w:tcBorders>
              <w:top w:val="nil"/>
              <w:left w:val="nil"/>
              <w:bottom w:val="nil"/>
              <w:right w:val="nil"/>
            </w:tcBorders>
            <w:tcMar>
              <w:top w:w="0" w:type="dxa"/>
              <w:left w:w="0" w:type="dxa"/>
              <w:bottom w:w="0" w:type="dxa"/>
              <w:right w:w="0" w:type="dxa"/>
            </w:tcMar>
            <w:vAlign w:val="bottom"/>
          </w:tcPr>
          <w:p w14:paraId="321EF07F" w14:textId="77777777" w:rsidR="007C1CFF" w:rsidRDefault="007C1CFF">
            <w:pPr>
              <w:keepNext/>
            </w:pPr>
          </w:p>
        </w:tc>
        <w:tc>
          <w:tcPr>
            <w:tcW w:w="1245" w:type="dxa"/>
            <w:tcBorders>
              <w:top w:val="nil"/>
              <w:left w:val="nil"/>
              <w:bottom w:val="single" w:sz="8" w:space="0" w:color="000000"/>
              <w:right w:val="nil"/>
            </w:tcBorders>
            <w:tcMar>
              <w:top w:w="0" w:type="dxa"/>
              <w:left w:w="0" w:type="dxa"/>
              <w:bottom w:w="0" w:type="dxa"/>
              <w:right w:w="15" w:type="dxa"/>
            </w:tcMar>
            <w:vAlign w:val="bottom"/>
          </w:tcPr>
          <w:p w14:paraId="67FCF6C6" w14:textId="77777777" w:rsidR="007C1CFF" w:rsidRDefault="00000000">
            <w:pPr>
              <w:keepNext/>
              <w:tabs>
                <w:tab w:val="left" w:pos="562"/>
                <w:tab w:val="left" w:pos="1177"/>
              </w:tabs>
              <w:spacing w:before="75" w:after="30"/>
              <w:jc w:val="right"/>
            </w:pPr>
            <w:r>
              <w:rPr>
                <w:color w:val="000000"/>
                <w:sz w:val="20"/>
              </w:rPr>
              <w:tab/>
              <w:t>19,500</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E94046F" w14:textId="77777777" w:rsidR="007C1CFF" w:rsidRDefault="007C1CFF">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14:paraId="3F7B15DA" w14:textId="77777777" w:rsidR="007C1CFF" w:rsidRDefault="00000000">
            <w:pPr>
              <w:keepNext/>
              <w:tabs>
                <w:tab w:val="left" w:pos="457"/>
                <w:tab w:val="left" w:pos="1072"/>
              </w:tabs>
              <w:spacing w:before="75" w:after="30"/>
              <w:jc w:val="right"/>
            </w:pPr>
            <w:r>
              <w:rPr>
                <w:color w:val="000000"/>
                <w:sz w:val="20"/>
              </w:rPr>
              <w:tab/>
              <w:t>10,535</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70022C07" w14:textId="77777777" w:rsidR="007C1CFF" w:rsidRDefault="007C1CFF">
            <w:pPr>
              <w:keepNext/>
            </w:pPr>
          </w:p>
        </w:tc>
        <w:tc>
          <w:tcPr>
            <w:tcW w:w="1575" w:type="dxa"/>
            <w:tcBorders>
              <w:top w:val="nil"/>
              <w:left w:val="nil"/>
              <w:bottom w:val="single" w:sz="8" w:space="0" w:color="000000"/>
              <w:right w:val="nil"/>
            </w:tcBorders>
            <w:tcMar>
              <w:top w:w="0" w:type="dxa"/>
              <w:left w:w="0" w:type="dxa"/>
              <w:bottom w:w="0" w:type="dxa"/>
              <w:right w:w="15" w:type="dxa"/>
            </w:tcMar>
            <w:vAlign w:val="bottom"/>
          </w:tcPr>
          <w:p w14:paraId="1E5FEE99" w14:textId="77777777" w:rsidR="007C1CFF" w:rsidRDefault="00000000">
            <w:pPr>
              <w:keepNext/>
              <w:tabs>
                <w:tab w:val="left" w:pos="992"/>
                <w:tab w:val="left" w:pos="1507"/>
              </w:tabs>
              <w:spacing w:before="75" w:after="30"/>
              <w:jc w:val="right"/>
            </w:pPr>
            <w:r>
              <w:rPr>
                <w:color w:val="000000"/>
                <w:sz w:val="20"/>
              </w:rPr>
              <w:tab/>
              <w:t>8,965</w:t>
            </w:r>
            <w:r>
              <w:rPr>
                <w:color w:val="000000"/>
                <w:sz w:val="20"/>
              </w:rPr>
              <w:tab/>
            </w:r>
          </w:p>
        </w:tc>
      </w:tr>
      <w:tr w:rsidR="007C1CFF" w14:paraId="4275BFC3" w14:textId="77777777">
        <w:trPr>
          <w:cantSplit/>
          <w:trHeight w:hRule="exact" w:val="255"/>
        </w:trPr>
        <w:tc>
          <w:tcPr>
            <w:tcW w:w="3525" w:type="dxa"/>
            <w:tcBorders>
              <w:top w:val="nil"/>
              <w:left w:val="nil"/>
              <w:bottom w:val="nil"/>
              <w:right w:val="nil"/>
            </w:tcBorders>
            <w:tcMar>
              <w:top w:w="0" w:type="dxa"/>
              <w:left w:w="53" w:type="dxa"/>
              <w:bottom w:w="0" w:type="dxa"/>
              <w:right w:w="53" w:type="dxa"/>
            </w:tcMar>
            <w:vAlign w:val="bottom"/>
          </w:tcPr>
          <w:p w14:paraId="0138D1BE" w14:textId="77777777" w:rsidR="007C1CFF" w:rsidRDefault="007C1CFF">
            <w:pPr>
              <w:keepNext/>
              <w:spacing w:before="55" w:after="30"/>
            </w:pPr>
          </w:p>
        </w:tc>
        <w:tc>
          <w:tcPr>
            <w:tcW w:w="60" w:type="dxa"/>
            <w:tcBorders>
              <w:top w:val="nil"/>
              <w:left w:val="nil"/>
              <w:bottom w:val="nil"/>
              <w:right w:val="nil"/>
            </w:tcBorders>
            <w:tcMar>
              <w:top w:w="0" w:type="dxa"/>
              <w:left w:w="0" w:type="dxa"/>
              <w:bottom w:w="0" w:type="dxa"/>
              <w:right w:w="0" w:type="dxa"/>
            </w:tcMar>
            <w:vAlign w:val="bottom"/>
          </w:tcPr>
          <w:p w14:paraId="7BD31C58" w14:textId="77777777" w:rsidR="007C1CFF" w:rsidRDefault="007C1CFF">
            <w:pPr>
              <w:keepNext/>
            </w:pPr>
          </w:p>
        </w:tc>
        <w:tc>
          <w:tcPr>
            <w:tcW w:w="885" w:type="dxa"/>
            <w:tcBorders>
              <w:top w:val="nil"/>
              <w:left w:val="nil"/>
              <w:bottom w:val="nil"/>
              <w:right w:val="nil"/>
            </w:tcBorders>
            <w:tcMar>
              <w:top w:w="0" w:type="dxa"/>
              <w:left w:w="0" w:type="dxa"/>
              <w:bottom w:w="0" w:type="dxa"/>
              <w:right w:w="0" w:type="dxa"/>
            </w:tcMar>
            <w:vAlign w:val="bottom"/>
          </w:tcPr>
          <w:p w14:paraId="6CF35042" w14:textId="77777777" w:rsidR="007C1CFF" w:rsidRDefault="007C1CFF">
            <w:pPr>
              <w:keepNext/>
            </w:pPr>
          </w:p>
        </w:tc>
        <w:tc>
          <w:tcPr>
            <w:tcW w:w="60" w:type="dxa"/>
            <w:tcBorders>
              <w:top w:val="nil"/>
              <w:left w:val="nil"/>
              <w:bottom w:val="nil"/>
              <w:right w:val="nil"/>
            </w:tcBorders>
            <w:tcMar>
              <w:top w:w="0" w:type="dxa"/>
              <w:left w:w="0" w:type="dxa"/>
              <w:bottom w:w="0" w:type="dxa"/>
              <w:right w:w="0" w:type="dxa"/>
            </w:tcMar>
            <w:vAlign w:val="bottom"/>
          </w:tcPr>
          <w:p w14:paraId="4D5AD5C2" w14:textId="77777777" w:rsidR="007C1CFF" w:rsidRDefault="007C1CFF">
            <w:pPr>
              <w:keepNext/>
            </w:pPr>
          </w:p>
        </w:tc>
        <w:tc>
          <w:tcPr>
            <w:tcW w:w="945" w:type="dxa"/>
            <w:tcBorders>
              <w:top w:val="nil"/>
              <w:left w:val="nil"/>
              <w:bottom w:val="nil"/>
              <w:right w:val="nil"/>
            </w:tcBorders>
            <w:tcMar>
              <w:top w:w="0" w:type="dxa"/>
              <w:left w:w="0" w:type="dxa"/>
              <w:bottom w:w="0" w:type="dxa"/>
              <w:right w:w="0" w:type="dxa"/>
            </w:tcMar>
            <w:vAlign w:val="bottom"/>
          </w:tcPr>
          <w:p w14:paraId="30C74EF7" w14:textId="77777777" w:rsidR="007C1CFF" w:rsidRDefault="007C1CFF">
            <w:pPr>
              <w:keepNext/>
            </w:pPr>
          </w:p>
        </w:tc>
        <w:tc>
          <w:tcPr>
            <w:tcW w:w="60" w:type="dxa"/>
            <w:tcBorders>
              <w:top w:val="nil"/>
              <w:left w:val="nil"/>
              <w:bottom w:val="nil"/>
              <w:right w:val="nil"/>
            </w:tcBorders>
            <w:tcMar>
              <w:top w:w="0" w:type="dxa"/>
              <w:left w:w="0" w:type="dxa"/>
              <w:bottom w:w="0" w:type="dxa"/>
              <w:right w:w="0" w:type="dxa"/>
            </w:tcMar>
            <w:vAlign w:val="bottom"/>
          </w:tcPr>
          <w:p w14:paraId="692D2B40" w14:textId="77777777" w:rsidR="007C1CFF" w:rsidRDefault="007C1CFF">
            <w:pPr>
              <w:keepNext/>
            </w:pPr>
          </w:p>
        </w:tc>
        <w:tc>
          <w:tcPr>
            <w:tcW w:w="765" w:type="dxa"/>
            <w:tcBorders>
              <w:top w:val="nil"/>
              <w:left w:val="nil"/>
              <w:bottom w:val="nil"/>
              <w:right w:val="nil"/>
            </w:tcBorders>
            <w:tcMar>
              <w:top w:w="0" w:type="dxa"/>
              <w:left w:w="0" w:type="dxa"/>
              <w:bottom w:w="0" w:type="dxa"/>
              <w:right w:w="0" w:type="dxa"/>
            </w:tcMar>
            <w:vAlign w:val="bottom"/>
          </w:tcPr>
          <w:p w14:paraId="04E12812" w14:textId="77777777" w:rsidR="007C1CFF" w:rsidRDefault="007C1CFF">
            <w:pPr>
              <w:keepNext/>
            </w:pPr>
          </w:p>
        </w:tc>
        <w:tc>
          <w:tcPr>
            <w:tcW w:w="60" w:type="dxa"/>
            <w:tcBorders>
              <w:top w:val="nil"/>
              <w:left w:val="nil"/>
              <w:bottom w:val="nil"/>
              <w:right w:val="nil"/>
            </w:tcBorders>
            <w:tcMar>
              <w:top w:w="0" w:type="dxa"/>
              <w:left w:w="0" w:type="dxa"/>
              <w:bottom w:w="0" w:type="dxa"/>
              <w:right w:w="0" w:type="dxa"/>
            </w:tcMar>
            <w:vAlign w:val="bottom"/>
          </w:tcPr>
          <w:p w14:paraId="4CCAEAA4" w14:textId="77777777" w:rsidR="007C1CFF" w:rsidRDefault="007C1CFF">
            <w:pPr>
              <w:keepNext/>
            </w:pPr>
          </w:p>
        </w:tc>
        <w:tc>
          <w:tcPr>
            <w:tcW w:w="124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F9886F2" w14:textId="77777777" w:rsidR="007C1CFF" w:rsidRDefault="00000000">
            <w:pPr>
              <w:keepNext/>
              <w:tabs>
                <w:tab w:val="left" w:pos="462"/>
                <w:tab w:val="left" w:pos="1177"/>
              </w:tabs>
              <w:spacing w:before="55" w:after="30"/>
              <w:jc w:val="right"/>
            </w:pPr>
            <w:r>
              <w:rPr>
                <w:color w:val="000000"/>
                <w:sz w:val="20"/>
              </w:rPr>
              <w:t>$</w:t>
            </w:r>
            <w:r>
              <w:rPr>
                <w:color w:val="000000"/>
                <w:sz w:val="20"/>
              </w:rPr>
              <w:tab/>
              <w:t>108,924</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397DC4EF" w14:textId="77777777" w:rsidR="007C1CFF" w:rsidRDefault="007C1CFF">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14:paraId="28F8E88E" w14:textId="77777777" w:rsidR="007C1CFF" w:rsidRDefault="00000000">
            <w:pPr>
              <w:keepNext/>
              <w:tabs>
                <w:tab w:val="left" w:pos="457"/>
                <w:tab w:val="left" w:pos="1072"/>
              </w:tabs>
              <w:spacing w:before="55" w:after="30"/>
              <w:jc w:val="right"/>
            </w:pPr>
            <w:r>
              <w:rPr>
                <w:color w:val="000000"/>
                <w:sz w:val="20"/>
              </w:rPr>
              <w:t>$</w:t>
            </w:r>
            <w:r>
              <w:rPr>
                <w:color w:val="000000"/>
                <w:sz w:val="20"/>
              </w:rPr>
              <w:tab/>
              <w:t>97,814</w:t>
            </w:r>
            <w:r>
              <w:rPr>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FFE605B" w14:textId="77777777" w:rsidR="007C1CFF" w:rsidRDefault="007C1CFF">
            <w:pPr>
              <w:keepNext/>
            </w:pPr>
          </w:p>
        </w:tc>
        <w:tc>
          <w:tcPr>
            <w:tcW w:w="1575" w:type="dxa"/>
            <w:tcBorders>
              <w:top w:val="single" w:sz="8" w:space="0" w:color="000000"/>
              <w:left w:val="nil"/>
              <w:bottom w:val="double" w:sz="8" w:space="0" w:color="000000"/>
              <w:right w:val="nil"/>
            </w:tcBorders>
            <w:tcMar>
              <w:top w:w="0" w:type="dxa"/>
              <w:left w:w="0" w:type="dxa"/>
              <w:bottom w:w="0" w:type="dxa"/>
              <w:right w:w="15" w:type="dxa"/>
            </w:tcMar>
            <w:vAlign w:val="bottom"/>
          </w:tcPr>
          <w:p w14:paraId="0CC37BEC" w14:textId="77777777" w:rsidR="007C1CFF" w:rsidRDefault="00000000">
            <w:pPr>
              <w:keepNext/>
              <w:tabs>
                <w:tab w:val="left" w:pos="892"/>
                <w:tab w:val="left" w:pos="1507"/>
              </w:tabs>
              <w:spacing w:before="55" w:after="30"/>
              <w:jc w:val="right"/>
            </w:pPr>
            <w:r>
              <w:rPr>
                <w:color w:val="000000"/>
                <w:sz w:val="20"/>
              </w:rPr>
              <w:t>$</w:t>
            </w:r>
            <w:r>
              <w:rPr>
                <w:color w:val="000000"/>
                <w:sz w:val="20"/>
              </w:rPr>
              <w:tab/>
              <w:t>11,111</w:t>
            </w:r>
            <w:r>
              <w:rPr>
                <w:color w:val="000000"/>
                <w:sz w:val="20"/>
              </w:rPr>
              <w:tab/>
            </w:r>
          </w:p>
        </w:tc>
      </w:tr>
      <w:tr w:rsidR="007C1CFF" w14:paraId="7FD0F5D9" w14:textId="77777777">
        <w:trPr>
          <w:cantSplit/>
          <w:trHeight w:hRule="exact" w:val="180"/>
        </w:trPr>
        <w:tc>
          <w:tcPr>
            <w:tcW w:w="3525" w:type="dxa"/>
            <w:tcBorders>
              <w:top w:val="nil"/>
              <w:left w:val="nil"/>
              <w:bottom w:val="nil"/>
              <w:right w:val="nil"/>
            </w:tcBorders>
            <w:tcMar>
              <w:top w:w="0" w:type="dxa"/>
              <w:left w:w="0" w:type="dxa"/>
              <w:bottom w:w="0" w:type="dxa"/>
              <w:right w:w="0" w:type="dxa"/>
            </w:tcMar>
            <w:vAlign w:val="bottom"/>
          </w:tcPr>
          <w:p w14:paraId="3A4A6A11" w14:textId="77777777" w:rsidR="007C1CFF" w:rsidRDefault="007C1CFF"/>
        </w:tc>
        <w:tc>
          <w:tcPr>
            <w:tcW w:w="60" w:type="dxa"/>
            <w:tcBorders>
              <w:top w:val="nil"/>
              <w:left w:val="nil"/>
              <w:bottom w:val="nil"/>
              <w:right w:val="nil"/>
            </w:tcBorders>
            <w:tcMar>
              <w:top w:w="0" w:type="dxa"/>
              <w:left w:w="0" w:type="dxa"/>
              <w:bottom w:w="0" w:type="dxa"/>
              <w:right w:w="0" w:type="dxa"/>
            </w:tcMar>
            <w:vAlign w:val="bottom"/>
          </w:tcPr>
          <w:p w14:paraId="53D3D9ED" w14:textId="77777777" w:rsidR="007C1CFF" w:rsidRDefault="007C1CFF"/>
        </w:tc>
        <w:tc>
          <w:tcPr>
            <w:tcW w:w="885" w:type="dxa"/>
            <w:tcBorders>
              <w:top w:val="nil"/>
              <w:left w:val="nil"/>
              <w:bottom w:val="nil"/>
              <w:right w:val="nil"/>
            </w:tcBorders>
            <w:tcMar>
              <w:top w:w="0" w:type="dxa"/>
              <w:left w:w="0" w:type="dxa"/>
              <w:bottom w:w="0" w:type="dxa"/>
              <w:right w:w="0" w:type="dxa"/>
            </w:tcMar>
            <w:vAlign w:val="bottom"/>
          </w:tcPr>
          <w:p w14:paraId="015C4B71" w14:textId="77777777" w:rsidR="007C1CFF" w:rsidRDefault="007C1CFF"/>
        </w:tc>
        <w:tc>
          <w:tcPr>
            <w:tcW w:w="60" w:type="dxa"/>
            <w:tcBorders>
              <w:top w:val="nil"/>
              <w:left w:val="nil"/>
              <w:bottom w:val="nil"/>
              <w:right w:val="nil"/>
            </w:tcBorders>
            <w:tcMar>
              <w:top w:w="0" w:type="dxa"/>
              <w:left w:w="0" w:type="dxa"/>
              <w:bottom w:w="0" w:type="dxa"/>
              <w:right w:w="0" w:type="dxa"/>
            </w:tcMar>
            <w:vAlign w:val="bottom"/>
          </w:tcPr>
          <w:p w14:paraId="4CC6E892" w14:textId="77777777" w:rsidR="007C1CFF" w:rsidRDefault="007C1CFF"/>
        </w:tc>
        <w:tc>
          <w:tcPr>
            <w:tcW w:w="945" w:type="dxa"/>
            <w:tcBorders>
              <w:top w:val="nil"/>
              <w:left w:val="nil"/>
              <w:bottom w:val="nil"/>
              <w:right w:val="nil"/>
            </w:tcBorders>
            <w:tcMar>
              <w:top w:w="0" w:type="dxa"/>
              <w:left w:w="0" w:type="dxa"/>
              <w:bottom w:w="0" w:type="dxa"/>
              <w:right w:w="0" w:type="dxa"/>
            </w:tcMar>
            <w:vAlign w:val="bottom"/>
          </w:tcPr>
          <w:p w14:paraId="05D4FD90" w14:textId="77777777" w:rsidR="007C1CFF" w:rsidRDefault="007C1CFF"/>
        </w:tc>
        <w:tc>
          <w:tcPr>
            <w:tcW w:w="60" w:type="dxa"/>
            <w:tcBorders>
              <w:top w:val="nil"/>
              <w:left w:val="nil"/>
              <w:bottom w:val="nil"/>
              <w:right w:val="nil"/>
            </w:tcBorders>
            <w:tcMar>
              <w:top w:w="0" w:type="dxa"/>
              <w:left w:w="0" w:type="dxa"/>
              <w:bottom w:w="0" w:type="dxa"/>
              <w:right w:w="0" w:type="dxa"/>
            </w:tcMar>
            <w:vAlign w:val="bottom"/>
          </w:tcPr>
          <w:p w14:paraId="5710380E" w14:textId="77777777" w:rsidR="007C1CFF" w:rsidRDefault="007C1CFF"/>
        </w:tc>
        <w:tc>
          <w:tcPr>
            <w:tcW w:w="765" w:type="dxa"/>
            <w:tcBorders>
              <w:top w:val="nil"/>
              <w:left w:val="nil"/>
              <w:bottom w:val="nil"/>
              <w:right w:val="nil"/>
            </w:tcBorders>
            <w:tcMar>
              <w:top w:w="0" w:type="dxa"/>
              <w:left w:w="0" w:type="dxa"/>
              <w:bottom w:w="0" w:type="dxa"/>
              <w:right w:w="0" w:type="dxa"/>
            </w:tcMar>
            <w:vAlign w:val="bottom"/>
          </w:tcPr>
          <w:p w14:paraId="24435A83" w14:textId="77777777" w:rsidR="007C1CFF" w:rsidRDefault="007C1CFF"/>
        </w:tc>
        <w:tc>
          <w:tcPr>
            <w:tcW w:w="60" w:type="dxa"/>
            <w:tcBorders>
              <w:top w:val="nil"/>
              <w:left w:val="nil"/>
              <w:bottom w:val="nil"/>
              <w:right w:val="nil"/>
            </w:tcBorders>
            <w:tcMar>
              <w:top w:w="0" w:type="dxa"/>
              <w:left w:w="0" w:type="dxa"/>
              <w:bottom w:w="0" w:type="dxa"/>
              <w:right w:w="0" w:type="dxa"/>
            </w:tcMar>
            <w:vAlign w:val="bottom"/>
          </w:tcPr>
          <w:p w14:paraId="46F41CDF" w14:textId="77777777" w:rsidR="007C1CFF" w:rsidRDefault="007C1CFF"/>
        </w:tc>
        <w:tc>
          <w:tcPr>
            <w:tcW w:w="1245" w:type="dxa"/>
            <w:tcBorders>
              <w:top w:val="double" w:sz="8" w:space="0" w:color="000000"/>
              <w:left w:val="nil"/>
              <w:bottom w:val="nil"/>
              <w:right w:val="nil"/>
            </w:tcBorders>
            <w:tcMar>
              <w:top w:w="0" w:type="dxa"/>
              <w:left w:w="0" w:type="dxa"/>
              <w:bottom w:w="0" w:type="dxa"/>
              <w:right w:w="0" w:type="dxa"/>
            </w:tcMar>
            <w:vAlign w:val="bottom"/>
          </w:tcPr>
          <w:p w14:paraId="1E046337" w14:textId="77777777" w:rsidR="007C1CFF" w:rsidRDefault="007C1CFF"/>
        </w:tc>
        <w:tc>
          <w:tcPr>
            <w:tcW w:w="60" w:type="dxa"/>
            <w:tcBorders>
              <w:top w:val="nil"/>
              <w:left w:val="nil"/>
              <w:bottom w:val="nil"/>
              <w:right w:val="nil"/>
            </w:tcBorders>
            <w:tcMar>
              <w:top w:w="0" w:type="dxa"/>
              <w:left w:w="0" w:type="dxa"/>
              <w:bottom w:w="0" w:type="dxa"/>
              <w:right w:w="0" w:type="dxa"/>
            </w:tcMar>
            <w:vAlign w:val="bottom"/>
          </w:tcPr>
          <w:p w14:paraId="295F0468" w14:textId="77777777" w:rsidR="007C1CFF" w:rsidRDefault="007C1CFF"/>
        </w:tc>
        <w:tc>
          <w:tcPr>
            <w:tcW w:w="1140" w:type="dxa"/>
            <w:tcBorders>
              <w:top w:val="double" w:sz="8" w:space="0" w:color="000000"/>
              <w:left w:val="nil"/>
              <w:bottom w:val="nil"/>
              <w:right w:val="nil"/>
            </w:tcBorders>
            <w:tcMar>
              <w:top w:w="0" w:type="dxa"/>
              <w:left w:w="0" w:type="dxa"/>
              <w:bottom w:w="0" w:type="dxa"/>
              <w:right w:w="0" w:type="dxa"/>
            </w:tcMar>
            <w:vAlign w:val="bottom"/>
          </w:tcPr>
          <w:p w14:paraId="3D38D1F0" w14:textId="77777777" w:rsidR="007C1CFF" w:rsidRDefault="007C1CFF"/>
        </w:tc>
        <w:tc>
          <w:tcPr>
            <w:tcW w:w="60" w:type="dxa"/>
            <w:tcBorders>
              <w:top w:val="nil"/>
              <w:left w:val="nil"/>
              <w:bottom w:val="nil"/>
              <w:right w:val="nil"/>
            </w:tcBorders>
            <w:tcMar>
              <w:top w:w="0" w:type="dxa"/>
              <w:left w:w="0" w:type="dxa"/>
              <w:bottom w:w="0" w:type="dxa"/>
              <w:right w:w="0" w:type="dxa"/>
            </w:tcMar>
            <w:vAlign w:val="bottom"/>
          </w:tcPr>
          <w:p w14:paraId="47DABAF4" w14:textId="77777777" w:rsidR="007C1CFF" w:rsidRDefault="007C1CFF"/>
        </w:tc>
        <w:tc>
          <w:tcPr>
            <w:tcW w:w="1575" w:type="dxa"/>
            <w:tcBorders>
              <w:top w:val="double" w:sz="8" w:space="0" w:color="000000"/>
              <w:left w:val="nil"/>
              <w:bottom w:val="nil"/>
              <w:right w:val="nil"/>
            </w:tcBorders>
            <w:tcMar>
              <w:top w:w="0" w:type="dxa"/>
              <w:left w:w="0" w:type="dxa"/>
              <w:bottom w:w="0" w:type="dxa"/>
              <w:right w:w="0" w:type="dxa"/>
            </w:tcMar>
            <w:vAlign w:val="bottom"/>
          </w:tcPr>
          <w:p w14:paraId="2D430985" w14:textId="77777777" w:rsidR="007C1CFF" w:rsidRDefault="007C1CFF"/>
        </w:tc>
      </w:tr>
    </w:tbl>
    <w:p w14:paraId="0E74916D" w14:textId="77777777" w:rsidR="007C1CFF" w:rsidRDefault="00000000">
      <w:pPr>
        <w:spacing w:line="288" w:lineRule="auto"/>
        <w:jc w:val="both"/>
        <w:rPr>
          <w:color w:val="242424"/>
          <w:sz w:val="18"/>
          <w:u w:val="single"/>
        </w:rPr>
      </w:pPr>
      <w:r>
        <w:rPr>
          <w:sz w:val="18"/>
          <w:vertAlign w:val="superscript"/>
        </w:rPr>
        <w:t xml:space="preserve">1 </w:t>
      </w:r>
      <w:r>
        <w:rPr>
          <w:sz w:val="18"/>
        </w:rPr>
        <w:t>Total impairment charges recognized on these properties were $41.7 million. Impairment charges on these properties of $2.4 million were recognized in the second quarter, of which $2.3 million</w:t>
      </w:r>
      <w:r>
        <w:rPr>
          <w:sz w:val="20"/>
        </w:rPr>
        <w:t xml:space="preserve"> </w:t>
      </w:r>
      <w:r>
        <w:rPr>
          <w:sz w:val="18"/>
        </w:rPr>
        <w:t xml:space="preserve">related to Bickford. </w:t>
      </w:r>
    </w:p>
    <w:p w14:paraId="28FBC55C" w14:textId="77777777" w:rsidR="007C1CFF" w:rsidRDefault="00000000">
      <w:pPr>
        <w:spacing w:line="288" w:lineRule="auto"/>
        <w:jc w:val="both"/>
        <w:rPr>
          <w:color w:val="242424"/>
          <w:sz w:val="18"/>
          <w:u w:val="single"/>
        </w:rPr>
      </w:pPr>
      <w:r>
        <w:rPr>
          <w:sz w:val="18"/>
          <w:vertAlign w:val="superscript"/>
        </w:rPr>
        <w:t xml:space="preserve">2 </w:t>
      </w:r>
      <w:r>
        <w:rPr>
          <w:sz w:val="18"/>
        </w:rPr>
        <w:t>Impairments are included in “</w:t>
      </w:r>
      <w:r>
        <w:rPr>
          <w:i/>
          <w:sz w:val="18"/>
        </w:rPr>
        <w:t>Loan and realty losses</w:t>
      </w:r>
      <w:r>
        <w:rPr>
          <w:sz w:val="18"/>
        </w:rPr>
        <w:t xml:space="preserve">” in the Condensed Consolidated Statements of Income for the three and six months ended June 30, 2022. </w:t>
      </w:r>
    </w:p>
    <w:p w14:paraId="5DCF2E31" w14:textId="77777777" w:rsidR="007C1CFF" w:rsidRDefault="007C1CFF">
      <w:pPr>
        <w:spacing w:line="288" w:lineRule="auto"/>
        <w:jc w:val="both"/>
        <w:rPr>
          <w:i/>
          <w:color w:val="242424"/>
          <w:sz w:val="18"/>
          <w:shd w:val="clear" w:color="auto" w:fill="BFE4FF"/>
        </w:rPr>
      </w:pPr>
    </w:p>
    <w:p w14:paraId="702BEA7C" w14:textId="77777777" w:rsidR="007C1CFF" w:rsidRDefault="00000000">
      <w:pPr>
        <w:spacing w:line="288" w:lineRule="auto"/>
        <w:jc w:val="both"/>
        <w:rPr>
          <w:color w:val="242424"/>
          <w:sz w:val="20"/>
          <w:u w:val="single"/>
        </w:rPr>
      </w:pPr>
      <w:r>
        <w:rPr>
          <w:sz w:val="20"/>
        </w:rPr>
        <w:t>The properties were previously classified as assets held for sale on the Condensed Consolidated Balance Sheet. Rental income for the disposed properties was $0.6 million and $2.6 million for the three and six months ended June 30, 2022, respectively.</w:t>
      </w:r>
    </w:p>
    <w:p w14:paraId="5FCF8B55" w14:textId="77777777" w:rsidR="007C1CFF" w:rsidRDefault="007C1CFF">
      <w:pPr>
        <w:spacing w:line="288" w:lineRule="auto"/>
        <w:ind w:firstLine="270"/>
        <w:jc w:val="both"/>
        <w:rPr>
          <w:i/>
          <w:color w:val="242424"/>
          <w:sz w:val="18"/>
          <w:u w:val="single"/>
          <w:shd w:val="clear" w:color="auto" w:fill="BFE4FF"/>
          <w:vertAlign w:val="superscript"/>
        </w:rPr>
      </w:pPr>
    </w:p>
    <w:p w14:paraId="3821387C" w14:textId="77777777" w:rsidR="007C1CFF" w:rsidRDefault="00000000">
      <w:pPr>
        <w:spacing w:line="288" w:lineRule="auto"/>
        <w:jc w:val="both"/>
        <w:rPr>
          <w:b/>
          <w:color w:val="242424"/>
          <w:sz w:val="20"/>
          <w:u w:val="single"/>
          <w:vertAlign w:val="superscript"/>
        </w:rPr>
      </w:pPr>
      <w:r>
        <w:rPr>
          <w:b/>
          <w:sz w:val="20"/>
        </w:rPr>
        <w:t>Concessions and Collections</w:t>
      </w:r>
    </w:p>
    <w:p w14:paraId="6D80C982" w14:textId="77777777" w:rsidR="007C1CFF" w:rsidRDefault="00000000">
      <w:pPr>
        <w:spacing w:line="269" w:lineRule="auto"/>
        <w:jc w:val="both"/>
        <w:rPr>
          <w:i/>
          <w:color w:val="242424"/>
          <w:sz w:val="20"/>
          <w:shd w:val="clear" w:color="auto" w:fill="BFE4FF"/>
        </w:rPr>
      </w:pPr>
      <w:r>
        <w:rPr>
          <w:sz w:val="20"/>
        </w:rPr>
        <w:t xml:space="preserve">During the second quarter of 2022, NHI granted rent deferrals of approximately $3.9 million, including $2.9 million in pandemic related deferrals, to five senior housing operators. The Company collected approximately 94.0% of contractual cash due during the second quarter of 2022. </w:t>
      </w:r>
    </w:p>
    <w:p w14:paraId="00BF5F9D" w14:textId="77777777" w:rsidR="007C1CFF" w:rsidRDefault="007C1CFF">
      <w:pPr>
        <w:spacing w:line="269" w:lineRule="auto"/>
        <w:jc w:val="both"/>
        <w:rPr>
          <w:i/>
          <w:color w:val="242424"/>
          <w:sz w:val="20"/>
          <w:u w:val="single"/>
        </w:rPr>
      </w:pPr>
    </w:p>
    <w:p w14:paraId="48C3C65A" w14:textId="77777777" w:rsidR="007C1CFF" w:rsidRDefault="00000000">
      <w:pPr>
        <w:spacing w:line="288" w:lineRule="auto"/>
        <w:jc w:val="both"/>
        <w:rPr>
          <w:b/>
          <w:color w:val="242424"/>
          <w:sz w:val="20"/>
          <w:u w:val="single"/>
        </w:rPr>
      </w:pPr>
      <w:r>
        <w:rPr>
          <w:b/>
          <w:sz w:val="20"/>
        </w:rPr>
        <w:t>Occupancy</w:t>
      </w:r>
    </w:p>
    <w:p w14:paraId="199D4D01" w14:textId="77777777" w:rsidR="007C1CFF" w:rsidRDefault="00000000">
      <w:pPr>
        <w:spacing w:line="288" w:lineRule="auto"/>
        <w:jc w:val="both"/>
        <w:rPr>
          <w:color w:val="242424"/>
          <w:sz w:val="20"/>
          <w:u w:val="single"/>
        </w:rPr>
      </w:pPr>
      <w:r>
        <w:rPr>
          <w:sz w:val="20"/>
        </w:rPr>
        <w:t>The following table summarizes the average portfolio occupancy for Senior Living Communities (“SLC”), Bickford and SHOP for the periods indicated, excluding development properties in operation less than 24 months, notes receivable, and properties transitioned to new tenants or disposed.</w:t>
      </w:r>
    </w:p>
    <w:p w14:paraId="429FEA4B" w14:textId="77777777" w:rsidR="007C1CFF" w:rsidRDefault="007C1CFF">
      <w:pPr>
        <w:spacing w:line="288" w:lineRule="auto"/>
        <w:jc w:val="both"/>
        <w:rPr>
          <w:color w:val="242424"/>
          <w:sz w:val="20"/>
          <w:u w:val="single"/>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975"/>
        <w:gridCol w:w="1035"/>
        <w:gridCol w:w="1035"/>
        <w:gridCol w:w="1035"/>
        <w:gridCol w:w="1035"/>
        <w:gridCol w:w="1035"/>
        <w:gridCol w:w="1035"/>
        <w:gridCol w:w="1035"/>
        <w:gridCol w:w="1035"/>
      </w:tblGrid>
      <w:tr w:rsidR="007C1CFF" w14:paraId="19812AA8" w14:textId="77777777">
        <w:trPr>
          <w:cantSplit/>
          <w:trHeight w:hRule="exact" w:val="315"/>
        </w:trPr>
        <w:tc>
          <w:tcPr>
            <w:tcW w:w="1200" w:type="dxa"/>
            <w:tcBorders>
              <w:top w:val="nil"/>
              <w:left w:val="nil"/>
              <w:bottom w:val="nil"/>
              <w:right w:val="nil"/>
            </w:tcBorders>
            <w:tcMar>
              <w:top w:w="0" w:type="dxa"/>
              <w:left w:w="0" w:type="dxa"/>
              <w:bottom w:w="0" w:type="dxa"/>
              <w:right w:w="0" w:type="dxa"/>
            </w:tcMar>
            <w:vAlign w:val="bottom"/>
          </w:tcPr>
          <w:p w14:paraId="0BEC0B4D" w14:textId="77777777" w:rsidR="007C1CFF" w:rsidRDefault="007C1CFF">
            <w:pPr>
              <w:keepNext/>
            </w:pPr>
          </w:p>
        </w:tc>
        <w:tc>
          <w:tcPr>
            <w:tcW w:w="975" w:type="dxa"/>
            <w:tcBorders>
              <w:top w:val="nil"/>
              <w:left w:val="nil"/>
              <w:bottom w:val="single" w:sz="8" w:space="0" w:color="000000"/>
              <w:right w:val="nil"/>
            </w:tcBorders>
            <w:tcMar>
              <w:top w:w="0" w:type="dxa"/>
              <w:left w:w="53" w:type="dxa"/>
              <w:bottom w:w="0" w:type="dxa"/>
              <w:right w:w="53" w:type="dxa"/>
            </w:tcMar>
            <w:vAlign w:val="bottom"/>
          </w:tcPr>
          <w:p w14:paraId="797A4A75" w14:textId="77777777" w:rsidR="007C1CFF" w:rsidRDefault="00000000">
            <w:pPr>
              <w:keepNext/>
              <w:spacing w:before="75" w:after="30"/>
              <w:jc w:val="center"/>
            </w:pPr>
            <w:r>
              <w:rPr>
                <w:color w:val="000000"/>
                <w:sz w:val="20"/>
              </w:rPr>
              <w:t>Properties</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63876143" w14:textId="77777777" w:rsidR="007C1CFF" w:rsidRDefault="00000000">
            <w:pPr>
              <w:keepNext/>
              <w:spacing w:before="75" w:after="30"/>
              <w:jc w:val="center"/>
            </w:pPr>
            <w:r>
              <w:rPr>
                <w:color w:val="000000"/>
                <w:sz w:val="20"/>
              </w:rPr>
              <w:t>Jul-22</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5BAB43CB" w14:textId="77777777" w:rsidR="007C1CFF" w:rsidRDefault="00000000">
            <w:pPr>
              <w:keepNext/>
              <w:spacing w:before="75" w:after="30"/>
              <w:jc w:val="center"/>
            </w:pPr>
            <w:r>
              <w:rPr>
                <w:color w:val="000000"/>
                <w:sz w:val="20"/>
              </w:rPr>
              <w:t>Jun-22</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5454B7A2" w14:textId="77777777" w:rsidR="007C1CFF" w:rsidRDefault="00000000">
            <w:pPr>
              <w:keepNext/>
              <w:spacing w:before="75" w:after="30"/>
              <w:jc w:val="center"/>
            </w:pPr>
            <w:r>
              <w:rPr>
                <w:color w:val="000000"/>
                <w:sz w:val="20"/>
              </w:rPr>
              <w:t>May-22</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5115A97A" w14:textId="77777777" w:rsidR="007C1CFF" w:rsidRDefault="00000000">
            <w:pPr>
              <w:keepNext/>
              <w:spacing w:before="75" w:after="30"/>
              <w:jc w:val="center"/>
            </w:pPr>
            <w:r>
              <w:rPr>
                <w:color w:val="000000"/>
                <w:sz w:val="20"/>
              </w:rPr>
              <w:t>Apr-22</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47138F2D" w14:textId="77777777" w:rsidR="007C1CFF" w:rsidRDefault="00000000">
            <w:pPr>
              <w:keepNext/>
              <w:spacing w:before="75" w:after="30"/>
              <w:jc w:val="center"/>
            </w:pPr>
            <w:r>
              <w:rPr>
                <w:color w:val="000000"/>
                <w:sz w:val="20"/>
              </w:rPr>
              <w:t>Mar-22</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546893BA" w14:textId="77777777" w:rsidR="007C1CFF" w:rsidRDefault="00000000">
            <w:pPr>
              <w:keepNext/>
              <w:spacing w:before="75" w:after="30"/>
              <w:jc w:val="center"/>
            </w:pPr>
            <w:r>
              <w:rPr>
                <w:color w:val="000000"/>
                <w:sz w:val="20"/>
              </w:rPr>
              <w:t>Feb-22</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4AF8335E" w14:textId="77777777" w:rsidR="007C1CFF" w:rsidRDefault="00000000">
            <w:pPr>
              <w:keepNext/>
              <w:spacing w:before="75" w:after="30"/>
              <w:jc w:val="center"/>
            </w:pPr>
            <w:r>
              <w:rPr>
                <w:color w:val="000000"/>
                <w:sz w:val="20"/>
              </w:rPr>
              <w:t>Jan-22</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2ED76D19" w14:textId="77777777" w:rsidR="007C1CFF" w:rsidRDefault="00000000">
            <w:pPr>
              <w:keepNext/>
              <w:spacing w:before="75" w:after="30"/>
              <w:jc w:val="center"/>
            </w:pPr>
            <w:r>
              <w:rPr>
                <w:color w:val="000000"/>
                <w:sz w:val="20"/>
              </w:rPr>
              <w:t>Dec-21</w:t>
            </w:r>
          </w:p>
        </w:tc>
      </w:tr>
      <w:tr w:rsidR="007C1CFF" w14:paraId="442D0EE3" w14:textId="77777777">
        <w:trPr>
          <w:cantSplit/>
          <w:trHeight w:hRule="exact" w:val="315"/>
        </w:trPr>
        <w:tc>
          <w:tcPr>
            <w:tcW w:w="1200" w:type="dxa"/>
            <w:tcBorders>
              <w:top w:val="nil"/>
              <w:left w:val="nil"/>
              <w:bottom w:val="nil"/>
              <w:right w:val="nil"/>
            </w:tcBorders>
            <w:tcMar>
              <w:top w:w="0" w:type="dxa"/>
              <w:left w:w="53" w:type="dxa"/>
              <w:bottom w:w="0" w:type="dxa"/>
              <w:right w:w="53" w:type="dxa"/>
            </w:tcMar>
            <w:vAlign w:val="bottom"/>
          </w:tcPr>
          <w:p w14:paraId="0B4E28F4" w14:textId="77777777" w:rsidR="007C1CFF" w:rsidRDefault="00000000">
            <w:pPr>
              <w:keepNext/>
              <w:spacing w:before="55" w:after="30"/>
            </w:pPr>
            <w:r>
              <w:rPr>
                <w:color w:val="000000"/>
                <w:sz w:val="20"/>
              </w:rPr>
              <w:t>SLC</w:t>
            </w:r>
          </w:p>
        </w:tc>
        <w:tc>
          <w:tcPr>
            <w:tcW w:w="975" w:type="dxa"/>
            <w:tcBorders>
              <w:top w:val="single" w:sz="8" w:space="0" w:color="000000"/>
              <w:left w:val="nil"/>
              <w:bottom w:val="nil"/>
              <w:right w:val="nil"/>
            </w:tcBorders>
            <w:tcMar>
              <w:top w:w="0" w:type="dxa"/>
              <w:left w:w="53" w:type="dxa"/>
              <w:bottom w:w="0" w:type="dxa"/>
              <w:right w:w="53" w:type="dxa"/>
            </w:tcMar>
            <w:vAlign w:val="bottom"/>
          </w:tcPr>
          <w:p w14:paraId="5085DBC7" w14:textId="77777777" w:rsidR="007C1CFF" w:rsidRDefault="00000000">
            <w:pPr>
              <w:keepNext/>
              <w:spacing w:before="55" w:after="30"/>
              <w:jc w:val="center"/>
            </w:pPr>
            <w:r>
              <w:rPr>
                <w:color w:val="000000"/>
                <w:sz w:val="20"/>
              </w:rPr>
              <w:t>9</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3A4D318B" w14:textId="77777777" w:rsidR="007C1CFF" w:rsidRDefault="00000000">
            <w:pPr>
              <w:keepNext/>
              <w:tabs>
                <w:tab w:val="left" w:pos="1"/>
                <w:tab w:val="left" w:pos="419"/>
              </w:tabs>
              <w:spacing w:before="55" w:after="30"/>
              <w:jc w:val="right"/>
            </w:pPr>
            <w:r>
              <w:rPr>
                <w:color w:val="000000"/>
                <w:sz w:val="20"/>
              </w:rPr>
              <w:tab/>
              <w:t>83.4</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3E726994" w14:textId="77777777" w:rsidR="007C1CFF" w:rsidRDefault="00000000">
            <w:pPr>
              <w:keepNext/>
              <w:tabs>
                <w:tab w:val="left" w:pos="1"/>
                <w:tab w:val="left" w:pos="419"/>
              </w:tabs>
              <w:spacing w:before="55" w:after="30"/>
              <w:jc w:val="right"/>
            </w:pPr>
            <w:r>
              <w:rPr>
                <w:color w:val="000000"/>
                <w:sz w:val="20"/>
              </w:rPr>
              <w:tab/>
              <w:t>82.1</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46492290" w14:textId="77777777" w:rsidR="007C1CFF" w:rsidRDefault="00000000">
            <w:pPr>
              <w:keepNext/>
              <w:tabs>
                <w:tab w:val="left" w:pos="1"/>
                <w:tab w:val="left" w:pos="419"/>
              </w:tabs>
              <w:spacing w:before="55" w:after="30"/>
              <w:jc w:val="right"/>
            </w:pPr>
            <w:r>
              <w:rPr>
                <w:color w:val="000000"/>
                <w:sz w:val="20"/>
              </w:rPr>
              <w:tab/>
              <w:t>82.4</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7EBFD94E" w14:textId="77777777" w:rsidR="007C1CFF" w:rsidRDefault="00000000">
            <w:pPr>
              <w:keepNext/>
              <w:tabs>
                <w:tab w:val="left" w:pos="1"/>
                <w:tab w:val="left" w:pos="419"/>
              </w:tabs>
              <w:spacing w:before="55" w:after="30"/>
              <w:jc w:val="right"/>
            </w:pPr>
            <w:r>
              <w:rPr>
                <w:color w:val="000000"/>
                <w:sz w:val="20"/>
              </w:rPr>
              <w:tab/>
              <w:t>82.3</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2100943A" w14:textId="77777777" w:rsidR="007C1CFF" w:rsidRDefault="00000000">
            <w:pPr>
              <w:keepNext/>
              <w:tabs>
                <w:tab w:val="left" w:pos="1"/>
                <w:tab w:val="left" w:pos="419"/>
              </w:tabs>
              <w:spacing w:before="55" w:after="30"/>
              <w:jc w:val="right"/>
            </w:pPr>
            <w:r>
              <w:rPr>
                <w:color w:val="000000"/>
                <w:sz w:val="20"/>
              </w:rPr>
              <w:tab/>
              <w:t>81.8</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2E433788" w14:textId="77777777" w:rsidR="007C1CFF" w:rsidRDefault="00000000">
            <w:pPr>
              <w:keepNext/>
              <w:tabs>
                <w:tab w:val="left" w:pos="1"/>
                <w:tab w:val="left" w:pos="419"/>
              </w:tabs>
              <w:spacing w:before="55" w:after="30"/>
              <w:jc w:val="right"/>
            </w:pPr>
            <w:r>
              <w:rPr>
                <w:color w:val="000000"/>
                <w:sz w:val="20"/>
              </w:rPr>
              <w:tab/>
              <w:t>81.7</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63B63AAA" w14:textId="77777777" w:rsidR="007C1CFF" w:rsidRDefault="00000000">
            <w:pPr>
              <w:keepNext/>
              <w:tabs>
                <w:tab w:val="left" w:pos="1"/>
                <w:tab w:val="left" w:pos="419"/>
              </w:tabs>
              <w:spacing w:before="55" w:after="30"/>
              <w:jc w:val="right"/>
            </w:pPr>
            <w:r>
              <w:rPr>
                <w:color w:val="000000"/>
                <w:sz w:val="20"/>
              </w:rPr>
              <w:tab/>
              <w:t>81.7</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60F578ED" w14:textId="77777777" w:rsidR="007C1CFF" w:rsidRDefault="00000000">
            <w:pPr>
              <w:keepNext/>
              <w:tabs>
                <w:tab w:val="left" w:pos="1"/>
                <w:tab w:val="left" w:pos="419"/>
              </w:tabs>
              <w:spacing w:before="55" w:after="30"/>
              <w:jc w:val="right"/>
            </w:pPr>
            <w:r>
              <w:rPr>
                <w:color w:val="000000"/>
                <w:sz w:val="20"/>
              </w:rPr>
              <w:tab/>
              <w:t>81.7</w:t>
            </w:r>
            <w:r>
              <w:rPr>
                <w:color w:val="000000"/>
                <w:sz w:val="20"/>
              </w:rPr>
              <w:tab/>
              <w:t>%</w:t>
            </w:r>
          </w:p>
        </w:tc>
      </w:tr>
      <w:tr w:rsidR="007C1CFF" w14:paraId="513E85E4" w14:textId="77777777">
        <w:trPr>
          <w:cantSplit/>
          <w:trHeight w:hRule="exact" w:val="315"/>
        </w:trPr>
        <w:tc>
          <w:tcPr>
            <w:tcW w:w="1200" w:type="dxa"/>
            <w:tcBorders>
              <w:top w:val="nil"/>
              <w:left w:val="nil"/>
              <w:bottom w:val="nil"/>
              <w:right w:val="nil"/>
            </w:tcBorders>
            <w:tcMar>
              <w:top w:w="0" w:type="dxa"/>
              <w:left w:w="53" w:type="dxa"/>
              <w:bottom w:w="0" w:type="dxa"/>
              <w:right w:w="53" w:type="dxa"/>
            </w:tcMar>
            <w:vAlign w:val="bottom"/>
          </w:tcPr>
          <w:p w14:paraId="0FA0FECC" w14:textId="77777777" w:rsidR="007C1CFF" w:rsidRDefault="00000000">
            <w:pPr>
              <w:keepNext/>
              <w:spacing w:before="75" w:after="30"/>
              <w:rPr>
                <w:sz w:val="20"/>
              </w:rPr>
            </w:pPr>
            <w:r>
              <w:rPr>
                <w:sz w:val="20"/>
              </w:rPr>
              <w:t>Bickford</w:t>
            </w:r>
            <w:r>
              <w:rPr>
                <w:sz w:val="20"/>
                <w:vertAlign w:val="superscript"/>
              </w:rPr>
              <w:t>1</w:t>
            </w:r>
          </w:p>
        </w:tc>
        <w:tc>
          <w:tcPr>
            <w:tcW w:w="975" w:type="dxa"/>
            <w:tcBorders>
              <w:top w:val="nil"/>
              <w:left w:val="nil"/>
              <w:bottom w:val="nil"/>
              <w:right w:val="nil"/>
            </w:tcBorders>
            <w:tcMar>
              <w:top w:w="0" w:type="dxa"/>
              <w:left w:w="53" w:type="dxa"/>
              <w:bottom w:w="0" w:type="dxa"/>
              <w:right w:w="53" w:type="dxa"/>
            </w:tcMar>
            <w:vAlign w:val="bottom"/>
          </w:tcPr>
          <w:p w14:paraId="2E5B93E7" w14:textId="77777777" w:rsidR="007C1CFF" w:rsidRDefault="00000000">
            <w:pPr>
              <w:keepNext/>
              <w:spacing w:before="75" w:after="30"/>
              <w:jc w:val="center"/>
            </w:pPr>
            <w:r>
              <w:rPr>
                <w:color w:val="000000"/>
                <w:sz w:val="20"/>
              </w:rPr>
              <w:t>38</w:t>
            </w:r>
          </w:p>
        </w:tc>
        <w:tc>
          <w:tcPr>
            <w:tcW w:w="1035" w:type="dxa"/>
            <w:tcBorders>
              <w:top w:val="nil"/>
              <w:left w:val="nil"/>
              <w:bottom w:val="nil"/>
              <w:right w:val="nil"/>
            </w:tcBorders>
            <w:tcMar>
              <w:top w:w="0" w:type="dxa"/>
              <w:left w:w="0" w:type="dxa"/>
              <w:bottom w:w="0" w:type="dxa"/>
              <w:right w:w="15" w:type="dxa"/>
            </w:tcMar>
            <w:vAlign w:val="bottom"/>
          </w:tcPr>
          <w:p w14:paraId="0A45DCD0" w14:textId="77777777" w:rsidR="007C1CFF" w:rsidRDefault="00000000">
            <w:pPr>
              <w:keepNext/>
              <w:tabs>
                <w:tab w:val="left" w:pos="1"/>
                <w:tab w:val="left" w:pos="419"/>
              </w:tabs>
              <w:spacing w:before="75" w:after="30"/>
              <w:jc w:val="right"/>
            </w:pPr>
            <w:r>
              <w:rPr>
                <w:color w:val="000000"/>
                <w:sz w:val="20"/>
              </w:rPr>
              <w:tab/>
              <w:t>84.5</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3534CD83" w14:textId="77777777" w:rsidR="007C1CFF" w:rsidRDefault="00000000">
            <w:pPr>
              <w:keepNext/>
              <w:tabs>
                <w:tab w:val="left" w:pos="1"/>
                <w:tab w:val="left" w:pos="419"/>
              </w:tabs>
              <w:spacing w:before="75" w:after="30"/>
              <w:jc w:val="right"/>
            </w:pPr>
            <w:r>
              <w:rPr>
                <w:color w:val="000000"/>
                <w:sz w:val="20"/>
              </w:rPr>
              <w:tab/>
              <w:t>83.5</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45BCEC09" w14:textId="77777777" w:rsidR="007C1CFF" w:rsidRDefault="00000000">
            <w:pPr>
              <w:keepNext/>
              <w:tabs>
                <w:tab w:val="left" w:pos="1"/>
                <w:tab w:val="left" w:pos="419"/>
              </w:tabs>
              <w:spacing w:before="75" w:after="30"/>
              <w:jc w:val="right"/>
            </w:pPr>
            <w:r>
              <w:rPr>
                <w:color w:val="000000"/>
                <w:sz w:val="20"/>
              </w:rPr>
              <w:tab/>
              <w:t>82.6</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7BB8001D" w14:textId="77777777" w:rsidR="007C1CFF" w:rsidRDefault="00000000">
            <w:pPr>
              <w:keepNext/>
              <w:tabs>
                <w:tab w:val="left" w:pos="1"/>
                <w:tab w:val="left" w:pos="419"/>
              </w:tabs>
              <w:spacing w:before="75" w:after="30"/>
              <w:jc w:val="right"/>
            </w:pPr>
            <w:r>
              <w:rPr>
                <w:color w:val="000000"/>
                <w:sz w:val="20"/>
              </w:rPr>
              <w:tab/>
              <w:t>82.0</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5CE9597C" w14:textId="77777777" w:rsidR="007C1CFF" w:rsidRDefault="00000000">
            <w:pPr>
              <w:keepNext/>
              <w:tabs>
                <w:tab w:val="left" w:pos="1"/>
                <w:tab w:val="left" w:pos="419"/>
              </w:tabs>
              <w:spacing w:before="75" w:after="30"/>
              <w:jc w:val="right"/>
            </w:pPr>
            <w:r>
              <w:rPr>
                <w:color w:val="000000"/>
                <w:sz w:val="20"/>
              </w:rPr>
              <w:tab/>
              <w:t>82.0</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7F1ADB1C" w14:textId="77777777" w:rsidR="007C1CFF" w:rsidRDefault="00000000">
            <w:pPr>
              <w:keepNext/>
              <w:tabs>
                <w:tab w:val="left" w:pos="1"/>
                <w:tab w:val="left" w:pos="419"/>
              </w:tabs>
              <w:spacing w:before="75" w:after="30"/>
              <w:jc w:val="right"/>
            </w:pPr>
            <w:r>
              <w:rPr>
                <w:color w:val="000000"/>
                <w:sz w:val="20"/>
              </w:rPr>
              <w:tab/>
              <w:t>81.8</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4454C50C" w14:textId="77777777" w:rsidR="007C1CFF" w:rsidRDefault="00000000">
            <w:pPr>
              <w:keepNext/>
              <w:tabs>
                <w:tab w:val="left" w:pos="1"/>
                <w:tab w:val="left" w:pos="419"/>
              </w:tabs>
              <w:spacing w:before="75" w:after="30"/>
              <w:jc w:val="right"/>
            </w:pPr>
            <w:r>
              <w:rPr>
                <w:color w:val="000000"/>
                <w:sz w:val="20"/>
              </w:rPr>
              <w:tab/>
              <w:t>83.2</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03182B37" w14:textId="77777777" w:rsidR="007C1CFF" w:rsidRDefault="00000000">
            <w:pPr>
              <w:keepNext/>
              <w:tabs>
                <w:tab w:val="left" w:pos="1"/>
                <w:tab w:val="left" w:pos="419"/>
              </w:tabs>
              <w:spacing w:before="75" w:after="30"/>
              <w:jc w:val="right"/>
            </w:pPr>
            <w:r>
              <w:rPr>
                <w:color w:val="000000"/>
                <w:sz w:val="20"/>
              </w:rPr>
              <w:tab/>
              <w:t>83.3</w:t>
            </w:r>
            <w:r>
              <w:rPr>
                <w:color w:val="000000"/>
                <w:sz w:val="20"/>
              </w:rPr>
              <w:tab/>
              <w:t>%</w:t>
            </w:r>
          </w:p>
        </w:tc>
      </w:tr>
      <w:tr w:rsidR="007C1CFF" w14:paraId="69BF16D8" w14:textId="77777777">
        <w:trPr>
          <w:cantSplit/>
          <w:trHeight w:hRule="exact" w:val="315"/>
        </w:trPr>
        <w:tc>
          <w:tcPr>
            <w:tcW w:w="1200" w:type="dxa"/>
            <w:tcBorders>
              <w:top w:val="nil"/>
              <w:left w:val="nil"/>
              <w:bottom w:val="nil"/>
              <w:right w:val="nil"/>
            </w:tcBorders>
            <w:tcMar>
              <w:top w:w="0" w:type="dxa"/>
              <w:left w:w="53" w:type="dxa"/>
              <w:bottom w:w="0" w:type="dxa"/>
              <w:right w:w="53" w:type="dxa"/>
            </w:tcMar>
            <w:vAlign w:val="bottom"/>
          </w:tcPr>
          <w:p w14:paraId="66A35C69" w14:textId="77777777" w:rsidR="007C1CFF" w:rsidRDefault="00000000">
            <w:pPr>
              <w:spacing w:before="75" w:after="30"/>
              <w:rPr>
                <w:sz w:val="20"/>
              </w:rPr>
            </w:pPr>
            <w:r>
              <w:rPr>
                <w:sz w:val="20"/>
              </w:rPr>
              <w:t>SHOP</w:t>
            </w:r>
            <w:r>
              <w:rPr>
                <w:sz w:val="20"/>
                <w:vertAlign w:val="superscript"/>
              </w:rPr>
              <w:t>2</w:t>
            </w:r>
          </w:p>
        </w:tc>
        <w:tc>
          <w:tcPr>
            <w:tcW w:w="975" w:type="dxa"/>
            <w:tcBorders>
              <w:top w:val="nil"/>
              <w:left w:val="nil"/>
              <w:bottom w:val="nil"/>
              <w:right w:val="nil"/>
            </w:tcBorders>
            <w:tcMar>
              <w:top w:w="0" w:type="dxa"/>
              <w:left w:w="53" w:type="dxa"/>
              <w:bottom w:w="0" w:type="dxa"/>
              <w:right w:w="53" w:type="dxa"/>
            </w:tcMar>
            <w:vAlign w:val="bottom"/>
          </w:tcPr>
          <w:p w14:paraId="241D1E29" w14:textId="77777777" w:rsidR="007C1CFF" w:rsidRDefault="00000000">
            <w:pPr>
              <w:spacing w:before="75" w:after="30"/>
              <w:jc w:val="center"/>
            </w:pPr>
            <w:r>
              <w:rPr>
                <w:color w:val="000000"/>
                <w:sz w:val="20"/>
              </w:rPr>
              <w:t>15</w:t>
            </w:r>
          </w:p>
        </w:tc>
        <w:tc>
          <w:tcPr>
            <w:tcW w:w="1035" w:type="dxa"/>
            <w:tcBorders>
              <w:top w:val="nil"/>
              <w:left w:val="nil"/>
              <w:bottom w:val="nil"/>
              <w:right w:val="nil"/>
            </w:tcBorders>
            <w:tcMar>
              <w:top w:w="0" w:type="dxa"/>
              <w:left w:w="0" w:type="dxa"/>
              <w:bottom w:w="0" w:type="dxa"/>
              <w:right w:w="15" w:type="dxa"/>
            </w:tcMar>
            <w:vAlign w:val="bottom"/>
          </w:tcPr>
          <w:p w14:paraId="0C1AC198" w14:textId="77777777" w:rsidR="007C1CFF" w:rsidRDefault="00000000">
            <w:pPr>
              <w:tabs>
                <w:tab w:val="left" w:pos="1"/>
                <w:tab w:val="left" w:pos="419"/>
              </w:tabs>
              <w:spacing w:before="75" w:after="30"/>
              <w:jc w:val="right"/>
            </w:pPr>
            <w:r>
              <w:rPr>
                <w:color w:val="000000"/>
                <w:sz w:val="20"/>
              </w:rPr>
              <w:tab/>
              <w:t>77.1</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7981AE9F" w14:textId="77777777" w:rsidR="007C1CFF" w:rsidRDefault="00000000">
            <w:pPr>
              <w:tabs>
                <w:tab w:val="left" w:pos="1"/>
                <w:tab w:val="left" w:pos="419"/>
              </w:tabs>
              <w:spacing w:before="75" w:after="30"/>
              <w:jc w:val="right"/>
            </w:pPr>
            <w:r>
              <w:rPr>
                <w:color w:val="000000"/>
                <w:sz w:val="20"/>
              </w:rPr>
              <w:tab/>
              <w:t>76.2</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7F14F1C2" w14:textId="77777777" w:rsidR="007C1CFF" w:rsidRDefault="00000000">
            <w:pPr>
              <w:tabs>
                <w:tab w:val="left" w:pos="1"/>
                <w:tab w:val="left" w:pos="419"/>
              </w:tabs>
              <w:spacing w:before="75" w:after="30"/>
              <w:jc w:val="right"/>
            </w:pPr>
            <w:r>
              <w:rPr>
                <w:color w:val="000000"/>
                <w:sz w:val="20"/>
              </w:rPr>
              <w:tab/>
              <w:t>76.2</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618BA42C" w14:textId="77777777" w:rsidR="007C1CFF" w:rsidRDefault="00000000">
            <w:pPr>
              <w:tabs>
                <w:tab w:val="left" w:pos="1"/>
                <w:tab w:val="left" w:pos="419"/>
              </w:tabs>
              <w:spacing w:before="75" w:after="30"/>
              <w:jc w:val="right"/>
            </w:pPr>
            <w:r>
              <w:rPr>
                <w:color w:val="000000"/>
                <w:sz w:val="20"/>
              </w:rPr>
              <w:tab/>
              <w:t>77.2</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45262033" w14:textId="77777777" w:rsidR="007C1CFF" w:rsidRDefault="00000000">
            <w:pPr>
              <w:tabs>
                <w:tab w:val="left" w:pos="1"/>
                <w:tab w:val="left" w:pos="419"/>
              </w:tabs>
              <w:spacing w:before="75" w:after="30"/>
              <w:jc w:val="right"/>
            </w:pPr>
            <w:r>
              <w:rPr>
                <w:color w:val="000000"/>
                <w:sz w:val="20"/>
              </w:rPr>
              <w:tab/>
              <w:t>76.8</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62AE13CD" w14:textId="77777777" w:rsidR="007C1CFF" w:rsidRDefault="00000000">
            <w:pPr>
              <w:tabs>
                <w:tab w:val="left" w:pos="1"/>
                <w:tab w:val="left" w:pos="419"/>
              </w:tabs>
              <w:spacing w:before="75" w:after="30"/>
              <w:jc w:val="right"/>
            </w:pPr>
            <w:r>
              <w:rPr>
                <w:color w:val="000000"/>
                <w:sz w:val="20"/>
              </w:rPr>
              <w:tab/>
              <w:t>77.6</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4B3A800E" w14:textId="77777777" w:rsidR="007C1CFF" w:rsidRDefault="00000000">
            <w:pPr>
              <w:tabs>
                <w:tab w:val="left" w:pos="1"/>
                <w:tab w:val="left" w:pos="419"/>
              </w:tabs>
              <w:spacing w:before="75" w:after="30"/>
              <w:jc w:val="right"/>
            </w:pPr>
            <w:r>
              <w:rPr>
                <w:color w:val="000000"/>
                <w:sz w:val="20"/>
              </w:rPr>
              <w:tab/>
              <w:t>78.6</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1E4F7819" w14:textId="77777777" w:rsidR="007C1CFF" w:rsidRDefault="00000000">
            <w:pPr>
              <w:tabs>
                <w:tab w:val="left" w:pos="1"/>
                <w:tab w:val="left" w:pos="419"/>
              </w:tabs>
              <w:spacing w:before="75" w:after="30"/>
              <w:jc w:val="right"/>
            </w:pPr>
            <w:r>
              <w:rPr>
                <w:color w:val="000000"/>
                <w:sz w:val="20"/>
              </w:rPr>
              <w:tab/>
              <w:t>79.5</w:t>
            </w:r>
            <w:r>
              <w:rPr>
                <w:color w:val="000000"/>
                <w:sz w:val="20"/>
              </w:rPr>
              <w:tab/>
              <w:t>%</w:t>
            </w:r>
          </w:p>
        </w:tc>
      </w:tr>
    </w:tbl>
    <w:p w14:paraId="62DC4C69" w14:textId="77777777" w:rsidR="007C1CFF" w:rsidRDefault="007C1CFF">
      <w:pPr>
        <w:spacing w:line="288" w:lineRule="auto"/>
        <w:jc w:val="both"/>
        <w:rPr>
          <w:sz w:val="20"/>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975"/>
        <w:gridCol w:w="1035"/>
        <w:gridCol w:w="1035"/>
        <w:gridCol w:w="1035"/>
        <w:gridCol w:w="1035"/>
        <w:gridCol w:w="1035"/>
        <w:gridCol w:w="1035"/>
        <w:gridCol w:w="1035"/>
        <w:gridCol w:w="1035"/>
      </w:tblGrid>
      <w:tr w:rsidR="007C1CFF" w14:paraId="5F34404A" w14:textId="77777777">
        <w:trPr>
          <w:cantSplit/>
          <w:trHeight w:hRule="exact" w:val="315"/>
        </w:trPr>
        <w:tc>
          <w:tcPr>
            <w:tcW w:w="1200" w:type="dxa"/>
            <w:tcBorders>
              <w:top w:val="nil"/>
              <w:left w:val="nil"/>
              <w:bottom w:val="nil"/>
              <w:right w:val="nil"/>
            </w:tcBorders>
            <w:tcMar>
              <w:top w:w="0" w:type="dxa"/>
              <w:left w:w="0" w:type="dxa"/>
              <w:bottom w:w="0" w:type="dxa"/>
              <w:right w:w="0" w:type="dxa"/>
            </w:tcMar>
            <w:vAlign w:val="bottom"/>
          </w:tcPr>
          <w:p w14:paraId="386C4039" w14:textId="77777777" w:rsidR="007C1CFF" w:rsidRDefault="007C1CFF">
            <w:pPr>
              <w:keepNext/>
            </w:pPr>
          </w:p>
        </w:tc>
        <w:tc>
          <w:tcPr>
            <w:tcW w:w="975" w:type="dxa"/>
            <w:tcBorders>
              <w:top w:val="nil"/>
              <w:left w:val="nil"/>
              <w:bottom w:val="single" w:sz="8" w:space="0" w:color="000000"/>
              <w:right w:val="nil"/>
            </w:tcBorders>
            <w:tcMar>
              <w:top w:w="0" w:type="dxa"/>
              <w:left w:w="53" w:type="dxa"/>
              <w:bottom w:w="0" w:type="dxa"/>
              <w:right w:w="53" w:type="dxa"/>
            </w:tcMar>
            <w:vAlign w:val="bottom"/>
          </w:tcPr>
          <w:p w14:paraId="2BE889A6" w14:textId="77777777" w:rsidR="007C1CFF" w:rsidRDefault="00000000">
            <w:pPr>
              <w:keepNext/>
              <w:spacing w:before="75" w:after="30"/>
              <w:jc w:val="center"/>
            </w:pPr>
            <w:r>
              <w:rPr>
                <w:color w:val="000000"/>
                <w:sz w:val="20"/>
              </w:rPr>
              <w:t>Properties</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12F56EF6" w14:textId="77777777" w:rsidR="007C1CFF" w:rsidRDefault="00000000">
            <w:pPr>
              <w:keepNext/>
              <w:spacing w:before="75" w:after="30"/>
              <w:jc w:val="center"/>
            </w:pPr>
            <w:r>
              <w:rPr>
                <w:color w:val="000000"/>
                <w:sz w:val="20"/>
              </w:rPr>
              <w:t>Nov-21</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6CAE9C0C" w14:textId="77777777" w:rsidR="007C1CFF" w:rsidRDefault="00000000">
            <w:pPr>
              <w:keepNext/>
              <w:spacing w:before="75" w:after="30"/>
              <w:jc w:val="center"/>
            </w:pPr>
            <w:r>
              <w:rPr>
                <w:color w:val="000000"/>
                <w:sz w:val="20"/>
              </w:rPr>
              <w:t>Oct-21</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01A5598C" w14:textId="77777777" w:rsidR="007C1CFF" w:rsidRDefault="00000000">
            <w:pPr>
              <w:keepNext/>
              <w:spacing w:before="75" w:after="30"/>
              <w:jc w:val="center"/>
            </w:pPr>
            <w:r>
              <w:rPr>
                <w:color w:val="000000"/>
                <w:sz w:val="20"/>
              </w:rPr>
              <w:t>Sep-21</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3F68F39A" w14:textId="77777777" w:rsidR="007C1CFF" w:rsidRDefault="00000000">
            <w:pPr>
              <w:keepNext/>
              <w:spacing w:before="75" w:after="30"/>
              <w:jc w:val="center"/>
            </w:pPr>
            <w:r>
              <w:rPr>
                <w:color w:val="000000"/>
                <w:sz w:val="20"/>
              </w:rPr>
              <w:t>Aug-21</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38562713" w14:textId="77777777" w:rsidR="007C1CFF" w:rsidRDefault="00000000">
            <w:pPr>
              <w:keepNext/>
              <w:spacing w:before="75" w:after="30"/>
              <w:jc w:val="center"/>
            </w:pPr>
            <w:r>
              <w:rPr>
                <w:color w:val="000000"/>
                <w:sz w:val="20"/>
              </w:rPr>
              <w:t>Jul-21</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5C25D7D2" w14:textId="77777777" w:rsidR="007C1CFF" w:rsidRDefault="00000000">
            <w:pPr>
              <w:keepNext/>
              <w:spacing w:before="75" w:after="30"/>
              <w:jc w:val="center"/>
            </w:pPr>
            <w:r>
              <w:rPr>
                <w:color w:val="000000"/>
                <w:sz w:val="20"/>
              </w:rPr>
              <w:t>Jun-21</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32D57DEA" w14:textId="77777777" w:rsidR="007C1CFF" w:rsidRDefault="00000000">
            <w:pPr>
              <w:keepNext/>
              <w:spacing w:before="75" w:after="30"/>
              <w:jc w:val="center"/>
            </w:pPr>
            <w:r>
              <w:rPr>
                <w:color w:val="000000"/>
                <w:sz w:val="20"/>
              </w:rPr>
              <w:t>May-21</w:t>
            </w:r>
          </w:p>
        </w:tc>
        <w:tc>
          <w:tcPr>
            <w:tcW w:w="1035" w:type="dxa"/>
            <w:tcBorders>
              <w:top w:val="nil"/>
              <w:left w:val="nil"/>
              <w:bottom w:val="single" w:sz="8" w:space="0" w:color="000000"/>
              <w:right w:val="nil"/>
            </w:tcBorders>
            <w:tcMar>
              <w:top w:w="0" w:type="dxa"/>
              <w:left w:w="53" w:type="dxa"/>
              <w:bottom w:w="0" w:type="dxa"/>
              <w:right w:w="53" w:type="dxa"/>
            </w:tcMar>
            <w:vAlign w:val="bottom"/>
          </w:tcPr>
          <w:p w14:paraId="434C3FB1" w14:textId="77777777" w:rsidR="007C1CFF" w:rsidRDefault="00000000">
            <w:pPr>
              <w:keepNext/>
              <w:spacing w:before="75" w:after="30"/>
              <w:jc w:val="center"/>
            </w:pPr>
            <w:r>
              <w:rPr>
                <w:color w:val="000000"/>
                <w:sz w:val="20"/>
              </w:rPr>
              <w:t>Apr-21</w:t>
            </w:r>
          </w:p>
        </w:tc>
      </w:tr>
      <w:tr w:rsidR="007C1CFF" w14:paraId="38C5BF98" w14:textId="77777777">
        <w:trPr>
          <w:cantSplit/>
          <w:trHeight w:hRule="exact" w:val="315"/>
        </w:trPr>
        <w:tc>
          <w:tcPr>
            <w:tcW w:w="1200" w:type="dxa"/>
            <w:tcBorders>
              <w:top w:val="nil"/>
              <w:left w:val="nil"/>
              <w:bottom w:val="nil"/>
              <w:right w:val="nil"/>
            </w:tcBorders>
            <w:tcMar>
              <w:top w:w="0" w:type="dxa"/>
              <w:left w:w="53" w:type="dxa"/>
              <w:bottom w:w="0" w:type="dxa"/>
              <w:right w:w="53" w:type="dxa"/>
            </w:tcMar>
            <w:vAlign w:val="bottom"/>
          </w:tcPr>
          <w:p w14:paraId="729352A9" w14:textId="77777777" w:rsidR="007C1CFF" w:rsidRDefault="00000000">
            <w:pPr>
              <w:keepNext/>
              <w:spacing w:before="55" w:after="30"/>
            </w:pPr>
            <w:r>
              <w:rPr>
                <w:color w:val="000000"/>
                <w:sz w:val="20"/>
              </w:rPr>
              <w:t>SLC</w:t>
            </w:r>
          </w:p>
        </w:tc>
        <w:tc>
          <w:tcPr>
            <w:tcW w:w="975" w:type="dxa"/>
            <w:tcBorders>
              <w:top w:val="single" w:sz="8" w:space="0" w:color="000000"/>
              <w:left w:val="nil"/>
              <w:bottom w:val="nil"/>
              <w:right w:val="nil"/>
            </w:tcBorders>
            <w:tcMar>
              <w:top w:w="0" w:type="dxa"/>
              <w:left w:w="53" w:type="dxa"/>
              <w:bottom w:w="0" w:type="dxa"/>
              <w:right w:w="53" w:type="dxa"/>
            </w:tcMar>
            <w:vAlign w:val="bottom"/>
          </w:tcPr>
          <w:p w14:paraId="18D7204C" w14:textId="77777777" w:rsidR="007C1CFF" w:rsidRDefault="00000000">
            <w:pPr>
              <w:keepNext/>
              <w:spacing w:before="55" w:after="30"/>
              <w:jc w:val="center"/>
            </w:pPr>
            <w:r>
              <w:rPr>
                <w:color w:val="000000"/>
                <w:sz w:val="20"/>
              </w:rPr>
              <w:t>9</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0FFEC3AD" w14:textId="77777777" w:rsidR="007C1CFF" w:rsidRDefault="00000000">
            <w:pPr>
              <w:keepNext/>
              <w:tabs>
                <w:tab w:val="left" w:pos="1"/>
                <w:tab w:val="left" w:pos="419"/>
              </w:tabs>
              <w:spacing w:before="55" w:after="30"/>
              <w:jc w:val="right"/>
            </w:pPr>
            <w:r>
              <w:rPr>
                <w:color w:val="000000"/>
                <w:sz w:val="20"/>
              </w:rPr>
              <w:tab/>
              <w:t>81.9</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3BA582F0" w14:textId="77777777" w:rsidR="007C1CFF" w:rsidRDefault="00000000">
            <w:pPr>
              <w:keepNext/>
              <w:tabs>
                <w:tab w:val="left" w:pos="1"/>
                <w:tab w:val="left" w:pos="419"/>
              </w:tabs>
              <w:spacing w:before="55" w:after="30"/>
              <w:jc w:val="right"/>
            </w:pPr>
            <w:r>
              <w:rPr>
                <w:color w:val="000000"/>
                <w:sz w:val="20"/>
              </w:rPr>
              <w:tab/>
              <w:t>81.5</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579D08C7" w14:textId="77777777" w:rsidR="007C1CFF" w:rsidRDefault="00000000">
            <w:pPr>
              <w:keepNext/>
              <w:tabs>
                <w:tab w:val="left" w:pos="1"/>
                <w:tab w:val="left" w:pos="419"/>
              </w:tabs>
              <w:spacing w:before="55" w:after="30"/>
              <w:jc w:val="right"/>
            </w:pPr>
            <w:r>
              <w:rPr>
                <w:color w:val="000000"/>
                <w:sz w:val="20"/>
              </w:rPr>
              <w:tab/>
              <w:t>80.9</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3E66A118" w14:textId="77777777" w:rsidR="007C1CFF" w:rsidRDefault="00000000">
            <w:pPr>
              <w:keepNext/>
              <w:tabs>
                <w:tab w:val="left" w:pos="1"/>
                <w:tab w:val="left" w:pos="419"/>
              </w:tabs>
              <w:spacing w:before="55" w:after="30"/>
              <w:jc w:val="right"/>
            </w:pPr>
            <w:r>
              <w:rPr>
                <w:color w:val="000000"/>
                <w:sz w:val="20"/>
              </w:rPr>
              <w:tab/>
              <w:t>80.4</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023EF7A7" w14:textId="77777777" w:rsidR="007C1CFF" w:rsidRDefault="00000000">
            <w:pPr>
              <w:keepNext/>
              <w:tabs>
                <w:tab w:val="left" w:pos="1"/>
                <w:tab w:val="left" w:pos="419"/>
              </w:tabs>
              <w:spacing w:before="55" w:after="30"/>
              <w:jc w:val="right"/>
            </w:pPr>
            <w:r>
              <w:rPr>
                <w:color w:val="000000"/>
                <w:sz w:val="20"/>
              </w:rPr>
              <w:tab/>
              <w:t>80.0</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44AF84A7" w14:textId="77777777" w:rsidR="007C1CFF" w:rsidRDefault="00000000">
            <w:pPr>
              <w:keepNext/>
              <w:tabs>
                <w:tab w:val="left" w:pos="1"/>
                <w:tab w:val="left" w:pos="419"/>
              </w:tabs>
              <w:spacing w:before="55" w:after="30"/>
              <w:jc w:val="right"/>
            </w:pPr>
            <w:r>
              <w:rPr>
                <w:color w:val="000000"/>
                <w:sz w:val="20"/>
              </w:rPr>
              <w:tab/>
              <w:t>79.1</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1C80E359" w14:textId="77777777" w:rsidR="007C1CFF" w:rsidRDefault="00000000">
            <w:pPr>
              <w:keepNext/>
              <w:tabs>
                <w:tab w:val="left" w:pos="1"/>
                <w:tab w:val="left" w:pos="419"/>
              </w:tabs>
              <w:spacing w:before="55" w:after="30"/>
              <w:jc w:val="right"/>
            </w:pPr>
            <w:r>
              <w:rPr>
                <w:color w:val="000000"/>
                <w:sz w:val="20"/>
              </w:rPr>
              <w:tab/>
              <w:t>78.6</w:t>
            </w:r>
            <w:r>
              <w:rPr>
                <w:color w:val="000000"/>
                <w:sz w:val="20"/>
              </w:rPr>
              <w:tab/>
              <w:t>%</w:t>
            </w:r>
          </w:p>
        </w:tc>
        <w:tc>
          <w:tcPr>
            <w:tcW w:w="1035" w:type="dxa"/>
            <w:tcBorders>
              <w:top w:val="single" w:sz="8" w:space="0" w:color="000000"/>
              <w:left w:val="nil"/>
              <w:bottom w:val="nil"/>
              <w:right w:val="nil"/>
            </w:tcBorders>
            <w:tcMar>
              <w:top w:w="0" w:type="dxa"/>
              <w:left w:w="0" w:type="dxa"/>
              <w:bottom w:w="0" w:type="dxa"/>
              <w:right w:w="15" w:type="dxa"/>
            </w:tcMar>
            <w:vAlign w:val="bottom"/>
          </w:tcPr>
          <w:p w14:paraId="179E8E4C" w14:textId="77777777" w:rsidR="007C1CFF" w:rsidRDefault="00000000">
            <w:pPr>
              <w:keepNext/>
              <w:tabs>
                <w:tab w:val="left" w:pos="1"/>
                <w:tab w:val="left" w:pos="419"/>
              </w:tabs>
              <w:spacing w:before="55" w:after="30"/>
              <w:jc w:val="right"/>
            </w:pPr>
            <w:r>
              <w:rPr>
                <w:color w:val="000000"/>
                <w:sz w:val="20"/>
              </w:rPr>
              <w:tab/>
              <w:t>77.9</w:t>
            </w:r>
            <w:r>
              <w:rPr>
                <w:color w:val="000000"/>
                <w:sz w:val="20"/>
              </w:rPr>
              <w:tab/>
              <w:t>%</w:t>
            </w:r>
          </w:p>
        </w:tc>
      </w:tr>
      <w:tr w:rsidR="007C1CFF" w14:paraId="18B422AE" w14:textId="77777777">
        <w:trPr>
          <w:cantSplit/>
          <w:trHeight w:hRule="exact" w:val="315"/>
        </w:trPr>
        <w:tc>
          <w:tcPr>
            <w:tcW w:w="1200" w:type="dxa"/>
            <w:tcBorders>
              <w:top w:val="nil"/>
              <w:left w:val="nil"/>
              <w:bottom w:val="nil"/>
              <w:right w:val="nil"/>
            </w:tcBorders>
            <w:tcMar>
              <w:top w:w="0" w:type="dxa"/>
              <w:left w:w="53" w:type="dxa"/>
              <w:bottom w:w="0" w:type="dxa"/>
              <w:right w:w="53" w:type="dxa"/>
            </w:tcMar>
            <w:vAlign w:val="bottom"/>
          </w:tcPr>
          <w:p w14:paraId="1553F6B9" w14:textId="77777777" w:rsidR="007C1CFF" w:rsidRDefault="00000000">
            <w:pPr>
              <w:keepNext/>
              <w:spacing w:before="75" w:after="30"/>
              <w:rPr>
                <w:sz w:val="20"/>
              </w:rPr>
            </w:pPr>
            <w:r>
              <w:rPr>
                <w:sz w:val="20"/>
              </w:rPr>
              <w:t>Bickford</w:t>
            </w:r>
            <w:r>
              <w:rPr>
                <w:sz w:val="20"/>
                <w:vertAlign w:val="superscript"/>
              </w:rPr>
              <w:t>1</w:t>
            </w:r>
          </w:p>
        </w:tc>
        <w:tc>
          <w:tcPr>
            <w:tcW w:w="975" w:type="dxa"/>
            <w:tcBorders>
              <w:top w:val="nil"/>
              <w:left w:val="nil"/>
              <w:bottom w:val="nil"/>
              <w:right w:val="nil"/>
            </w:tcBorders>
            <w:tcMar>
              <w:top w:w="0" w:type="dxa"/>
              <w:left w:w="53" w:type="dxa"/>
              <w:bottom w:w="0" w:type="dxa"/>
              <w:right w:w="53" w:type="dxa"/>
            </w:tcMar>
            <w:vAlign w:val="bottom"/>
          </w:tcPr>
          <w:p w14:paraId="512CDC24" w14:textId="77777777" w:rsidR="007C1CFF" w:rsidRDefault="00000000">
            <w:pPr>
              <w:keepNext/>
              <w:spacing w:before="75" w:after="30"/>
              <w:jc w:val="center"/>
            </w:pPr>
            <w:r>
              <w:rPr>
                <w:color w:val="000000"/>
                <w:sz w:val="20"/>
              </w:rPr>
              <w:t>38</w:t>
            </w:r>
          </w:p>
        </w:tc>
        <w:tc>
          <w:tcPr>
            <w:tcW w:w="1035" w:type="dxa"/>
            <w:tcBorders>
              <w:top w:val="nil"/>
              <w:left w:val="nil"/>
              <w:bottom w:val="nil"/>
              <w:right w:val="nil"/>
            </w:tcBorders>
            <w:tcMar>
              <w:top w:w="0" w:type="dxa"/>
              <w:left w:w="0" w:type="dxa"/>
              <w:bottom w:w="0" w:type="dxa"/>
              <w:right w:w="15" w:type="dxa"/>
            </w:tcMar>
            <w:vAlign w:val="bottom"/>
          </w:tcPr>
          <w:p w14:paraId="41062F1D" w14:textId="77777777" w:rsidR="007C1CFF" w:rsidRDefault="00000000">
            <w:pPr>
              <w:keepNext/>
              <w:tabs>
                <w:tab w:val="left" w:pos="1"/>
                <w:tab w:val="left" w:pos="419"/>
              </w:tabs>
              <w:spacing w:before="75" w:after="30"/>
              <w:jc w:val="right"/>
            </w:pPr>
            <w:r>
              <w:rPr>
                <w:color w:val="000000"/>
                <w:sz w:val="20"/>
              </w:rPr>
              <w:tab/>
              <w:t>83.9</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254A43CD" w14:textId="77777777" w:rsidR="007C1CFF" w:rsidRDefault="00000000">
            <w:pPr>
              <w:keepNext/>
              <w:tabs>
                <w:tab w:val="left" w:pos="1"/>
                <w:tab w:val="left" w:pos="419"/>
              </w:tabs>
              <w:spacing w:before="75" w:after="30"/>
              <w:jc w:val="right"/>
            </w:pPr>
            <w:r>
              <w:rPr>
                <w:color w:val="000000"/>
                <w:sz w:val="20"/>
              </w:rPr>
              <w:tab/>
              <w:t>83.2</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2D17E844" w14:textId="77777777" w:rsidR="007C1CFF" w:rsidRDefault="00000000">
            <w:pPr>
              <w:keepNext/>
              <w:tabs>
                <w:tab w:val="left" w:pos="1"/>
                <w:tab w:val="left" w:pos="419"/>
              </w:tabs>
              <w:spacing w:before="75" w:after="30"/>
              <w:jc w:val="right"/>
            </w:pPr>
            <w:r>
              <w:rPr>
                <w:color w:val="000000"/>
                <w:sz w:val="20"/>
              </w:rPr>
              <w:tab/>
              <w:t>82.3</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0936358C" w14:textId="77777777" w:rsidR="007C1CFF" w:rsidRDefault="00000000">
            <w:pPr>
              <w:keepNext/>
              <w:tabs>
                <w:tab w:val="left" w:pos="1"/>
                <w:tab w:val="left" w:pos="419"/>
              </w:tabs>
              <w:spacing w:before="75" w:after="30"/>
              <w:jc w:val="right"/>
            </w:pPr>
            <w:r>
              <w:rPr>
                <w:color w:val="000000"/>
                <w:sz w:val="20"/>
              </w:rPr>
              <w:tab/>
              <w:t>82.1</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7FB10237" w14:textId="77777777" w:rsidR="007C1CFF" w:rsidRDefault="00000000">
            <w:pPr>
              <w:keepNext/>
              <w:tabs>
                <w:tab w:val="left" w:pos="1"/>
                <w:tab w:val="left" w:pos="419"/>
              </w:tabs>
              <w:spacing w:before="75" w:after="30"/>
              <w:jc w:val="right"/>
            </w:pPr>
            <w:r>
              <w:rPr>
                <w:color w:val="000000"/>
                <w:sz w:val="20"/>
              </w:rPr>
              <w:tab/>
              <w:t>81.1</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44AEE753" w14:textId="77777777" w:rsidR="007C1CFF" w:rsidRDefault="00000000">
            <w:pPr>
              <w:keepNext/>
              <w:tabs>
                <w:tab w:val="left" w:pos="1"/>
                <w:tab w:val="left" w:pos="419"/>
              </w:tabs>
              <w:spacing w:before="75" w:after="30"/>
              <w:jc w:val="right"/>
            </w:pPr>
            <w:r>
              <w:rPr>
                <w:color w:val="000000"/>
                <w:sz w:val="20"/>
              </w:rPr>
              <w:tab/>
              <w:t>79.9</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04ED3200" w14:textId="77777777" w:rsidR="007C1CFF" w:rsidRDefault="00000000">
            <w:pPr>
              <w:keepNext/>
              <w:tabs>
                <w:tab w:val="left" w:pos="1"/>
                <w:tab w:val="left" w:pos="419"/>
              </w:tabs>
              <w:spacing w:before="75" w:after="30"/>
              <w:jc w:val="right"/>
            </w:pPr>
            <w:r>
              <w:rPr>
                <w:color w:val="000000"/>
                <w:sz w:val="20"/>
              </w:rPr>
              <w:tab/>
              <w:t>78.8</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1AA3CB1F" w14:textId="77777777" w:rsidR="007C1CFF" w:rsidRDefault="00000000">
            <w:pPr>
              <w:keepNext/>
              <w:tabs>
                <w:tab w:val="left" w:pos="1"/>
                <w:tab w:val="left" w:pos="419"/>
              </w:tabs>
              <w:spacing w:before="75" w:after="30"/>
              <w:jc w:val="right"/>
            </w:pPr>
            <w:r>
              <w:rPr>
                <w:color w:val="000000"/>
                <w:sz w:val="20"/>
              </w:rPr>
              <w:tab/>
              <w:t>77.9</w:t>
            </w:r>
            <w:r>
              <w:rPr>
                <w:color w:val="000000"/>
                <w:sz w:val="20"/>
              </w:rPr>
              <w:tab/>
              <w:t>%</w:t>
            </w:r>
          </w:p>
        </w:tc>
      </w:tr>
      <w:tr w:rsidR="007C1CFF" w14:paraId="77F62839" w14:textId="77777777">
        <w:trPr>
          <w:cantSplit/>
          <w:trHeight w:hRule="exact" w:val="315"/>
        </w:trPr>
        <w:tc>
          <w:tcPr>
            <w:tcW w:w="1200" w:type="dxa"/>
            <w:tcBorders>
              <w:top w:val="nil"/>
              <w:left w:val="nil"/>
              <w:bottom w:val="nil"/>
              <w:right w:val="nil"/>
            </w:tcBorders>
            <w:tcMar>
              <w:top w:w="0" w:type="dxa"/>
              <w:left w:w="53" w:type="dxa"/>
              <w:bottom w:w="0" w:type="dxa"/>
              <w:right w:w="53" w:type="dxa"/>
            </w:tcMar>
            <w:vAlign w:val="bottom"/>
          </w:tcPr>
          <w:p w14:paraId="51A32C73" w14:textId="77777777" w:rsidR="007C1CFF" w:rsidRDefault="00000000">
            <w:pPr>
              <w:spacing w:before="75" w:after="30"/>
              <w:rPr>
                <w:sz w:val="20"/>
              </w:rPr>
            </w:pPr>
            <w:r>
              <w:rPr>
                <w:sz w:val="20"/>
              </w:rPr>
              <w:t>SHOP</w:t>
            </w:r>
            <w:r>
              <w:rPr>
                <w:sz w:val="20"/>
                <w:vertAlign w:val="superscript"/>
              </w:rPr>
              <w:t>2</w:t>
            </w:r>
          </w:p>
        </w:tc>
        <w:tc>
          <w:tcPr>
            <w:tcW w:w="975" w:type="dxa"/>
            <w:tcBorders>
              <w:top w:val="nil"/>
              <w:left w:val="nil"/>
              <w:bottom w:val="nil"/>
              <w:right w:val="nil"/>
            </w:tcBorders>
            <w:tcMar>
              <w:top w:w="0" w:type="dxa"/>
              <w:left w:w="53" w:type="dxa"/>
              <w:bottom w:w="0" w:type="dxa"/>
              <w:right w:w="53" w:type="dxa"/>
            </w:tcMar>
            <w:vAlign w:val="bottom"/>
          </w:tcPr>
          <w:p w14:paraId="7BED1D4D" w14:textId="77777777" w:rsidR="007C1CFF" w:rsidRDefault="00000000">
            <w:pPr>
              <w:spacing w:before="75" w:after="30"/>
              <w:jc w:val="center"/>
            </w:pPr>
            <w:r>
              <w:rPr>
                <w:color w:val="000000"/>
                <w:sz w:val="20"/>
              </w:rPr>
              <w:t>15</w:t>
            </w:r>
          </w:p>
        </w:tc>
        <w:tc>
          <w:tcPr>
            <w:tcW w:w="1035" w:type="dxa"/>
            <w:tcBorders>
              <w:top w:val="nil"/>
              <w:left w:val="nil"/>
              <w:bottom w:val="nil"/>
              <w:right w:val="nil"/>
            </w:tcBorders>
            <w:tcMar>
              <w:top w:w="0" w:type="dxa"/>
              <w:left w:w="0" w:type="dxa"/>
              <w:bottom w:w="0" w:type="dxa"/>
              <w:right w:w="15" w:type="dxa"/>
            </w:tcMar>
            <w:vAlign w:val="bottom"/>
          </w:tcPr>
          <w:p w14:paraId="528A17E5" w14:textId="77777777" w:rsidR="007C1CFF" w:rsidRDefault="00000000">
            <w:pPr>
              <w:tabs>
                <w:tab w:val="left" w:pos="1"/>
                <w:tab w:val="left" w:pos="419"/>
              </w:tabs>
              <w:spacing w:before="75" w:after="30"/>
              <w:jc w:val="right"/>
            </w:pPr>
            <w:r>
              <w:rPr>
                <w:color w:val="000000"/>
                <w:sz w:val="20"/>
              </w:rPr>
              <w:tab/>
              <w:t>81.3</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16C38F06" w14:textId="77777777" w:rsidR="007C1CFF" w:rsidRDefault="00000000">
            <w:pPr>
              <w:tabs>
                <w:tab w:val="left" w:pos="1"/>
                <w:tab w:val="left" w:pos="419"/>
              </w:tabs>
              <w:spacing w:before="75" w:after="30"/>
              <w:jc w:val="right"/>
            </w:pPr>
            <w:r>
              <w:rPr>
                <w:color w:val="000000"/>
                <w:sz w:val="20"/>
              </w:rPr>
              <w:tab/>
              <w:t>81.2</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6752A30F" w14:textId="77777777" w:rsidR="007C1CFF" w:rsidRDefault="00000000">
            <w:pPr>
              <w:tabs>
                <w:tab w:val="left" w:pos="1"/>
                <w:tab w:val="left" w:pos="419"/>
              </w:tabs>
              <w:spacing w:before="75" w:after="30"/>
              <w:jc w:val="right"/>
            </w:pPr>
            <w:r>
              <w:rPr>
                <w:color w:val="000000"/>
                <w:sz w:val="20"/>
              </w:rPr>
              <w:tab/>
              <w:t>81.0</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68465408" w14:textId="77777777" w:rsidR="007C1CFF" w:rsidRDefault="00000000">
            <w:pPr>
              <w:tabs>
                <w:tab w:val="left" w:pos="1"/>
                <w:tab w:val="left" w:pos="419"/>
              </w:tabs>
              <w:spacing w:before="75" w:after="30"/>
              <w:jc w:val="right"/>
            </w:pPr>
            <w:r>
              <w:rPr>
                <w:color w:val="000000"/>
                <w:sz w:val="20"/>
              </w:rPr>
              <w:tab/>
              <w:t>79.3</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6D12B216" w14:textId="77777777" w:rsidR="007C1CFF" w:rsidRDefault="00000000">
            <w:pPr>
              <w:tabs>
                <w:tab w:val="left" w:pos="1"/>
                <w:tab w:val="left" w:pos="419"/>
              </w:tabs>
              <w:spacing w:before="75" w:after="30"/>
              <w:jc w:val="right"/>
            </w:pPr>
            <w:r>
              <w:rPr>
                <w:color w:val="000000"/>
                <w:sz w:val="20"/>
              </w:rPr>
              <w:tab/>
              <w:t>79.1</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0146E783" w14:textId="77777777" w:rsidR="007C1CFF" w:rsidRDefault="00000000">
            <w:pPr>
              <w:tabs>
                <w:tab w:val="left" w:pos="1"/>
                <w:tab w:val="left" w:pos="419"/>
              </w:tabs>
              <w:spacing w:before="75" w:after="30"/>
              <w:jc w:val="right"/>
            </w:pPr>
            <w:r>
              <w:rPr>
                <w:color w:val="000000"/>
                <w:sz w:val="20"/>
              </w:rPr>
              <w:tab/>
              <w:t>78.3</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182C4743" w14:textId="77777777" w:rsidR="007C1CFF" w:rsidRDefault="00000000">
            <w:pPr>
              <w:tabs>
                <w:tab w:val="left" w:pos="1"/>
                <w:tab w:val="left" w:pos="419"/>
              </w:tabs>
              <w:spacing w:before="75" w:after="30"/>
              <w:jc w:val="right"/>
            </w:pPr>
            <w:r>
              <w:rPr>
                <w:color w:val="000000"/>
                <w:sz w:val="20"/>
              </w:rPr>
              <w:tab/>
              <w:t>77.8</w:t>
            </w:r>
            <w:r>
              <w:rPr>
                <w:color w:val="000000"/>
                <w:sz w:val="20"/>
              </w:rPr>
              <w:tab/>
              <w:t>%</w:t>
            </w:r>
          </w:p>
        </w:tc>
        <w:tc>
          <w:tcPr>
            <w:tcW w:w="1035" w:type="dxa"/>
            <w:tcBorders>
              <w:top w:val="nil"/>
              <w:left w:val="nil"/>
              <w:bottom w:val="nil"/>
              <w:right w:val="nil"/>
            </w:tcBorders>
            <w:tcMar>
              <w:top w:w="0" w:type="dxa"/>
              <w:left w:w="0" w:type="dxa"/>
              <w:bottom w:w="0" w:type="dxa"/>
              <w:right w:w="15" w:type="dxa"/>
            </w:tcMar>
            <w:vAlign w:val="bottom"/>
          </w:tcPr>
          <w:p w14:paraId="75B6916E" w14:textId="77777777" w:rsidR="007C1CFF" w:rsidRDefault="00000000">
            <w:pPr>
              <w:tabs>
                <w:tab w:val="left" w:pos="1"/>
                <w:tab w:val="left" w:pos="419"/>
              </w:tabs>
              <w:spacing w:before="75" w:after="30"/>
              <w:jc w:val="right"/>
            </w:pPr>
            <w:r>
              <w:rPr>
                <w:color w:val="000000"/>
                <w:sz w:val="20"/>
              </w:rPr>
              <w:tab/>
              <w:t>76.9</w:t>
            </w:r>
            <w:r>
              <w:rPr>
                <w:color w:val="000000"/>
                <w:sz w:val="20"/>
              </w:rPr>
              <w:tab/>
              <w:t>%</w:t>
            </w:r>
          </w:p>
        </w:tc>
      </w:tr>
    </w:tbl>
    <w:p w14:paraId="397213A9" w14:textId="77777777" w:rsidR="007C1CFF" w:rsidRDefault="007C1CFF">
      <w:pPr>
        <w:spacing w:line="288" w:lineRule="auto"/>
        <w:jc w:val="both"/>
        <w:rPr>
          <w:sz w:val="18"/>
          <w:vertAlign w:val="superscript"/>
        </w:rPr>
      </w:pPr>
    </w:p>
    <w:p w14:paraId="68690519" w14:textId="77777777" w:rsidR="007C1CFF" w:rsidRDefault="00000000">
      <w:pPr>
        <w:spacing w:line="288" w:lineRule="auto"/>
        <w:jc w:val="both"/>
        <w:rPr>
          <w:sz w:val="18"/>
          <w:vertAlign w:val="superscript"/>
        </w:rPr>
      </w:pPr>
      <w:r>
        <w:rPr>
          <w:sz w:val="18"/>
          <w:vertAlign w:val="superscript"/>
        </w:rPr>
        <w:t>1</w:t>
      </w:r>
      <w:r>
        <w:rPr>
          <w:sz w:val="18"/>
        </w:rPr>
        <w:t xml:space="preserve">Prior periods restated to reflect the removal of one property that was transitioned to a new operator in March 2022. </w:t>
      </w:r>
    </w:p>
    <w:p w14:paraId="1FF56D98" w14:textId="77777777" w:rsidR="007C1CFF" w:rsidRDefault="00000000">
      <w:pPr>
        <w:spacing w:line="288" w:lineRule="auto"/>
        <w:jc w:val="both"/>
        <w:rPr>
          <w:sz w:val="18"/>
          <w:vertAlign w:val="superscript"/>
        </w:rPr>
      </w:pPr>
      <w:r>
        <w:rPr>
          <w:sz w:val="18"/>
          <w:vertAlign w:val="superscript"/>
        </w:rPr>
        <w:t>2</w:t>
      </w:r>
      <w:r>
        <w:rPr>
          <w:sz w:val="18"/>
        </w:rPr>
        <w:t>These properties were leased pursuant to a triple-net master lease prior to Q2 2022.</w:t>
      </w:r>
    </w:p>
    <w:p w14:paraId="257A2E12" w14:textId="77777777" w:rsidR="007C1CFF" w:rsidRDefault="007C1CFF">
      <w:pPr>
        <w:spacing w:line="288" w:lineRule="auto"/>
        <w:jc w:val="both"/>
        <w:rPr>
          <w:b/>
          <w:sz w:val="18"/>
          <w:vertAlign w:val="superscript"/>
        </w:rPr>
      </w:pPr>
    </w:p>
    <w:p w14:paraId="5B4637D0" w14:textId="77777777" w:rsidR="007C1CFF" w:rsidRDefault="00000000">
      <w:pPr>
        <w:spacing w:line="288" w:lineRule="auto"/>
        <w:jc w:val="both"/>
        <w:rPr>
          <w:b/>
          <w:sz w:val="20"/>
          <w:vertAlign w:val="superscript"/>
        </w:rPr>
      </w:pPr>
      <w:r>
        <w:rPr>
          <w:b/>
          <w:sz w:val="20"/>
        </w:rPr>
        <w:t>Assets Held for Sale &amp; Impairments of Real Estate</w:t>
      </w:r>
    </w:p>
    <w:p w14:paraId="2FD80725" w14:textId="77777777" w:rsidR="007C1CFF" w:rsidRDefault="00000000">
      <w:pPr>
        <w:spacing w:line="288" w:lineRule="auto"/>
        <w:jc w:val="both"/>
        <w:rPr>
          <w:i/>
          <w:sz w:val="20"/>
          <w:u w:val="single"/>
          <w:vertAlign w:val="superscript"/>
        </w:rPr>
      </w:pPr>
      <w:r>
        <w:rPr>
          <w:sz w:val="20"/>
        </w:rPr>
        <w:t xml:space="preserve">At June 30, 2022, 13 properties in NHI’s Real Estate Investments reportable segment, with an aggregate net real estate balance of $56.7 million, were classified as assets held for sale on the Condensed Consolidated Balance Sheet, including four properties that were transferred to assets held for sale during the second quarter of 2022. Rental income associated with the 13 properties was $1.0 million for both the three and six months ended June 30, 2022 and $1.6 million and $3.4 million for the three and six months ended June 30, 2021, respectively. </w:t>
      </w:r>
    </w:p>
    <w:p w14:paraId="0D96F574" w14:textId="77777777" w:rsidR="007C1CFF" w:rsidRDefault="007C1CFF">
      <w:pPr>
        <w:spacing w:line="288" w:lineRule="auto"/>
        <w:ind w:firstLine="270"/>
        <w:jc w:val="both"/>
        <w:rPr>
          <w:b/>
          <w:i/>
          <w:sz w:val="20"/>
          <w:shd w:val="clear" w:color="auto" w:fill="BFE4FF"/>
          <w:vertAlign w:val="superscript"/>
        </w:rPr>
      </w:pPr>
    </w:p>
    <w:p w14:paraId="735322E7" w14:textId="77777777" w:rsidR="007C1CFF" w:rsidRDefault="00000000">
      <w:pPr>
        <w:spacing w:line="288" w:lineRule="auto"/>
        <w:jc w:val="both"/>
        <w:rPr>
          <w:b/>
          <w:sz w:val="20"/>
          <w:vertAlign w:val="superscript"/>
        </w:rPr>
      </w:pPr>
      <w:r>
        <w:rPr>
          <w:b/>
          <w:sz w:val="20"/>
        </w:rPr>
        <w:t>Balance Sheet and Liquidity</w:t>
      </w:r>
    </w:p>
    <w:p w14:paraId="576EE7DC" w14:textId="77777777" w:rsidR="007C1CFF" w:rsidRDefault="00000000">
      <w:pPr>
        <w:spacing w:line="288" w:lineRule="auto"/>
        <w:jc w:val="both"/>
        <w:rPr>
          <w:b/>
          <w:sz w:val="20"/>
          <w:vertAlign w:val="superscript"/>
        </w:rPr>
      </w:pPr>
      <w:r>
        <w:rPr>
          <w:sz w:val="20"/>
        </w:rPr>
        <w:t>At July 31, 2022, NHI had no amount outstanding under the revolving credit facility and approximately $51.0 million in corporate cash and cash equivalents. The Company has approximately $415.7 million available under the ATM program.</w:t>
      </w:r>
    </w:p>
    <w:p w14:paraId="54C1CB25" w14:textId="77777777" w:rsidR="007C1CFF" w:rsidRDefault="007C1CFF">
      <w:pPr>
        <w:spacing w:line="288" w:lineRule="auto"/>
        <w:jc w:val="both"/>
        <w:rPr>
          <w:i/>
          <w:sz w:val="20"/>
          <w:vertAlign w:val="superscript"/>
        </w:rPr>
      </w:pPr>
    </w:p>
    <w:p w14:paraId="299B3DAF" w14:textId="77777777" w:rsidR="007C1CFF" w:rsidRDefault="007C1CFF">
      <w:pPr>
        <w:spacing w:line="288" w:lineRule="auto"/>
        <w:jc w:val="both"/>
        <w:rPr>
          <w:i/>
          <w:sz w:val="20"/>
          <w:vertAlign w:val="superscript"/>
        </w:rPr>
      </w:pPr>
    </w:p>
    <w:p w14:paraId="439A23FD" w14:textId="77777777" w:rsidR="007C1CFF" w:rsidRDefault="00000000">
      <w:pPr>
        <w:spacing w:line="288" w:lineRule="auto"/>
        <w:jc w:val="both"/>
        <w:rPr>
          <w:i/>
          <w:sz w:val="20"/>
          <w:vertAlign w:val="superscript"/>
        </w:rPr>
      </w:pPr>
      <w:r>
        <w:rPr>
          <w:i/>
          <w:sz w:val="20"/>
        </w:rPr>
        <w:lastRenderedPageBreak/>
        <w:t>Share Repurchase Plan</w:t>
      </w:r>
    </w:p>
    <w:p w14:paraId="0B636A58" w14:textId="77777777" w:rsidR="007C1CFF" w:rsidRDefault="007C1CFF">
      <w:pPr>
        <w:spacing w:line="288" w:lineRule="auto"/>
        <w:jc w:val="both"/>
        <w:rPr>
          <w:b/>
          <w:i/>
          <w:sz w:val="20"/>
          <w:vertAlign w:val="superscript"/>
        </w:rPr>
      </w:pPr>
    </w:p>
    <w:p w14:paraId="7FF365BE" w14:textId="77777777" w:rsidR="007C1CFF" w:rsidRDefault="00000000">
      <w:pPr>
        <w:spacing w:line="288" w:lineRule="auto"/>
        <w:jc w:val="both"/>
        <w:rPr>
          <w:sz w:val="20"/>
          <w:vertAlign w:val="superscript"/>
        </w:rPr>
      </w:pPr>
      <w:r>
        <w:rPr>
          <w:sz w:val="20"/>
        </w:rPr>
        <w:t xml:space="preserve">During the three months ended June 30, 2022, NHI repurchased through open market transactions 1,196,175 shares of its common stock for an average price of $58.52 per share, including commissions. </w:t>
      </w:r>
    </w:p>
    <w:p w14:paraId="37931792" w14:textId="77777777" w:rsidR="007C1CFF" w:rsidRDefault="007C1CFF">
      <w:pPr>
        <w:spacing w:line="288" w:lineRule="auto"/>
        <w:jc w:val="both"/>
        <w:rPr>
          <w:b/>
          <w:i/>
          <w:sz w:val="20"/>
          <w:shd w:val="clear" w:color="auto" w:fill="FFFFFF"/>
          <w:vertAlign w:val="superscript"/>
        </w:rPr>
      </w:pPr>
    </w:p>
    <w:p w14:paraId="20FC0519" w14:textId="77777777" w:rsidR="007C1CFF" w:rsidRDefault="00000000">
      <w:pPr>
        <w:spacing w:line="288" w:lineRule="auto"/>
        <w:jc w:val="both"/>
        <w:rPr>
          <w:b/>
          <w:sz w:val="20"/>
          <w:vertAlign w:val="superscript"/>
        </w:rPr>
      </w:pPr>
      <w:r>
        <w:rPr>
          <w:b/>
          <w:sz w:val="20"/>
        </w:rPr>
        <w:t>2022 Guidance</w:t>
      </w:r>
    </w:p>
    <w:p w14:paraId="7F5C4760" w14:textId="77777777" w:rsidR="007C1CFF" w:rsidRDefault="00000000">
      <w:pPr>
        <w:spacing w:line="288" w:lineRule="auto"/>
        <w:jc w:val="both"/>
        <w:rPr>
          <w:sz w:val="20"/>
          <w:vertAlign w:val="superscript"/>
        </w:rPr>
      </w:pPr>
      <w:r>
        <w:rPr>
          <w:sz w:val="20"/>
        </w:rPr>
        <w:t>NHI has updated its range for 2022 annual guidance which was originally issued on April 18, 2022. A summary of the update includes the following:</w:t>
      </w:r>
    </w:p>
    <w:p w14:paraId="122B3007" w14:textId="77777777" w:rsidR="007C1CFF" w:rsidRDefault="007C1CFF">
      <w:pPr>
        <w:spacing w:line="288" w:lineRule="auto"/>
        <w:jc w:val="both"/>
        <w:rPr>
          <w:sz w:val="20"/>
          <w:vertAlign w:val="superscript"/>
        </w:rPr>
      </w:pPr>
    </w:p>
    <w:p w14:paraId="1DDE43A7" w14:textId="77777777" w:rsidR="007C1CFF" w:rsidRDefault="00000000">
      <w:pPr>
        <w:numPr>
          <w:ilvl w:val="0"/>
          <w:numId w:val="33"/>
        </w:numPr>
        <w:spacing w:line="288" w:lineRule="auto"/>
        <w:jc w:val="both"/>
        <w:rPr>
          <w:sz w:val="20"/>
        </w:rPr>
      </w:pPr>
      <w:r>
        <w:rPr>
          <w:sz w:val="20"/>
        </w:rPr>
        <w:t>NAREIT FFO per diluted common share in a range of $3.86 - $3.92 compared to $4.32 - $4.42 previously</w:t>
      </w:r>
    </w:p>
    <w:p w14:paraId="72D61F9A" w14:textId="77777777" w:rsidR="007C1CFF" w:rsidRDefault="00000000">
      <w:pPr>
        <w:numPr>
          <w:ilvl w:val="0"/>
          <w:numId w:val="34"/>
        </w:numPr>
        <w:spacing w:line="288" w:lineRule="auto"/>
        <w:jc w:val="both"/>
        <w:rPr>
          <w:sz w:val="20"/>
        </w:rPr>
      </w:pPr>
      <w:r>
        <w:rPr>
          <w:sz w:val="20"/>
        </w:rPr>
        <w:t>Normalized FFO per diluted common share in a range of $4.48 - $4.53 compared to $4.38 - $4.48 previously</w:t>
      </w:r>
    </w:p>
    <w:p w14:paraId="1B875128" w14:textId="77777777" w:rsidR="007C1CFF" w:rsidRDefault="00000000">
      <w:pPr>
        <w:numPr>
          <w:ilvl w:val="0"/>
          <w:numId w:val="35"/>
        </w:numPr>
        <w:spacing w:line="288" w:lineRule="auto"/>
        <w:jc w:val="both"/>
        <w:rPr>
          <w:sz w:val="20"/>
        </w:rPr>
      </w:pPr>
      <w:r>
        <w:rPr>
          <w:sz w:val="20"/>
        </w:rPr>
        <w:t>Normalized Funds Available for Distribution in a range of $200.2 million - $203.0 million compared to $201.8 million - $206.4 million previously</w:t>
      </w:r>
    </w:p>
    <w:p w14:paraId="314128E6" w14:textId="77777777" w:rsidR="007C1CFF" w:rsidRDefault="00000000">
      <w:pPr>
        <w:numPr>
          <w:ilvl w:val="0"/>
          <w:numId w:val="36"/>
        </w:numPr>
        <w:spacing w:line="288" w:lineRule="auto"/>
        <w:jc w:val="both"/>
        <w:rPr>
          <w:sz w:val="20"/>
        </w:rPr>
      </w:pPr>
      <w:r>
        <w:rPr>
          <w:sz w:val="20"/>
        </w:rPr>
        <w:t>Weighted average diluted common shares of 45.2 million compared to 45.9 million previously</w:t>
      </w:r>
    </w:p>
    <w:p w14:paraId="2BCAD054" w14:textId="77777777" w:rsidR="007C1CFF" w:rsidRDefault="007C1CFF">
      <w:pPr>
        <w:spacing w:line="288" w:lineRule="auto"/>
        <w:jc w:val="both"/>
        <w:rPr>
          <w:sz w:val="20"/>
          <w:vertAlign w:val="superscript"/>
        </w:rPr>
      </w:pPr>
    </w:p>
    <w:p w14:paraId="1EA6F904" w14:textId="77777777" w:rsidR="007C1CFF" w:rsidRDefault="00000000">
      <w:pPr>
        <w:spacing w:line="288" w:lineRule="auto"/>
        <w:jc w:val="both"/>
        <w:rPr>
          <w:sz w:val="20"/>
          <w:vertAlign w:val="superscript"/>
        </w:rPr>
      </w:pPr>
      <w:r>
        <w:rPr>
          <w:sz w:val="20"/>
        </w:rPr>
        <w:t>The Company’s guidance range for the full year 2022, with underlying assumptions and timing of certain transactions, is set forth below:</w:t>
      </w:r>
    </w:p>
    <w:p w14:paraId="06ABC168" w14:textId="77777777" w:rsidR="007C1CFF" w:rsidRDefault="007C1CFF">
      <w:pPr>
        <w:spacing w:line="276" w:lineRule="auto"/>
        <w:rPr>
          <w:sz w:val="20"/>
          <w:vertAlign w:val="superscript"/>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5"/>
        <w:gridCol w:w="240"/>
        <w:gridCol w:w="1605"/>
        <w:gridCol w:w="225"/>
        <w:gridCol w:w="1605"/>
      </w:tblGrid>
      <w:tr w:rsidR="007C1CFF" w14:paraId="03EE806C" w14:textId="77777777">
        <w:trPr>
          <w:cantSplit/>
          <w:trHeight w:hRule="exact" w:val="315"/>
        </w:trPr>
        <w:tc>
          <w:tcPr>
            <w:tcW w:w="6765" w:type="dxa"/>
            <w:tcBorders>
              <w:top w:val="nil"/>
              <w:left w:val="nil"/>
              <w:bottom w:val="nil"/>
              <w:right w:val="nil"/>
            </w:tcBorders>
            <w:tcMar>
              <w:top w:w="0" w:type="dxa"/>
              <w:left w:w="0" w:type="dxa"/>
              <w:bottom w:w="0" w:type="dxa"/>
              <w:right w:w="0" w:type="dxa"/>
            </w:tcMar>
            <w:vAlign w:val="bottom"/>
          </w:tcPr>
          <w:p w14:paraId="06277A0B" w14:textId="77777777" w:rsidR="007C1CFF" w:rsidRDefault="007C1CFF">
            <w:pPr>
              <w:keepNext/>
            </w:pPr>
          </w:p>
        </w:tc>
        <w:tc>
          <w:tcPr>
            <w:tcW w:w="240" w:type="dxa"/>
            <w:tcBorders>
              <w:top w:val="nil"/>
              <w:left w:val="nil"/>
              <w:bottom w:val="nil"/>
              <w:right w:val="nil"/>
            </w:tcBorders>
            <w:tcMar>
              <w:top w:w="0" w:type="dxa"/>
              <w:left w:w="0" w:type="dxa"/>
              <w:bottom w:w="0" w:type="dxa"/>
              <w:right w:w="0" w:type="dxa"/>
            </w:tcMar>
            <w:vAlign w:val="bottom"/>
          </w:tcPr>
          <w:p w14:paraId="3381A182" w14:textId="77777777" w:rsidR="007C1CFF" w:rsidRDefault="007C1CFF">
            <w:pPr>
              <w:keepNext/>
            </w:pPr>
          </w:p>
        </w:tc>
        <w:tc>
          <w:tcPr>
            <w:tcW w:w="3435" w:type="dxa"/>
            <w:gridSpan w:val="3"/>
            <w:tcBorders>
              <w:top w:val="nil"/>
              <w:left w:val="nil"/>
              <w:bottom w:val="single" w:sz="8" w:space="0" w:color="000000"/>
              <w:right w:val="nil"/>
            </w:tcBorders>
            <w:tcMar>
              <w:top w:w="0" w:type="dxa"/>
              <w:left w:w="53" w:type="dxa"/>
              <w:bottom w:w="0" w:type="dxa"/>
              <w:right w:w="53" w:type="dxa"/>
            </w:tcMar>
            <w:vAlign w:val="bottom"/>
          </w:tcPr>
          <w:p w14:paraId="0F1DC3D5" w14:textId="77777777" w:rsidR="007C1CFF" w:rsidRDefault="00000000">
            <w:pPr>
              <w:keepNext/>
              <w:spacing w:before="75" w:after="30"/>
              <w:jc w:val="center"/>
            </w:pPr>
            <w:r>
              <w:rPr>
                <w:color w:val="000000"/>
                <w:sz w:val="20"/>
              </w:rPr>
              <w:t>2022 Guidance Range</w:t>
            </w:r>
          </w:p>
        </w:tc>
      </w:tr>
      <w:tr w:rsidR="007C1CFF" w14:paraId="4BF53A94"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6FC171FE" w14:textId="77777777" w:rsidR="007C1CFF" w:rsidRDefault="00000000">
            <w:pPr>
              <w:keepNext/>
              <w:spacing w:before="55" w:after="30"/>
            </w:pPr>
            <w:r>
              <w:rPr>
                <w:i/>
                <w:color w:val="000000"/>
                <w:sz w:val="20"/>
              </w:rPr>
              <w:t>(in millions except per share amounts)</w:t>
            </w:r>
          </w:p>
        </w:tc>
        <w:tc>
          <w:tcPr>
            <w:tcW w:w="240" w:type="dxa"/>
            <w:tcBorders>
              <w:top w:val="nil"/>
              <w:left w:val="nil"/>
              <w:bottom w:val="nil"/>
              <w:right w:val="nil"/>
            </w:tcBorders>
            <w:tcMar>
              <w:top w:w="0" w:type="dxa"/>
              <w:left w:w="0" w:type="dxa"/>
              <w:bottom w:w="0" w:type="dxa"/>
              <w:right w:w="0" w:type="dxa"/>
            </w:tcMar>
            <w:vAlign w:val="bottom"/>
          </w:tcPr>
          <w:p w14:paraId="6B3F1767" w14:textId="77777777" w:rsidR="007C1CFF" w:rsidRDefault="007C1CFF">
            <w:pPr>
              <w:keepNext/>
            </w:pPr>
          </w:p>
        </w:tc>
        <w:tc>
          <w:tcPr>
            <w:tcW w:w="1605" w:type="dxa"/>
            <w:tcBorders>
              <w:top w:val="nil"/>
              <w:left w:val="nil"/>
              <w:bottom w:val="nil"/>
              <w:right w:val="nil"/>
            </w:tcBorders>
            <w:tcMar>
              <w:top w:w="0" w:type="dxa"/>
              <w:left w:w="53" w:type="dxa"/>
              <w:bottom w:w="0" w:type="dxa"/>
              <w:right w:w="53" w:type="dxa"/>
            </w:tcMar>
            <w:vAlign w:val="bottom"/>
          </w:tcPr>
          <w:p w14:paraId="6E71CD9D" w14:textId="77777777" w:rsidR="007C1CFF" w:rsidRDefault="00000000">
            <w:pPr>
              <w:keepNext/>
              <w:spacing w:before="55" w:after="30"/>
              <w:jc w:val="center"/>
            </w:pPr>
            <w:r>
              <w:rPr>
                <w:color w:val="000000"/>
                <w:sz w:val="20"/>
              </w:rPr>
              <w:t>Low</w:t>
            </w:r>
          </w:p>
        </w:tc>
        <w:tc>
          <w:tcPr>
            <w:tcW w:w="225" w:type="dxa"/>
            <w:tcBorders>
              <w:top w:val="single" w:sz="8" w:space="0" w:color="000000"/>
              <w:left w:val="nil"/>
              <w:bottom w:val="nil"/>
              <w:right w:val="nil"/>
            </w:tcBorders>
            <w:tcMar>
              <w:top w:w="0" w:type="dxa"/>
              <w:left w:w="0" w:type="dxa"/>
              <w:bottom w:w="0" w:type="dxa"/>
              <w:right w:w="0" w:type="dxa"/>
            </w:tcMar>
            <w:vAlign w:val="bottom"/>
          </w:tcPr>
          <w:p w14:paraId="1EEA0256" w14:textId="77777777" w:rsidR="007C1CFF" w:rsidRDefault="007C1CFF">
            <w:pPr>
              <w:keepNext/>
            </w:pPr>
          </w:p>
        </w:tc>
        <w:tc>
          <w:tcPr>
            <w:tcW w:w="1605" w:type="dxa"/>
            <w:tcBorders>
              <w:top w:val="single" w:sz="8" w:space="0" w:color="000000"/>
              <w:left w:val="nil"/>
              <w:bottom w:val="nil"/>
              <w:right w:val="nil"/>
            </w:tcBorders>
            <w:tcMar>
              <w:top w:w="0" w:type="dxa"/>
              <w:left w:w="53" w:type="dxa"/>
              <w:bottom w:w="0" w:type="dxa"/>
              <w:right w:w="15" w:type="dxa"/>
            </w:tcMar>
            <w:vAlign w:val="bottom"/>
          </w:tcPr>
          <w:p w14:paraId="1268724A" w14:textId="77777777" w:rsidR="007C1CFF" w:rsidRDefault="00000000">
            <w:pPr>
              <w:keepNext/>
              <w:spacing w:before="55" w:after="30"/>
              <w:jc w:val="center"/>
            </w:pPr>
            <w:r>
              <w:rPr>
                <w:color w:val="000000"/>
                <w:sz w:val="20"/>
              </w:rPr>
              <w:t>High</w:t>
            </w:r>
          </w:p>
        </w:tc>
      </w:tr>
      <w:tr w:rsidR="007C1CFF" w14:paraId="3CDBF1CB"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19D5145D" w14:textId="77777777" w:rsidR="007C1CFF" w:rsidRDefault="00000000">
            <w:pPr>
              <w:keepNext/>
              <w:spacing w:before="75" w:after="30"/>
            </w:pPr>
            <w:r>
              <w:rPr>
                <w:color w:val="000000"/>
                <w:sz w:val="20"/>
              </w:rPr>
              <w:t>Net income attributable to common stockholders</w:t>
            </w:r>
          </w:p>
        </w:tc>
        <w:tc>
          <w:tcPr>
            <w:tcW w:w="240" w:type="dxa"/>
            <w:tcBorders>
              <w:top w:val="nil"/>
              <w:left w:val="nil"/>
              <w:bottom w:val="nil"/>
              <w:right w:val="nil"/>
            </w:tcBorders>
            <w:tcMar>
              <w:top w:w="0" w:type="dxa"/>
              <w:left w:w="0" w:type="dxa"/>
              <w:bottom w:w="0" w:type="dxa"/>
              <w:right w:w="0" w:type="dxa"/>
            </w:tcMar>
            <w:vAlign w:val="bottom"/>
          </w:tcPr>
          <w:p w14:paraId="1E7AEA09"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6C712239" w14:textId="77777777" w:rsidR="007C1CFF" w:rsidRDefault="00000000">
            <w:pPr>
              <w:keepNext/>
              <w:tabs>
                <w:tab w:val="left" w:pos="1122"/>
                <w:tab w:val="left" w:pos="1537"/>
              </w:tabs>
              <w:spacing w:before="75" w:after="30"/>
              <w:jc w:val="right"/>
            </w:pPr>
            <w:r>
              <w:rPr>
                <w:color w:val="000000"/>
                <w:sz w:val="20"/>
              </w:rPr>
              <w:t>$</w:t>
            </w:r>
            <w:r>
              <w:rPr>
                <w:color w:val="000000"/>
                <w:sz w:val="20"/>
              </w:rPr>
              <w:tab/>
              <w:t>88.2</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4B3AE56F"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2D80AF90" w14:textId="77777777" w:rsidR="007C1CFF" w:rsidRDefault="00000000">
            <w:pPr>
              <w:keepNext/>
              <w:tabs>
                <w:tab w:val="left" w:pos="1122"/>
                <w:tab w:val="left" w:pos="1537"/>
              </w:tabs>
              <w:spacing w:before="75" w:after="30"/>
              <w:jc w:val="right"/>
            </w:pPr>
            <w:r>
              <w:rPr>
                <w:color w:val="000000"/>
                <w:sz w:val="20"/>
              </w:rPr>
              <w:t>$</w:t>
            </w:r>
            <w:r>
              <w:rPr>
                <w:color w:val="000000"/>
                <w:sz w:val="20"/>
              </w:rPr>
              <w:tab/>
              <w:t>90.0</w:t>
            </w:r>
            <w:r>
              <w:rPr>
                <w:color w:val="000000"/>
                <w:sz w:val="20"/>
              </w:rPr>
              <w:tab/>
            </w:r>
          </w:p>
        </w:tc>
      </w:tr>
      <w:tr w:rsidR="007C1CFF" w14:paraId="7BE3F563"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5CD7C15A" w14:textId="77777777" w:rsidR="007C1CFF" w:rsidRDefault="007C1CFF">
            <w:pPr>
              <w:keepNext/>
              <w:spacing w:before="75" w:after="30"/>
            </w:pPr>
          </w:p>
        </w:tc>
        <w:tc>
          <w:tcPr>
            <w:tcW w:w="240" w:type="dxa"/>
            <w:tcBorders>
              <w:top w:val="nil"/>
              <w:left w:val="nil"/>
              <w:bottom w:val="nil"/>
              <w:right w:val="nil"/>
            </w:tcBorders>
            <w:tcMar>
              <w:top w:w="0" w:type="dxa"/>
              <w:left w:w="0" w:type="dxa"/>
              <w:bottom w:w="0" w:type="dxa"/>
              <w:right w:w="0" w:type="dxa"/>
            </w:tcMar>
            <w:vAlign w:val="bottom"/>
          </w:tcPr>
          <w:p w14:paraId="5C2173E8" w14:textId="77777777" w:rsidR="007C1CFF" w:rsidRDefault="007C1CFF">
            <w:pPr>
              <w:keepNext/>
            </w:pPr>
          </w:p>
        </w:tc>
        <w:tc>
          <w:tcPr>
            <w:tcW w:w="1605" w:type="dxa"/>
            <w:tcBorders>
              <w:top w:val="nil"/>
              <w:left w:val="nil"/>
              <w:bottom w:val="nil"/>
              <w:right w:val="nil"/>
            </w:tcBorders>
            <w:tcMar>
              <w:top w:w="0" w:type="dxa"/>
              <w:left w:w="53" w:type="dxa"/>
              <w:bottom w:w="0" w:type="dxa"/>
              <w:right w:w="53" w:type="dxa"/>
            </w:tcMar>
            <w:vAlign w:val="bottom"/>
          </w:tcPr>
          <w:p w14:paraId="0A687FCC" w14:textId="77777777" w:rsidR="007C1CFF" w:rsidRDefault="007C1CFF">
            <w:pPr>
              <w:keepNext/>
              <w:spacing w:before="75" w:after="30"/>
              <w:jc w:val="center"/>
            </w:pPr>
          </w:p>
        </w:tc>
        <w:tc>
          <w:tcPr>
            <w:tcW w:w="225" w:type="dxa"/>
            <w:tcBorders>
              <w:top w:val="nil"/>
              <w:left w:val="nil"/>
              <w:bottom w:val="nil"/>
              <w:right w:val="nil"/>
            </w:tcBorders>
            <w:tcMar>
              <w:top w:w="0" w:type="dxa"/>
              <w:left w:w="0" w:type="dxa"/>
              <w:bottom w:w="0" w:type="dxa"/>
              <w:right w:w="0" w:type="dxa"/>
            </w:tcMar>
            <w:vAlign w:val="bottom"/>
          </w:tcPr>
          <w:p w14:paraId="65FB79E4"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7B801649" w14:textId="77777777" w:rsidR="007C1CFF" w:rsidRDefault="007C1CFF">
            <w:pPr>
              <w:keepNext/>
              <w:spacing w:before="75" w:after="30"/>
              <w:jc w:val="right"/>
            </w:pPr>
          </w:p>
        </w:tc>
      </w:tr>
      <w:tr w:rsidR="007C1CFF" w14:paraId="2B930786"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7349D55E" w14:textId="77777777" w:rsidR="007C1CFF" w:rsidRDefault="00000000">
            <w:pPr>
              <w:keepNext/>
              <w:spacing w:before="75" w:after="30"/>
            </w:pPr>
            <w:r>
              <w:rPr>
                <w:color w:val="000000"/>
                <w:sz w:val="20"/>
              </w:rPr>
              <w:t>Adjustments to NAREIT Funds From Operations (FFO)</w:t>
            </w:r>
          </w:p>
        </w:tc>
        <w:tc>
          <w:tcPr>
            <w:tcW w:w="240" w:type="dxa"/>
            <w:tcBorders>
              <w:top w:val="nil"/>
              <w:left w:val="nil"/>
              <w:bottom w:val="nil"/>
              <w:right w:val="nil"/>
            </w:tcBorders>
            <w:tcMar>
              <w:top w:w="0" w:type="dxa"/>
              <w:left w:w="0" w:type="dxa"/>
              <w:bottom w:w="0" w:type="dxa"/>
              <w:right w:w="0" w:type="dxa"/>
            </w:tcMar>
            <w:vAlign w:val="bottom"/>
          </w:tcPr>
          <w:p w14:paraId="728B6178"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68272F34"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424ACC69"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4A90AEE9" w14:textId="77777777" w:rsidR="007C1CFF" w:rsidRDefault="007C1CFF">
            <w:pPr>
              <w:keepNext/>
            </w:pPr>
          </w:p>
        </w:tc>
      </w:tr>
      <w:tr w:rsidR="007C1CFF" w14:paraId="7338D93A"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42946237" w14:textId="77777777" w:rsidR="007C1CFF" w:rsidRDefault="00000000">
            <w:pPr>
              <w:keepNext/>
              <w:spacing w:before="75" w:after="30"/>
              <w:rPr>
                <w:sz w:val="20"/>
              </w:rPr>
            </w:pPr>
            <w:r>
              <w:rPr>
                <w:sz w:val="20"/>
              </w:rPr>
              <w:t xml:space="preserve">   Depreciation (net)</w:t>
            </w:r>
            <w:r>
              <w:rPr>
                <w:sz w:val="20"/>
                <w:vertAlign w:val="superscript"/>
              </w:rPr>
              <w:t>1</w:t>
            </w:r>
          </w:p>
        </w:tc>
        <w:tc>
          <w:tcPr>
            <w:tcW w:w="240" w:type="dxa"/>
            <w:tcBorders>
              <w:top w:val="nil"/>
              <w:left w:val="nil"/>
              <w:bottom w:val="nil"/>
              <w:right w:val="nil"/>
            </w:tcBorders>
            <w:tcMar>
              <w:top w:w="0" w:type="dxa"/>
              <w:left w:w="0" w:type="dxa"/>
              <w:bottom w:w="0" w:type="dxa"/>
              <w:right w:w="0" w:type="dxa"/>
            </w:tcMar>
            <w:vAlign w:val="bottom"/>
          </w:tcPr>
          <w:p w14:paraId="5188BD35"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05CF834F" w14:textId="77777777" w:rsidR="007C1CFF" w:rsidRDefault="00000000">
            <w:pPr>
              <w:keepNext/>
              <w:tabs>
                <w:tab w:val="left" w:pos="1122"/>
                <w:tab w:val="left" w:pos="1537"/>
              </w:tabs>
              <w:spacing w:before="75" w:after="30"/>
              <w:jc w:val="right"/>
            </w:pPr>
            <w:r>
              <w:rPr>
                <w:color w:val="000000"/>
                <w:sz w:val="20"/>
              </w:rPr>
              <w:tab/>
              <w:t>69.9</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04ED1424"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162A6386" w14:textId="77777777" w:rsidR="007C1CFF" w:rsidRDefault="00000000">
            <w:pPr>
              <w:keepNext/>
              <w:tabs>
                <w:tab w:val="left" w:pos="1122"/>
                <w:tab w:val="left" w:pos="1537"/>
              </w:tabs>
              <w:spacing w:before="75" w:after="30"/>
              <w:jc w:val="right"/>
            </w:pPr>
            <w:r>
              <w:rPr>
                <w:color w:val="000000"/>
                <w:sz w:val="20"/>
              </w:rPr>
              <w:tab/>
              <w:t>70.1</w:t>
            </w:r>
            <w:r>
              <w:rPr>
                <w:color w:val="000000"/>
                <w:sz w:val="20"/>
              </w:rPr>
              <w:tab/>
            </w:r>
          </w:p>
        </w:tc>
      </w:tr>
      <w:tr w:rsidR="007C1CFF" w14:paraId="16A4E3DB"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66F28632" w14:textId="77777777" w:rsidR="007C1CFF" w:rsidRDefault="00000000">
            <w:pPr>
              <w:keepNext/>
              <w:spacing w:before="75" w:after="30"/>
            </w:pPr>
            <w:r>
              <w:rPr>
                <w:color w:val="000000"/>
                <w:sz w:val="20"/>
              </w:rPr>
              <w:t xml:space="preserve">   Impairments of real estate net of gains on sales</w:t>
            </w:r>
          </w:p>
        </w:tc>
        <w:tc>
          <w:tcPr>
            <w:tcW w:w="240" w:type="dxa"/>
            <w:tcBorders>
              <w:top w:val="nil"/>
              <w:left w:val="nil"/>
              <w:bottom w:val="nil"/>
              <w:right w:val="nil"/>
            </w:tcBorders>
            <w:tcMar>
              <w:top w:w="0" w:type="dxa"/>
              <w:left w:w="0" w:type="dxa"/>
              <w:bottom w:w="0" w:type="dxa"/>
              <w:right w:w="0" w:type="dxa"/>
            </w:tcMar>
            <w:vAlign w:val="bottom"/>
          </w:tcPr>
          <w:p w14:paraId="01131D63" w14:textId="77777777" w:rsidR="007C1CFF" w:rsidRDefault="007C1CFF">
            <w:pPr>
              <w:keepNext/>
            </w:pPr>
          </w:p>
        </w:tc>
        <w:tc>
          <w:tcPr>
            <w:tcW w:w="1605" w:type="dxa"/>
            <w:tcBorders>
              <w:top w:val="nil"/>
              <w:left w:val="nil"/>
              <w:bottom w:val="single" w:sz="8" w:space="0" w:color="000000"/>
              <w:right w:val="nil"/>
            </w:tcBorders>
            <w:tcMar>
              <w:top w:w="0" w:type="dxa"/>
              <w:left w:w="0" w:type="dxa"/>
              <w:bottom w:w="0" w:type="dxa"/>
              <w:right w:w="15" w:type="dxa"/>
            </w:tcMar>
            <w:vAlign w:val="bottom"/>
          </w:tcPr>
          <w:p w14:paraId="555AFDAF" w14:textId="77777777" w:rsidR="007C1CFF" w:rsidRDefault="00000000">
            <w:pPr>
              <w:keepNext/>
              <w:tabs>
                <w:tab w:val="left" w:pos="1122"/>
                <w:tab w:val="left" w:pos="1537"/>
              </w:tabs>
              <w:spacing w:before="75" w:after="30"/>
              <w:jc w:val="right"/>
            </w:pPr>
            <w:r>
              <w:rPr>
                <w:color w:val="000000"/>
                <w:sz w:val="20"/>
              </w:rPr>
              <w:tab/>
              <w:t>16.5</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1EC30E8D" w14:textId="77777777" w:rsidR="007C1CFF" w:rsidRDefault="007C1CFF">
            <w:pPr>
              <w:keepNext/>
            </w:pPr>
          </w:p>
        </w:tc>
        <w:tc>
          <w:tcPr>
            <w:tcW w:w="1605" w:type="dxa"/>
            <w:tcBorders>
              <w:top w:val="nil"/>
              <w:left w:val="nil"/>
              <w:bottom w:val="single" w:sz="8" w:space="0" w:color="000000"/>
              <w:right w:val="nil"/>
            </w:tcBorders>
            <w:tcMar>
              <w:top w:w="0" w:type="dxa"/>
              <w:left w:w="0" w:type="dxa"/>
              <w:bottom w:w="0" w:type="dxa"/>
              <w:right w:w="15" w:type="dxa"/>
            </w:tcMar>
            <w:vAlign w:val="bottom"/>
          </w:tcPr>
          <w:p w14:paraId="3C11EC59" w14:textId="77777777" w:rsidR="007C1CFF" w:rsidRDefault="00000000">
            <w:pPr>
              <w:keepNext/>
              <w:tabs>
                <w:tab w:val="left" w:pos="1122"/>
                <w:tab w:val="left" w:pos="1537"/>
              </w:tabs>
              <w:spacing w:before="75" w:after="30"/>
              <w:jc w:val="right"/>
            </w:pPr>
            <w:r>
              <w:rPr>
                <w:color w:val="000000"/>
                <w:sz w:val="20"/>
              </w:rPr>
              <w:tab/>
              <w:t>17.3</w:t>
            </w:r>
            <w:r>
              <w:rPr>
                <w:color w:val="000000"/>
                <w:sz w:val="20"/>
              </w:rPr>
              <w:tab/>
            </w:r>
          </w:p>
        </w:tc>
      </w:tr>
      <w:tr w:rsidR="007C1CFF" w14:paraId="46AE8766"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4EC61403" w14:textId="77777777" w:rsidR="007C1CFF" w:rsidRDefault="00000000">
            <w:pPr>
              <w:keepNext/>
              <w:spacing w:before="55" w:after="30"/>
            </w:pPr>
            <w:r>
              <w:rPr>
                <w:color w:val="000000"/>
                <w:sz w:val="20"/>
              </w:rPr>
              <w:t>NAREIT FFO attributable to common stockholders</w:t>
            </w:r>
          </w:p>
        </w:tc>
        <w:tc>
          <w:tcPr>
            <w:tcW w:w="240" w:type="dxa"/>
            <w:tcBorders>
              <w:top w:val="nil"/>
              <w:left w:val="nil"/>
              <w:bottom w:val="nil"/>
              <w:right w:val="nil"/>
            </w:tcBorders>
            <w:tcMar>
              <w:top w:w="0" w:type="dxa"/>
              <w:left w:w="0" w:type="dxa"/>
              <w:bottom w:w="0" w:type="dxa"/>
              <w:right w:w="0" w:type="dxa"/>
            </w:tcMar>
            <w:vAlign w:val="bottom"/>
          </w:tcPr>
          <w:p w14:paraId="1FFA8D8F" w14:textId="77777777" w:rsidR="007C1CFF" w:rsidRDefault="007C1CFF">
            <w:pPr>
              <w:keepNext/>
            </w:pPr>
          </w:p>
        </w:tc>
        <w:tc>
          <w:tcPr>
            <w:tcW w:w="1605" w:type="dxa"/>
            <w:tcBorders>
              <w:top w:val="single" w:sz="8" w:space="0" w:color="000000"/>
              <w:left w:val="nil"/>
              <w:bottom w:val="nil"/>
              <w:right w:val="nil"/>
            </w:tcBorders>
            <w:tcMar>
              <w:top w:w="0" w:type="dxa"/>
              <w:left w:w="0" w:type="dxa"/>
              <w:bottom w:w="0" w:type="dxa"/>
              <w:right w:w="15" w:type="dxa"/>
            </w:tcMar>
            <w:vAlign w:val="bottom"/>
          </w:tcPr>
          <w:p w14:paraId="6A1571F3" w14:textId="77777777" w:rsidR="007C1CFF" w:rsidRDefault="00000000">
            <w:pPr>
              <w:keepNext/>
              <w:tabs>
                <w:tab w:val="left" w:pos="1022"/>
                <w:tab w:val="left" w:pos="1537"/>
              </w:tabs>
              <w:spacing w:before="55" w:after="30"/>
              <w:jc w:val="right"/>
            </w:pPr>
            <w:r>
              <w:rPr>
                <w:color w:val="000000"/>
                <w:sz w:val="20"/>
              </w:rPr>
              <w:tab/>
              <w:t>174.6</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53C170A9" w14:textId="77777777" w:rsidR="007C1CFF" w:rsidRDefault="007C1CFF">
            <w:pPr>
              <w:keepNext/>
            </w:pPr>
          </w:p>
        </w:tc>
        <w:tc>
          <w:tcPr>
            <w:tcW w:w="1605" w:type="dxa"/>
            <w:tcBorders>
              <w:top w:val="single" w:sz="8" w:space="0" w:color="000000"/>
              <w:left w:val="nil"/>
              <w:bottom w:val="nil"/>
              <w:right w:val="nil"/>
            </w:tcBorders>
            <w:tcMar>
              <w:top w:w="0" w:type="dxa"/>
              <w:left w:w="0" w:type="dxa"/>
              <w:bottom w:w="0" w:type="dxa"/>
              <w:right w:w="15" w:type="dxa"/>
            </w:tcMar>
            <w:vAlign w:val="bottom"/>
          </w:tcPr>
          <w:p w14:paraId="3F0BE720" w14:textId="77777777" w:rsidR="007C1CFF" w:rsidRDefault="00000000">
            <w:pPr>
              <w:keepNext/>
              <w:tabs>
                <w:tab w:val="left" w:pos="1022"/>
                <w:tab w:val="left" w:pos="1537"/>
              </w:tabs>
              <w:spacing w:before="55" w:after="30"/>
              <w:jc w:val="right"/>
            </w:pPr>
            <w:r>
              <w:rPr>
                <w:color w:val="000000"/>
                <w:sz w:val="20"/>
              </w:rPr>
              <w:tab/>
              <w:t>177.4</w:t>
            </w:r>
            <w:r>
              <w:rPr>
                <w:color w:val="000000"/>
                <w:sz w:val="20"/>
              </w:rPr>
              <w:tab/>
            </w:r>
          </w:p>
        </w:tc>
      </w:tr>
      <w:tr w:rsidR="007C1CFF" w14:paraId="1D44012E" w14:textId="77777777">
        <w:trPr>
          <w:cantSplit/>
          <w:trHeight w:hRule="exact" w:val="315"/>
        </w:trPr>
        <w:tc>
          <w:tcPr>
            <w:tcW w:w="6765" w:type="dxa"/>
            <w:tcBorders>
              <w:top w:val="nil"/>
              <w:left w:val="nil"/>
              <w:bottom w:val="nil"/>
              <w:right w:val="nil"/>
            </w:tcBorders>
            <w:tcMar>
              <w:top w:w="0" w:type="dxa"/>
              <w:left w:w="0" w:type="dxa"/>
              <w:bottom w:w="0" w:type="dxa"/>
              <w:right w:w="0" w:type="dxa"/>
            </w:tcMar>
            <w:vAlign w:val="bottom"/>
          </w:tcPr>
          <w:p w14:paraId="308D268D" w14:textId="77777777" w:rsidR="007C1CFF" w:rsidRDefault="007C1CFF">
            <w:pPr>
              <w:keepNext/>
            </w:pPr>
          </w:p>
        </w:tc>
        <w:tc>
          <w:tcPr>
            <w:tcW w:w="240" w:type="dxa"/>
            <w:tcBorders>
              <w:top w:val="nil"/>
              <w:left w:val="nil"/>
              <w:bottom w:val="nil"/>
              <w:right w:val="nil"/>
            </w:tcBorders>
            <w:tcMar>
              <w:top w:w="0" w:type="dxa"/>
              <w:left w:w="0" w:type="dxa"/>
              <w:bottom w:w="0" w:type="dxa"/>
              <w:right w:w="0" w:type="dxa"/>
            </w:tcMar>
            <w:vAlign w:val="bottom"/>
          </w:tcPr>
          <w:p w14:paraId="320CC88A"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2F761D64"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61525533"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2E9B777F" w14:textId="77777777" w:rsidR="007C1CFF" w:rsidRDefault="007C1CFF">
            <w:pPr>
              <w:keepNext/>
            </w:pPr>
          </w:p>
        </w:tc>
      </w:tr>
      <w:tr w:rsidR="007C1CFF" w14:paraId="45D4835B"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54EE0479" w14:textId="77777777" w:rsidR="007C1CFF" w:rsidRDefault="00000000">
            <w:pPr>
              <w:keepNext/>
              <w:spacing w:before="75" w:after="30"/>
            </w:pPr>
            <w:r>
              <w:rPr>
                <w:color w:val="000000"/>
                <w:sz w:val="20"/>
              </w:rPr>
              <w:t>Adjustments to Normalized FFO (NFFO)</w:t>
            </w:r>
          </w:p>
        </w:tc>
        <w:tc>
          <w:tcPr>
            <w:tcW w:w="240" w:type="dxa"/>
            <w:tcBorders>
              <w:top w:val="nil"/>
              <w:left w:val="nil"/>
              <w:bottom w:val="nil"/>
              <w:right w:val="nil"/>
            </w:tcBorders>
            <w:tcMar>
              <w:top w:w="0" w:type="dxa"/>
              <w:left w:w="0" w:type="dxa"/>
              <w:bottom w:w="0" w:type="dxa"/>
              <w:right w:w="0" w:type="dxa"/>
            </w:tcMar>
            <w:vAlign w:val="bottom"/>
          </w:tcPr>
          <w:p w14:paraId="4A2E69BA"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719AE141"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5DC06EE7"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3A6B6A29" w14:textId="77777777" w:rsidR="007C1CFF" w:rsidRDefault="007C1CFF">
            <w:pPr>
              <w:keepNext/>
            </w:pPr>
          </w:p>
        </w:tc>
      </w:tr>
      <w:tr w:rsidR="007C1CFF" w14:paraId="2BAEA003"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04C01972" w14:textId="77777777" w:rsidR="007C1CFF" w:rsidRDefault="00000000">
            <w:pPr>
              <w:keepNext/>
              <w:spacing w:before="75" w:after="30"/>
            </w:pPr>
            <w:r>
              <w:rPr>
                <w:color w:val="000000"/>
                <w:sz w:val="20"/>
              </w:rPr>
              <w:t xml:space="preserve">   Portfolio transition costs, net </w:t>
            </w:r>
          </w:p>
        </w:tc>
        <w:tc>
          <w:tcPr>
            <w:tcW w:w="240" w:type="dxa"/>
            <w:tcBorders>
              <w:top w:val="nil"/>
              <w:left w:val="nil"/>
              <w:bottom w:val="nil"/>
              <w:right w:val="nil"/>
            </w:tcBorders>
            <w:tcMar>
              <w:top w:w="0" w:type="dxa"/>
              <w:left w:w="0" w:type="dxa"/>
              <w:bottom w:w="0" w:type="dxa"/>
              <w:right w:w="0" w:type="dxa"/>
            </w:tcMar>
            <w:vAlign w:val="bottom"/>
          </w:tcPr>
          <w:p w14:paraId="589CE6A8"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1649965F" w14:textId="77777777" w:rsidR="007C1CFF" w:rsidRDefault="00000000">
            <w:pPr>
              <w:keepNext/>
              <w:tabs>
                <w:tab w:val="left" w:pos="1222"/>
                <w:tab w:val="left" w:pos="1537"/>
              </w:tabs>
              <w:spacing w:before="75" w:after="30"/>
              <w:jc w:val="right"/>
            </w:pPr>
            <w:r>
              <w:rPr>
                <w:color w:val="000000"/>
                <w:sz w:val="20"/>
              </w:rPr>
              <w:tab/>
              <w:t>0.4</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201A7E19"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336458C7" w14:textId="77777777" w:rsidR="007C1CFF" w:rsidRDefault="00000000">
            <w:pPr>
              <w:keepNext/>
              <w:tabs>
                <w:tab w:val="left" w:pos="1222"/>
                <w:tab w:val="left" w:pos="1537"/>
              </w:tabs>
              <w:spacing w:before="75" w:after="30"/>
              <w:jc w:val="right"/>
            </w:pPr>
            <w:r>
              <w:rPr>
                <w:color w:val="000000"/>
                <w:sz w:val="20"/>
              </w:rPr>
              <w:tab/>
              <w:t>0.4</w:t>
            </w:r>
            <w:r>
              <w:rPr>
                <w:color w:val="000000"/>
                <w:sz w:val="20"/>
              </w:rPr>
              <w:tab/>
            </w:r>
          </w:p>
        </w:tc>
      </w:tr>
      <w:tr w:rsidR="007C1CFF" w14:paraId="2FB7D0F6"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653D6522" w14:textId="77777777" w:rsidR="007C1CFF" w:rsidRDefault="00000000">
            <w:pPr>
              <w:keepNext/>
              <w:spacing w:before="75" w:after="30"/>
              <w:rPr>
                <w:sz w:val="20"/>
              </w:rPr>
            </w:pPr>
            <w:r>
              <w:rPr>
                <w:sz w:val="20"/>
              </w:rPr>
              <w:t xml:space="preserve">   Loss on operations transfer, net</w:t>
            </w:r>
            <w:r>
              <w:rPr>
                <w:sz w:val="20"/>
                <w:vertAlign w:val="superscript"/>
              </w:rPr>
              <w:t>2</w:t>
            </w:r>
          </w:p>
        </w:tc>
        <w:tc>
          <w:tcPr>
            <w:tcW w:w="240" w:type="dxa"/>
            <w:tcBorders>
              <w:top w:val="nil"/>
              <w:left w:val="nil"/>
              <w:bottom w:val="nil"/>
              <w:right w:val="nil"/>
            </w:tcBorders>
            <w:tcMar>
              <w:top w:w="0" w:type="dxa"/>
              <w:left w:w="0" w:type="dxa"/>
              <w:bottom w:w="0" w:type="dxa"/>
              <w:right w:w="0" w:type="dxa"/>
            </w:tcMar>
            <w:vAlign w:val="bottom"/>
          </w:tcPr>
          <w:p w14:paraId="7F5DC594"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4B71C51D" w14:textId="77777777" w:rsidR="007C1CFF" w:rsidRDefault="00000000">
            <w:pPr>
              <w:keepNext/>
              <w:tabs>
                <w:tab w:val="left" w:pos="1222"/>
                <w:tab w:val="left" w:pos="1537"/>
              </w:tabs>
              <w:spacing w:before="75" w:after="30"/>
              <w:jc w:val="right"/>
            </w:pPr>
            <w:r>
              <w:rPr>
                <w:color w:val="000000"/>
                <w:sz w:val="20"/>
              </w:rPr>
              <w:tab/>
              <w:t>0.7</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66A3B73C"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31B96080" w14:textId="77777777" w:rsidR="007C1CFF" w:rsidRDefault="00000000">
            <w:pPr>
              <w:keepNext/>
              <w:tabs>
                <w:tab w:val="left" w:pos="1222"/>
                <w:tab w:val="left" w:pos="1537"/>
              </w:tabs>
              <w:spacing w:before="75" w:after="30"/>
              <w:jc w:val="right"/>
            </w:pPr>
            <w:r>
              <w:rPr>
                <w:color w:val="000000"/>
                <w:sz w:val="20"/>
              </w:rPr>
              <w:tab/>
              <w:t>0.7</w:t>
            </w:r>
            <w:r>
              <w:rPr>
                <w:color w:val="000000"/>
                <w:sz w:val="20"/>
              </w:rPr>
              <w:tab/>
            </w:r>
          </w:p>
        </w:tc>
      </w:tr>
      <w:tr w:rsidR="007C1CFF" w14:paraId="49784404"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39D84BA1" w14:textId="77777777" w:rsidR="007C1CFF" w:rsidRDefault="00000000">
            <w:pPr>
              <w:keepNext/>
              <w:spacing w:before="75" w:after="30"/>
              <w:rPr>
                <w:sz w:val="20"/>
              </w:rPr>
            </w:pPr>
            <w:r>
              <w:rPr>
                <w:sz w:val="20"/>
              </w:rPr>
              <w:t xml:space="preserve">   Other</w:t>
            </w:r>
            <w:r>
              <w:rPr>
                <w:sz w:val="20"/>
                <w:vertAlign w:val="superscript"/>
              </w:rPr>
              <w:t>3</w:t>
            </w:r>
          </w:p>
        </w:tc>
        <w:tc>
          <w:tcPr>
            <w:tcW w:w="240" w:type="dxa"/>
            <w:tcBorders>
              <w:top w:val="nil"/>
              <w:left w:val="nil"/>
              <w:bottom w:val="nil"/>
              <w:right w:val="nil"/>
            </w:tcBorders>
            <w:tcMar>
              <w:top w:w="0" w:type="dxa"/>
              <w:left w:w="0" w:type="dxa"/>
              <w:bottom w:w="0" w:type="dxa"/>
              <w:right w:w="0" w:type="dxa"/>
            </w:tcMar>
            <w:vAlign w:val="bottom"/>
          </w:tcPr>
          <w:p w14:paraId="39DA264C" w14:textId="77777777" w:rsidR="007C1CFF" w:rsidRDefault="007C1CFF">
            <w:pPr>
              <w:keepNext/>
            </w:pPr>
          </w:p>
        </w:tc>
        <w:tc>
          <w:tcPr>
            <w:tcW w:w="1605" w:type="dxa"/>
            <w:tcBorders>
              <w:top w:val="nil"/>
              <w:left w:val="nil"/>
              <w:bottom w:val="single" w:sz="8" w:space="0" w:color="000000"/>
              <w:right w:val="nil"/>
            </w:tcBorders>
            <w:tcMar>
              <w:top w:w="0" w:type="dxa"/>
              <w:left w:w="0" w:type="dxa"/>
              <w:bottom w:w="0" w:type="dxa"/>
              <w:right w:w="15" w:type="dxa"/>
            </w:tcMar>
            <w:vAlign w:val="bottom"/>
          </w:tcPr>
          <w:p w14:paraId="00FBFE0A" w14:textId="77777777" w:rsidR="007C1CFF" w:rsidRDefault="00000000">
            <w:pPr>
              <w:keepNext/>
              <w:tabs>
                <w:tab w:val="left" w:pos="1122"/>
                <w:tab w:val="left" w:pos="1537"/>
              </w:tabs>
              <w:spacing w:before="75" w:after="30"/>
              <w:jc w:val="right"/>
            </w:pPr>
            <w:r>
              <w:rPr>
                <w:color w:val="000000"/>
                <w:sz w:val="20"/>
              </w:rPr>
              <w:tab/>
              <w:t>27.0</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5E4D8399" w14:textId="77777777" w:rsidR="007C1CFF" w:rsidRDefault="007C1CFF">
            <w:pPr>
              <w:keepNext/>
            </w:pPr>
          </w:p>
        </w:tc>
        <w:tc>
          <w:tcPr>
            <w:tcW w:w="1605" w:type="dxa"/>
            <w:tcBorders>
              <w:top w:val="nil"/>
              <w:left w:val="nil"/>
              <w:bottom w:val="single" w:sz="8" w:space="0" w:color="000000"/>
              <w:right w:val="nil"/>
            </w:tcBorders>
            <w:tcMar>
              <w:top w:w="0" w:type="dxa"/>
              <w:left w:w="0" w:type="dxa"/>
              <w:bottom w:w="0" w:type="dxa"/>
              <w:right w:w="15" w:type="dxa"/>
            </w:tcMar>
            <w:vAlign w:val="bottom"/>
          </w:tcPr>
          <w:p w14:paraId="5EBE66BD" w14:textId="77777777" w:rsidR="007C1CFF" w:rsidRDefault="00000000">
            <w:pPr>
              <w:keepNext/>
              <w:tabs>
                <w:tab w:val="left" w:pos="1122"/>
                <w:tab w:val="left" w:pos="1537"/>
              </w:tabs>
              <w:spacing w:before="75" w:after="30"/>
              <w:jc w:val="right"/>
            </w:pPr>
            <w:r>
              <w:rPr>
                <w:color w:val="000000"/>
                <w:sz w:val="20"/>
              </w:rPr>
              <w:tab/>
              <w:t>26.2</w:t>
            </w:r>
            <w:r>
              <w:rPr>
                <w:color w:val="000000"/>
                <w:sz w:val="20"/>
              </w:rPr>
              <w:tab/>
            </w:r>
          </w:p>
        </w:tc>
      </w:tr>
      <w:tr w:rsidR="007C1CFF" w14:paraId="7BE4125C"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25D621C0" w14:textId="77777777" w:rsidR="007C1CFF" w:rsidRDefault="00000000">
            <w:pPr>
              <w:keepNext/>
              <w:spacing w:before="55" w:after="30"/>
            </w:pPr>
            <w:r>
              <w:rPr>
                <w:color w:val="000000"/>
                <w:sz w:val="20"/>
              </w:rPr>
              <w:t>NFFO attributable to common stockholders</w:t>
            </w:r>
          </w:p>
        </w:tc>
        <w:tc>
          <w:tcPr>
            <w:tcW w:w="240" w:type="dxa"/>
            <w:tcBorders>
              <w:top w:val="nil"/>
              <w:left w:val="nil"/>
              <w:bottom w:val="nil"/>
              <w:right w:val="nil"/>
            </w:tcBorders>
            <w:tcMar>
              <w:top w:w="0" w:type="dxa"/>
              <w:left w:w="0" w:type="dxa"/>
              <w:bottom w:w="0" w:type="dxa"/>
              <w:right w:w="0" w:type="dxa"/>
            </w:tcMar>
            <w:vAlign w:val="bottom"/>
          </w:tcPr>
          <w:p w14:paraId="22D9837D" w14:textId="77777777" w:rsidR="007C1CFF" w:rsidRDefault="007C1CFF">
            <w:pPr>
              <w:keepNext/>
            </w:pPr>
          </w:p>
        </w:tc>
        <w:tc>
          <w:tcPr>
            <w:tcW w:w="1605" w:type="dxa"/>
            <w:tcBorders>
              <w:top w:val="single" w:sz="8" w:space="0" w:color="000000"/>
              <w:left w:val="nil"/>
              <w:bottom w:val="nil"/>
              <w:right w:val="nil"/>
            </w:tcBorders>
            <w:tcMar>
              <w:top w:w="0" w:type="dxa"/>
              <w:left w:w="0" w:type="dxa"/>
              <w:bottom w:w="0" w:type="dxa"/>
              <w:right w:w="15" w:type="dxa"/>
            </w:tcMar>
            <w:vAlign w:val="bottom"/>
          </w:tcPr>
          <w:p w14:paraId="0D9629DB" w14:textId="77777777" w:rsidR="007C1CFF" w:rsidRDefault="00000000">
            <w:pPr>
              <w:keepNext/>
              <w:tabs>
                <w:tab w:val="left" w:pos="1022"/>
                <w:tab w:val="left" w:pos="1537"/>
              </w:tabs>
              <w:spacing w:before="55" w:after="30"/>
              <w:jc w:val="right"/>
            </w:pPr>
            <w:r>
              <w:rPr>
                <w:color w:val="000000"/>
                <w:sz w:val="20"/>
              </w:rPr>
              <w:tab/>
              <w:t>202.7</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54D0690F" w14:textId="77777777" w:rsidR="007C1CFF" w:rsidRDefault="007C1CFF">
            <w:pPr>
              <w:keepNext/>
            </w:pPr>
          </w:p>
        </w:tc>
        <w:tc>
          <w:tcPr>
            <w:tcW w:w="1605" w:type="dxa"/>
            <w:tcBorders>
              <w:top w:val="single" w:sz="8" w:space="0" w:color="000000"/>
              <w:left w:val="nil"/>
              <w:bottom w:val="nil"/>
              <w:right w:val="nil"/>
            </w:tcBorders>
            <w:tcMar>
              <w:top w:w="0" w:type="dxa"/>
              <w:left w:w="0" w:type="dxa"/>
              <w:bottom w:w="0" w:type="dxa"/>
              <w:right w:w="15" w:type="dxa"/>
            </w:tcMar>
            <w:vAlign w:val="bottom"/>
          </w:tcPr>
          <w:p w14:paraId="5A5B4E9F" w14:textId="77777777" w:rsidR="007C1CFF" w:rsidRDefault="00000000">
            <w:pPr>
              <w:keepNext/>
              <w:tabs>
                <w:tab w:val="left" w:pos="1022"/>
                <w:tab w:val="left" w:pos="1537"/>
              </w:tabs>
              <w:spacing w:before="55" w:after="30"/>
              <w:jc w:val="right"/>
            </w:pPr>
            <w:r>
              <w:rPr>
                <w:color w:val="000000"/>
                <w:sz w:val="20"/>
              </w:rPr>
              <w:tab/>
              <w:t>204.7</w:t>
            </w:r>
            <w:r>
              <w:rPr>
                <w:color w:val="000000"/>
                <w:sz w:val="20"/>
              </w:rPr>
              <w:tab/>
            </w:r>
          </w:p>
        </w:tc>
      </w:tr>
      <w:tr w:rsidR="007C1CFF" w14:paraId="61A4C478" w14:textId="77777777">
        <w:trPr>
          <w:cantSplit/>
          <w:trHeight w:hRule="exact" w:val="315"/>
        </w:trPr>
        <w:tc>
          <w:tcPr>
            <w:tcW w:w="6765" w:type="dxa"/>
            <w:tcBorders>
              <w:top w:val="nil"/>
              <w:left w:val="nil"/>
              <w:bottom w:val="nil"/>
              <w:right w:val="nil"/>
            </w:tcBorders>
            <w:tcMar>
              <w:top w:w="0" w:type="dxa"/>
              <w:left w:w="0" w:type="dxa"/>
              <w:bottom w:w="0" w:type="dxa"/>
              <w:right w:w="0" w:type="dxa"/>
            </w:tcMar>
            <w:vAlign w:val="bottom"/>
          </w:tcPr>
          <w:p w14:paraId="77A14323" w14:textId="77777777" w:rsidR="007C1CFF" w:rsidRDefault="007C1CFF">
            <w:pPr>
              <w:keepNext/>
            </w:pPr>
          </w:p>
        </w:tc>
        <w:tc>
          <w:tcPr>
            <w:tcW w:w="240" w:type="dxa"/>
            <w:tcBorders>
              <w:top w:val="nil"/>
              <w:left w:val="nil"/>
              <w:bottom w:val="nil"/>
              <w:right w:val="nil"/>
            </w:tcBorders>
            <w:tcMar>
              <w:top w:w="0" w:type="dxa"/>
              <w:left w:w="0" w:type="dxa"/>
              <w:bottom w:w="0" w:type="dxa"/>
              <w:right w:w="0" w:type="dxa"/>
            </w:tcMar>
            <w:vAlign w:val="bottom"/>
          </w:tcPr>
          <w:p w14:paraId="00998F54"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1E1C3580"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3B3D3AE1"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3708A4BD" w14:textId="77777777" w:rsidR="007C1CFF" w:rsidRDefault="007C1CFF">
            <w:pPr>
              <w:keepNext/>
            </w:pPr>
          </w:p>
        </w:tc>
      </w:tr>
      <w:tr w:rsidR="007C1CFF" w14:paraId="0F1D9CEF"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09121952" w14:textId="77777777" w:rsidR="007C1CFF" w:rsidRDefault="00000000">
            <w:pPr>
              <w:keepNext/>
              <w:spacing w:before="75" w:after="30"/>
            </w:pPr>
            <w:r>
              <w:rPr>
                <w:color w:val="000000"/>
                <w:sz w:val="20"/>
              </w:rPr>
              <w:t>Adjustments to Funds Available for Distribution (FAD)</w:t>
            </w:r>
          </w:p>
        </w:tc>
        <w:tc>
          <w:tcPr>
            <w:tcW w:w="240" w:type="dxa"/>
            <w:tcBorders>
              <w:top w:val="nil"/>
              <w:left w:val="nil"/>
              <w:bottom w:val="nil"/>
              <w:right w:val="nil"/>
            </w:tcBorders>
            <w:tcMar>
              <w:top w:w="0" w:type="dxa"/>
              <w:left w:w="0" w:type="dxa"/>
              <w:bottom w:w="0" w:type="dxa"/>
              <w:right w:w="0" w:type="dxa"/>
            </w:tcMar>
            <w:vAlign w:val="bottom"/>
          </w:tcPr>
          <w:p w14:paraId="16621D95"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4D1598D9"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50958DC1"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146C058D" w14:textId="77777777" w:rsidR="007C1CFF" w:rsidRDefault="007C1CFF">
            <w:pPr>
              <w:keepNext/>
            </w:pPr>
          </w:p>
        </w:tc>
      </w:tr>
      <w:tr w:rsidR="007C1CFF" w14:paraId="35DCD4A8"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7E1A44D4" w14:textId="77777777" w:rsidR="007C1CFF" w:rsidRDefault="00000000">
            <w:pPr>
              <w:keepNext/>
              <w:spacing w:before="75" w:after="30"/>
              <w:rPr>
                <w:sz w:val="20"/>
              </w:rPr>
            </w:pPr>
            <w:r>
              <w:rPr>
                <w:sz w:val="20"/>
              </w:rPr>
              <w:t xml:space="preserve">   Straight-line revenue (net)</w:t>
            </w:r>
            <w:r>
              <w:rPr>
                <w:sz w:val="20"/>
                <w:vertAlign w:val="superscript"/>
              </w:rPr>
              <w:t xml:space="preserve">1 </w:t>
            </w:r>
            <w:r>
              <w:rPr>
                <w:sz w:val="20"/>
              </w:rPr>
              <w:t>and lease incentive amortizations</w:t>
            </w:r>
          </w:p>
        </w:tc>
        <w:tc>
          <w:tcPr>
            <w:tcW w:w="240" w:type="dxa"/>
            <w:tcBorders>
              <w:top w:val="nil"/>
              <w:left w:val="nil"/>
              <w:bottom w:val="nil"/>
              <w:right w:val="nil"/>
            </w:tcBorders>
            <w:tcMar>
              <w:top w:w="0" w:type="dxa"/>
              <w:left w:w="0" w:type="dxa"/>
              <w:bottom w:w="0" w:type="dxa"/>
              <w:right w:w="0" w:type="dxa"/>
            </w:tcMar>
            <w:vAlign w:val="bottom"/>
          </w:tcPr>
          <w:p w14:paraId="50CF6835"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3FDDA85F" w14:textId="77777777" w:rsidR="007C1CFF" w:rsidRDefault="00000000">
            <w:pPr>
              <w:keepNext/>
              <w:tabs>
                <w:tab w:val="left" w:pos="1056"/>
              </w:tabs>
              <w:spacing w:before="75" w:after="30"/>
              <w:jc w:val="right"/>
            </w:pPr>
            <w:r>
              <w:rPr>
                <w:color w:val="000000"/>
                <w:sz w:val="20"/>
              </w:rPr>
              <w:tab/>
              <w:t>(12.5)</w:t>
            </w:r>
          </w:p>
        </w:tc>
        <w:tc>
          <w:tcPr>
            <w:tcW w:w="225" w:type="dxa"/>
            <w:tcBorders>
              <w:top w:val="nil"/>
              <w:left w:val="nil"/>
              <w:bottom w:val="nil"/>
              <w:right w:val="nil"/>
            </w:tcBorders>
            <w:tcMar>
              <w:top w:w="0" w:type="dxa"/>
              <w:left w:w="0" w:type="dxa"/>
              <w:bottom w:w="0" w:type="dxa"/>
              <w:right w:w="0" w:type="dxa"/>
            </w:tcMar>
            <w:vAlign w:val="bottom"/>
          </w:tcPr>
          <w:p w14:paraId="35912CAA"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1D6B3BAB" w14:textId="77777777" w:rsidR="007C1CFF" w:rsidRDefault="00000000">
            <w:pPr>
              <w:keepNext/>
              <w:tabs>
                <w:tab w:val="left" w:pos="1056"/>
              </w:tabs>
              <w:spacing w:before="75" w:after="30"/>
              <w:jc w:val="right"/>
            </w:pPr>
            <w:r>
              <w:rPr>
                <w:color w:val="000000"/>
                <w:sz w:val="20"/>
              </w:rPr>
              <w:tab/>
              <w:t>(11.9)</w:t>
            </w:r>
          </w:p>
        </w:tc>
      </w:tr>
      <w:tr w:rsidR="007C1CFF" w14:paraId="371CDED1"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73D6FA15" w14:textId="77777777" w:rsidR="007C1CFF" w:rsidRDefault="00000000">
            <w:pPr>
              <w:keepNext/>
              <w:spacing w:before="75" w:after="30"/>
            </w:pPr>
            <w:r>
              <w:rPr>
                <w:color w:val="000000"/>
                <w:sz w:val="20"/>
              </w:rPr>
              <w:t xml:space="preserve">   Equity method investment adjustments</w:t>
            </w:r>
          </w:p>
        </w:tc>
        <w:tc>
          <w:tcPr>
            <w:tcW w:w="240" w:type="dxa"/>
            <w:tcBorders>
              <w:top w:val="nil"/>
              <w:left w:val="nil"/>
              <w:bottom w:val="nil"/>
              <w:right w:val="nil"/>
            </w:tcBorders>
            <w:tcMar>
              <w:top w:w="0" w:type="dxa"/>
              <w:left w:w="0" w:type="dxa"/>
              <w:bottom w:w="0" w:type="dxa"/>
              <w:right w:w="0" w:type="dxa"/>
            </w:tcMar>
            <w:vAlign w:val="bottom"/>
          </w:tcPr>
          <w:p w14:paraId="1944FBA8"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0677119C" w14:textId="77777777" w:rsidR="007C1CFF" w:rsidRDefault="00000000">
            <w:pPr>
              <w:keepNext/>
              <w:tabs>
                <w:tab w:val="left" w:pos="1156"/>
              </w:tabs>
              <w:spacing w:before="75" w:after="30"/>
              <w:jc w:val="right"/>
            </w:pPr>
            <w:r>
              <w:rPr>
                <w:color w:val="000000"/>
                <w:sz w:val="20"/>
              </w:rPr>
              <w:tab/>
              <w:t>(1.4)</w:t>
            </w:r>
          </w:p>
        </w:tc>
        <w:tc>
          <w:tcPr>
            <w:tcW w:w="225" w:type="dxa"/>
            <w:tcBorders>
              <w:top w:val="nil"/>
              <w:left w:val="nil"/>
              <w:bottom w:val="nil"/>
              <w:right w:val="nil"/>
            </w:tcBorders>
            <w:tcMar>
              <w:top w:w="0" w:type="dxa"/>
              <w:left w:w="0" w:type="dxa"/>
              <w:bottom w:w="0" w:type="dxa"/>
              <w:right w:w="0" w:type="dxa"/>
            </w:tcMar>
            <w:vAlign w:val="bottom"/>
          </w:tcPr>
          <w:p w14:paraId="20EB3C48"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7B7448E1" w14:textId="77777777" w:rsidR="007C1CFF" w:rsidRDefault="00000000">
            <w:pPr>
              <w:keepNext/>
              <w:tabs>
                <w:tab w:val="left" w:pos="1156"/>
              </w:tabs>
              <w:spacing w:before="75" w:after="30"/>
              <w:jc w:val="right"/>
            </w:pPr>
            <w:r>
              <w:rPr>
                <w:color w:val="000000"/>
                <w:sz w:val="20"/>
              </w:rPr>
              <w:tab/>
              <w:t>(1.4)</w:t>
            </w:r>
          </w:p>
        </w:tc>
      </w:tr>
      <w:tr w:rsidR="007C1CFF" w14:paraId="31967477"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699CD429" w14:textId="77777777" w:rsidR="007C1CFF" w:rsidRDefault="00000000">
            <w:pPr>
              <w:keepNext/>
              <w:spacing w:before="75" w:after="30"/>
            </w:pPr>
            <w:r>
              <w:rPr>
                <w:color w:val="000000"/>
                <w:sz w:val="20"/>
              </w:rPr>
              <w:t xml:space="preserve">   Equity method investment non-refundable fees received</w:t>
            </w:r>
          </w:p>
        </w:tc>
        <w:tc>
          <w:tcPr>
            <w:tcW w:w="240" w:type="dxa"/>
            <w:tcBorders>
              <w:top w:val="nil"/>
              <w:left w:val="nil"/>
              <w:bottom w:val="nil"/>
              <w:right w:val="nil"/>
            </w:tcBorders>
            <w:tcMar>
              <w:top w:w="0" w:type="dxa"/>
              <w:left w:w="0" w:type="dxa"/>
              <w:bottom w:w="0" w:type="dxa"/>
              <w:right w:w="0" w:type="dxa"/>
            </w:tcMar>
            <w:vAlign w:val="bottom"/>
          </w:tcPr>
          <w:p w14:paraId="408419BD"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26DC3044" w14:textId="77777777" w:rsidR="007C1CFF" w:rsidRDefault="00000000">
            <w:pPr>
              <w:keepNext/>
              <w:tabs>
                <w:tab w:val="left" w:pos="1222"/>
                <w:tab w:val="left" w:pos="1537"/>
              </w:tabs>
              <w:spacing w:before="75" w:after="30"/>
              <w:jc w:val="right"/>
            </w:pPr>
            <w:r>
              <w:rPr>
                <w:color w:val="000000"/>
                <w:sz w:val="20"/>
              </w:rPr>
              <w:tab/>
              <w:t>1.1</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68347AEA"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405C5786" w14:textId="77777777" w:rsidR="007C1CFF" w:rsidRDefault="00000000">
            <w:pPr>
              <w:keepNext/>
              <w:tabs>
                <w:tab w:val="left" w:pos="1222"/>
                <w:tab w:val="left" w:pos="1537"/>
              </w:tabs>
              <w:spacing w:before="75" w:after="30"/>
              <w:jc w:val="right"/>
            </w:pPr>
            <w:r>
              <w:rPr>
                <w:color w:val="000000"/>
                <w:sz w:val="20"/>
              </w:rPr>
              <w:tab/>
              <w:t>1.3</w:t>
            </w:r>
            <w:r>
              <w:rPr>
                <w:color w:val="000000"/>
                <w:sz w:val="20"/>
              </w:rPr>
              <w:tab/>
            </w:r>
          </w:p>
        </w:tc>
      </w:tr>
      <w:tr w:rsidR="007C1CFF" w14:paraId="27949AD5"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73FEC953" w14:textId="77777777" w:rsidR="007C1CFF" w:rsidRDefault="00000000">
            <w:pPr>
              <w:keepNext/>
              <w:spacing w:before="75" w:after="30"/>
            </w:pPr>
            <w:r>
              <w:rPr>
                <w:color w:val="000000"/>
                <w:sz w:val="20"/>
              </w:rPr>
              <w:t xml:space="preserve">   Non-cash stock-based compensation</w:t>
            </w:r>
          </w:p>
        </w:tc>
        <w:tc>
          <w:tcPr>
            <w:tcW w:w="240" w:type="dxa"/>
            <w:tcBorders>
              <w:top w:val="nil"/>
              <w:left w:val="nil"/>
              <w:bottom w:val="nil"/>
              <w:right w:val="nil"/>
            </w:tcBorders>
            <w:tcMar>
              <w:top w:w="0" w:type="dxa"/>
              <w:left w:w="0" w:type="dxa"/>
              <w:bottom w:w="0" w:type="dxa"/>
              <w:right w:w="0" w:type="dxa"/>
            </w:tcMar>
            <w:vAlign w:val="bottom"/>
          </w:tcPr>
          <w:p w14:paraId="107E7C07"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5F68CA38" w14:textId="77777777" w:rsidR="007C1CFF" w:rsidRDefault="00000000">
            <w:pPr>
              <w:keepNext/>
              <w:tabs>
                <w:tab w:val="left" w:pos="1222"/>
                <w:tab w:val="left" w:pos="1537"/>
              </w:tabs>
              <w:spacing w:before="75" w:after="30"/>
              <w:jc w:val="right"/>
            </w:pPr>
            <w:r>
              <w:rPr>
                <w:color w:val="000000"/>
                <w:sz w:val="20"/>
              </w:rPr>
              <w:tab/>
              <w:t>8.6</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5222B097"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17DD806D" w14:textId="77777777" w:rsidR="007C1CFF" w:rsidRDefault="00000000">
            <w:pPr>
              <w:keepNext/>
              <w:tabs>
                <w:tab w:val="left" w:pos="1222"/>
                <w:tab w:val="left" w:pos="1537"/>
              </w:tabs>
              <w:spacing w:before="75" w:after="30"/>
              <w:jc w:val="right"/>
            </w:pPr>
            <w:r>
              <w:rPr>
                <w:color w:val="000000"/>
                <w:sz w:val="20"/>
              </w:rPr>
              <w:tab/>
              <w:t>8.6</w:t>
            </w:r>
            <w:r>
              <w:rPr>
                <w:color w:val="000000"/>
                <w:sz w:val="20"/>
              </w:rPr>
              <w:tab/>
            </w:r>
          </w:p>
        </w:tc>
      </w:tr>
      <w:tr w:rsidR="007C1CFF" w14:paraId="05C8BFB6"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0B04B0ED" w14:textId="77777777" w:rsidR="007C1CFF" w:rsidRDefault="00000000">
            <w:pPr>
              <w:keepNext/>
              <w:spacing w:before="75" w:after="30"/>
            </w:pPr>
            <w:r>
              <w:rPr>
                <w:color w:val="000000"/>
                <w:sz w:val="20"/>
              </w:rPr>
              <w:t xml:space="preserve">   SHOP and equity method investment recurring capital expenditures</w:t>
            </w:r>
          </w:p>
        </w:tc>
        <w:tc>
          <w:tcPr>
            <w:tcW w:w="240" w:type="dxa"/>
            <w:tcBorders>
              <w:top w:val="nil"/>
              <w:left w:val="nil"/>
              <w:bottom w:val="nil"/>
              <w:right w:val="nil"/>
            </w:tcBorders>
            <w:tcMar>
              <w:top w:w="0" w:type="dxa"/>
              <w:left w:w="0" w:type="dxa"/>
              <w:bottom w:w="0" w:type="dxa"/>
              <w:right w:w="0" w:type="dxa"/>
            </w:tcMar>
            <w:vAlign w:val="bottom"/>
          </w:tcPr>
          <w:p w14:paraId="4E043BE1"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137A0108" w14:textId="77777777" w:rsidR="007C1CFF" w:rsidRDefault="00000000">
            <w:pPr>
              <w:keepNext/>
              <w:tabs>
                <w:tab w:val="left" w:pos="1156"/>
              </w:tabs>
              <w:spacing w:before="75" w:after="30"/>
              <w:jc w:val="right"/>
            </w:pPr>
            <w:r>
              <w:rPr>
                <w:color w:val="000000"/>
                <w:sz w:val="20"/>
              </w:rPr>
              <w:tab/>
              <w:t>(0.8)</w:t>
            </w:r>
          </w:p>
        </w:tc>
        <w:tc>
          <w:tcPr>
            <w:tcW w:w="225" w:type="dxa"/>
            <w:tcBorders>
              <w:top w:val="nil"/>
              <w:left w:val="nil"/>
              <w:bottom w:val="nil"/>
              <w:right w:val="nil"/>
            </w:tcBorders>
            <w:tcMar>
              <w:top w:w="0" w:type="dxa"/>
              <w:left w:w="0" w:type="dxa"/>
              <w:bottom w:w="0" w:type="dxa"/>
              <w:right w:w="0" w:type="dxa"/>
            </w:tcMar>
            <w:vAlign w:val="bottom"/>
          </w:tcPr>
          <w:p w14:paraId="4A863EA9"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1B1EC06C" w14:textId="77777777" w:rsidR="007C1CFF" w:rsidRDefault="00000000">
            <w:pPr>
              <w:keepNext/>
              <w:tabs>
                <w:tab w:val="left" w:pos="1156"/>
              </w:tabs>
              <w:spacing w:before="75" w:after="30"/>
              <w:jc w:val="right"/>
            </w:pPr>
            <w:r>
              <w:rPr>
                <w:color w:val="000000"/>
                <w:sz w:val="20"/>
              </w:rPr>
              <w:tab/>
              <w:t>(0.8)</w:t>
            </w:r>
          </w:p>
        </w:tc>
      </w:tr>
      <w:tr w:rsidR="007C1CFF" w14:paraId="00C25614"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016F5FBE" w14:textId="77777777" w:rsidR="007C1CFF" w:rsidRDefault="00000000">
            <w:pPr>
              <w:keepNext/>
              <w:spacing w:before="75" w:after="30"/>
              <w:rPr>
                <w:sz w:val="20"/>
              </w:rPr>
            </w:pPr>
            <w:r>
              <w:rPr>
                <w:sz w:val="20"/>
              </w:rPr>
              <w:t xml:space="preserve">   Other</w:t>
            </w:r>
            <w:r>
              <w:rPr>
                <w:sz w:val="20"/>
                <w:vertAlign w:val="superscript"/>
              </w:rPr>
              <w:t>4</w:t>
            </w:r>
          </w:p>
        </w:tc>
        <w:tc>
          <w:tcPr>
            <w:tcW w:w="240" w:type="dxa"/>
            <w:tcBorders>
              <w:top w:val="nil"/>
              <w:left w:val="nil"/>
              <w:bottom w:val="nil"/>
              <w:right w:val="nil"/>
            </w:tcBorders>
            <w:tcMar>
              <w:top w:w="0" w:type="dxa"/>
              <w:left w:w="0" w:type="dxa"/>
              <w:bottom w:w="0" w:type="dxa"/>
              <w:right w:w="0" w:type="dxa"/>
            </w:tcMar>
            <w:vAlign w:val="bottom"/>
          </w:tcPr>
          <w:p w14:paraId="28B8BF76" w14:textId="77777777" w:rsidR="007C1CFF" w:rsidRDefault="007C1CFF">
            <w:pPr>
              <w:keepNext/>
            </w:pPr>
          </w:p>
        </w:tc>
        <w:tc>
          <w:tcPr>
            <w:tcW w:w="1605" w:type="dxa"/>
            <w:tcBorders>
              <w:top w:val="nil"/>
              <w:left w:val="nil"/>
              <w:bottom w:val="single" w:sz="8" w:space="0" w:color="000000"/>
              <w:right w:val="nil"/>
            </w:tcBorders>
            <w:tcMar>
              <w:top w:w="0" w:type="dxa"/>
              <w:left w:w="0" w:type="dxa"/>
              <w:bottom w:w="0" w:type="dxa"/>
              <w:right w:w="15" w:type="dxa"/>
            </w:tcMar>
            <w:vAlign w:val="bottom"/>
          </w:tcPr>
          <w:p w14:paraId="5295D7A0" w14:textId="77777777" w:rsidR="007C1CFF" w:rsidRDefault="00000000">
            <w:pPr>
              <w:keepNext/>
              <w:tabs>
                <w:tab w:val="left" w:pos="1222"/>
                <w:tab w:val="left" w:pos="1537"/>
              </w:tabs>
              <w:spacing w:before="75" w:after="30"/>
              <w:jc w:val="right"/>
            </w:pPr>
            <w:r>
              <w:rPr>
                <w:color w:val="000000"/>
                <w:sz w:val="20"/>
              </w:rPr>
              <w:tab/>
              <w:t>2.5</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597DFE96" w14:textId="77777777" w:rsidR="007C1CFF" w:rsidRDefault="007C1CFF">
            <w:pPr>
              <w:keepNext/>
            </w:pPr>
          </w:p>
        </w:tc>
        <w:tc>
          <w:tcPr>
            <w:tcW w:w="1605" w:type="dxa"/>
            <w:tcBorders>
              <w:top w:val="nil"/>
              <w:left w:val="nil"/>
              <w:bottom w:val="single" w:sz="8" w:space="0" w:color="000000"/>
              <w:right w:val="nil"/>
            </w:tcBorders>
            <w:tcMar>
              <w:top w:w="0" w:type="dxa"/>
              <w:left w:w="0" w:type="dxa"/>
              <w:bottom w:w="0" w:type="dxa"/>
              <w:right w:w="15" w:type="dxa"/>
            </w:tcMar>
            <w:vAlign w:val="bottom"/>
          </w:tcPr>
          <w:p w14:paraId="519CA066" w14:textId="77777777" w:rsidR="007C1CFF" w:rsidRDefault="00000000">
            <w:pPr>
              <w:keepNext/>
              <w:tabs>
                <w:tab w:val="left" w:pos="1222"/>
                <w:tab w:val="left" w:pos="1537"/>
              </w:tabs>
              <w:spacing w:before="75" w:after="30"/>
              <w:jc w:val="right"/>
            </w:pPr>
            <w:r>
              <w:rPr>
                <w:color w:val="000000"/>
                <w:sz w:val="20"/>
              </w:rPr>
              <w:tab/>
              <w:t>2.5</w:t>
            </w:r>
            <w:r>
              <w:rPr>
                <w:color w:val="000000"/>
                <w:sz w:val="20"/>
              </w:rPr>
              <w:tab/>
            </w:r>
          </w:p>
        </w:tc>
      </w:tr>
      <w:tr w:rsidR="007C1CFF" w14:paraId="62ED2F78"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3A6CFBC2" w14:textId="77777777" w:rsidR="007C1CFF" w:rsidRDefault="00000000">
            <w:pPr>
              <w:keepNext/>
              <w:spacing w:before="55" w:after="30"/>
            </w:pPr>
            <w:r>
              <w:rPr>
                <w:color w:val="000000"/>
                <w:sz w:val="20"/>
              </w:rPr>
              <w:t>FAD attributable to common stockholders</w:t>
            </w:r>
          </w:p>
        </w:tc>
        <w:tc>
          <w:tcPr>
            <w:tcW w:w="240" w:type="dxa"/>
            <w:tcBorders>
              <w:top w:val="nil"/>
              <w:left w:val="nil"/>
              <w:bottom w:val="nil"/>
              <w:right w:val="nil"/>
            </w:tcBorders>
            <w:tcMar>
              <w:top w:w="0" w:type="dxa"/>
              <w:left w:w="0" w:type="dxa"/>
              <w:bottom w:w="0" w:type="dxa"/>
              <w:right w:w="0" w:type="dxa"/>
            </w:tcMar>
            <w:vAlign w:val="bottom"/>
          </w:tcPr>
          <w:p w14:paraId="020307B1" w14:textId="77777777" w:rsidR="007C1CFF" w:rsidRDefault="007C1CFF">
            <w:pPr>
              <w:keepNext/>
            </w:pPr>
          </w:p>
        </w:tc>
        <w:tc>
          <w:tcPr>
            <w:tcW w:w="1605" w:type="dxa"/>
            <w:tcBorders>
              <w:top w:val="single" w:sz="8" w:space="0" w:color="000000"/>
              <w:left w:val="nil"/>
              <w:bottom w:val="double" w:sz="8" w:space="0" w:color="000000"/>
              <w:right w:val="nil"/>
            </w:tcBorders>
            <w:tcMar>
              <w:top w:w="0" w:type="dxa"/>
              <w:left w:w="0" w:type="dxa"/>
              <w:bottom w:w="0" w:type="dxa"/>
              <w:right w:w="15" w:type="dxa"/>
            </w:tcMar>
            <w:vAlign w:val="bottom"/>
          </w:tcPr>
          <w:p w14:paraId="494AB172" w14:textId="77777777" w:rsidR="007C1CFF" w:rsidRDefault="00000000">
            <w:pPr>
              <w:keepNext/>
              <w:tabs>
                <w:tab w:val="left" w:pos="1022"/>
                <w:tab w:val="left" w:pos="1537"/>
              </w:tabs>
              <w:spacing w:before="55" w:after="30"/>
              <w:jc w:val="right"/>
            </w:pPr>
            <w:r>
              <w:rPr>
                <w:color w:val="000000"/>
                <w:sz w:val="20"/>
              </w:rPr>
              <w:t>$</w:t>
            </w:r>
            <w:r>
              <w:rPr>
                <w:color w:val="000000"/>
                <w:sz w:val="20"/>
              </w:rPr>
              <w:tab/>
              <w:t>200.2</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51863955" w14:textId="77777777" w:rsidR="007C1CFF" w:rsidRDefault="007C1CFF">
            <w:pPr>
              <w:keepNext/>
            </w:pPr>
          </w:p>
        </w:tc>
        <w:tc>
          <w:tcPr>
            <w:tcW w:w="1605" w:type="dxa"/>
            <w:tcBorders>
              <w:top w:val="single" w:sz="8" w:space="0" w:color="000000"/>
              <w:left w:val="nil"/>
              <w:bottom w:val="double" w:sz="8" w:space="0" w:color="000000"/>
              <w:right w:val="nil"/>
            </w:tcBorders>
            <w:tcMar>
              <w:top w:w="0" w:type="dxa"/>
              <w:left w:w="0" w:type="dxa"/>
              <w:bottom w:w="0" w:type="dxa"/>
              <w:right w:w="15" w:type="dxa"/>
            </w:tcMar>
            <w:vAlign w:val="bottom"/>
          </w:tcPr>
          <w:p w14:paraId="25525755" w14:textId="77777777" w:rsidR="007C1CFF" w:rsidRDefault="00000000">
            <w:pPr>
              <w:keepNext/>
              <w:tabs>
                <w:tab w:val="left" w:pos="1022"/>
                <w:tab w:val="left" w:pos="1537"/>
              </w:tabs>
              <w:spacing w:before="55" w:after="30"/>
              <w:jc w:val="right"/>
            </w:pPr>
            <w:r>
              <w:rPr>
                <w:color w:val="000000"/>
                <w:sz w:val="20"/>
              </w:rPr>
              <w:t>$</w:t>
            </w:r>
            <w:r>
              <w:rPr>
                <w:color w:val="000000"/>
                <w:sz w:val="20"/>
              </w:rPr>
              <w:tab/>
              <w:t>203.0</w:t>
            </w:r>
            <w:r>
              <w:rPr>
                <w:color w:val="000000"/>
                <w:sz w:val="20"/>
              </w:rPr>
              <w:tab/>
            </w:r>
          </w:p>
        </w:tc>
      </w:tr>
      <w:tr w:rsidR="007C1CFF" w14:paraId="158BDE95" w14:textId="77777777">
        <w:trPr>
          <w:cantSplit/>
          <w:trHeight w:hRule="exact" w:val="315"/>
        </w:trPr>
        <w:tc>
          <w:tcPr>
            <w:tcW w:w="6765" w:type="dxa"/>
            <w:tcBorders>
              <w:top w:val="nil"/>
              <w:left w:val="nil"/>
              <w:bottom w:val="nil"/>
              <w:right w:val="nil"/>
            </w:tcBorders>
            <w:tcMar>
              <w:top w:w="0" w:type="dxa"/>
              <w:left w:w="0" w:type="dxa"/>
              <w:bottom w:w="0" w:type="dxa"/>
              <w:right w:w="0" w:type="dxa"/>
            </w:tcMar>
            <w:vAlign w:val="bottom"/>
          </w:tcPr>
          <w:p w14:paraId="4042F565" w14:textId="77777777" w:rsidR="007C1CFF" w:rsidRDefault="007C1CFF">
            <w:pPr>
              <w:keepNext/>
            </w:pPr>
          </w:p>
        </w:tc>
        <w:tc>
          <w:tcPr>
            <w:tcW w:w="240" w:type="dxa"/>
            <w:tcBorders>
              <w:top w:val="nil"/>
              <w:left w:val="nil"/>
              <w:bottom w:val="nil"/>
              <w:right w:val="nil"/>
            </w:tcBorders>
            <w:tcMar>
              <w:top w:w="0" w:type="dxa"/>
              <w:left w:w="0" w:type="dxa"/>
              <w:bottom w:w="0" w:type="dxa"/>
              <w:right w:w="0" w:type="dxa"/>
            </w:tcMar>
            <w:vAlign w:val="bottom"/>
          </w:tcPr>
          <w:p w14:paraId="63CD059F" w14:textId="77777777" w:rsidR="007C1CFF" w:rsidRDefault="007C1CFF">
            <w:pPr>
              <w:keepNext/>
            </w:pPr>
          </w:p>
        </w:tc>
        <w:tc>
          <w:tcPr>
            <w:tcW w:w="1605" w:type="dxa"/>
            <w:tcBorders>
              <w:top w:val="double" w:sz="8" w:space="0" w:color="000000"/>
              <w:left w:val="nil"/>
              <w:bottom w:val="nil"/>
              <w:right w:val="nil"/>
            </w:tcBorders>
            <w:tcMar>
              <w:top w:w="0" w:type="dxa"/>
              <w:left w:w="0" w:type="dxa"/>
              <w:bottom w:w="0" w:type="dxa"/>
              <w:right w:w="0" w:type="dxa"/>
            </w:tcMar>
            <w:vAlign w:val="bottom"/>
          </w:tcPr>
          <w:p w14:paraId="4B5D8E1C"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5F21B0D8" w14:textId="77777777" w:rsidR="007C1CFF" w:rsidRDefault="007C1CFF">
            <w:pPr>
              <w:keepNext/>
            </w:pPr>
          </w:p>
        </w:tc>
        <w:tc>
          <w:tcPr>
            <w:tcW w:w="1605" w:type="dxa"/>
            <w:tcBorders>
              <w:top w:val="double" w:sz="8" w:space="0" w:color="000000"/>
              <w:left w:val="nil"/>
              <w:bottom w:val="nil"/>
              <w:right w:val="nil"/>
            </w:tcBorders>
            <w:tcMar>
              <w:top w:w="0" w:type="dxa"/>
              <w:left w:w="0" w:type="dxa"/>
              <w:bottom w:w="0" w:type="dxa"/>
              <w:right w:w="0" w:type="dxa"/>
            </w:tcMar>
            <w:vAlign w:val="bottom"/>
          </w:tcPr>
          <w:p w14:paraId="2A8A4528" w14:textId="77777777" w:rsidR="007C1CFF" w:rsidRDefault="007C1CFF">
            <w:pPr>
              <w:keepNext/>
            </w:pPr>
          </w:p>
        </w:tc>
      </w:tr>
      <w:tr w:rsidR="007C1CFF" w14:paraId="2AC90347"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31E6C5CF" w14:textId="77777777" w:rsidR="007C1CFF" w:rsidRDefault="00000000">
            <w:pPr>
              <w:keepNext/>
              <w:spacing w:before="75" w:after="30"/>
            </w:pPr>
            <w:r>
              <w:rPr>
                <w:color w:val="000000"/>
                <w:sz w:val="20"/>
              </w:rPr>
              <w:t>Weighted average diluted common shares</w:t>
            </w:r>
          </w:p>
        </w:tc>
        <w:tc>
          <w:tcPr>
            <w:tcW w:w="240" w:type="dxa"/>
            <w:tcBorders>
              <w:top w:val="nil"/>
              <w:left w:val="nil"/>
              <w:bottom w:val="nil"/>
              <w:right w:val="nil"/>
            </w:tcBorders>
            <w:tcMar>
              <w:top w:w="0" w:type="dxa"/>
              <w:left w:w="0" w:type="dxa"/>
              <w:bottom w:w="0" w:type="dxa"/>
              <w:right w:w="0" w:type="dxa"/>
            </w:tcMar>
            <w:vAlign w:val="bottom"/>
          </w:tcPr>
          <w:p w14:paraId="7D3F5B34"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029AE543" w14:textId="77777777" w:rsidR="007C1CFF" w:rsidRDefault="00000000">
            <w:pPr>
              <w:keepNext/>
              <w:tabs>
                <w:tab w:val="left" w:pos="1122"/>
                <w:tab w:val="left" w:pos="1537"/>
              </w:tabs>
              <w:spacing w:before="75" w:after="30"/>
              <w:jc w:val="right"/>
            </w:pPr>
            <w:r>
              <w:rPr>
                <w:color w:val="000000"/>
                <w:sz w:val="20"/>
              </w:rPr>
              <w:tab/>
              <w:t>45.2</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0B59E920"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1351236F" w14:textId="77777777" w:rsidR="007C1CFF" w:rsidRDefault="00000000">
            <w:pPr>
              <w:keepNext/>
              <w:tabs>
                <w:tab w:val="left" w:pos="1122"/>
                <w:tab w:val="left" w:pos="1537"/>
              </w:tabs>
              <w:spacing w:before="75" w:after="30"/>
              <w:jc w:val="right"/>
            </w:pPr>
            <w:r>
              <w:rPr>
                <w:color w:val="000000"/>
                <w:sz w:val="20"/>
              </w:rPr>
              <w:tab/>
              <w:t>45.2</w:t>
            </w:r>
            <w:r>
              <w:rPr>
                <w:color w:val="000000"/>
                <w:sz w:val="20"/>
              </w:rPr>
              <w:tab/>
            </w:r>
          </w:p>
        </w:tc>
      </w:tr>
      <w:tr w:rsidR="007C1CFF" w14:paraId="45AE38C3" w14:textId="77777777">
        <w:trPr>
          <w:cantSplit/>
          <w:trHeight w:hRule="exact" w:val="315"/>
        </w:trPr>
        <w:tc>
          <w:tcPr>
            <w:tcW w:w="6765" w:type="dxa"/>
            <w:tcBorders>
              <w:top w:val="nil"/>
              <w:left w:val="nil"/>
              <w:bottom w:val="nil"/>
              <w:right w:val="nil"/>
            </w:tcBorders>
            <w:tcMar>
              <w:top w:w="0" w:type="dxa"/>
              <w:left w:w="0" w:type="dxa"/>
              <w:bottom w:w="0" w:type="dxa"/>
              <w:right w:w="0" w:type="dxa"/>
            </w:tcMar>
            <w:vAlign w:val="bottom"/>
          </w:tcPr>
          <w:p w14:paraId="7C8F7A97" w14:textId="77777777" w:rsidR="007C1CFF" w:rsidRDefault="007C1CFF">
            <w:pPr>
              <w:keepNext/>
            </w:pPr>
          </w:p>
        </w:tc>
        <w:tc>
          <w:tcPr>
            <w:tcW w:w="240" w:type="dxa"/>
            <w:tcBorders>
              <w:top w:val="nil"/>
              <w:left w:val="nil"/>
              <w:bottom w:val="nil"/>
              <w:right w:val="nil"/>
            </w:tcBorders>
            <w:tcMar>
              <w:top w:w="0" w:type="dxa"/>
              <w:left w:w="0" w:type="dxa"/>
              <w:bottom w:w="0" w:type="dxa"/>
              <w:right w:w="0" w:type="dxa"/>
            </w:tcMar>
            <w:vAlign w:val="bottom"/>
          </w:tcPr>
          <w:p w14:paraId="275EF977"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01951D2E"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508D241C"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51AF1B11" w14:textId="77777777" w:rsidR="007C1CFF" w:rsidRDefault="007C1CFF">
            <w:pPr>
              <w:keepNext/>
            </w:pPr>
          </w:p>
        </w:tc>
      </w:tr>
      <w:tr w:rsidR="007C1CFF" w14:paraId="4A0AFD5C"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47C465A9" w14:textId="77777777" w:rsidR="007C1CFF" w:rsidRDefault="00000000">
            <w:pPr>
              <w:keepNext/>
              <w:spacing w:before="75" w:after="30"/>
            </w:pPr>
            <w:r>
              <w:rPr>
                <w:color w:val="000000"/>
                <w:sz w:val="20"/>
              </w:rPr>
              <w:t>NAREIT FFO per diluted common share</w:t>
            </w:r>
          </w:p>
        </w:tc>
        <w:tc>
          <w:tcPr>
            <w:tcW w:w="240" w:type="dxa"/>
            <w:tcBorders>
              <w:top w:val="nil"/>
              <w:left w:val="nil"/>
              <w:bottom w:val="nil"/>
              <w:right w:val="nil"/>
            </w:tcBorders>
            <w:tcMar>
              <w:top w:w="0" w:type="dxa"/>
              <w:left w:w="0" w:type="dxa"/>
              <w:bottom w:w="0" w:type="dxa"/>
              <w:right w:w="0" w:type="dxa"/>
            </w:tcMar>
            <w:vAlign w:val="bottom"/>
          </w:tcPr>
          <w:p w14:paraId="547CCF8C"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53330ED1" w14:textId="77777777" w:rsidR="007C1CFF" w:rsidRDefault="00000000">
            <w:pPr>
              <w:keepNext/>
              <w:tabs>
                <w:tab w:val="left" w:pos="1122"/>
                <w:tab w:val="left" w:pos="1537"/>
              </w:tabs>
              <w:spacing w:before="75" w:after="30"/>
              <w:jc w:val="right"/>
            </w:pPr>
            <w:r>
              <w:rPr>
                <w:color w:val="000000"/>
                <w:sz w:val="20"/>
              </w:rPr>
              <w:t>$</w:t>
            </w:r>
            <w:r>
              <w:rPr>
                <w:color w:val="000000"/>
                <w:sz w:val="20"/>
              </w:rPr>
              <w:tab/>
              <w:t>3.86</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68CC4369"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7F430B07" w14:textId="77777777" w:rsidR="007C1CFF" w:rsidRDefault="00000000">
            <w:pPr>
              <w:keepNext/>
              <w:tabs>
                <w:tab w:val="left" w:pos="1122"/>
                <w:tab w:val="left" w:pos="1537"/>
              </w:tabs>
              <w:spacing w:before="75" w:after="30"/>
              <w:jc w:val="right"/>
            </w:pPr>
            <w:r>
              <w:rPr>
                <w:color w:val="000000"/>
                <w:sz w:val="20"/>
              </w:rPr>
              <w:t>$</w:t>
            </w:r>
            <w:r>
              <w:rPr>
                <w:color w:val="000000"/>
                <w:sz w:val="20"/>
              </w:rPr>
              <w:tab/>
              <w:t>3.92</w:t>
            </w:r>
            <w:r>
              <w:rPr>
                <w:color w:val="000000"/>
                <w:sz w:val="20"/>
              </w:rPr>
              <w:tab/>
            </w:r>
          </w:p>
        </w:tc>
      </w:tr>
      <w:tr w:rsidR="007C1CFF" w14:paraId="27838E9D"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22A688F7" w14:textId="77777777" w:rsidR="007C1CFF" w:rsidRDefault="00000000">
            <w:pPr>
              <w:keepNext/>
              <w:spacing w:before="75" w:after="30"/>
            </w:pPr>
            <w:r>
              <w:rPr>
                <w:color w:val="000000"/>
                <w:sz w:val="20"/>
              </w:rPr>
              <w:t>NFFO per diluted common share</w:t>
            </w:r>
          </w:p>
        </w:tc>
        <w:tc>
          <w:tcPr>
            <w:tcW w:w="240" w:type="dxa"/>
            <w:tcBorders>
              <w:top w:val="nil"/>
              <w:left w:val="nil"/>
              <w:bottom w:val="nil"/>
              <w:right w:val="nil"/>
            </w:tcBorders>
            <w:tcMar>
              <w:top w:w="0" w:type="dxa"/>
              <w:left w:w="0" w:type="dxa"/>
              <w:bottom w:w="0" w:type="dxa"/>
              <w:right w:w="0" w:type="dxa"/>
            </w:tcMar>
            <w:vAlign w:val="bottom"/>
          </w:tcPr>
          <w:p w14:paraId="69E13DB3"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0108F14B" w14:textId="77777777" w:rsidR="007C1CFF" w:rsidRDefault="00000000">
            <w:pPr>
              <w:keepNext/>
              <w:tabs>
                <w:tab w:val="left" w:pos="1122"/>
                <w:tab w:val="left" w:pos="1537"/>
              </w:tabs>
              <w:spacing w:before="75" w:after="30"/>
              <w:jc w:val="right"/>
            </w:pPr>
            <w:r>
              <w:rPr>
                <w:color w:val="000000"/>
                <w:sz w:val="20"/>
              </w:rPr>
              <w:t>$</w:t>
            </w:r>
            <w:r>
              <w:rPr>
                <w:color w:val="000000"/>
                <w:sz w:val="20"/>
              </w:rPr>
              <w:tab/>
              <w:t>4.48</w:t>
            </w:r>
            <w:r>
              <w:rPr>
                <w:color w:val="000000"/>
                <w:sz w:val="20"/>
              </w:rPr>
              <w:tab/>
            </w:r>
          </w:p>
        </w:tc>
        <w:tc>
          <w:tcPr>
            <w:tcW w:w="225" w:type="dxa"/>
            <w:tcBorders>
              <w:top w:val="nil"/>
              <w:left w:val="nil"/>
              <w:bottom w:val="nil"/>
              <w:right w:val="nil"/>
            </w:tcBorders>
            <w:tcMar>
              <w:top w:w="0" w:type="dxa"/>
              <w:left w:w="0" w:type="dxa"/>
              <w:bottom w:w="0" w:type="dxa"/>
              <w:right w:w="0" w:type="dxa"/>
            </w:tcMar>
            <w:vAlign w:val="bottom"/>
          </w:tcPr>
          <w:p w14:paraId="4F1D87FD" w14:textId="77777777" w:rsidR="007C1CFF" w:rsidRDefault="007C1CFF">
            <w:pPr>
              <w:keepNext/>
            </w:pPr>
          </w:p>
        </w:tc>
        <w:tc>
          <w:tcPr>
            <w:tcW w:w="1605" w:type="dxa"/>
            <w:tcBorders>
              <w:top w:val="nil"/>
              <w:left w:val="nil"/>
              <w:bottom w:val="nil"/>
              <w:right w:val="nil"/>
            </w:tcBorders>
            <w:tcMar>
              <w:top w:w="0" w:type="dxa"/>
              <w:left w:w="0" w:type="dxa"/>
              <w:bottom w:w="0" w:type="dxa"/>
              <w:right w:w="15" w:type="dxa"/>
            </w:tcMar>
            <w:vAlign w:val="bottom"/>
          </w:tcPr>
          <w:p w14:paraId="3AF6C22A" w14:textId="77777777" w:rsidR="007C1CFF" w:rsidRDefault="00000000">
            <w:pPr>
              <w:keepNext/>
              <w:tabs>
                <w:tab w:val="left" w:pos="1122"/>
                <w:tab w:val="left" w:pos="1537"/>
              </w:tabs>
              <w:spacing w:before="75" w:after="30"/>
              <w:jc w:val="right"/>
            </w:pPr>
            <w:r>
              <w:rPr>
                <w:color w:val="000000"/>
                <w:sz w:val="20"/>
              </w:rPr>
              <w:t>$</w:t>
            </w:r>
            <w:r>
              <w:rPr>
                <w:color w:val="000000"/>
                <w:sz w:val="20"/>
              </w:rPr>
              <w:tab/>
              <w:t>4.53</w:t>
            </w:r>
            <w:r>
              <w:rPr>
                <w:color w:val="000000"/>
                <w:sz w:val="20"/>
              </w:rPr>
              <w:tab/>
            </w:r>
          </w:p>
        </w:tc>
      </w:tr>
      <w:tr w:rsidR="007C1CFF" w14:paraId="38AC79CD" w14:textId="77777777">
        <w:trPr>
          <w:cantSplit/>
          <w:trHeight w:hRule="exact" w:val="315"/>
        </w:trPr>
        <w:tc>
          <w:tcPr>
            <w:tcW w:w="6765" w:type="dxa"/>
            <w:tcBorders>
              <w:top w:val="nil"/>
              <w:left w:val="nil"/>
              <w:bottom w:val="nil"/>
              <w:right w:val="nil"/>
            </w:tcBorders>
            <w:tcMar>
              <w:top w:w="0" w:type="dxa"/>
              <w:left w:w="0" w:type="dxa"/>
              <w:bottom w:w="0" w:type="dxa"/>
              <w:right w:w="0" w:type="dxa"/>
            </w:tcMar>
            <w:vAlign w:val="bottom"/>
          </w:tcPr>
          <w:p w14:paraId="7D02F034" w14:textId="77777777" w:rsidR="007C1CFF" w:rsidRDefault="007C1CFF">
            <w:pPr>
              <w:keepNext/>
            </w:pPr>
          </w:p>
        </w:tc>
        <w:tc>
          <w:tcPr>
            <w:tcW w:w="240" w:type="dxa"/>
            <w:tcBorders>
              <w:top w:val="nil"/>
              <w:left w:val="nil"/>
              <w:bottom w:val="nil"/>
              <w:right w:val="nil"/>
            </w:tcBorders>
            <w:tcMar>
              <w:top w:w="0" w:type="dxa"/>
              <w:left w:w="0" w:type="dxa"/>
              <w:bottom w:w="0" w:type="dxa"/>
              <w:right w:w="0" w:type="dxa"/>
            </w:tcMar>
            <w:vAlign w:val="bottom"/>
          </w:tcPr>
          <w:p w14:paraId="74C5EC8E"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6810F28D"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6D360BDF"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4D72657E" w14:textId="77777777" w:rsidR="007C1CFF" w:rsidRDefault="007C1CFF">
            <w:pPr>
              <w:keepNext/>
            </w:pPr>
          </w:p>
        </w:tc>
      </w:tr>
      <w:tr w:rsidR="007C1CFF" w14:paraId="74BE4EE9"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4BC97DF2" w14:textId="77777777" w:rsidR="007C1CFF" w:rsidRDefault="00000000">
            <w:pPr>
              <w:keepNext/>
              <w:spacing w:before="75" w:after="30"/>
              <w:rPr>
                <w:sz w:val="20"/>
              </w:rPr>
            </w:pPr>
            <w:r>
              <w:rPr>
                <w:sz w:val="20"/>
                <w:vertAlign w:val="superscript"/>
              </w:rPr>
              <w:t>1</w:t>
            </w:r>
            <w:r>
              <w:rPr>
                <w:sz w:val="20"/>
              </w:rPr>
              <w:t xml:space="preserve">Net of amounts attributable to non-controlling interests </w:t>
            </w:r>
          </w:p>
        </w:tc>
        <w:tc>
          <w:tcPr>
            <w:tcW w:w="240" w:type="dxa"/>
            <w:tcBorders>
              <w:top w:val="nil"/>
              <w:left w:val="nil"/>
              <w:bottom w:val="nil"/>
              <w:right w:val="nil"/>
            </w:tcBorders>
            <w:tcMar>
              <w:top w:w="0" w:type="dxa"/>
              <w:left w:w="0" w:type="dxa"/>
              <w:bottom w:w="0" w:type="dxa"/>
              <w:right w:w="0" w:type="dxa"/>
            </w:tcMar>
            <w:vAlign w:val="bottom"/>
          </w:tcPr>
          <w:p w14:paraId="0BF189E7"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4C44265A"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6D8036D0"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6AC3CDE2" w14:textId="77777777" w:rsidR="007C1CFF" w:rsidRDefault="007C1CFF">
            <w:pPr>
              <w:keepNext/>
            </w:pPr>
          </w:p>
        </w:tc>
      </w:tr>
      <w:tr w:rsidR="007C1CFF" w14:paraId="4D9C3FF4" w14:textId="77777777">
        <w:trPr>
          <w:cantSplit/>
          <w:trHeight w:hRule="exact" w:val="300"/>
        </w:trPr>
        <w:tc>
          <w:tcPr>
            <w:tcW w:w="6765" w:type="dxa"/>
            <w:tcBorders>
              <w:top w:val="nil"/>
              <w:left w:val="nil"/>
              <w:bottom w:val="nil"/>
              <w:right w:val="nil"/>
            </w:tcBorders>
            <w:tcMar>
              <w:top w:w="0" w:type="dxa"/>
              <w:left w:w="53" w:type="dxa"/>
              <w:bottom w:w="0" w:type="dxa"/>
              <w:right w:w="53" w:type="dxa"/>
            </w:tcMar>
            <w:vAlign w:val="bottom"/>
          </w:tcPr>
          <w:p w14:paraId="43E62B7E" w14:textId="77777777" w:rsidR="007C1CFF" w:rsidRDefault="00000000">
            <w:pPr>
              <w:keepNext/>
              <w:spacing w:before="75" w:after="30"/>
              <w:rPr>
                <w:sz w:val="20"/>
              </w:rPr>
            </w:pPr>
            <w:r>
              <w:rPr>
                <w:sz w:val="20"/>
                <w:vertAlign w:val="superscript"/>
              </w:rPr>
              <w:t>2</w:t>
            </w:r>
            <w:r>
              <w:rPr>
                <w:sz w:val="20"/>
              </w:rPr>
              <w:t>Net loss on Holiday lease foreclosure primarily related to working capital</w:t>
            </w:r>
          </w:p>
        </w:tc>
        <w:tc>
          <w:tcPr>
            <w:tcW w:w="240" w:type="dxa"/>
            <w:tcBorders>
              <w:top w:val="nil"/>
              <w:left w:val="nil"/>
              <w:bottom w:val="nil"/>
              <w:right w:val="nil"/>
            </w:tcBorders>
            <w:tcMar>
              <w:top w:w="0" w:type="dxa"/>
              <w:left w:w="0" w:type="dxa"/>
              <w:bottom w:w="0" w:type="dxa"/>
              <w:right w:w="0" w:type="dxa"/>
            </w:tcMar>
            <w:vAlign w:val="bottom"/>
          </w:tcPr>
          <w:p w14:paraId="701F5B82"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7E068927"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5BC891FB"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38952AEB" w14:textId="77777777" w:rsidR="007C1CFF" w:rsidRDefault="007C1CFF">
            <w:pPr>
              <w:keepNext/>
            </w:pPr>
          </w:p>
        </w:tc>
      </w:tr>
      <w:tr w:rsidR="007C1CFF" w14:paraId="76EC20D2" w14:textId="77777777">
        <w:trPr>
          <w:cantSplit/>
          <w:trHeight w:hRule="exact" w:val="495"/>
        </w:trPr>
        <w:tc>
          <w:tcPr>
            <w:tcW w:w="6765" w:type="dxa"/>
            <w:tcBorders>
              <w:top w:val="nil"/>
              <w:left w:val="nil"/>
              <w:bottom w:val="nil"/>
              <w:right w:val="nil"/>
            </w:tcBorders>
            <w:tcMar>
              <w:top w:w="0" w:type="dxa"/>
              <w:left w:w="53" w:type="dxa"/>
              <w:bottom w:w="0" w:type="dxa"/>
              <w:right w:w="53" w:type="dxa"/>
            </w:tcMar>
            <w:vAlign w:val="bottom"/>
          </w:tcPr>
          <w:p w14:paraId="7E4E5186" w14:textId="77777777" w:rsidR="007C1CFF" w:rsidRDefault="00000000">
            <w:pPr>
              <w:keepNext/>
              <w:spacing w:before="75" w:after="30"/>
              <w:rPr>
                <w:sz w:val="20"/>
              </w:rPr>
            </w:pPr>
            <w:r>
              <w:rPr>
                <w:sz w:val="20"/>
                <w:vertAlign w:val="superscript"/>
              </w:rPr>
              <w:t>3</w:t>
            </w:r>
            <w:r>
              <w:rPr>
                <w:sz w:val="20"/>
              </w:rPr>
              <w:t>Includes non-cash write-off of straight-line rent receivable and lease incentives net of gain on note payoff</w:t>
            </w:r>
          </w:p>
        </w:tc>
        <w:tc>
          <w:tcPr>
            <w:tcW w:w="240" w:type="dxa"/>
            <w:tcBorders>
              <w:top w:val="nil"/>
              <w:left w:val="nil"/>
              <w:bottom w:val="nil"/>
              <w:right w:val="nil"/>
            </w:tcBorders>
            <w:tcMar>
              <w:top w:w="0" w:type="dxa"/>
              <w:left w:w="0" w:type="dxa"/>
              <w:bottom w:w="0" w:type="dxa"/>
              <w:right w:w="0" w:type="dxa"/>
            </w:tcMar>
            <w:vAlign w:val="bottom"/>
          </w:tcPr>
          <w:p w14:paraId="1D9A7260"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4922878B" w14:textId="77777777" w:rsidR="007C1CFF" w:rsidRDefault="007C1CFF">
            <w:pPr>
              <w:keepNext/>
            </w:pPr>
          </w:p>
        </w:tc>
        <w:tc>
          <w:tcPr>
            <w:tcW w:w="225" w:type="dxa"/>
            <w:tcBorders>
              <w:top w:val="nil"/>
              <w:left w:val="nil"/>
              <w:bottom w:val="nil"/>
              <w:right w:val="nil"/>
            </w:tcBorders>
            <w:tcMar>
              <w:top w:w="0" w:type="dxa"/>
              <w:left w:w="0" w:type="dxa"/>
              <w:bottom w:w="0" w:type="dxa"/>
              <w:right w:w="0" w:type="dxa"/>
            </w:tcMar>
            <w:vAlign w:val="bottom"/>
          </w:tcPr>
          <w:p w14:paraId="4CB6C1F4" w14:textId="77777777" w:rsidR="007C1CFF" w:rsidRDefault="007C1CFF">
            <w:pPr>
              <w:keepNext/>
            </w:pPr>
          </w:p>
        </w:tc>
        <w:tc>
          <w:tcPr>
            <w:tcW w:w="1605" w:type="dxa"/>
            <w:tcBorders>
              <w:top w:val="nil"/>
              <w:left w:val="nil"/>
              <w:bottom w:val="nil"/>
              <w:right w:val="nil"/>
            </w:tcBorders>
            <w:tcMar>
              <w:top w:w="0" w:type="dxa"/>
              <w:left w:w="0" w:type="dxa"/>
              <w:bottom w:w="0" w:type="dxa"/>
              <w:right w:w="0" w:type="dxa"/>
            </w:tcMar>
            <w:vAlign w:val="bottom"/>
          </w:tcPr>
          <w:p w14:paraId="1A3B7B0B" w14:textId="77777777" w:rsidR="007C1CFF" w:rsidRDefault="007C1CFF">
            <w:pPr>
              <w:keepNext/>
            </w:pPr>
          </w:p>
        </w:tc>
      </w:tr>
      <w:tr w:rsidR="007C1CFF" w14:paraId="2A97F5A2" w14:textId="77777777">
        <w:trPr>
          <w:cantSplit/>
          <w:trHeight w:hRule="exact" w:val="315"/>
        </w:trPr>
        <w:tc>
          <w:tcPr>
            <w:tcW w:w="6765" w:type="dxa"/>
            <w:tcBorders>
              <w:top w:val="nil"/>
              <w:left w:val="nil"/>
              <w:bottom w:val="nil"/>
              <w:right w:val="nil"/>
            </w:tcBorders>
            <w:tcMar>
              <w:top w:w="0" w:type="dxa"/>
              <w:left w:w="53" w:type="dxa"/>
              <w:bottom w:w="0" w:type="dxa"/>
              <w:right w:w="53" w:type="dxa"/>
            </w:tcMar>
            <w:vAlign w:val="bottom"/>
          </w:tcPr>
          <w:p w14:paraId="5BB41199" w14:textId="77777777" w:rsidR="007C1CFF" w:rsidRDefault="00000000">
            <w:pPr>
              <w:spacing w:before="75" w:after="30"/>
              <w:rPr>
                <w:sz w:val="20"/>
              </w:rPr>
            </w:pPr>
            <w:r>
              <w:rPr>
                <w:sz w:val="20"/>
                <w:vertAlign w:val="superscript"/>
              </w:rPr>
              <w:t>4</w:t>
            </w:r>
            <w:r>
              <w:rPr>
                <w:sz w:val="20"/>
              </w:rPr>
              <w:t>Includes note receivable credit loss expense and debt amortizations</w:t>
            </w:r>
          </w:p>
        </w:tc>
        <w:tc>
          <w:tcPr>
            <w:tcW w:w="240" w:type="dxa"/>
            <w:tcBorders>
              <w:top w:val="nil"/>
              <w:left w:val="nil"/>
              <w:bottom w:val="nil"/>
              <w:right w:val="nil"/>
            </w:tcBorders>
            <w:tcMar>
              <w:top w:w="0" w:type="dxa"/>
              <w:left w:w="0" w:type="dxa"/>
              <w:bottom w:w="0" w:type="dxa"/>
              <w:right w:w="0" w:type="dxa"/>
            </w:tcMar>
            <w:vAlign w:val="bottom"/>
          </w:tcPr>
          <w:p w14:paraId="2613F76C" w14:textId="77777777" w:rsidR="007C1CFF" w:rsidRDefault="007C1CFF"/>
        </w:tc>
        <w:tc>
          <w:tcPr>
            <w:tcW w:w="1605" w:type="dxa"/>
            <w:tcBorders>
              <w:top w:val="nil"/>
              <w:left w:val="nil"/>
              <w:bottom w:val="nil"/>
              <w:right w:val="nil"/>
            </w:tcBorders>
            <w:tcMar>
              <w:top w:w="0" w:type="dxa"/>
              <w:left w:w="0" w:type="dxa"/>
              <w:bottom w:w="0" w:type="dxa"/>
              <w:right w:w="0" w:type="dxa"/>
            </w:tcMar>
            <w:vAlign w:val="bottom"/>
          </w:tcPr>
          <w:p w14:paraId="67079FBB" w14:textId="77777777" w:rsidR="007C1CFF" w:rsidRDefault="007C1CFF"/>
        </w:tc>
        <w:tc>
          <w:tcPr>
            <w:tcW w:w="225" w:type="dxa"/>
            <w:tcBorders>
              <w:top w:val="nil"/>
              <w:left w:val="nil"/>
              <w:bottom w:val="nil"/>
              <w:right w:val="nil"/>
            </w:tcBorders>
            <w:tcMar>
              <w:top w:w="0" w:type="dxa"/>
              <w:left w:w="0" w:type="dxa"/>
              <w:bottom w:w="0" w:type="dxa"/>
              <w:right w:w="0" w:type="dxa"/>
            </w:tcMar>
            <w:vAlign w:val="bottom"/>
          </w:tcPr>
          <w:p w14:paraId="2A87BD4D" w14:textId="77777777" w:rsidR="007C1CFF" w:rsidRDefault="007C1CFF"/>
        </w:tc>
        <w:tc>
          <w:tcPr>
            <w:tcW w:w="1605" w:type="dxa"/>
            <w:tcBorders>
              <w:top w:val="nil"/>
              <w:left w:val="nil"/>
              <w:bottom w:val="nil"/>
              <w:right w:val="nil"/>
            </w:tcBorders>
            <w:tcMar>
              <w:top w:w="0" w:type="dxa"/>
              <w:left w:w="0" w:type="dxa"/>
              <w:bottom w:w="0" w:type="dxa"/>
              <w:right w:w="0" w:type="dxa"/>
            </w:tcMar>
            <w:vAlign w:val="bottom"/>
          </w:tcPr>
          <w:p w14:paraId="3475E9D2" w14:textId="77777777" w:rsidR="007C1CFF" w:rsidRDefault="007C1CFF"/>
        </w:tc>
      </w:tr>
    </w:tbl>
    <w:p w14:paraId="22B70140" w14:textId="77777777" w:rsidR="007C1CFF" w:rsidRDefault="007C1CFF">
      <w:pPr>
        <w:spacing w:line="288" w:lineRule="auto"/>
        <w:rPr>
          <w:sz w:val="20"/>
        </w:rPr>
      </w:pPr>
    </w:p>
    <w:p w14:paraId="61B7ACF8" w14:textId="77777777" w:rsidR="007C1CFF" w:rsidRDefault="00000000">
      <w:pPr>
        <w:spacing w:line="288" w:lineRule="auto"/>
        <w:jc w:val="both"/>
        <w:rPr>
          <w:sz w:val="20"/>
        </w:rPr>
      </w:pPr>
      <w:r>
        <w:rPr>
          <w:sz w:val="20"/>
        </w:rPr>
        <w:t>NHI’s 2022 annual guidance includes the following assumptions:</w:t>
      </w:r>
    </w:p>
    <w:p w14:paraId="5E739330" w14:textId="77777777" w:rsidR="007C1CFF" w:rsidRDefault="00000000">
      <w:pPr>
        <w:numPr>
          <w:ilvl w:val="0"/>
          <w:numId w:val="37"/>
        </w:numPr>
        <w:spacing w:line="288" w:lineRule="auto"/>
        <w:ind w:left="360"/>
        <w:jc w:val="both"/>
        <w:rPr>
          <w:sz w:val="20"/>
        </w:rPr>
      </w:pPr>
      <w:r>
        <w:rPr>
          <w:sz w:val="20"/>
        </w:rPr>
        <w:t>Continued rent concessions, asset dispositions and loan repayments throughout 2022;</w:t>
      </w:r>
    </w:p>
    <w:p w14:paraId="12E28443" w14:textId="77777777" w:rsidR="007C1CFF" w:rsidRDefault="00000000">
      <w:pPr>
        <w:numPr>
          <w:ilvl w:val="0"/>
          <w:numId w:val="38"/>
        </w:numPr>
        <w:spacing w:line="288" w:lineRule="auto"/>
        <w:ind w:left="360"/>
        <w:jc w:val="both"/>
        <w:rPr>
          <w:sz w:val="20"/>
        </w:rPr>
      </w:pPr>
      <w:r>
        <w:rPr>
          <w:sz w:val="20"/>
        </w:rPr>
        <w:t>Approximately $52.6 million in investment funding of existing commitments; and</w:t>
      </w:r>
    </w:p>
    <w:p w14:paraId="16F8C06E" w14:textId="77777777" w:rsidR="007C1CFF" w:rsidRDefault="00000000">
      <w:pPr>
        <w:numPr>
          <w:ilvl w:val="0"/>
          <w:numId w:val="39"/>
        </w:numPr>
        <w:spacing w:line="288" w:lineRule="auto"/>
        <w:ind w:left="360"/>
        <w:jc w:val="both"/>
        <w:rPr>
          <w:sz w:val="20"/>
        </w:rPr>
      </w:pPr>
      <w:r>
        <w:rPr>
          <w:sz w:val="20"/>
        </w:rPr>
        <w:t>No incremental benefit from unidentified acquisitions or repayment of outstanding deferral balances.</w:t>
      </w:r>
    </w:p>
    <w:p w14:paraId="5FFAF761" w14:textId="77777777" w:rsidR="007C1CFF" w:rsidRDefault="007C1CFF">
      <w:pPr>
        <w:spacing w:line="288" w:lineRule="auto"/>
        <w:ind w:left="-360" w:firstLine="720"/>
        <w:jc w:val="both"/>
        <w:rPr>
          <w:sz w:val="20"/>
        </w:rPr>
      </w:pPr>
    </w:p>
    <w:p w14:paraId="39F11FA7" w14:textId="77777777" w:rsidR="007C1CFF" w:rsidRDefault="00000000">
      <w:pPr>
        <w:spacing w:line="288" w:lineRule="auto"/>
        <w:jc w:val="both"/>
        <w:rPr>
          <w:sz w:val="20"/>
          <w:shd w:val="clear" w:color="auto" w:fill="BFE4FF"/>
        </w:rPr>
      </w:pPr>
      <w:r>
        <w:rPr>
          <w:sz w:val="20"/>
        </w:rPr>
        <w:t>In addition to the assumptions listed above, NHI’s guidance range is based on several other assumptions, many of which are outside the Company’s control and all of which are subject to change. The guidance range may change if actual results vary from these assumptions.</w:t>
      </w:r>
    </w:p>
    <w:p w14:paraId="72581438" w14:textId="77777777" w:rsidR="007C1CFF" w:rsidRDefault="007C1CFF">
      <w:pPr>
        <w:spacing w:line="288" w:lineRule="auto"/>
        <w:jc w:val="both"/>
        <w:rPr>
          <w:sz w:val="20"/>
        </w:rPr>
      </w:pPr>
    </w:p>
    <w:p w14:paraId="380C9E48" w14:textId="77777777" w:rsidR="007C1CFF" w:rsidRDefault="007C1CFF">
      <w:pPr>
        <w:spacing w:line="288" w:lineRule="auto"/>
        <w:jc w:val="both"/>
        <w:rPr>
          <w:b/>
          <w:sz w:val="20"/>
        </w:rPr>
      </w:pPr>
    </w:p>
    <w:p w14:paraId="57210666" w14:textId="20204E5C" w:rsidR="007C1CFF" w:rsidRDefault="007C1CFF">
      <w:pPr>
        <w:spacing w:line="288" w:lineRule="auto"/>
        <w:jc w:val="both"/>
        <w:rPr>
          <w:b/>
          <w:sz w:val="20"/>
        </w:rPr>
      </w:pPr>
    </w:p>
    <w:p w14:paraId="126AD021" w14:textId="77777777" w:rsidR="00B22693" w:rsidRDefault="00B22693">
      <w:pPr>
        <w:spacing w:line="288" w:lineRule="auto"/>
        <w:jc w:val="both"/>
        <w:rPr>
          <w:b/>
          <w:sz w:val="20"/>
        </w:rPr>
      </w:pPr>
    </w:p>
    <w:p w14:paraId="28FF5385" w14:textId="77777777" w:rsidR="007C1CFF" w:rsidRDefault="00000000">
      <w:pPr>
        <w:spacing w:line="288" w:lineRule="auto"/>
        <w:jc w:val="both"/>
        <w:rPr>
          <w:b/>
          <w:sz w:val="20"/>
        </w:rPr>
      </w:pPr>
      <w:r>
        <w:rPr>
          <w:b/>
          <w:sz w:val="20"/>
        </w:rPr>
        <w:lastRenderedPageBreak/>
        <w:t>Investor Conference Call and Webcast</w:t>
      </w:r>
    </w:p>
    <w:p w14:paraId="6633CE56" w14:textId="77777777" w:rsidR="007C1CFF" w:rsidRDefault="00000000">
      <w:pPr>
        <w:spacing w:line="288" w:lineRule="auto"/>
        <w:jc w:val="both"/>
        <w:rPr>
          <w:sz w:val="20"/>
        </w:rPr>
      </w:pPr>
      <w:r>
        <w:rPr>
          <w:sz w:val="20"/>
        </w:rPr>
        <w:t xml:space="preserve">NHI will host a conference call on Tuesday, August 9, 2022, at 12:00 p.m. ET, to discuss second quarter results. The number to call for this interactive teleconference is (800) 768-2107, with the confirmation number 22019452. The live broadcast of NHI’s second quarter conference call will be available online at </w:t>
      </w:r>
      <w:r>
        <w:rPr>
          <w:color w:val="365F91"/>
          <w:sz w:val="20"/>
          <w:u w:val="single"/>
        </w:rPr>
        <w:t>www.nhireit.com</w:t>
      </w:r>
      <w:r>
        <w:rPr>
          <w:sz w:val="20"/>
        </w:rPr>
        <w:t>. The online replay will follow shortly after the call and remain available for one year.</w:t>
      </w:r>
    </w:p>
    <w:p w14:paraId="6C7F9BD8" w14:textId="77777777" w:rsidR="007C1CFF" w:rsidRDefault="007C1CFF">
      <w:pPr>
        <w:spacing w:line="288" w:lineRule="auto"/>
        <w:jc w:val="both"/>
        <w:rPr>
          <w:sz w:val="20"/>
        </w:rPr>
      </w:pPr>
    </w:p>
    <w:p w14:paraId="768AAF2B" w14:textId="77777777" w:rsidR="007C1CFF" w:rsidRDefault="00000000">
      <w:pPr>
        <w:spacing w:line="288" w:lineRule="auto"/>
        <w:jc w:val="both"/>
        <w:rPr>
          <w:b/>
          <w:sz w:val="20"/>
        </w:rPr>
      </w:pPr>
      <w:r>
        <w:rPr>
          <w:b/>
          <w:sz w:val="20"/>
        </w:rPr>
        <w:t>About National Health Investors</w:t>
      </w:r>
      <w:r>
        <w:rPr>
          <w:sz w:val="20"/>
        </w:rPr>
        <w:t xml:space="preserve"> </w:t>
      </w:r>
    </w:p>
    <w:p w14:paraId="416EEEA5" w14:textId="77777777" w:rsidR="007C1CFF" w:rsidRDefault="00000000">
      <w:pPr>
        <w:spacing w:line="288" w:lineRule="auto"/>
        <w:jc w:val="both"/>
        <w:rPr>
          <w:sz w:val="20"/>
        </w:rPr>
      </w:pPr>
      <w:r>
        <w:rPr>
          <w:sz w:val="20"/>
        </w:rPr>
        <w:t xml:space="preserve">Incorporated in 1991, National Health Investors, Inc. (NYSE: NHI) is a real estate investment trust specializing in sale, leasebacks, joint-ventures, senior housing operating partnerships, and mortgage and mezzanine financing of need-driven and discretionary senior housing and medical investments. NHI’s portfolio consists of independent living, assisted living and memory care communities, entrance-fee retirement communities, skilled nursing facilities, and specialty hospitals. For more information, visit </w:t>
      </w:r>
      <w:r>
        <w:rPr>
          <w:color w:val="0000FF"/>
          <w:sz w:val="20"/>
          <w:u w:val="single"/>
        </w:rPr>
        <w:t>www.nhireit.com</w:t>
      </w:r>
      <w:r>
        <w:rPr>
          <w:sz w:val="20"/>
        </w:rPr>
        <w:t>.</w:t>
      </w:r>
    </w:p>
    <w:p w14:paraId="57C60AAE" w14:textId="77777777" w:rsidR="007C1CFF" w:rsidRDefault="007C1CFF">
      <w:pPr>
        <w:spacing w:line="288" w:lineRule="auto"/>
        <w:rPr>
          <w:sz w:val="20"/>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3"/>
        <w:gridCol w:w="1079"/>
        <w:gridCol w:w="126"/>
        <w:gridCol w:w="1080"/>
        <w:gridCol w:w="126"/>
        <w:gridCol w:w="1080"/>
        <w:gridCol w:w="126"/>
        <w:gridCol w:w="1080"/>
      </w:tblGrid>
      <w:tr w:rsidR="007C1CFF" w14:paraId="550FD998" w14:textId="77777777">
        <w:trPr>
          <w:cantSplit/>
          <w:trHeight w:hRule="exact" w:val="285"/>
        </w:trPr>
        <w:tc>
          <w:tcPr>
            <w:tcW w:w="10440" w:type="dxa"/>
            <w:gridSpan w:val="8"/>
            <w:tcBorders>
              <w:top w:val="nil"/>
              <w:left w:val="nil"/>
              <w:bottom w:val="nil"/>
              <w:right w:val="nil"/>
            </w:tcBorders>
            <w:tcMar>
              <w:top w:w="0" w:type="dxa"/>
              <w:left w:w="53" w:type="dxa"/>
              <w:bottom w:w="0" w:type="dxa"/>
              <w:right w:w="53" w:type="dxa"/>
            </w:tcMar>
            <w:vAlign w:val="bottom"/>
          </w:tcPr>
          <w:p w14:paraId="63948DC6" w14:textId="77777777" w:rsidR="007C1CFF" w:rsidRDefault="00000000">
            <w:pPr>
              <w:keepNext/>
              <w:spacing w:before="75" w:after="30"/>
            </w:pPr>
            <w:r>
              <w:rPr>
                <w:b/>
                <w:color w:val="000000"/>
                <w:sz w:val="19"/>
              </w:rPr>
              <w:lastRenderedPageBreak/>
              <w:t>Reconciliation of FFO, Normalized FFO and Normalized FAD</w:t>
            </w:r>
          </w:p>
        </w:tc>
      </w:tr>
      <w:tr w:rsidR="007C1CFF" w14:paraId="58B024CE"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5C1B6EF0" w14:textId="77777777" w:rsidR="007C1CFF" w:rsidRDefault="00000000">
            <w:pPr>
              <w:keepNext/>
              <w:spacing w:before="75" w:after="30"/>
            </w:pPr>
            <w:r>
              <w:rPr>
                <w:i/>
                <w:color w:val="000000"/>
                <w:sz w:val="19"/>
              </w:rPr>
              <w:t>($ in thousands, except share and per share amounts)</w:t>
            </w:r>
          </w:p>
        </w:tc>
        <w:tc>
          <w:tcPr>
            <w:tcW w:w="1095" w:type="dxa"/>
            <w:tcBorders>
              <w:top w:val="nil"/>
              <w:left w:val="nil"/>
              <w:bottom w:val="nil"/>
              <w:right w:val="nil"/>
            </w:tcBorders>
            <w:tcMar>
              <w:top w:w="0" w:type="dxa"/>
              <w:left w:w="0" w:type="dxa"/>
              <w:bottom w:w="0" w:type="dxa"/>
              <w:right w:w="0" w:type="dxa"/>
            </w:tcMar>
            <w:vAlign w:val="bottom"/>
          </w:tcPr>
          <w:p w14:paraId="237BDB69"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619D0609"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5FFD7EA1"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1AEFCDE4"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7CBA70C7"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1785710A"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754E5217" w14:textId="77777777" w:rsidR="007C1CFF" w:rsidRDefault="007C1CFF">
            <w:pPr>
              <w:keepNext/>
            </w:pPr>
          </w:p>
        </w:tc>
      </w:tr>
      <w:tr w:rsidR="007C1CFF" w14:paraId="205CBE13" w14:textId="77777777">
        <w:trPr>
          <w:cantSplit/>
          <w:trHeight w:hRule="exact" w:val="285"/>
        </w:trPr>
        <w:tc>
          <w:tcPr>
            <w:tcW w:w="5835" w:type="dxa"/>
            <w:tcBorders>
              <w:top w:val="nil"/>
              <w:left w:val="nil"/>
              <w:bottom w:val="nil"/>
              <w:right w:val="nil"/>
            </w:tcBorders>
            <w:tcMar>
              <w:top w:w="0" w:type="dxa"/>
              <w:left w:w="0" w:type="dxa"/>
              <w:bottom w:w="0" w:type="dxa"/>
              <w:right w:w="0" w:type="dxa"/>
            </w:tcMar>
            <w:vAlign w:val="bottom"/>
          </w:tcPr>
          <w:p w14:paraId="7880D4C4" w14:textId="77777777" w:rsidR="007C1CFF" w:rsidRDefault="007C1CFF">
            <w:pPr>
              <w:keepNext/>
            </w:pPr>
          </w:p>
        </w:tc>
        <w:tc>
          <w:tcPr>
            <w:tcW w:w="2265" w:type="dxa"/>
            <w:gridSpan w:val="3"/>
            <w:tcBorders>
              <w:top w:val="nil"/>
              <w:left w:val="nil"/>
              <w:bottom w:val="nil"/>
              <w:right w:val="nil"/>
            </w:tcBorders>
            <w:tcMar>
              <w:top w:w="0" w:type="dxa"/>
              <w:left w:w="53" w:type="dxa"/>
              <w:bottom w:w="0" w:type="dxa"/>
              <w:right w:w="53" w:type="dxa"/>
            </w:tcMar>
            <w:vAlign w:val="bottom"/>
          </w:tcPr>
          <w:p w14:paraId="016F4C8E" w14:textId="77777777" w:rsidR="007C1CFF" w:rsidRDefault="00000000">
            <w:pPr>
              <w:keepNext/>
              <w:spacing w:before="75" w:after="30"/>
              <w:jc w:val="center"/>
            </w:pPr>
            <w:r>
              <w:rPr>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14:paraId="25D8A60D" w14:textId="77777777" w:rsidR="007C1CFF" w:rsidRDefault="007C1CFF">
            <w:pPr>
              <w:keepNext/>
            </w:pPr>
          </w:p>
        </w:tc>
        <w:tc>
          <w:tcPr>
            <w:tcW w:w="2265" w:type="dxa"/>
            <w:gridSpan w:val="3"/>
            <w:tcBorders>
              <w:top w:val="nil"/>
              <w:left w:val="nil"/>
              <w:bottom w:val="nil"/>
              <w:right w:val="nil"/>
            </w:tcBorders>
            <w:tcMar>
              <w:top w:w="0" w:type="dxa"/>
              <w:left w:w="53" w:type="dxa"/>
              <w:bottom w:w="0" w:type="dxa"/>
              <w:right w:w="53" w:type="dxa"/>
            </w:tcMar>
            <w:vAlign w:val="bottom"/>
          </w:tcPr>
          <w:p w14:paraId="0366F8A0" w14:textId="77777777" w:rsidR="007C1CFF" w:rsidRDefault="00000000">
            <w:pPr>
              <w:keepNext/>
              <w:spacing w:before="75" w:after="30"/>
              <w:jc w:val="center"/>
            </w:pPr>
            <w:r>
              <w:rPr>
                <w:color w:val="000000"/>
                <w:sz w:val="20"/>
              </w:rPr>
              <w:t>Six Months Ended</w:t>
            </w:r>
          </w:p>
        </w:tc>
      </w:tr>
      <w:tr w:rsidR="007C1CFF" w14:paraId="70E148B1" w14:textId="77777777">
        <w:trPr>
          <w:cantSplit/>
          <w:trHeight w:hRule="exact" w:val="285"/>
        </w:trPr>
        <w:tc>
          <w:tcPr>
            <w:tcW w:w="5835" w:type="dxa"/>
            <w:tcBorders>
              <w:top w:val="nil"/>
              <w:left w:val="nil"/>
              <w:bottom w:val="nil"/>
              <w:right w:val="nil"/>
            </w:tcBorders>
            <w:tcMar>
              <w:top w:w="0" w:type="dxa"/>
              <w:left w:w="0" w:type="dxa"/>
              <w:bottom w:w="0" w:type="dxa"/>
              <w:right w:w="0" w:type="dxa"/>
            </w:tcMar>
            <w:vAlign w:val="bottom"/>
          </w:tcPr>
          <w:p w14:paraId="20F4939E" w14:textId="77777777" w:rsidR="007C1CFF" w:rsidRDefault="007C1CFF">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61CFD2C6" w14:textId="77777777" w:rsidR="007C1CFF" w:rsidRDefault="00000000">
            <w:pPr>
              <w:keepNext/>
              <w:spacing w:before="75" w:after="30"/>
              <w:jc w:val="center"/>
            </w:pPr>
            <w:r>
              <w:rPr>
                <w:color w:val="000000"/>
                <w:sz w:val="20"/>
              </w:rPr>
              <w:t>June 30,</w:t>
            </w:r>
          </w:p>
        </w:tc>
        <w:tc>
          <w:tcPr>
            <w:tcW w:w="75" w:type="dxa"/>
            <w:tcBorders>
              <w:top w:val="nil"/>
              <w:left w:val="nil"/>
              <w:bottom w:val="nil"/>
              <w:right w:val="nil"/>
            </w:tcBorders>
            <w:tcMar>
              <w:top w:w="0" w:type="dxa"/>
              <w:left w:w="0" w:type="dxa"/>
              <w:bottom w:w="0" w:type="dxa"/>
              <w:right w:w="0" w:type="dxa"/>
            </w:tcMar>
            <w:vAlign w:val="bottom"/>
          </w:tcPr>
          <w:p w14:paraId="7CD5EB3A" w14:textId="77777777" w:rsidR="007C1CFF" w:rsidRDefault="007C1CFF">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35AE0ACE" w14:textId="77777777" w:rsidR="007C1CFF" w:rsidRDefault="00000000">
            <w:pPr>
              <w:keepNext/>
              <w:spacing w:before="75" w:after="30"/>
              <w:jc w:val="center"/>
            </w:pPr>
            <w:r>
              <w:rPr>
                <w:color w:val="000000"/>
                <w:sz w:val="20"/>
              </w:rPr>
              <w:t>June 30,</w:t>
            </w:r>
          </w:p>
        </w:tc>
      </w:tr>
      <w:tr w:rsidR="007C1CFF" w14:paraId="15A22131" w14:textId="77777777">
        <w:trPr>
          <w:cantSplit/>
          <w:trHeight w:hRule="exact" w:val="285"/>
        </w:trPr>
        <w:tc>
          <w:tcPr>
            <w:tcW w:w="5835" w:type="dxa"/>
            <w:tcBorders>
              <w:top w:val="nil"/>
              <w:left w:val="nil"/>
              <w:bottom w:val="nil"/>
              <w:right w:val="nil"/>
            </w:tcBorders>
            <w:tcMar>
              <w:top w:w="0" w:type="dxa"/>
              <w:left w:w="0" w:type="dxa"/>
              <w:bottom w:w="0" w:type="dxa"/>
              <w:right w:w="0" w:type="dxa"/>
            </w:tcMar>
            <w:vAlign w:val="bottom"/>
          </w:tcPr>
          <w:p w14:paraId="0DAE8F90" w14:textId="77777777" w:rsidR="007C1CFF" w:rsidRDefault="007C1CFF">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7CC63218" w14:textId="77777777" w:rsidR="007C1CFF" w:rsidRDefault="00000000">
            <w:pPr>
              <w:keepNext/>
              <w:spacing w:before="55" w:after="30"/>
              <w:jc w:val="center"/>
            </w:pPr>
            <w:r>
              <w:rPr>
                <w:color w:val="000000"/>
                <w:sz w:val="20"/>
              </w:rPr>
              <w:t>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A7CB80E" w14:textId="77777777" w:rsidR="007C1CFF" w:rsidRDefault="007C1CFF">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DADDC4E" w14:textId="77777777" w:rsidR="007C1CFF" w:rsidRDefault="00000000">
            <w:pPr>
              <w:keepNext/>
              <w:spacing w:before="55" w:after="30"/>
              <w:jc w:val="center"/>
            </w:pPr>
            <w:r>
              <w:rPr>
                <w:color w:val="000000"/>
                <w:sz w:val="20"/>
              </w:rPr>
              <w:t>2021</w:t>
            </w:r>
          </w:p>
        </w:tc>
        <w:tc>
          <w:tcPr>
            <w:tcW w:w="75" w:type="dxa"/>
            <w:tcBorders>
              <w:top w:val="nil"/>
              <w:left w:val="nil"/>
              <w:bottom w:val="nil"/>
              <w:right w:val="nil"/>
            </w:tcBorders>
            <w:tcMar>
              <w:top w:w="0" w:type="dxa"/>
              <w:left w:w="0" w:type="dxa"/>
              <w:bottom w:w="0" w:type="dxa"/>
              <w:right w:w="0" w:type="dxa"/>
            </w:tcMar>
            <w:vAlign w:val="bottom"/>
          </w:tcPr>
          <w:p w14:paraId="11E999C5" w14:textId="77777777" w:rsidR="007C1CFF" w:rsidRDefault="007C1CFF">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49BCD0BD" w14:textId="77777777" w:rsidR="007C1CFF" w:rsidRDefault="00000000">
            <w:pPr>
              <w:keepNext/>
              <w:spacing w:before="55" w:after="30"/>
              <w:jc w:val="center"/>
            </w:pPr>
            <w:r>
              <w:rPr>
                <w:color w:val="000000"/>
                <w:sz w:val="20"/>
              </w:rPr>
              <w:t>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BA0C903" w14:textId="77777777" w:rsidR="007C1CFF" w:rsidRDefault="007C1CFF">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24C5694" w14:textId="77777777" w:rsidR="007C1CFF" w:rsidRDefault="00000000">
            <w:pPr>
              <w:keepNext/>
              <w:spacing w:before="55" w:after="30"/>
              <w:jc w:val="center"/>
            </w:pPr>
            <w:r>
              <w:rPr>
                <w:color w:val="000000"/>
                <w:sz w:val="20"/>
              </w:rPr>
              <w:t>2021</w:t>
            </w:r>
          </w:p>
        </w:tc>
      </w:tr>
      <w:tr w:rsidR="007C1CFF" w14:paraId="39512A50"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07E01BD6" w14:textId="77777777" w:rsidR="007C1CFF" w:rsidRDefault="00000000">
            <w:pPr>
              <w:keepNext/>
              <w:spacing w:before="55" w:after="30"/>
            </w:pPr>
            <w:r>
              <w:rPr>
                <w:color w:val="000000"/>
                <w:sz w:val="20"/>
              </w:rPr>
              <w:t>Net income attributable to common stockholders</w:t>
            </w:r>
          </w:p>
        </w:tc>
        <w:tc>
          <w:tcPr>
            <w:tcW w:w="1095" w:type="dxa"/>
            <w:tcBorders>
              <w:top w:val="single" w:sz="8" w:space="0" w:color="000000"/>
              <w:left w:val="nil"/>
              <w:bottom w:val="nil"/>
              <w:right w:val="nil"/>
            </w:tcBorders>
            <w:tcMar>
              <w:top w:w="0" w:type="dxa"/>
              <w:left w:w="0" w:type="dxa"/>
              <w:bottom w:w="0" w:type="dxa"/>
              <w:right w:w="15" w:type="dxa"/>
            </w:tcMar>
            <w:vAlign w:val="bottom"/>
          </w:tcPr>
          <w:p w14:paraId="3B989BB6" w14:textId="77777777" w:rsidR="007C1CFF" w:rsidRDefault="00000000">
            <w:pPr>
              <w:keepNext/>
              <w:tabs>
                <w:tab w:val="left" w:pos="412"/>
                <w:tab w:val="left" w:pos="1027"/>
              </w:tabs>
              <w:spacing w:before="55" w:after="30"/>
              <w:jc w:val="right"/>
            </w:pPr>
            <w:r>
              <w:rPr>
                <w:color w:val="000000"/>
                <w:sz w:val="20"/>
              </w:rPr>
              <w:t>$</w:t>
            </w:r>
            <w:r>
              <w:rPr>
                <w:color w:val="000000"/>
                <w:sz w:val="20"/>
              </w:rPr>
              <w:tab/>
              <w:t>21,673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89A6D15"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0757A1EA" w14:textId="77777777" w:rsidR="007C1CFF" w:rsidRDefault="00000000">
            <w:pPr>
              <w:keepNext/>
              <w:tabs>
                <w:tab w:val="left" w:pos="412"/>
                <w:tab w:val="left" w:pos="1027"/>
              </w:tabs>
              <w:spacing w:before="55" w:after="30"/>
              <w:jc w:val="right"/>
            </w:pPr>
            <w:r>
              <w:rPr>
                <w:color w:val="000000"/>
                <w:sz w:val="20"/>
              </w:rPr>
              <w:t>$</w:t>
            </w:r>
            <w:r>
              <w:rPr>
                <w:color w:val="000000"/>
                <w:sz w:val="20"/>
              </w:rPr>
              <w:tab/>
              <w:t>39,183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7EB34F8"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255BF951" w14:textId="77777777" w:rsidR="007C1CFF" w:rsidRDefault="00000000">
            <w:pPr>
              <w:keepNext/>
              <w:tabs>
                <w:tab w:val="left" w:pos="412"/>
                <w:tab w:val="left" w:pos="1027"/>
              </w:tabs>
              <w:spacing w:before="55" w:after="30"/>
              <w:jc w:val="right"/>
            </w:pPr>
            <w:r>
              <w:rPr>
                <w:color w:val="000000"/>
                <w:sz w:val="20"/>
              </w:rPr>
              <w:t>$</w:t>
            </w:r>
            <w:r>
              <w:rPr>
                <w:color w:val="000000"/>
                <w:sz w:val="20"/>
              </w:rPr>
              <w:tab/>
              <w:t>30,073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4786F7E"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2B5A1129" w14:textId="77777777" w:rsidR="007C1CFF" w:rsidRDefault="00000000">
            <w:pPr>
              <w:keepNext/>
              <w:tabs>
                <w:tab w:val="left" w:pos="412"/>
                <w:tab w:val="left" w:pos="1027"/>
              </w:tabs>
              <w:spacing w:before="55" w:after="30"/>
              <w:jc w:val="right"/>
            </w:pPr>
            <w:r>
              <w:rPr>
                <w:color w:val="000000"/>
                <w:sz w:val="20"/>
              </w:rPr>
              <w:t>$</w:t>
            </w:r>
            <w:r>
              <w:rPr>
                <w:color w:val="000000"/>
                <w:sz w:val="20"/>
              </w:rPr>
              <w:tab/>
              <w:t>74,513</w:t>
            </w:r>
            <w:r>
              <w:rPr>
                <w:color w:val="000000"/>
                <w:sz w:val="20"/>
              </w:rPr>
              <w:tab/>
            </w:r>
          </w:p>
        </w:tc>
      </w:tr>
      <w:tr w:rsidR="007C1CFF" w14:paraId="1D74256C"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79D0FF6C" w14:textId="77777777" w:rsidR="007C1CFF" w:rsidRDefault="00000000">
            <w:pPr>
              <w:keepNext/>
              <w:spacing w:before="75" w:after="30"/>
            </w:pPr>
            <w:r>
              <w:rPr>
                <w:color w:val="000000"/>
                <w:sz w:val="20"/>
              </w:rPr>
              <w:t xml:space="preserve">Elimination of certain non-cash items in net income: </w:t>
            </w:r>
          </w:p>
        </w:tc>
        <w:tc>
          <w:tcPr>
            <w:tcW w:w="1095" w:type="dxa"/>
            <w:tcBorders>
              <w:top w:val="nil"/>
              <w:left w:val="nil"/>
              <w:bottom w:val="nil"/>
              <w:right w:val="nil"/>
            </w:tcBorders>
            <w:tcMar>
              <w:top w:w="0" w:type="dxa"/>
              <w:left w:w="0" w:type="dxa"/>
              <w:bottom w:w="0" w:type="dxa"/>
              <w:right w:w="0" w:type="dxa"/>
            </w:tcMar>
            <w:vAlign w:val="bottom"/>
          </w:tcPr>
          <w:p w14:paraId="61E3D38F"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7C380291"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0BC76AEB"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7C5D5EC2"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25092AD2"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6BBC74F5"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37DFBD76" w14:textId="77777777" w:rsidR="007C1CFF" w:rsidRDefault="007C1CFF">
            <w:pPr>
              <w:keepNext/>
            </w:pPr>
          </w:p>
        </w:tc>
      </w:tr>
      <w:tr w:rsidR="007C1CFF" w14:paraId="4C161416"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0BCC53A4" w14:textId="77777777" w:rsidR="007C1CFF" w:rsidRDefault="00000000">
            <w:pPr>
              <w:keepNext/>
              <w:spacing w:before="75" w:after="30"/>
              <w:ind w:left="135"/>
            </w:pPr>
            <w:r>
              <w:rPr>
                <w:color w:val="000000"/>
                <w:sz w:val="20"/>
              </w:rPr>
              <w:t>Depreciation</w:t>
            </w:r>
          </w:p>
        </w:tc>
        <w:tc>
          <w:tcPr>
            <w:tcW w:w="1095" w:type="dxa"/>
            <w:tcBorders>
              <w:top w:val="nil"/>
              <w:left w:val="nil"/>
              <w:bottom w:val="nil"/>
              <w:right w:val="nil"/>
            </w:tcBorders>
            <w:tcMar>
              <w:top w:w="0" w:type="dxa"/>
              <w:left w:w="0" w:type="dxa"/>
              <w:bottom w:w="0" w:type="dxa"/>
              <w:right w:w="15" w:type="dxa"/>
            </w:tcMar>
            <w:vAlign w:val="bottom"/>
          </w:tcPr>
          <w:p w14:paraId="38B15EEB" w14:textId="77777777" w:rsidR="007C1CFF" w:rsidRDefault="00000000">
            <w:pPr>
              <w:keepNext/>
              <w:tabs>
                <w:tab w:val="left" w:pos="412"/>
                <w:tab w:val="left" w:pos="1027"/>
              </w:tabs>
              <w:spacing w:before="75" w:after="30"/>
              <w:jc w:val="right"/>
            </w:pPr>
            <w:r>
              <w:rPr>
                <w:color w:val="000000"/>
                <w:sz w:val="20"/>
              </w:rPr>
              <w:tab/>
              <w:t>17,772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7933AE3"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646BDF4" w14:textId="77777777" w:rsidR="007C1CFF" w:rsidRDefault="00000000">
            <w:pPr>
              <w:keepNext/>
              <w:tabs>
                <w:tab w:val="left" w:pos="412"/>
                <w:tab w:val="left" w:pos="1027"/>
              </w:tabs>
              <w:spacing w:before="75" w:after="30"/>
              <w:jc w:val="right"/>
            </w:pPr>
            <w:r>
              <w:rPr>
                <w:color w:val="000000"/>
                <w:sz w:val="20"/>
              </w:rPr>
              <w:tab/>
              <w:t>20,658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2F208EA"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A4CD998" w14:textId="77777777" w:rsidR="007C1CFF" w:rsidRDefault="00000000">
            <w:pPr>
              <w:keepNext/>
              <w:tabs>
                <w:tab w:val="left" w:pos="412"/>
                <w:tab w:val="left" w:pos="1027"/>
              </w:tabs>
              <w:spacing w:before="75" w:after="30"/>
              <w:jc w:val="right"/>
            </w:pPr>
            <w:r>
              <w:rPr>
                <w:color w:val="000000"/>
                <w:sz w:val="20"/>
              </w:rPr>
              <w:tab/>
              <w:t>36,044</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14454DD"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578886A" w14:textId="77777777" w:rsidR="007C1CFF" w:rsidRDefault="00000000">
            <w:pPr>
              <w:keepNext/>
              <w:tabs>
                <w:tab w:val="left" w:pos="412"/>
                <w:tab w:val="left" w:pos="1027"/>
              </w:tabs>
              <w:spacing w:before="75" w:after="30"/>
              <w:jc w:val="right"/>
            </w:pPr>
            <w:r>
              <w:rPr>
                <w:color w:val="000000"/>
                <w:sz w:val="20"/>
              </w:rPr>
              <w:tab/>
              <w:t>41,464</w:t>
            </w:r>
            <w:r>
              <w:rPr>
                <w:color w:val="000000"/>
                <w:sz w:val="20"/>
              </w:rPr>
              <w:tab/>
            </w:r>
          </w:p>
        </w:tc>
      </w:tr>
      <w:tr w:rsidR="007C1CFF" w14:paraId="22941B7D"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060D7812" w14:textId="77777777" w:rsidR="007C1CFF" w:rsidRDefault="00000000">
            <w:pPr>
              <w:keepNext/>
              <w:spacing w:before="75" w:after="30"/>
              <w:ind w:left="135"/>
            </w:pPr>
            <w:r>
              <w:rPr>
                <w:color w:val="000000"/>
                <w:sz w:val="20"/>
              </w:rPr>
              <w:t>Depreciation related to noncontrolling interests</w:t>
            </w:r>
          </w:p>
        </w:tc>
        <w:tc>
          <w:tcPr>
            <w:tcW w:w="1095" w:type="dxa"/>
            <w:tcBorders>
              <w:top w:val="nil"/>
              <w:left w:val="nil"/>
              <w:bottom w:val="nil"/>
              <w:right w:val="nil"/>
            </w:tcBorders>
            <w:tcMar>
              <w:top w:w="0" w:type="dxa"/>
              <w:left w:w="0" w:type="dxa"/>
              <w:bottom w:w="0" w:type="dxa"/>
              <w:right w:w="15" w:type="dxa"/>
            </w:tcMar>
            <w:vAlign w:val="bottom"/>
          </w:tcPr>
          <w:p w14:paraId="4DC4097A" w14:textId="77777777" w:rsidR="007C1CFF" w:rsidRDefault="00000000">
            <w:pPr>
              <w:keepNext/>
              <w:tabs>
                <w:tab w:val="left" w:pos="596"/>
              </w:tabs>
              <w:spacing w:before="75" w:after="30"/>
              <w:jc w:val="right"/>
            </w:pPr>
            <w:r>
              <w:rPr>
                <w:color w:val="000000"/>
                <w:sz w:val="20"/>
              </w:rPr>
              <w:tab/>
              <w:t>(388)</w:t>
            </w:r>
          </w:p>
        </w:tc>
        <w:tc>
          <w:tcPr>
            <w:tcW w:w="75" w:type="dxa"/>
            <w:tcBorders>
              <w:top w:val="nil"/>
              <w:left w:val="nil"/>
              <w:bottom w:val="nil"/>
              <w:right w:val="nil"/>
            </w:tcBorders>
            <w:tcMar>
              <w:top w:w="0" w:type="dxa"/>
              <w:left w:w="0" w:type="dxa"/>
              <w:bottom w:w="0" w:type="dxa"/>
              <w:right w:w="0" w:type="dxa"/>
            </w:tcMar>
            <w:vAlign w:val="bottom"/>
          </w:tcPr>
          <w:p w14:paraId="74AC7D56"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8513B4A" w14:textId="77777777" w:rsidR="007C1CFF" w:rsidRDefault="00000000">
            <w:pPr>
              <w:keepNext/>
              <w:tabs>
                <w:tab w:val="left" w:pos="596"/>
              </w:tabs>
              <w:spacing w:before="75" w:after="30"/>
              <w:jc w:val="right"/>
            </w:pPr>
            <w:r>
              <w:rPr>
                <w:color w:val="000000"/>
                <w:sz w:val="20"/>
              </w:rPr>
              <w:tab/>
              <w:t>(210)</w:t>
            </w:r>
          </w:p>
        </w:tc>
        <w:tc>
          <w:tcPr>
            <w:tcW w:w="75" w:type="dxa"/>
            <w:tcBorders>
              <w:top w:val="nil"/>
              <w:left w:val="nil"/>
              <w:bottom w:val="nil"/>
              <w:right w:val="nil"/>
            </w:tcBorders>
            <w:tcMar>
              <w:top w:w="0" w:type="dxa"/>
              <w:left w:w="0" w:type="dxa"/>
              <w:bottom w:w="0" w:type="dxa"/>
              <w:right w:w="0" w:type="dxa"/>
            </w:tcMar>
            <w:vAlign w:val="bottom"/>
          </w:tcPr>
          <w:p w14:paraId="7F5C40D9"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130C32A" w14:textId="77777777" w:rsidR="007C1CFF" w:rsidRDefault="00000000">
            <w:pPr>
              <w:keepNext/>
              <w:tabs>
                <w:tab w:val="left" w:pos="596"/>
              </w:tabs>
              <w:spacing w:before="75" w:after="30"/>
              <w:jc w:val="right"/>
            </w:pPr>
            <w:r>
              <w:rPr>
                <w:color w:val="000000"/>
                <w:sz w:val="20"/>
              </w:rPr>
              <w:tab/>
              <w:t>(598)</w:t>
            </w:r>
          </w:p>
        </w:tc>
        <w:tc>
          <w:tcPr>
            <w:tcW w:w="75" w:type="dxa"/>
            <w:tcBorders>
              <w:top w:val="nil"/>
              <w:left w:val="nil"/>
              <w:bottom w:val="nil"/>
              <w:right w:val="nil"/>
            </w:tcBorders>
            <w:tcMar>
              <w:top w:w="0" w:type="dxa"/>
              <w:left w:w="0" w:type="dxa"/>
              <w:bottom w:w="0" w:type="dxa"/>
              <w:right w:w="0" w:type="dxa"/>
            </w:tcMar>
            <w:vAlign w:val="bottom"/>
          </w:tcPr>
          <w:p w14:paraId="16BBDF54"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0734E6A" w14:textId="77777777" w:rsidR="007C1CFF" w:rsidRDefault="00000000">
            <w:pPr>
              <w:keepNext/>
              <w:tabs>
                <w:tab w:val="left" w:pos="596"/>
              </w:tabs>
              <w:spacing w:before="75" w:after="30"/>
              <w:jc w:val="right"/>
            </w:pPr>
            <w:r>
              <w:rPr>
                <w:color w:val="000000"/>
                <w:sz w:val="20"/>
              </w:rPr>
              <w:tab/>
              <w:t>(420)</w:t>
            </w:r>
          </w:p>
        </w:tc>
      </w:tr>
      <w:tr w:rsidR="007C1CFF" w14:paraId="6FA853DF"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26EF623A" w14:textId="77777777" w:rsidR="007C1CFF" w:rsidRDefault="00000000">
            <w:pPr>
              <w:keepNext/>
              <w:spacing w:before="75" w:after="30"/>
              <w:ind w:left="135"/>
            </w:pPr>
            <w:r>
              <w:rPr>
                <w:color w:val="000000"/>
                <w:sz w:val="20"/>
              </w:rPr>
              <w:t>Gains on sales of real estate, net</w:t>
            </w:r>
          </w:p>
        </w:tc>
        <w:tc>
          <w:tcPr>
            <w:tcW w:w="1095" w:type="dxa"/>
            <w:tcBorders>
              <w:top w:val="nil"/>
              <w:left w:val="nil"/>
              <w:bottom w:val="nil"/>
              <w:right w:val="nil"/>
            </w:tcBorders>
            <w:tcMar>
              <w:top w:w="0" w:type="dxa"/>
              <w:left w:w="0" w:type="dxa"/>
              <w:bottom w:w="0" w:type="dxa"/>
              <w:right w:w="15" w:type="dxa"/>
            </w:tcMar>
            <w:vAlign w:val="bottom"/>
          </w:tcPr>
          <w:p w14:paraId="4898206A" w14:textId="77777777" w:rsidR="007C1CFF" w:rsidRDefault="00000000">
            <w:pPr>
              <w:keepNext/>
              <w:tabs>
                <w:tab w:val="left" w:pos="346"/>
              </w:tabs>
              <w:spacing w:before="75" w:after="30"/>
              <w:jc w:val="right"/>
            </w:pPr>
            <w:r>
              <w:rPr>
                <w:color w:val="000000"/>
                <w:sz w:val="20"/>
              </w:rPr>
              <w:tab/>
              <w:t>(10,521)</w:t>
            </w:r>
          </w:p>
        </w:tc>
        <w:tc>
          <w:tcPr>
            <w:tcW w:w="75" w:type="dxa"/>
            <w:tcBorders>
              <w:top w:val="nil"/>
              <w:left w:val="nil"/>
              <w:bottom w:val="nil"/>
              <w:right w:val="nil"/>
            </w:tcBorders>
            <w:tcMar>
              <w:top w:w="0" w:type="dxa"/>
              <w:left w:w="0" w:type="dxa"/>
              <w:bottom w:w="0" w:type="dxa"/>
              <w:right w:w="0" w:type="dxa"/>
            </w:tcMar>
            <w:vAlign w:val="bottom"/>
          </w:tcPr>
          <w:p w14:paraId="0F205814"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6DFBB60" w14:textId="77777777" w:rsidR="007C1CFF" w:rsidRDefault="00000000">
            <w:pPr>
              <w:keepNext/>
              <w:tabs>
                <w:tab w:val="left" w:pos="446"/>
              </w:tabs>
              <w:spacing w:before="75" w:after="30"/>
              <w:jc w:val="right"/>
            </w:pPr>
            <w:r>
              <w:rPr>
                <w:color w:val="000000"/>
                <w:sz w:val="20"/>
              </w:rPr>
              <w:tab/>
              <w:t>(6,484)</w:t>
            </w:r>
          </w:p>
        </w:tc>
        <w:tc>
          <w:tcPr>
            <w:tcW w:w="75" w:type="dxa"/>
            <w:tcBorders>
              <w:top w:val="nil"/>
              <w:left w:val="nil"/>
              <w:bottom w:val="nil"/>
              <w:right w:val="nil"/>
            </w:tcBorders>
            <w:tcMar>
              <w:top w:w="0" w:type="dxa"/>
              <w:left w:w="0" w:type="dxa"/>
              <w:bottom w:w="0" w:type="dxa"/>
              <w:right w:w="0" w:type="dxa"/>
            </w:tcMar>
            <w:vAlign w:val="bottom"/>
          </w:tcPr>
          <w:p w14:paraId="30242FFC"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751B5C7" w14:textId="77777777" w:rsidR="007C1CFF" w:rsidRDefault="00000000">
            <w:pPr>
              <w:keepNext/>
              <w:tabs>
                <w:tab w:val="left" w:pos="346"/>
              </w:tabs>
              <w:spacing w:before="75" w:after="30"/>
              <w:jc w:val="right"/>
            </w:pPr>
            <w:r>
              <w:rPr>
                <w:color w:val="000000"/>
                <w:sz w:val="20"/>
              </w:rPr>
              <w:tab/>
              <w:t>(13,502)</w:t>
            </w:r>
          </w:p>
        </w:tc>
        <w:tc>
          <w:tcPr>
            <w:tcW w:w="75" w:type="dxa"/>
            <w:tcBorders>
              <w:top w:val="nil"/>
              <w:left w:val="nil"/>
              <w:bottom w:val="nil"/>
              <w:right w:val="nil"/>
            </w:tcBorders>
            <w:tcMar>
              <w:top w:w="0" w:type="dxa"/>
              <w:left w:w="0" w:type="dxa"/>
              <w:bottom w:w="0" w:type="dxa"/>
              <w:right w:w="0" w:type="dxa"/>
            </w:tcMar>
            <w:vAlign w:val="bottom"/>
          </w:tcPr>
          <w:p w14:paraId="14B78E54"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0DBE9E1" w14:textId="77777777" w:rsidR="007C1CFF" w:rsidRDefault="00000000">
            <w:pPr>
              <w:keepNext/>
              <w:tabs>
                <w:tab w:val="left" w:pos="446"/>
              </w:tabs>
              <w:spacing w:before="75" w:after="30"/>
              <w:jc w:val="right"/>
            </w:pPr>
            <w:r>
              <w:rPr>
                <w:color w:val="000000"/>
                <w:sz w:val="20"/>
              </w:rPr>
              <w:tab/>
              <w:t>(6,484)</w:t>
            </w:r>
          </w:p>
        </w:tc>
      </w:tr>
      <w:tr w:rsidR="007C1CFF" w14:paraId="7E025400"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27A68ADF" w14:textId="77777777" w:rsidR="007C1CFF" w:rsidRDefault="00000000">
            <w:pPr>
              <w:keepNext/>
              <w:spacing w:before="75" w:after="30"/>
              <w:ind w:left="135"/>
            </w:pPr>
            <w:r>
              <w:rPr>
                <w:color w:val="000000"/>
                <w:sz w:val="20"/>
              </w:rPr>
              <w:t>Impairments of real estate</w:t>
            </w:r>
          </w:p>
        </w:tc>
        <w:tc>
          <w:tcPr>
            <w:tcW w:w="1095" w:type="dxa"/>
            <w:tcBorders>
              <w:top w:val="nil"/>
              <w:left w:val="nil"/>
              <w:bottom w:val="single" w:sz="8" w:space="0" w:color="000000"/>
              <w:right w:val="nil"/>
            </w:tcBorders>
            <w:tcMar>
              <w:top w:w="0" w:type="dxa"/>
              <w:left w:w="0" w:type="dxa"/>
              <w:bottom w:w="0" w:type="dxa"/>
              <w:right w:w="15" w:type="dxa"/>
            </w:tcMar>
            <w:vAlign w:val="bottom"/>
          </w:tcPr>
          <w:p w14:paraId="3B2A6667" w14:textId="77777777" w:rsidR="007C1CFF" w:rsidRDefault="00000000">
            <w:pPr>
              <w:keepNext/>
              <w:tabs>
                <w:tab w:val="left" w:pos="512"/>
                <w:tab w:val="left" w:pos="1027"/>
              </w:tabs>
              <w:spacing w:before="75" w:after="30"/>
              <w:jc w:val="right"/>
            </w:pPr>
            <w:r>
              <w:rPr>
                <w:color w:val="000000"/>
                <w:sz w:val="20"/>
              </w:rPr>
              <w:tab/>
              <w:t>4,141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4A74BA4" w14:textId="77777777" w:rsidR="007C1CFF" w:rsidRDefault="007C1CFF">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010DC4B3"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83FACA5" w14:textId="77777777" w:rsidR="007C1CFF" w:rsidRDefault="007C1CFF">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0DCEF077" w14:textId="77777777" w:rsidR="007C1CFF" w:rsidRDefault="00000000">
            <w:pPr>
              <w:keepNext/>
              <w:tabs>
                <w:tab w:val="left" w:pos="412"/>
                <w:tab w:val="left" w:pos="1027"/>
              </w:tabs>
              <w:spacing w:before="75" w:after="30"/>
              <w:jc w:val="right"/>
            </w:pPr>
            <w:r>
              <w:rPr>
                <w:color w:val="000000"/>
                <w:sz w:val="20"/>
              </w:rPr>
              <w:tab/>
              <w:t>28,745</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6EBBEE3" w14:textId="77777777" w:rsidR="007C1CFF" w:rsidRDefault="007C1CFF">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2D06EEC2"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28F58C59"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3A5D87CD" w14:textId="77777777" w:rsidR="007C1CFF" w:rsidRDefault="00000000">
            <w:pPr>
              <w:keepNext/>
              <w:spacing w:before="55" w:after="30"/>
            </w:pPr>
            <w:r>
              <w:rPr>
                <w:color w:val="000000"/>
                <w:sz w:val="20"/>
              </w:rPr>
              <w:t>NAREIT FFO attributable to common stockholders</w:t>
            </w:r>
          </w:p>
        </w:tc>
        <w:tc>
          <w:tcPr>
            <w:tcW w:w="1095" w:type="dxa"/>
            <w:tcBorders>
              <w:top w:val="single" w:sz="8" w:space="0" w:color="000000"/>
              <w:left w:val="nil"/>
              <w:bottom w:val="nil"/>
              <w:right w:val="nil"/>
            </w:tcBorders>
            <w:tcMar>
              <w:top w:w="0" w:type="dxa"/>
              <w:left w:w="0" w:type="dxa"/>
              <w:bottom w:w="0" w:type="dxa"/>
              <w:right w:w="15" w:type="dxa"/>
            </w:tcMar>
            <w:vAlign w:val="bottom"/>
          </w:tcPr>
          <w:p w14:paraId="312F8A6E" w14:textId="77777777" w:rsidR="007C1CFF" w:rsidRDefault="00000000">
            <w:pPr>
              <w:keepNext/>
              <w:tabs>
                <w:tab w:val="left" w:pos="412"/>
                <w:tab w:val="left" w:pos="1027"/>
              </w:tabs>
              <w:spacing w:before="55" w:after="30"/>
              <w:jc w:val="right"/>
            </w:pPr>
            <w:r>
              <w:rPr>
                <w:color w:val="000000"/>
                <w:sz w:val="20"/>
              </w:rPr>
              <w:tab/>
              <w:t>32,677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7DE7854"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7CBAE43C" w14:textId="77777777" w:rsidR="007C1CFF" w:rsidRDefault="00000000">
            <w:pPr>
              <w:keepNext/>
              <w:tabs>
                <w:tab w:val="left" w:pos="412"/>
                <w:tab w:val="left" w:pos="1027"/>
              </w:tabs>
              <w:spacing w:before="55" w:after="30"/>
              <w:jc w:val="right"/>
            </w:pPr>
            <w:r>
              <w:rPr>
                <w:color w:val="000000"/>
                <w:sz w:val="20"/>
              </w:rPr>
              <w:tab/>
              <w:t>53,147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8D2DB11"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3C2AEC06" w14:textId="77777777" w:rsidR="007C1CFF" w:rsidRDefault="00000000">
            <w:pPr>
              <w:keepNext/>
              <w:tabs>
                <w:tab w:val="left" w:pos="412"/>
                <w:tab w:val="left" w:pos="1027"/>
              </w:tabs>
              <w:spacing w:before="55" w:after="30"/>
              <w:jc w:val="right"/>
            </w:pPr>
            <w:r>
              <w:rPr>
                <w:color w:val="000000"/>
                <w:sz w:val="20"/>
              </w:rPr>
              <w:tab/>
              <w:t>80,762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5AD7BA5"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7B6D3E22" w14:textId="77777777" w:rsidR="007C1CFF" w:rsidRDefault="00000000">
            <w:pPr>
              <w:keepNext/>
              <w:tabs>
                <w:tab w:val="left" w:pos="312"/>
                <w:tab w:val="left" w:pos="1027"/>
              </w:tabs>
              <w:spacing w:before="55" w:after="30"/>
              <w:jc w:val="right"/>
            </w:pPr>
            <w:r>
              <w:rPr>
                <w:color w:val="000000"/>
                <w:sz w:val="20"/>
              </w:rPr>
              <w:tab/>
              <w:t>109,073</w:t>
            </w:r>
            <w:r>
              <w:rPr>
                <w:color w:val="000000"/>
                <w:sz w:val="20"/>
              </w:rPr>
              <w:tab/>
            </w:r>
          </w:p>
        </w:tc>
      </w:tr>
      <w:tr w:rsidR="007C1CFF" w14:paraId="07C834F9"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6F15FEAE" w14:textId="77777777" w:rsidR="007C1CFF" w:rsidRDefault="00000000">
            <w:pPr>
              <w:keepNext/>
              <w:spacing w:before="75" w:after="30"/>
              <w:ind w:left="135"/>
            </w:pPr>
            <w:r>
              <w:rPr>
                <w:color w:val="000000"/>
                <w:sz w:val="20"/>
              </w:rPr>
              <w:t>Loss on operations transfer, net</w:t>
            </w:r>
          </w:p>
        </w:tc>
        <w:tc>
          <w:tcPr>
            <w:tcW w:w="1095" w:type="dxa"/>
            <w:tcBorders>
              <w:top w:val="nil"/>
              <w:left w:val="nil"/>
              <w:bottom w:val="nil"/>
              <w:right w:val="nil"/>
            </w:tcBorders>
            <w:tcMar>
              <w:top w:w="0" w:type="dxa"/>
              <w:left w:w="0" w:type="dxa"/>
              <w:bottom w:w="0" w:type="dxa"/>
              <w:right w:w="15" w:type="dxa"/>
            </w:tcMar>
            <w:vAlign w:val="bottom"/>
          </w:tcPr>
          <w:p w14:paraId="39D85CF0" w14:textId="77777777" w:rsidR="007C1CFF" w:rsidRDefault="00000000">
            <w:pPr>
              <w:keepNext/>
              <w:tabs>
                <w:tab w:val="left" w:pos="662"/>
                <w:tab w:val="left" w:pos="1027"/>
              </w:tabs>
              <w:spacing w:before="75" w:after="30"/>
              <w:jc w:val="right"/>
            </w:pPr>
            <w:r>
              <w:rPr>
                <w:color w:val="000000"/>
                <w:sz w:val="20"/>
              </w:rPr>
              <w:tab/>
              <w:t>729</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3C722340" w14:textId="77777777" w:rsidR="007C1CFF" w:rsidRDefault="007C1CFF">
            <w:pPr>
              <w:keepNext/>
              <w:spacing w:before="75" w:after="30"/>
            </w:pPr>
          </w:p>
        </w:tc>
        <w:tc>
          <w:tcPr>
            <w:tcW w:w="1095" w:type="dxa"/>
            <w:tcBorders>
              <w:top w:val="nil"/>
              <w:left w:val="nil"/>
              <w:bottom w:val="nil"/>
              <w:right w:val="nil"/>
            </w:tcBorders>
            <w:tcMar>
              <w:top w:w="0" w:type="dxa"/>
              <w:left w:w="0" w:type="dxa"/>
              <w:bottom w:w="0" w:type="dxa"/>
              <w:right w:w="15" w:type="dxa"/>
            </w:tcMar>
            <w:vAlign w:val="bottom"/>
          </w:tcPr>
          <w:p w14:paraId="01BF33B5"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1F2F57FC" w14:textId="77777777" w:rsidR="007C1CFF" w:rsidRDefault="007C1CFF">
            <w:pPr>
              <w:keepNext/>
              <w:spacing w:before="75" w:after="30"/>
            </w:pPr>
          </w:p>
        </w:tc>
        <w:tc>
          <w:tcPr>
            <w:tcW w:w="1095" w:type="dxa"/>
            <w:tcBorders>
              <w:top w:val="nil"/>
              <w:left w:val="nil"/>
              <w:bottom w:val="nil"/>
              <w:right w:val="nil"/>
            </w:tcBorders>
            <w:tcMar>
              <w:top w:w="0" w:type="dxa"/>
              <w:left w:w="0" w:type="dxa"/>
              <w:bottom w:w="0" w:type="dxa"/>
              <w:right w:w="15" w:type="dxa"/>
            </w:tcMar>
            <w:vAlign w:val="bottom"/>
          </w:tcPr>
          <w:p w14:paraId="764F1EFC" w14:textId="77777777" w:rsidR="007C1CFF" w:rsidRDefault="00000000">
            <w:pPr>
              <w:keepNext/>
              <w:tabs>
                <w:tab w:val="left" w:pos="662"/>
                <w:tab w:val="left" w:pos="1027"/>
              </w:tabs>
              <w:spacing w:before="75" w:after="30"/>
              <w:jc w:val="right"/>
            </w:pPr>
            <w:r>
              <w:rPr>
                <w:color w:val="000000"/>
                <w:sz w:val="20"/>
              </w:rPr>
              <w:tab/>
              <w:t>729</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5464A27B" w14:textId="77777777" w:rsidR="007C1CFF" w:rsidRDefault="007C1CFF">
            <w:pPr>
              <w:keepNext/>
              <w:spacing w:before="75" w:after="30"/>
            </w:pPr>
          </w:p>
        </w:tc>
        <w:tc>
          <w:tcPr>
            <w:tcW w:w="1095" w:type="dxa"/>
            <w:tcBorders>
              <w:top w:val="nil"/>
              <w:left w:val="nil"/>
              <w:bottom w:val="nil"/>
              <w:right w:val="nil"/>
            </w:tcBorders>
            <w:tcMar>
              <w:top w:w="0" w:type="dxa"/>
              <w:left w:w="0" w:type="dxa"/>
              <w:bottom w:w="0" w:type="dxa"/>
              <w:right w:w="15" w:type="dxa"/>
            </w:tcMar>
            <w:vAlign w:val="bottom"/>
          </w:tcPr>
          <w:p w14:paraId="33BA291E"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05F73E58"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26A4FC77" w14:textId="77777777" w:rsidR="007C1CFF" w:rsidRDefault="00000000">
            <w:pPr>
              <w:keepNext/>
              <w:spacing w:before="75" w:after="30"/>
              <w:ind w:left="135"/>
            </w:pPr>
            <w:r>
              <w:rPr>
                <w:color w:val="000000"/>
                <w:sz w:val="20"/>
              </w:rPr>
              <w:t>Portfolio transition costs, net of noncontrolling interests</w:t>
            </w:r>
          </w:p>
        </w:tc>
        <w:tc>
          <w:tcPr>
            <w:tcW w:w="1095" w:type="dxa"/>
            <w:tcBorders>
              <w:top w:val="nil"/>
              <w:left w:val="nil"/>
              <w:bottom w:val="nil"/>
              <w:right w:val="nil"/>
            </w:tcBorders>
            <w:tcMar>
              <w:top w:w="0" w:type="dxa"/>
              <w:left w:w="0" w:type="dxa"/>
              <w:bottom w:w="0" w:type="dxa"/>
              <w:right w:w="15" w:type="dxa"/>
            </w:tcMar>
            <w:vAlign w:val="bottom"/>
          </w:tcPr>
          <w:p w14:paraId="22762A10" w14:textId="77777777" w:rsidR="007C1CFF" w:rsidRDefault="00000000">
            <w:pPr>
              <w:keepNext/>
              <w:tabs>
                <w:tab w:val="left" w:pos="662"/>
                <w:tab w:val="left" w:pos="1027"/>
              </w:tabs>
              <w:spacing w:before="75" w:after="30"/>
              <w:jc w:val="right"/>
            </w:pPr>
            <w:r>
              <w:rPr>
                <w:color w:val="000000"/>
                <w:sz w:val="20"/>
              </w:rPr>
              <w:tab/>
              <w:t>329</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2A387092" w14:textId="77777777" w:rsidR="007C1CFF" w:rsidRDefault="007C1CFF">
            <w:pPr>
              <w:keepNext/>
              <w:spacing w:before="75" w:after="30"/>
            </w:pPr>
          </w:p>
        </w:tc>
        <w:tc>
          <w:tcPr>
            <w:tcW w:w="1095" w:type="dxa"/>
            <w:tcBorders>
              <w:top w:val="nil"/>
              <w:left w:val="nil"/>
              <w:bottom w:val="nil"/>
              <w:right w:val="nil"/>
            </w:tcBorders>
            <w:tcMar>
              <w:top w:w="0" w:type="dxa"/>
              <w:left w:w="0" w:type="dxa"/>
              <w:bottom w:w="0" w:type="dxa"/>
              <w:right w:w="15" w:type="dxa"/>
            </w:tcMar>
            <w:vAlign w:val="bottom"/>
          </w:tcPr>
          <w:p w14:paraId="524352D3"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7BCD54EC" w14:textId="77777777" w:rsidR="007C1CFF" w:rsidRDefault="007C1CFF">
            <w:pPr>
              <w:keepNext/>
              <w:spacing w:before="75" w:after="30"/>
            </w:pPr>
          </w:p>
        </w:tc>
        <w:tc>
          <w:tcPr>
            <w:tcW w:w="1095" w:type="dxa"/>
            <w:tcBorders>
              <w:top w:val="nil"/>
              <w:left w:val="nil"/>
              <w:bottom w:val="nil"/>
              <w:right w:val="nil"/>
            </w:tcBorders>
            <w:tcMar>
              <w:top w:w="0" w:type="dxa"/>
              <w:left w:w="0" w:type="dxa"/>
              <w:bottom w:w="0" w:type="dxa"/>
              <w:right w:w="15" w:type="dxa"/>
            </w:tcMar>
            <w:vAlign w:val="bottom"/>
          </w:tcPr>
          <w:p w14:paraId="0F3FCDA2" w14:textId="77777777" w:rsidR="007C1CFF" w:rsidRDefault="00000000">
            <w:pPr>
              <w:keepNext/>
              <w:tabs>
                <w:tab w:val="left" w:pos="662"/>
                <w:tab w:val="left" w:pos="1027"/>
              </w:tabs>
              <w:spacing w:before="75" w:after="30"/>
              <w:jc w:val="right"/>
            </w:pPr>
            <w:r>
              <w:rPr>
                <w:color w:val="000000"/>
                <w:sz w:val="20"/>
              </w:rPr>
              <w:tab/>
              <w:t>329</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1DC088E9" w14:textId="77777777" w:rsidR="007C1CFF" w:rsidRDefault="007C1CFF">
            <w:pPr>
              <w:keepNext/>
              <w:spacing w:before="75" w:after="30"/>
            </w:pPr>
          </w:p>
        </w:tc>
        <w:tc>
          <w:tcPr>
            <w:tcW w:w="1095" w:type="dxa"/>
            <w:tcBorders>
              <w:top w:val="nil"/>
              <w:left w:val="nil"/>
              <w:bottom w:val="nil"/>
              <w:right w:val="nil"/>
            </w:tcBorders>
            <w:tcMar>
              <w:top w:w="0" w:type="dxa"/>
              <w:left w:w="0" w:type="dxa"/>
              <w:bottom w:w="0" w:type="dxa"/>
              <w:right w:w="15" w:type="dxa"/>
            </w:tcMar>
            <w:vAlign w:val="bottom"/>
          </w:tcPr>
          <w:p w14:paraId="7E5109F0"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47B0BB9C"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791F56B6" w14:textId="77777777" w:rsidR="007C1CFF" w:rsidRDefault="00000000">
            <w:pPr>
              <w:keepNext/>
              <w:spacing w:before="75" w:after="30"/>
              <w:ind w:left="135"/>
            </w:pPr>
            <w:r>
              <w:rPr>
                <w:color w:val="000000"/>
                <w:sz w:val="20"/>
              </w:rPr>
              <w:t>Gain on note payoff</w:t>
            </w:r>
          </w:p>
        </w:tc>
        <w:tc>
          <w:tcPr>
            <w:tcW w:w="1095" w:type="dxa"/>
            <w:tcBorders>
              <w:top w:val="nil"/>
              <w:left w:val="nil"/>
              <w:bottom w:val="nil"/>
              <w:right w:val="nil"/>
            </w:tcBorders>
            <w:tcMar>
              <w:top w:w="0" w:type="dxa"/>
              <w:left w:w="0" w:type="dxa"/>
              <w:bottom w:w="0" w:type="dxa"/>
              <w:right w:w="15" w:type="dxa"/>
            </w:tcMar>
            <w:vAlign w:val="bottom"/>
          </w:tcPr>
          <w:p w14:paraId="424E6C6B" w14:textId="77777777" w:rsidR="007C1CFF" w:rsidRDefault="00000000">
            <w:pPr>
              <w:keepNext/>
              <w:tabs>
                <w:tab w:val="left" w:pos="446"/>
              </w:tabs>
              <w:spacing w:before="75" w:after="30"/>
              <w:jc w:val="right"/>
            </w:pPr>
            <w:r>
              <w:rPr>
                <w:color w:val="000000"/>
                <w:sz w:val="20"/>
              </w:rPr>
              <w:tab/>
              <w:t>(1,113)</w:t>
            </w:r>
          </w:p>
        </w:tc>
        <w:tc>
          <w:tcPr>
            <w:tcW w:w="75" w:type="dxa"/>
            <w:tcBorders>
              <w:top w:val="nil"/>
              <w:left w:val="nil"/>
              <w:bottom w:val="nil"/>
              <w:right w:val="nil"/>
            </w:tcBorders>
            <w:tcMar>
              <w:top w:w="0" w:type="dxa"/>
              <w:left w:w="53" w:type="dxa"/>
              <w:bottom w:w="0" w:type="dxa"/>
              <w:right w:w="53" w:type="dxa"/>
            </w:tcMar>
            <w:vAlign w:val="bottom"/>
          </w:tcPr>
          <w:p w14:paraId="55A218B7" w14:textId="77777777" w:rsidR="007C1CFF" w:rsidRDefault="007C1CFF">
            <w:pPr>
              <w:keepNext/>
              <w:spacing w:before="75" w:after="30"/>
            </w:pPr>
          </w:p>
        </w:tc>
        <w:tc>
          <w:tcPr>
            <w:tcW w:w="1095" w:type="dxa"/>
            <w:tcBorders>
              <w:top w:val="nil"/>
              <w:left w:val="nil"/>
              <w:bottom w:val="nil"/>
              <w:right w:val="nil"/>
            </w:tcBorders>
            <w:tcMar>
              <w:top w:w="0" w:type="dxa"/>
              <w:left w:w="0" w:type="dxa"/>
              <w:bottom w:w="0" w:type="dxa"/>
              <w:right w:w="15" w:type="dxa"/>
            </w:tcMar>
            <w:vAlign w:val="bottom"/>
          </w:tcPr>
          <w:p w14:paraId="469B0823"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4493F085" w14:textId="77777777" w:rsidR="007C1CFF" w:rsidRDefault="007C1CFF">
            <w:pPr>
              <w:keepNext/>
              <w:spacing w:before="75" w:after="30"/>
            </w:pPr>
          </w:p>
        </w:tc>
        <w:tc>
          <w:tcPr>
            <w:tcW w:w="1095" w:type="dxa"/>
            <w:tcBorders>
              <w:top w:val="nil"/>
              <w:left w:val="nil"/>
              <w:bottom w:val="nil"/>
              <w:right w:val="nil"/>
            </w:tcBorders>
            <w:tcMar>
              <w:top w:w="0" w:type="dxa"/>
              <w:left w:w="0" w:type="dxa"/>
              <w:bottom w:w="0" w:type="dxa"/>
              <w:right w:w="15" w:type="dxa"/>
            </w:tcMar>
            <w:vAlign w:val="bottom"/>
          </w:tcPr>
          <w:p w14:paraId="7A7EF4EE" w14:textId="77777777" w:rsidR="007C1CFF" w:rsidRDefault="00000000">
            <w:pPr>
              <w:keepNext/>
              <w:tabs>
                <w:tab w:val="left" w:pos="446"/>
              </w:tabs>
              <w:spacing w:before="75" w:after="30"/>
              <w:jc w:val="right"/>
            </w:pPr>
            <w:r>
              <w:rPr>
                <w:color w:val="000000"/>
                <w:sz w:val="20"/>
              </w:rPr>
              <w:tab/>
              <w:t>(1,113)</w:t>
            </w:r>
          </w:p>
        </w:tc>
        <w:tc>
          <w:tcPr>
            <w:tcW w:w="75" w:type="dxa"/>
            <w:tcBorders>
              <w:top w:val="nil"/>
              <w:left w:val="nil"/>
              <w:bottom w:val="nil"/>
              <w:right w:val="nil"/>
            </w:tcBorders>
            <w:tcMar>
              <w:top w:w="0" w:type="dxa"/>
              <w:left w:w="53" w:type="dxa"/>
              <w:bottom w:w="0" w:type="dxa"/>
              <w:right w:w="53" w:type="dxa"/>
            </w:tcMar>
            <w:vAlign w:val="bottom"/>
          </w:tcPr>
          <w:p w14:paraId="73874DC3" w14:textId="77777777" w:rsidR="007C1CFF" w:rsidRDefault="007C1CFF">
            <w:pPr>
              <w:keepNext/>
              <w:spacing w:before="75" w:after="30"/>
            </w:pPr>
          </w:p>
        </w:tc>
        <w:tc>
          <w:tcPr>
            <w:tcW w:w="1095" w:type="dxa"/>
            <w:tcBorders>
              <w:top w:val="nil"/>
              <w:left w:val="nil"/>
              <w:bottom w:val="nil"/>
              <w:right w:val="nil"/>
            </w:tcBorders>
            <w:tcMar>
              <w:top w:w="0" w:type="dxa"/>
              <w:left w:w="0" w:type="dxa"/>
              <w:bottom w:w="0" w:type="dxa"/>
              <w:right w:w="15" w:type="dxa"/>
            </w:tcMar>
            <w:vAlign w:val="bottom"/>
          </w:tcPr>
          <w:p w14:paraId="28BF230F"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2D765CF7"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621A1C3F" w14:textId="77777777" w:rsidR="007C1CFF" w:rsidRDefault="00000000">
            <w:pPr>
              <w:keepNext/>
              <w:spacing w:before="75" w:after="30"/>
              <w:ind w:left="135"/>
            </w:pPr>
            <w:r>
              <w:rPr>
                <w:color w:val="000000"/>
                <w:sz w:val="20"/>
              </w:rPr>
              <w:t>Loss on early retirement of debt</w:t>
            </w:r>
          </w:p>
        </w:tc>
        <w:tc>
          <w:tcPr>
            <w:tcW w:w="1095" w:type="dxa"/>
            <w:tcBorders>
              <w:top w:val="nil"/>
              <w:left w:val="nil"/>
              <w:bottom w:val="nil"/>
              <w:right w:val="nil"/>
            </w:tcBorders>
            <w:tcMar>
              <w:top w:w="0" w:type="dxa"/>
              <w:left w:w="0" w:type="dxa"/>
              <w:bottom w:w="0" w:type="dxa"/>
              <w:right w:w="15" w:type="dxa"/>
            </w:tcMar>
            <w:vAlign w:val="bottom"/>
          </w:tcPr>
          <w:p w14:paraId="1EBA8F28"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612A514"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453EF45"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30EFF68"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16934B6" w14:textId="77777777" w:rsidR="007C1CFF" w:rsidRDefault="00000000">
            <w:pPr>
              <w:keepNext/>
              <w:tabs>
                <w:tab w:val="left" w:pos="662"/>
                <w:tab w:val="left" w:pos="1027"/>
              </w:tabs>
              <w:spacing w:before="75" w:after="30"/>
              <w:jc w:val="right"/>
            </w:pPr>
            <w:r>
              <w:rPr>
                <w:color w:val="000000"/>
                <w:sz w:val="20"/>
              </w:rPr>
              <w:tab/>
              <w:t>151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C181497"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2DAC2F7" w14:textId="77777777" w:rsidR="007C1CFF" w:rsidRDefault="00000000">
            <w:pPr>
              <w:keepNext/>
              <w:tabs>
                <w:tab w:val="left" w:pos="662"/>
                <w:tab w:val="left" w:pos="1027"/>
              </w:tabs>
              <w:spacing w:before="75" w:after="30"/>
              <w:jc w:val="right"/>
            </w:pPr>
            <w:r>
              <w:rPr>
                <w:color w:val="000000"/>
                <w:sz w:val="20"/>
              </w:rPr>
              <w:tab/>
              <w:t>451</w:t>
            </w:r>
            <w:r>
              <w:rPr>
                <w:color w:val="000000"/>
                <w:sz w:val="20"/>
              </w:rPr>
              <w:tab/>
            </w:r>
          </w:p>
        </w:tc>
      </w:tr>
      <w:tr w:rsidR="007C1CFF" w14:paraId="2D7D4932"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30D94467" w14:textId="77777777" w:rsidR="007C1CFF" w:rsidRDefault="00000000">
            <w:pPr>
              <w:keepNext/>
              <w:spacing w:before="75" w:after="30"/>
              <w:ind w:left="135"/>
            </w:pPr>
            <w:r>
              <w:rPr>
                <w:color w:val="000000"/>
                <w:sz w:val="20"/>
              </w:rPr>
              <w:t>Non-cash write-offs of straight-line receivable and lease incentives</w:t>
            </w:r>
          </w:p>
        </w:tc>
        <w:tc>
          <w:tcPr>
            <w:tcW w:w="1095" w:type="dxa"/>
            <w:tcBorders>
              <w:top w:val="nil"/>
              <w:left w:val="nil"/>
              <w:bottom w:val="nil"/>
              <w:right w:val="nil"/>
            </w:tcBorders>
            <w:tcMar>
              <w:top w:w="0" w:type="dxa"/>
              <w:left w:w="0" w:type="dxa"/>
              <w:bottom w:w="0" w:type="dxa"/>
              <w:right w:w="15" w:type="dxa"/>
            </w:tcMar>
            <w:vAlign w:val="bottom"/>
          </w:tcPr>
          <w:p w14:paraId="1A21E0A3" w14:textId="77777777" w:rsidR="007C1CFF" w:rsidRDefault="00000000">
            <w:pPr>
              <w:keepNext/>
              <w:tabs>
                <w:tab w:val="left" w:pos="412"/>
                <w:tab w:val="left" w:pos="1027"/>
              </w:tabs>
              <w:spacing w:before="75" w:after="30"/>
              <w:jc w:val="right"/>
            </w:pPr>
            <w:r>
              <w:rPr>
                <w:color w:val="000000"/>
                <w:sz w:val="20"/>
              </w:rPr>
              <w:tab/>
              <w:t>25,208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0B3900E"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3AA1D76"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039106F"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83840A0" w14:textId="77777777" w:rsidR="007C1CFF" w:rsidRDefault="00000000">
            <w:pPr>
              <w:keepNext/>
              <w:tabs>
                <w:tab w:val="left" w:pos="412"/>
                <w:tab w:val="left" w:pos="1027"/>
              </w:tabs>
              <w:spacing w:before="75" w:after="30"/>
              <w:jc w:val="right"/>
            </w:pPr>
            <w:r>
              <w:rPr>
                <w:color w:val="000000"/>
                <w:sz w:val="20"/>
              </w:rPr>
              <w:tab/>
              <w:t>27,681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1140CD8"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93DA8B0"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1C6EFE1D"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3A6DD42A" w14:textId="77777777" w:rsidR="007C1CFF" w:rsidRDefault="00000000">
            <w:pPr>
              <w:keepNext/>
              <w:spacing w:before="55" w:after="30"/>
            </w:pPr>
            <w:r>
              <w:rPr>
                <w:color w:val="000000"/>
                <w:sz w:val="20"/>
              </w:rPr>
              <w:t>Normalized FFO attributable to common stockholders</w:t>
            </w:r>
          </w:p>
        </w:tc>
        <w:tc>
          <w:tcPr>
            <w:tcW w:w="1095" w:type="dxa"/>
            <w:tcBorders>
              <w:top w:val="single" w:sz="8" w:space="0" w:color="000000"/>
              <w:left w:val="nil"/>
              <w:bottom w:val="nil"/>
              <w:right w:val="nil"/>
            </w:tcBorders>
            <w:tcMar>
              <w:top w:w="0" w:type="dxa"/>
              <w:left w:w="0" w:type="dxa"/>
              <w:bottom w:w="0" w:type="dxa"/>
              <w:right w:w="15" w:type="dxa"/>
            </w:tcMar>
            <w:vAlign w:val="bottom"/>
          </w:tcPr>
          <w:p w14:paraId="2271104C" w14:textId="77777777" w:rsidR="007C1CFF" w:rsidRDefault="00000000">
            <w:pPr>
              <w:keepNext/>
              <w:tabs>
                <w:tab w:val="left" w:pos="412"/>
                <w:tab w:val="left" w:pos="1027"/>
              </w:tabs>
              <w:spacing w:before="55" w:after="30"/>
              <w:jc w:val="right"/>
            </w:pPr>
            <w:r>
              <w:rPr>
                <w:color w:val="000000"/>
                <w:sz w:val="20"/>
              </w:rPr>
              <w:tab/>
              <w:t>57,830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68B008F"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7DA15CB1" w14:textId="77777777" w:rsidR="007C1CFF" w:rsidRDefault="00000000">
            <w:pPr>
              <w:keepNext/>
              <w:tabs>
                <w:tab w:val="left" w:pos="412"/>
                <w:tab w:val="left" w:pos="1027"/>
              </w:tabs>
              <w:spacing w:before="55" w:after="30"/>
              <w:jc w:val="right"/>
            </w:pPr>
            <w:r>
              <w:rPr>
                <w:color w:val="000000"/>
                <w:sz w:val="20"/>
              </w:rPr>
              <w:tab/>
              <w:t>53,147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26DDDF9"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3BE9740C" w14:textId="77777777" w:rsidR="007C1CFF" w:rsidRDefault="00000000">
            <w:pPr>
              <w:keepNext/>
              <w:tabs>
                <w:tab w:val="left" w:pos="312"/>
                <w:tab w:val="left" w:pos="1027"/>
              </w:tabs>
              <w:spacing w:before="55" w:after="30"/>
              <w:jc w:val="right"/>
            </w:pPr>
            <w:r>
              <w:rPr>
                <w:color w:val="000000"/>
                <w:sz w:val="20"/>
              </w:rPr>
              <w:tab/>
              <w:t>108,539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615BAFE"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0AB35275" w14:textId="77777777" w:rsidR="007C1CFF" w:rsidRDefault="00000000">
            <w:pPr>
              <w:keepNext/>
              <w:tabs>
                <w:tab w:val="left" w:pos="312"/>
                <w:tab w:val="left" w:pos="1027"/>
              </w:tabs>
              <w:spacing w:before="55" w:after="30"/>
              <w:jc w:val="right"/>
            </w:pPr>
            <w:r>
              <w:rPr>
                <w:color w:val="000000"/>
                <w:sz w:val="20"/>
              </w:rPr>
              <w:tab/>
              <w:t>109,524</w:t>
            </w:r>
            <w:r>
              <w:rPr>
                <w:color w:val="000000"/>
                <w:sz w:val="20"/>
              </w:rPr>
              <w:tab/>
            </w:r>
          </w:p>
        </w:tc>
      </w:tr>
      <w:tr w:rsidR="007C1CFF" w14:paraId="7505190D"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69176D6F" w14:textId="77777777" w:rsidR="007C1CFF" w:rsidRDefault="00000000">
            <w:pPr>
              <w:keepNext/>
              <w:spacing w:before="75" w:after="30"/>
              <w:ind w:left="135"/>
            </w:pPr>
            <w:r>
              <w:rPr>
                <w:color w:val="000000"/>
                <w:sz w:val="20"/>
              </w:rPr>
              <w:t>Straight-line lease revenue, net</w:t>
            </w:r>
          </w:p>
        </w:tc>
        <w:tc>
          <w:tcPr>
            <w:tcW w:w="1095" w:type="dxa"/>
            <w:tcBorders>
              <w:top w:val="nil"/>
              <w:left w:val="nil"/>
              <w:bottom w:val="nil"/>
              <w:right w:val="nil"/>
            </w:tcBorders>
            <w:tcMar>
              <w:top w:w="0" w:type="dxa"/>
              <w:left w:w="0" w:type="dxa"/>
              <w:bottom w:w="0" w:type="dxa"/>
              <w:right w:w="15" w:type="dxa"/>
            </w:tcMar>
            <w:vAlign w:val="bottom"/>
          </w:tcPr>
          <w:p w14:paraId="42CE1F6E" w14:textId="77777777" w:rsidR="007C1CFF" w:rsidRDefault="00000000">
            <w:pPr>
              <w:keepNext/>
              <w:tabs>
                <w:tab w:val="left" w:pos="446"/>
              </w:tabs>
              <w:spacing w:before="75" w:after="30"/>
              <w:jc w:val="right"/>
            </w:pPr>
            <w:r>
              <w:rPr>
                <w:color w:val="000000"/>
                <w:sz w:val="20"/>
              </w:rPr>
              <w:tab/>
              <w:t>(3,185)</w:t>
            </w:r>
          </w:p>
        </w:tc>
        <w:tc>
          <w:tcPr>
            <w:tcW w:w="75" w:type="dxa"/>
            <w:tcBorders>
              <w:top w:val="nil"/>
              <w:left w:val="nil"/>
              <w:bottom w:val="nil"/>
              <w:right w:val="nil"/>
            </w:tcBorders>
            <w:tcMar>
              <w:top w:w="0" w:type="dxa"/>
              <w:left w:w="0" w:type="dxa"/>
              <w:bottom w:w="0" w:type="dxa"/>
              <w:right w:w="0" w:type="dxa"/>
            </w:tcMar>
            <w:vAlign w:val="bottom"/>
          </w:tcPr>
          <w:p w14:paraId="78988C35"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0F47D7E0" w14:textId="77777777" w:rsidR="007C1CFF" w:rsidRDefault="00000000">
            <w:pPr>
              <w:keepNext/>
              <w:tabs>
                <w:tab w:val="left" w:pos="446"/>
              </w:tabs>
              <w:spacing w:before="75" w:after="30"/>
              <w:jc w:val="right"/>
            </w:pPr>
            <w:r>
              <w:rPr>
                <w:color w:val="000000"/>
                <w:sz w:val="20"/>
              </w:rPr>
              <w:tab/>
              <w:t>(4,150)</w:t>
            </w:r>
          </w:p>
        </w:tc>
        <w:tc>
          <w:tcPr>
            <w:tcW w:w="75" w:type="dxa"/>
            <w:tcBorders>
              <w:top w:val="nil"/>
              <w:left w:val="nil"/>
              <w:bottom w:val="nil"/>
              <w:right w:val="nil"/>
            </w:tcBorders>
            <w:tcMar>
              <w:top w:w="0" w:type="dxa"/>
              <w:left w:w="0" w:type="dxa"/>
              <w:bottom w:w="0" w:type="dxa"/>
              <w:right w:w="0" w:type="dxa"/>
            </w:tcMar>
            <w:vAlign w:val="bottom"/>
          </w:tcPr>
          <w:p w14:paraId="52316159"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B707D48" w14:textId="77777777" w:rsidR="007C1CFF" w:rsidRDefault="00000000">
            <w:pPr>
              <w:keepNext/>
              <w:tabs>
                <w:tab w:val="left" w:pos="446"/>
              </w:tabs>
              <w:spacing w:before="75" w:after="30"/>
              <w:jc w:val="right"/>
            </w:pPr>
            <w:r>
              <w:rPr>
                <w:color w:val="000000"/>
                <w:sz w:val="20"/>
              </w:rPr>
              <w:tab/>
              <w:t>(6,543)</w:t>
            </w:r>
          </w:p>
        </w:tc>
        <w:tc>
          <w:tcPr>
            <w:tcW w:w="75" w:type="dxa"/>
            <w:tcBorders>
              <w:top w:val="nil"/>
              <w:left w:val="nil"/>
              <w:bottom w:val="nil"/>
              <w:right w:val="nil"/>
            </w:tcBorders>
            <w:tcMar>
              <w:top w:w="0" w:type="dxa"/>
              <w:left w:w="0" w:type="dxa"/>
              <w:bottom w:w="0" w:type="dxa"/>
              <w:right w:w="0" w:type="dxa"/>
            </w:tcMar>
            <w:vAlign w:val="bottom"/>
          </w:tcPr>
          <w:p w14:paraId="358306DA"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EAAAEE9" w14:textId="77777777" w:rsidR="007C1CFF" w:rsidRDefault="00000000">
            <w:pPr>
              <w:keepNext/>
              <w:tabs>
                <w:tab w:val="left" w:pos="446"/>
              </w:tabs>
              <w:spacing w:before="75" w:after="30"/>
              <w:jc w:val="right"/>
            </w:pPr>
            <w:r>
              <w:rPr>
                <w:color w:val="000000"/>
                <w:sz w:val="20"/>
              </w:rPr>
              <w:tab/>
              <w:t>(8,391)</w:t>
            </w:r>
          </w:p>
        </w:tc>
      </w:tr>
      <w:tr w:rsidR="007C1CFF" w14:paraId="23C4F50A"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5F9F0407" w14:textId="77777777" w:rsidR="007C1CFF" w:rsidRDefault="00000000">
            <w:pPr>
              <w:keepNext/>
              <w:spacing w:before="75" w:after="30"/>
              <w:ind w:left="135"/>
            </w:pPr>
            <w:r>
              <w:rPr>
                <w:color w:val="000000"/>
                <w:sz w:val="20"/>
              </w:rPr>
              <w:t>Straight-line lease revenue, net, related to noncontrolling interests</w:t>
            </w:r>
          </w:p>
        </w:tc>
        <w:tc>
          <w:tcPr>
            <w:tcW w:w="1095" w:type="dxa"/>
            <w:tcBorders>
              <w:top w:val="nil"/>
              <w:left w:val="nil"/>
              <w:bottom w:val="nil"/>
              <w:right w:val="nil"/>
            </w:tcBorders>
            <w:tcMar>
              <w:top w:w="0" w:type="dxa"/>
              <w:left w:w="0" w:type="dxa"/>
              <w:bottom w:w="0" w:type="dxa"/>
              <w:right w:w="15" w:type="dxa"/>
            </w:tcMar>
            <w:vAlign w:val="bottom"/>
          </w:tcPr>
          <w:p w14:paraId="726A6791" w14:textId="77777777" w:rsidR="007C1CFF" w:rsidRDefault="00000000">
            <w:pPr>
              <w:keepNext/>
              <w:tabs>
                <w:tab w:val="left" w:pos="762"/>
                <w:tab w:val="left" w:pos="1027"/>
              </w:tabs>
              <w:spacing w:before="75" w:after="30"/>
              <w:jc w:val="right"/>
            </w:pPr>
            <w:r>
              <w:rPr>
                <w:color w:val="000000"/>
                <w:sz w:val="20"/>
              </w:rPr>
              <w:tab/>
              <w:t>35</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7141C82"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996AAB9" w14:textId="77777777" w:rsidR="007C1CFF" w:rsidRDefault="00000000">
            <w:pPr>
              <w:keepNext/>
              <w:tabs>
                <w:tab w:val="left" w:pos="762"/>
                <w:tab w:val="left" w:pos="1027"/>
              </w:tabs>
              <w:spacing w:before="75" w:after="30"/>
              <w:jc w:val="right"/>
            </w:pPr>
            <w:r>
              <w:rPr>
                <w:color w:val="000000"/>
                <w:sz w:val="20"/>
              </w:rPr>
              <w:tab/>
              <w:t>21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4207305"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BE94B4C" w14:textId="77777777" w:rsidR="007C1CFF" w:rsidRDefault="00000000">
            <w:pPr>
              <w:keepNext/>
              <w:tabs>
                <w:tab w:val="left" w:pos="762"/>
                <w:tab w:val="left" w:pos="1027"/>
              </w:tabs>
              <w:spacing w:before="75" w:after="30"/>
              <w:jc w:val="right"/>
            </w:pPr>
            <w:r>
              <w:rPr>
                <w:color w:val="000000"/>
                <w:sz w:val="20"/>
              </w:rPr>
              <w:tab/>
              <w:t>57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FFAA38F"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D619603" w14:textId="77777777" w:rsidR="007C1CFF" w:rsidRDefault="00000000">
            <w:pPr>
              <w:keepNext/>
              <w:tabs>
                <w:tab w:val="left" w:pos="762"/>
                <w:tab w:val="left" w:pos="1027"/>
              </w:tabs>
              <w:spacing w:before="75" w:after="30"/>
              <w:jc w:val="right"/>
            </w:pPr>
            <w:r>
              <w:rPr>
                <w:color w:val="000000"/>
                <w:sz w:val="20"/>
              </w:rPr>
              <w:tab/>
              <w:t>45</w:t>
            </w:r>
            <w:r>
              <w:rPr>
                <w:color w:val="000000"/>
                <w:sz w:val="20"/>
              </w:rPr>
              <w:tab/>
            </w:r>
          </w:p>
        </w:tc>
      </w:tr>
      <w:tr w:rsidR="007C1CFF" w14:paraId="375083DE"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55F95587" w14:textId="77777777" w:rsidR="007C1CFF" w:rsidRDefault="00000000">
            <w:pPr>
              <w:keepNext/>
              <w:spacing w:before="75" w:after="30"/>
              <w:ind w:left="135"/>
            </w:pPr>
            <w:r>
              <w:rPr>
                <w:color w:val="000000"/>
                <w:sz w:val="20"/>
              </w:rPr>
              <w:t>Straight-line lease expense related to equity method investment</w:t>
            </w:r>
          </w:p>
        </w:tc>
        <w:tc>
          <w:tcPr>
            <w:tcW w:w="1095" w:type="dxa"/>
            <w:tcBorders>
              <w:top w:val="nil"/>
              <w:left w:val="nil"/>
              <w:bottom w:val="nil"/>
              <w:right w:val="nil"/>
            </w:tcBorders>
            <w:tcMar>
              <w:top w:w="0" w:type="dxa"/>
              <w:left w:w="0" w:type="dxa"/>
              <w:bottom w:w="0" w:type="dxa"/>
              <w:right w:w="15" w:type="dxa"/>
            </w:tcMar>
            <w:vAlign w:val="bottom"/>
          </w:tcPr>
          <w:p w14:paraId="5952EE2A" w14:textId="77777777" w:rsidR="007C1CFF" w:rsidRDefault="00000000">
            <w:pPr>
              <w:keepNext/>
              <w:tabs>
                <w:tab w:val="left" w:pos="796"/>
              </w:tabs>
              <w:spacing w:before="75" w:after="30"/>
              <w:jc w:val="right"/>
            </w:pPr>
            <w:r>
              <w:rPr>
                <w:color w:val="000000"/>
                <w:sz w:val="20"/>
              </w:rPr>
              <w:tab/>
              <w:t>(2)</w:t>
            </w:r>
          </w:p>
        </w:tc>
        <w:tc>
          <w:tcPr>
            <w:tcW w:w="75" w:type="dxa"/>
            <w:tcBorders>
              <w:top w:val="nil"/>
              <w:left w:val="nil"/>
              <w:bottom w:val="nil"/>
              <w:right w:val="nil"/>
            </w:tcBorders>
            <w:tcMar>
              <w:top w:w="0" w:type="dxa"/>
              <w:left w:w="0" w:type="dxa"/>
              <w:bottom w:w="0" w:type="dxa"/>
              <w:right w:w="0" w:type="dxa"/>
            </w:tcMar>
            <w:vAlign w:val="bottom"/>
          </w:tcPr>
          <w:p w14:paraId="5D879E18"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6C8DA95" w14:textId="77777777" w:rsidR="007C1CFF" w:rsidRDefault="00000000">
            <w:pPr>
              <w:keepNext/>
              <w:tabs>
                <w:tab w:val="left" w:pos="762"/>
                <w:tab w:val="left" w:pos="1027"/>
              </w:tabs>
              <w:spacing w:before="75" w:after="30"/>
              <w:jc w:val="right"/>
            </w:pPr>
            <w:r>
              <w:rPr>
                <w:color w:val="000000"/>
                <w:sz w:val="20"/>
              </w:rPr>
              <w:tab/>
              <w:t>21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2765421"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0865334" w14:textId="77777777" w:rsidR="007C1CFF" w:rsidRDefault="00000000">
            <w:pPr>
              <w:keepNext/>
              <w:tabs>
                <w:tab w:val="left" w:pos="696"/>
              </w:tabs>
              <w:spacing w:before="75" w:after="30"/>
              <w:jc w:val="right"/>
            </w:pPr>
            <w:r>
              <w:rPr>
                <w:color w:val="000000"/>
                <w:sz w:val="20"/>
              </w:rPr>
              <w:tab/>
              <w:t>(10)</w:t>
            </w:r>
          </w:p>
        </w:tc>
        <w:tc>
          <w:tcPr>
            <w:tcW w:w="75" w:type="dxa"/>
            <w:tcBorders>
              <w:top w:val="nil"/>
              <w:left w:val="nil"/>
              <w:bottom w:val="nil"/>
              <w:right w:val="nil"/>
            </w:tcBorders>
            <w:tcMar>
              <w:top w:w="0" w:type="dxa"/>
              <w:left w:w="0" w:type="dxa"/>
              <w:bottom w:w="0" w:type="dxa"/>
              <w:right w:w="0" w:type="dxa"/>
            </w:tcMar>
            <w:vAlign w:val="bottom"/>
          </w:tcPr>
          <w:p w14:paraId="5C32A3DE"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DC55B69" w14:textId="77777777" w:rsidR="007C1CFF" w:rsidRDefault="00000000">
            <w:pPr>
              <w:keepNext/>
              <w:tabs>
                <w:tab w:val="left" w:pos="762"/>
                <w:tab w:val="left" w:pos="1027"/>
              </w:tabs>
              <w:spacing w:before="75" w:after="30"/>
              <w:jc w:val="right"/>
            </w:pPr>
            <w:r>
              <w:rPr>
                <w:color w:val="000000"/>
                <w:sz w:val="20"/>
              </w:rPr>
              <w:tab/>
              <w:t>45</w:t>
            </w:r>
            <w:r>
              <w:rPr>
                <w:color w:val="000000"/>
                <w:sz w:val="20"/>
              </w:rPr>
              <w:tab/>
            </w:r>
          </w:p>
        </w:tc>
      </w:tr>
      <w:tr w:rsidR="007C1CFF" w14:paraId="17DF492B"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26DFA262" w14:textId="77777777" w:rsidR="007C1CFF" w:rsidRDefault="00000000">
            <w:pPr>
              <w:keepNext/>
              <w:spacing w:before="75" w:after="30"/>
              <w:ind w:left="135"/>
            </w:pPr>
            <w:r>
              <w:rPr>
                <w:color w:val="000000"/>
                <w:sz w:val="20"/>
              </w:rPr>
              <w:t>Amortization of lease incentives</w:t>
            </w:r>
          </w:p>
        </w:tc>
        <w:tc>
          <w:tcPr>
            <w:tcW w:w="1095" w:type="dxa"/>
            <w:tcBorders>
              <w:top w:val="nil"/>
              <w:left w:val="nil"/>
              <w:bottom w:val="nil"/>
              <w:right w:val="nil"/>
            </w:tcBorders>
            <w:tcMar>
              <w:top w:w="0" w:type="dxa"/>
              <w:left w:w="0" w:type="dxa"/>
              <w:bottom w:w="0" w:type="dxa"/>
              <w:right w:w="15" w:type="dxa"/>
            </w:tcMar>
            <w:vAlign w:val="bottom"/>
          </w:tcPr>
          <w:p w14:paraId="6C654F0F" w14:textId="77777777" w:rsidR="007C1CFF" w:rsidRDefault="00000000">
            <w:pPr>
              <w:keepNext/>
              <w:tabs>
                <w:tab w:val="left" w:pos="762"/>
                <w:tab w:val="left" w:pos="1027"/>
              </w:tabs>
              <w:spacing w:before="75" w:after="30"/>
              <w:jc w:val="right"/>
            </w:pPr>
            <w:r>
              <w:rPr>
                <w:color w:val="000000"/>
                <w:sz w:val="20"/>
              </w:rPr>
              <w:tab/>
              <w:t>58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596DAE7"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07588B7D" w14:textId="77777777" w:rsidR="007C1CFF" w:rsidRDefault="00000000">
            <w:pPr>
              <w:keepNext/>
              <w:tabs>
                <w:tab w:val="left" w:pos="662"/>
                <w:tab w:val="left" w:pos="1027"/>
              </w:tabs>
              <w:spacing w:before="75" w:after="30"/>
              <w:jc w:val="right"/>
            </w:pPr>
            <w:r>
              <w:rPr>
                <w:color w:val="000000"/>
                <w:sz w:val="20"/>
              </w:rPr>
              <w:tab/>
              <w:t>262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AEBFD65"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A64F45D" w14:textId="77777777" w:rsidR="007C1CFF" w:rsidRDefault="00000000">
            <w:pPr>
              <w:keepNext/>
              <w:tabs>
                <w:tab w:val="left" w:pos="662"/>
                <w:tab w:val="left" w:pos="1027"/>
              </w:tabs>
              <w:spacing w:before="75" w:after="30"/>
              <w:jc w:val="right"/>
            </w:pPr>
            <w:r>
              <w:rPr>
                <w:color w:val="000000"/>
                <w:sz w:val="20"/>
              </w:rPr>
              <w:tab/>
              <w:t>117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DFF8A8D"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F72F2F4" w14:textId="77777777" w:rsidR="007C1CFF" w:rsidRDefault="00000000">
            <w:pPr>
              <w:keepNext/>
              <w:tabs>
                <w:tab w:val="left" w:pos="662"/>
                <w:tab w:val="left" w:pos="1027"/>
              </w:tabs>
              <w:spacing w:before="75" w:after="30"/>
              <w:jc w:val="right"/>
            </w:pPr>
            <w:r>
              <w:rPr>
                <w:color w:val="000000"/>
                <w:sz w:val="20"/>
              </w:rPr>
              <w:tab/>
              <w:t>522</w:t>
            </w:r>
            <w:r>
              <w:rPr>
                <w:color w:val="000000"/>
                <w:sz w:val="20"/>
              </w:rPr>
              <w:tab/>
            </w:r>
          </w:p>
        </w:tc>
      </w:tr>
      <w:tr w:rsidR="007C1CFF" w14:paraId="20608169"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6C06B7E2" w14:textId="77777777" w:rsidR="007C1CFF" w:rsidRDefault="00000000">
            <w:pPr>
              <w:keepNext/>
              <w:spacing w:before="75" w:after="30"/>
              <w:ind w:left="135"/>
            </w:pPr>
            <w:r>
              <w:rPr>
                <w:color w:val="000000"/>
                <w:sz w:val="20"/>
              </w:rPr>
              <w:t>Amortization of original issue discount</w:t>
            </w:r>
          </w:p>
        </w:tc>
        <w:tc>
          <w:tcPr>
            <w:tcW w:w="1095" w:type="dxa"/>
            <w:tcBorders>
              <w:top w:val="nil"/>
              <w:left w:val="nil"/>
              <w:bottom w:val="nil"/>
              <w:right w:val="nil"/>
            </w:tcBorders>
            <w:tcMar>
              <w:top w:w="0" w:type="dxa"/>
              <w:left w:w="0" w:type="dxa"/>
              <w:bottom w:w="0" w:type="dxa"/>
              <w:right w:w="15" w:type="dxa"/>
            </w:tcMar>
            <w:vAlign w:val="bottom"/>
          </w:tcPr>
          <w:p w14:paraId="58C93AF5" w14:textId="77777777" w:rsidR="007C1CFF" w:rsidRDefault="00000000">
            <w:pPr>
              <w:keepNext/>
              <w:tabs>
                <w:tab w:val="left" w:pos="762"/>
                <w:tab w:val="left" w:pos="1027"/>
              </w:tabs>
              <w:spacing w:before="75" w:after="30"/>
              <w:jc w:val="right"/>
            </w:pPr>
            <w:r>
              <w:rPr>
                <w:color w:val="000000"/>
                <w:sz w:val="20"/>
              </w:rPr>
              <w:tab/>
              <w:t>80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AE7AB89"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4AC7B23" w14:textId="77777777" w:rsidR="007C1CFF" w:rsidRDefault="00000000">
            <w:pPr>
              <w:keepNext/>
              <w:tabs>
                <w:tab w:val="left" w:pos="762"/>
                <w:tab w:val="left" w:pos="1027"/>
              </w:tabs>
              <w:spacing w:before="75" w:after="30"/>
              <w:jc w:val="right"/>
            </w:pPr>
            <w:r>
              <w:rPr>
                <w:color w:val="000000"/>
                <w:sz w:val="20"/>
              </w:rPr>
              <w:tab/>
              <w:t>80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7FCDBC9"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A888157" w14:textId="77777777" w:rsidR="007C1CFF" w:rsidRDefault="00000000">
            <w:pPr>
              <w:keepNext/>
              <w:tabs>
                <w:tab w:val="left" w:pos="662"/>
                <w:tab w:val="left" w:pos="1027"/>
              </w:tabs>
              <w:spacing w:before="75" w:after="30"/>
              <w:jc w:val="right"/>
            </w:pPr>
            <w:r>
              <w:rPr>
                <w:color w:val="000000"/>
                <w:sz w:val="20"/>
              </w:rPr>
              <w:tab/>
              <w:t>161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1D6BFD8"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68AA81F" w14:textId="77777777" w:rsidR="007C1CFF" w:rsidRDefault="00000000">
            <w:pPr>
              <w:keepNext/>
              <w:tabs>
                <w:tab w:val="left" w:pos="662"/>
                <w:tab w:val="left" w:pos="1027"/>
              </w:tabs>
              <w:spacing w:before="75" w:after="30"/>
              <w:jc w:val="right"/>
            </w:pPr>
            <w:r>
              <w:rPr>
                <w:color w:val="000000"/>
                <w:sz w:val="20"/>
              </w:rPr>
              <w:tab/>
              <w:t>134</w:t>
            </w:r>
            <w:r>
              <w:rPr>
                <w:color w:val="000000"/>
                <w:sz w:val="20"/>
              </w:rPr>
              <w:tab/>
            </w:r>
          </w:p>
        </w:tc>
      </w:tr>
      <w:tr w:rsidR="007C1CFF" w14:paraId="1A75DF9D"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31514BF2" w14:textId="77777777" w:rsidR="007C1CFF" w:rsidRDefault="00000000">
            <w:pPr>
              <w:keepNext/>
              <w:spacing w:before="75" w:after="30"/>
              <w:ind w:left="135"/>
            </w:pPr>
            <w:r>
              <w:rPr>
                <w:color w:val="000000"/>
                <w:sz w:val="20"/>
              </w:rPr>
              <w:t>Amortization of debt issuance costs</w:t>
            </w:r>
          </w:p>
        </w:tc>
        <w:tc>
          <w:tcPr>
            <w:tcW w:w="1095" w:type="dxa"/>
            <w:tcBorders>
              <w:top w:val="nil"/>
              <w:left w:val="nil"/>
              <w:bottom w:val="nil"/>
              <w:right w:val="nil"/>
            </w:tcBorders>
            <w:tcMar>
              <w:top w:w="0" w:type="dxa"/>
              <w:left w:w="0" w:type="dxa"/>
              <w:bottom w:w="0" w:type="dxa"/>
              <w:right w:w="15" w:type="dxa"/>
            </w:tcMar>
            <w:vAlign w:val="bottom"/>
          </w:tcPr>
          <w:p w14:paraId="16DB629A" w14:textId="77777777" w:rsidR="007C1CFF" w:rsidRDefault="00000000">
            <w:pPr>
              <w:keepNext/>
              <w:tabs>
                <w:tab w:val="left" w:pos="662"/>
                <w:tab w:val="left" w:pos="1027"/>
              </w:tabs>
              <w:spacing w:before="75" w:after="30"/>
              <w:jc w:val="right"/>
            </w:pPr>
            <w:r>
              <w:rPr>
                <w:color w:val="000000"/>
                <w:sz w:val="20"/>
              </w:rPr>
              <w:tab/>
              <w:t>529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9625FB2"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DFE20E1" w14:textId="77777777" w:rsidR="007C1CFF" w:rsidRDefault="00000000">
            <w:pPr>
              <w:keepNext/>
              <w:tabs>
                <w:tab w:val="left" w:pos="662"/>
                <w:tab w:val="left" w:pos="1027"/>
              </w:tabs>
              <w:spacing w:before="75" w:after="30"/>
              <w:jc w:val="right"/>
            </w:pPr>
            <w:r>
              <w:rPr>
                <w:color w:val="000000"/>
                <w:sz w:val="20"/>
              </w:rPr>
              <w:tab/>
              <w:t>588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9404343"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1612DEB" w14:textId="77777777" w:rsidR="007C1CFF" w:rsidRDefault="00000000">
            <w:pPr>
              <w:keepNext/>
              <w:tabs>
                <w:tab w:val="left" w:pos="512"/>
                <w:tab w:val="left" w:pos="1027"/>
              </w:tabs>
              <w:spacing w:before="75" w:after="30"/>
              <w:jc w:val="right"/>
            </w:pPr>
            <w:r>
              <w:rPr>
                <w:color w:val="000000"/>
                <w:sz w:val="20"/>
              </w:rPr>
              <w:tab/>
              <w:t>1,091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82B5C46"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27FC359" w14:textId="77777777" w:rsidR="007C1CFF" w:rsidRDefault="00000000">
            <w:pPr>
              <w:keepNext/>
              <w:tabs>
                <w:tab w:val="left" w:pos="512"/>
                <w:tab w:val="left" w:pos="1027"/>
              </w:tabs>
              <w:spacing w:before="75" w:after="30"/>
              <w:jc w:val="right"/>
            </w:pPr>
            <w:r>
              <w:rPr>
                <w:color w:val="000000"/>
                <w:sz w:val="20"/>
              </w:rPr>
              <w:tab/>
              <w:t>1,294</w:t>
            </w:r>
            <w:r>
              <w:rPr>
                <w:color w:val="000000"/>
                <w:sz w:val="20"/>
              </w:rPr>
              <w:tab/>
            </w:r>
          </w:p>
        </w:tc>
      </w:tr>
      <w:tr w:rsidR="007C1CFF" w14:paraId="34903A25"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371038F1" w14:textId="77777777" w:rsidR="007C1CFF" w:rsidRDefault="00000000">
            <w:pPr>
              <w:keepNext/>
              <w:spacing w:before="75" w:after="30"/>
              <w:ind w:left="135"/>
            </w:pPr>
            <w:r>
              <w:rPr>
                <w:color w:val="000000"/>
                <w:sz w:val="20"/>
              </w:rPr>
              <w:t>Amortization related to equity method investment</w:t>
            </w:r>
          </w:p>
        </w:tc>
        <w:tc>
          <w:tcPr>
            <w:tcW w:w="1095" w:type="dxa"/>
            <w:tcBorders>
              <w:top w:val="nil"/>
              <w:left w:val="nil"/>
              <w:bottom w:val="nil"/>
              <w:right w:val="nil"/>
            </w:tcBorders>
            <w:tcMar>
              <w:top w:w="0" w:type="dxa"/>
              <w:left w:w="0" w:type="dxa"/>
              <w:bottom w:w="0" w:type="dxa"/>
              <w:right w:w="15" w:type="dxa"/>
            </w:tcMar>
            <w:vAlign w:val="bottom"/>
          </w:tcPr>
          <w:p w14:paraId="04654428" w14:textId="77777777" w:rsidR="007C1CFF" w:rsidRDefault="00000000">
            <w:pPr>
              <w:keepNext/>
              <w:tabs>
                <w:tab w:val="left" w:pos="596"/>
              </w:tabs>
              <w:spacing w:before="75" w:after="30"/>
              <w:jc w:val="right"/>
            </w:pPr>
            <w:r>
              <w:rPr>
                <w:color w:val="000000"/>
                <w:sz w:val="20"/>
              </w:rPr>
              <w:tab/>
              <w:t>(169)</w:t>
            </w:r>
          </w:p>
        </w:tc>
        <w:tc>
          <w:tcPr>
            <w:tcW w:w="75" w:type="dxa"/>
            <w:tcBorders>
              <w:top w:val="nil"/>
              <w:left w:val="nil"/>
              <w:bottom w:val="nil"/>
              <w:right w:val="nil"/>
            </w:tcBorders>
            <w:tcMar>
              <w:top w:w="0" w:type="dxa"/>
              <w:left w:w="0" w:type="dxa"/>
              <w:bottom w:w="0" w:type="dxa"/>
              <w:right w:w="0" w:type="dxa"/>
            </w:tcMar>
            <w:vAlign w:val="bottom"/>
          </w:tcPr>
          <w:p w14:paraId="3BF45466"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756AACB" w14:textId="77777777" w:rsidR="007C1CFF" w:rsidRDefault="00000000">
            <w:pPr>
              <w:keepNext/>
              <w:tabs>
                <w:tab w:val="left" w:pos="662"/>
                <w:tab w:val="left" w:pos="1027"/>
              </w:tabs>
              <w:spacing w:before="75" w:after="30"/>
              <w:jc w:val="right"/>
            </w:pPr>
            <w:r>
              <w:rPr>
                <w:color w:val="000000"/>
                <w:sz w:val="20"/>
              </w:rPr>
              <w:tab/>
              <w:t>520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2E2EA23"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63D29FE" w14:textId="77777777" w:rsidR="007C1CFF" w:rsidRDefault="00000000">
            <w:pPr>
              <w:keepNext/>
              <w:tabs>
                <w:tab w:val="left" w:pos="596"/>
              </w:tabs>
              <w:spacing w:before="75" w:after="30"/>
              <w:jc w:val="right"/>
            </w:pPr>
            <w:r>
              <w:rPr>
                <w:color w:val="000000"/>
                <w:sz w:val="20"/>
              </w:rPr>
              <w:tab/>
              <w:t>(407)</w:t>
            </w:r>
          </w:p>
        </w:tc>
        <w:tc>
          <w:tcPr>
            <w:tcW w:w="75" w:type="dxa"/>
            <w:tcBorders>
              <w:top w:val="nil"/>
              <w:left w:val="nil"/>
              <w:bottom w:val="nil"/>
              <w:right w:val="nil"/>
            </w:tcBorders>
            <w:tcMar>
              <w:top w:w="0" w:type="dxa"/>
              <w:left w:w="0" w:type="dxa"/>
              <w:bottom w:w="0" w:type="dxa"/>
              <w:right w:w="0" w:type="dxa"/>
            </w:tcMar>
            <w:vAlign w:val="bottom"/>
          </w:tcPr>
          <w:p w14:paraId="4380B09E"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B0471D8" w14:textId="77777777" w:rsidR="007C1CFF" w:rsidRDefault="00000000">
            <w:pPr>
              <w:keepNext/>
              <w:tabs>
                <w:tab w:val="left" w:pos="512"/>
                <w:tab w:val="left" w:pos="1027"/>
              </w:tabs>
              <w:spacing w:before="75" w:after="30"/>
              <w:jc w:val="right"/>
            </w:pPr>
            <w:r>
              <w:rPr>
                <w:color w:val="000000"/>
                <w:sz w:val="20"/>
              </w:rPr>
              <w:tab/>
              <w:t>1,056</w:t>
            </w:r>
            <w:r>
              <w:rPr>
                <w:color w:val="000000"/>
                <w:sz w:val="20"/>
              </w:rPr>
              <w:tab/>
            </w:r>
          </w:p>
        </w:tc>
      </w:tr>
      <w:tr w:rsidR="007C1CFF" w14:paraId="41B3DC91"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1C136CA5" w14:textId="77777777" w:rsidR="007C1CFF" w:rsidRDefault="00000000">
            <w:pPr>
              <w:keepNext/>
              <w:spacing w:before="75" w:after="30"/>
              <w:ind w:left="135"/>
            </w:pPr>
            <w:r>
              <w:rPr>
                <w:color w:val="000000"/>
                <w:sz w:val="20"/>
              </w:rPr>
              <w:t>Note receivable credit loss expense</w:t>
            </w:r>
          </w:p>
        </w:tc>
        <w:tc>
          <w:tcPr>
            <w:tcW w:w="1095" w:type="dxa"/>
            <w:tcBorders>
              <w:top w:val="nil"/>
              <w:left w:val="nil"/>
              <w:bottom w:val="nil"/>
              <w:right w:val="nil"/>
            </w:tcBorders>
            <w:tcMar>
              <w:top w:w="0" w:type="dxa"/>
              <w:left w:w="0" w:type="dxa"/>
              <w:bottom w:w="0" w:type="dxa"/>
              <w:right w:w="15" w:type="dxa"/>
            </w:tcMar>
            <w:vAlign w:val="bottom"/>
          </w:tcPr>
          <w:p w14:paraId="303BA932" w14:textId="77777777" w:rsidR="007C1CFF" w:rsidRDefault="00000000">
            <w:pPr>
              <w:keepNext/>
              <w:tabs>
                <w:tab w:val="left" w:pos="696"/>
              </w:tabs>
              <w:spacing w:before="75" w:after="30"/>
              <w:jc w:val="right"/>
            </w:pPr>
            <w:r>
              <w:rPr>
                <w:color w:val="000000"/>
                <w:sz w:val="20"/>
              </w:rPr>
              <w:tab/>
              <w:t>(47)</w:t>
            </w:r>
          </w:p>
        </w:tc>
        <w:tc>
          <w:tcPr>
            <w:tcW w:w="75" w:type="dxa"/>
            <w:tcBorders>
              <w:top w:val="nil"/>
              <w:left w:val="nil"/>
              <w:bottom w:val="nil"/>
              <w:right w:val="nil"/>
            </w:tcBorders>
            <w:tcMar>
              <w:top w:w="0" w:type="dxa"/>
              <w:left w:w="0" w:type="dxa"/>
              <w:bottom w:w="0" w:type="dxa"/>
              <w:right w:w="0" w:type="dxa"/>
            </w:tcMar>
            <w:vAlign w:val="bottom"/>
          </w:tcPr>
          <w:p w14:paraId="7BD69FED"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3C25336" w14:textId="77777777" w:rsidR="007C1CFF" w:rsidRDefault="00000000">
            <w:pPr>
              <w:keepNext/>
              <w:tabs>
                <w:tab w:val="left" w:pos="512"/>
                <w:tab w:val="left" w:pos="1027"/>
              </w:tabs>
              <w:spacing w:before="75" w:after="30"/>
              <w:jc w:val="right"/>
            </w:pPr>
            <w:r>
              <w:rPr>
                <w:color w:val="000000"/>
                <w:sz w:val="20"/>
              </w:rPr>
              <w:tab/>
              <w:t>1,221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0FF323C"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936E5C3" w14:textId="77777777" w:rsidR="007C1CFF" w:rsidRDefault="00000000">
            <w:pPr>
              <w:keepNext/>
              <w:tabs>
                <w:tab w:val="left" w:pos="596"/>
              </w:tabs>
              <w:spacing w:before="75" w:after="30"/>
              <w:jc w:val="right"/>
            </w:pPr>
            <w:r>
              <w:rPr>
                <w:color w:val="000000"/>
                <w:sz w:val="20"/>
              </w:rPr>
              <w:tab/>
              <w:t>(123)</w:t>
            </w:r>
          </w:p>
        </w:tc>
        <w:tc>
          <w:tcPr>
            <w:tcW w:w="75" w:type="dxa"/>
            <w:tcBorders>
              <w:top w:val="nil"/>
              <w:left w:val="nil"/>
              <w:bottom w:val="nil"/>
              <w:right w:val="nil"/>
            </w:tcBorders>
            <w:tcMar>
              <w:top w:w="0" w:type="dxa"/>
              <w:left w:w="0" w:type="dxa"/>
              <w:bottom w:w="0" w:type="dxa"/>
              <w:right w:w="0" w:type="dxa"/>
            </w:tcMar>
            <w:vAlign w:val="bottom"/>
          </w:tcPr>
          <w:p w14:paraId="2A194C00"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78558FE" w14:textId="77777777" w:rsidR="007C1CFF" w:rsidRDefault="00000000">
            <w:pPr>
              <w:keepNext/>
              <w:tabs>
                <w:tab w:val="left" w:pos="512"/>
                <w:tab w:val="left" w:pos="1027"/>
              </w:tabs>
              <w:spacing w:before="75" w:after="30"/>
              <w:jc w:val="right"/>
            </w:pPr>
            <w:r>
              <w:rPr>
                <w:color w:val="000000"/>
                <w:sz w:val="20"/>
              </w:rPr>
              <w:tab/>
              <w:t>1,171</w:t>
            </w:r>
            <w:r>
              <w:rPr>
                <w:color w:val="000000"/>
                <w:sz w:val="20"/>
              </w:rPr>
              <w:tab/>
            </w:r>
          </w:p>
        </w:tc>
      </w:tr>
      <w:tr w:rsidR="007C1CFF" w14:paraId="7C4BB105"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2C218DC7" w14:textId="77777777" w:rsidR="007C1CFF" w:rsidRDefault="00000000">
            <w:pPr>
              <w:keepNext/>
              <w:spacing w:before="75" w:after="30"/>
              <w:ind w:left="135"/>
            </w:pPr>
            <w:r>
              <w:rPr>
                <w:color w:val="000000"/>
                <w:sz w:val="20"/>
              </w:rPr>
              <w:t>Non-cash share-based compensation</w:t>
            </w:r>
          </w:p>
        </w:tc>
        <w:tc>
          <w:tcPr>
            <w:tcW w:w="1095" w:type="dxa"/>
            <w:tcBorders>
              <w:top w:val="nil"/>
              <w:left w:val="nil"/>
              <w:bottom w:val="nil"/>
              <w:right w:val="nil"/>
            </w:tcBorders>
            <w:tcMar>
              <w:top w:w="0" w:type="dxa"/>
              <w:left w:w="0" w:type="dxa"/>
              <w:bottom w:w="0" w:type="dxa"/>
              <w:right w:w="15" w:type="dxa"/>
            </w:tcMar>
            <w:vAlign w:val="bottom"/>
          </w:tcPr>
          <w:p w14:paraId="1E48E2BD" w14:textId="77777777" w:rsidR="007C1CFF" w:rsidRDefault="00000000">
            <w:pPr>
              <w:keepNext/>
              <w:tabs>
                <w:tab w:val="left" w:pos="512"/>
                <w:tab w:val="left" w:pos="1027"/>
              </w:tabs>
              <w:spacing w:before="75" w:after="30"/>
              <w:jc w:val="right"/>
            </w:pPr>
            <w:r>
              <w:rPr>
                <w:color w:val="000000"/>
                <w:sz w:val="20"/>
              </w:rPr>
              <w:tab/>
              <w:t>1,428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D2F1F29"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3CB5211" w14:textId="77777777" w:rsidR="007C1CFF" w:rsidRDefault="00000000">
            <w:pPr>
              <w:keepNext/>
              <w:tabs>
                <w:tab w:val="left" w:pos="662"/>
                <w:tab w:val="left" w:pos="1027"/>
              </w:tabs>
              <w:spacing w:before="75" w:after="30"/>
              <w:jc w:val="right"/>
            </w:pPr>
            <w:r>
              <w:rPr>
                <w:color w:val="000000"/>
                <w:sz w:val="20"/>
              </w:rPr>
              <w:tab/>
              <w:t>992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A183ED9"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F300185" w14:textId="77777777" w:rsidR="007C1CFF" w:rsidRDefault="00000000">
            <w:pPr>
              <w:keepNext/>
              <w:tabs>
                <w:tab w:val="left" w:pos="512"/>
                <w:tab w:val="left" w:pos="1027"/>
              </w:tabs>
              <w:spacing w:before="75" w:after="30"/>
              <w:jc w:val="right"/>
            </w:pPr>
            <w:r>
              <w:rPr>
                <w:color w:val="000000"/>
                <w:sz w:val="20"/>
              </w:rPr>
              <w:tab/>
              <w:t>6,511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FB71A5E"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E7B53D4" w14:textId="77777777" w:rsidR="007C1CFF" w:rsidRDefault="00000000">
            <w:pPr>
              <w:keepNext/>
              <w:tabs>
                <w:tab w:val="left" w:pos="512"/>
                <w:tab w:val="left" w:pos="1027"/>
              </w:tabs>
              <w:spacing w:before="75" w:after="30"/>
              <w:jc w:val="right"/>
            </w:pPr>
            <w:r>
              <w:rPr>
                <w:color w:val="000000"/>
                <w:sz w:val="20"/>
              </w:rPr>
              <w:tab/>
              <w:t>6,438</w:t>
            </w:r>
            <w:r>
              <w:rPr>
                <w:color w:val="000000"/>
                <w:sz w:val="20"/>
              </w:rPr>
              <w:tab/>
            </w:r>
          </w:p>
        </w:tc>
      </w:tr>
      <w:tr w:rsidR="007C1CFF" w14:paraId="6FCE5CC5"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7ED3182E" w14:textId="77777777" w:rsidR="007C1CFF" w:rsidRDefault="00000000">
            <w:pPr>
              <w:keepNext/>
              <w:spacing w:before="75" w:after="30"/>
              <w:ind w:left="135"/>
            </w:pPr>
            <w:r>
              <w:rPr>
                <w:color w:val="000000"/>
                <w:sz w:val="20"/>
              </w:rPr>
              <w:t>Equity method investment capital expenditures</w:t>
            </w:r>
          </w:p>
        </w:tc>
        <w:tc>
          <w:tcPr>
            <w:tcW w:w="1095" w:type="dxa"/>
            <w:tcBorders>
              <w:top w:val="nil"/>
              <w:left w:val="nil"/>
              <w:bottom w:val="nil"/>
              <w:right w:val="nil"/>
            </w:tcBorders>
            <w:tcMar>
              <w:top w:w="0" w:type="dxa"/>
              <w:left w:w="0" w:type="dxa"/>
              <w:bottom w:w="0" w:type="dxa"/>
              <w:right w:w="15" w:type="dxa"/>
            </w:tcMar>
            <w:vAlign w:val="bottom"/>
          </w:tcPr>
          <w:p w14:paraId="03539739" w14:textId="77777777" w:rsidR="007C1CFF" w:rsidRDefault="00000000">
            <w:pPr>
              <w:keepNext/>
              <w:tabs>
                <w:tab w:val="left" w:pos="596"/>
              </w:tabs>
              <w:spacing w:before="75" w:after="30"/>
              <w:jc w:val="right"/>
            </w:pPr>
            <w:r>
              <w:rPr>
                <w:color w:val="000000"/>
                <w:sz w:val="20"/>
              </w:rPr>
              <w:tab/>
              <w:t>(105)</w:t>
            </w:r>
          </w:p>
        </w:tc>
        <w:tc>
          <w:tcPr>
            <w:tcW w:w="75" w:type="dxa"/>
            <w:tcBorders>
              <w:top w:val="nil"/>
              <w:left w:val="nil"/>
              <w:bottom w:val="nil"/>
              <w:right w:val="nil"/>
            </w:tcBorders>
            <w:tcMar>
              <w:top w:w="0" w:type="dxa"/>
              <w:left w:w="0" w:type="dxa"/>
              <w:bottom w:w="0" w:type="dxa"/>
              <w:right w:w="0" w:type="dxa"/>
            </w:tcMar>
            <w:vAlign w:val="bottom"/>
          </w:tcPr>
          <w:p w14:paraId="38DD1896"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504F2C9" w14:textId="77777777" w:rsidR="007C1CFF" w:rsidRDefault="00000000">
            <w:pPr>
              <w:keepNext/>
              <w:tabs>
                <w:tab w:val="left" w:pos="596"/>
              </w:tabs>
              <w:spacing w:before="75" w:after="30"/>
              <w:jc w:val="right"/>
            </w:pPr>
            <w:r>
              <w:rPr>
                <w:color w:val="000000"/>
                <w:sz w:val="20"/>
              </w:rPr>
              <w:tab/>
              <w:t>(105)</w:t>
            </w:r>
          </w:p>
        </w:tc>
        <w:tc>
          <w:tcPr>
            <w:tcW w:w="75" w:type="dxa"/>
            <w:tcBorders>
              <w:top w:val="nil"/>
              <w:left w:val="nil"/>
              <w:bottom w:val="nil"/>
              <w:right w:val="nil"/>
            </w:tcBorders>
            <w:tcMar>
              <w:top w:w="0" w:type="dxa"/>
              <w:left w:w="0" w:type="dxa"/>
              <w:bottom w:w="0" w:type="dxa"/>
              <w:right w:w="0" w:type="dxa"/>
            </w:tcMar>
            <w:vAlign w:val="bottom"/>
          </w:tcPr>
          <w:p w14:paraId="79E2CDA7"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0CF86832" w14:textId="77777777" w:rsidR="007C1CFF" w:rsidRDefault="00000000">
            <w:pPr>
              <w:keepNext/>
              <w:tabs>
                <w:tab w:val="left" w:pos="596"/>
              </w:tabs>
              <w:spacing w:before="75" w:after="30"/>
              <w:jc w:val="right"/>
            </w:pPr>
            <w:r>
              <w:rPr>
                <w:color w:val="000000"/>
                <w:sz w:val="20"/>
              </w:rPr>
              <w:tab/>
              <w:t>(210)</w:t>
            </w:r>
          </w:p>
        </w:tc>
        <w:tc>
          <w:tcPr>
            <w:tcW w:w="75" w:type="dxa"/>
            <w:tcBorders>
              <w:top w:val="nil"/>
              <w:left w:val="nil"/>
              <w:bottom w:val="nil"/>
              <w:right w:val="nil"/>
            </w:tcBorders>
            <w:tcMar>
              <w:top w:w="0" w:type="dxa"/>
              <w:left w:w="0" w:type="dxa"/>
              <w:bottom w:w="0" w:type="dxa"/>
              <w:right w:w="0" w:type="dxa"/>
            </w:tcMar>
            <w:vAlign w:val="bottom"/>
          </w:tcPr>
          <w:p w14:paraId="30C208A0"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ED1C063" w14:textId="77777777" w:rsidR="007C1CFF" w:rsidRDefault="00000000">
            <w:pPr>
              <w:keepNext/>
              <w:tabs>
                <w:tab w:val="left" w:pos="596"/>
              </w:tabs>
              <w:spacing w:before="75" w:after="30"/>
              <w:jc w:val="right"/>
            </w:pPr>
            <w:r>
              <w:rPr>
                <w:color w:val="000000"/>
                <w:sz w:val="20"/>
              </w:rPr>
              <w:tab/>
              <w:t>(210)</w:t>
            </w:r>
          </w:p>
        </w:tc>
      </w:tr>
      <w:tr w:rsidR="007C1CFF" w14:paraId="38DBA545"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5AC9E45B" w14:textId="77777777" w:rsidR="007C1CFF" w:rsidRDefault="00000000">
            <w:pPr>
              <w:keepNext/>
              <w:spacing w:before="75" w:after="30"/>
              <w:ind w:left="135"/>
            </w:pPr>
            <w:r>
              <w:rPr>
                <w:color w:val="000000"/>
                <w:sz w:val="20"/>
              </w:rPr>
              <w:t xml:space="preserve">Equity method investment non-refundable fees received </w:t>
            </w:r>
          </w:p>
        </w:tc>
        <w:tc>
          <w:tcPr>
            <w:tcW w:w="1095" w:type="dxa"/>
            <w:tcBorders>
              <w:top w:val="nil"/>
              <w:left w:val="nil"/>
              <w:bottom w:val="nil"/>
              <w:right w:val="nil"/>
            </w:tcBorders>
            <w:tcMar>
              <w:top w:w="0" w:type="dxa"/>
              <w:left w:w="0" w:type="dxa"/>
              <w:bottom w:w="0" w:type="dxa"/>
              <w:right w:w="15" w:type="dxa"/>
            </w:tcMar>
            <w:vAlign w:val="bottom"/>
          </w:tcPr>
          <w:p w14:paraId="0E4A5B64" w14:textId="77777777" w:rsidR="007C1CFF" w:rsidRDefault="00000000">
            <w:pPr>
              <w:keepNext/>
              <w:tabs>
                <w:tab w:val="left" w:pos="662"/>
                <w:tab w:val="left" w:pos="1027"/>
              </w:tabs>
              <w:spacing w:before="75" w:after="30"/>
              <w:jc w:val="right"/>
            </w:pPr>
            <w:r>
              <w:rPr>
                <w:color w:val="000000"/>
                <w:sz w:val="20"/>
              </w:rPr>
              <w:tab/>
              <w:t>230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5A0C71F"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403C828" w14:textId="77777777" w:rsidR="007C1CFF" w:rsidRDefault="00000000">
            <w:pPr>
              <w:keepNext/>
              <w:tabs>
                <w:tab w:val="left" w:pos="662"/>
                <w:tab w:val="left" w:pos="1027"/>
              </w:tabs>
              <w:spacing w:before="75" w:after="30"/>
              <w:jc w:val="right"/>
            </w:pPr>
            <w:r>
              <w:rPr>
                <w:color w:val="000000"/>
                <w:sz w:val="20"/>
              </w:rPr>
              <w:tab/>
              <w:t>242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0225C7A"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142AC21" w14:textId="77777777" w:rsidR="007C1CFF" w:rsidRDefault="00000000">
            <w:pPr>
              <w:keepNext/>
              <w:tabs>
                <w:tab w:val="left" w:pos="662"/>
                <w:tab w:val="left" w:pos="1027"/>
              </w:tabs>
              <w:spacing w:before="75" w:after="30"/>
              <w:jc w:val="right"/>
            </w:pPr>
            <w:r>
              <w:rPr>
                <w:color w:val="000000"/>
                <w:sz w:val="20"/>
              </w:rPr>
              <w:tab/>
              <w:t>467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5D258EA"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1A9C447" w14:textId="77777777" w:rsidR="007C1CFF" w:rsidRDefault="00000000">
            <w:pPr>
              <w:keepNext/>
              <w:tabs>
                <w:tab w:val="left" w:pos="662"/>
                <w:tab w:val="left" w:pos="1027"/>
              </w:tabs>
              <w:spacing w:before="75" w:after="30"/>
              <w:jc w:val="right"/>
            </w:pPr>
            <w:r>
              <w:rPr>
                <w:color w:val="000000"/>
                <w:sz w:val="20"/>
              </w:rPr>
              <w:tab/>
              <w:t>761</w:t>
            </w:r>
            <w:r>
              <w:rPr>
                <w:color w:val="000000"/>
                <w:sz w:val="20"/>
              </w:rPr>
              <w:tab/>
            </w:r>
          </w:p>
        </w:tc>
      </w:tr>
      <w:tr w:rsidR="007C1CFF" w14:paraId="40E92513"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5D601ADC" w14:textId="77777777" w:rsidR="007C1CFF" w:rsidRDefault="00000000">
            <w:pPr>
              <w:keepNext/>
              <w:spacing w:before="75" w:after="30"/>
              <w:ind w:left="120"/>
            </w:pPr>
            <w:r>
              <w:rPr>
                <w:color w:val="000000"/>
                <w:sz w:val="20"/>
              </w:rPr>
              <w:t>Equity method investment distributions</w:t>
            </w:r>
          </w:p>
        </w:tc>
        <w:tc>
          <w:tcPr>
            <w:tcW w:w="1095" w:type="dxa"/>
            <w:tcBorders>
              <w:top w:val="nil"/>
              <w:left w:val="nil"/>
              <w:bottom w:val="nil"/>
              <w:right w:val="nil"/>
            </w:tcBorders>
            <w:tcMar>
              <w:top w:w="0" w:type="dxa"/>
              <w:left w:w="0" w:type="dxa"/>
              <w:bottom w:w="0" w:type="dxa"/>
              <w:right w:w="15" w:type="dxa"/>
            </w:tcMar>
            <w:vAlign w:val="bottom"/>
          </w:tcPr>
          <w:p w14:paraId="4AF35F1C" w14:textId="77777777" w:rsidR="007C1CFF" w:rsidRDefault="00000000">
            <w:pPr>
              <w:keepNext/>
              <w:tabs>
                <w:tab w:val="left" w:pos="596"/>
              </w:tabs>
              <w:spacing w:before="75" w:after="30"/>
              <w:jc w:val="right"/>
            </w:pPr>
            <w:r>
              <w:rPr>
                <w:color w:val="000000"/>
                <w:sz w:val="20"/>
              </w:rPr>
              <w:tab/>
              <w:t>(273)</w:t>
            </w:r>
          </w:p>
        </w:tc>
        <w:tc>
          <w:tcPr>
            <w:tcW w:w="75" w:type="dxa"/>
            <w:tcBorders>
              <w:top w:val="nil"/>
              <w:left w:val="nil"/>
              <w:bottom w:val="nil"/>
              <w:right w:val="nil"/>
            </w:tcBorders>
            <w:tcMar>
              <w:top w:w="0" w:type="dxa"/>
              <w:left w:w="0" w:type="dxa"/>
              <w:bottom w:w="0" w:type="dxa"/>
              <w:right w:w="0" w:type="dxa"/>
            </w:tcMar>
            <w:vAlign w:val="bottom"/>
          </w:tcPr>
          <w:p w14:paraId="7594924E"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FBDB212"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B654092"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66AE752" w14:textId="77777777" w:rsidR="007C1CFF" w:rsidRDefault="00000000">
            <w:pPr>
              <w:keepNext/>
              <w:tabs>
                <w:tab w:val="left" w:pos="596"/>
              </w:tabs>
              <w:spacing w:before="75" w:after="30"/>
              <w:jc w:val="right"/>
            </w:pPr>
            <w:r>
              <w:rPr>
                <w:color w:val="000000"/>
                <w:sz w:val="20"/>
              </w:rPr>
              <w:tab/>
              <w:t>(569)</w:t>
            </w:r>
          </w:p>
        </w:tc>
        <w:tc>
          <w:tcPr>
            <w:tcW w:w="75" w:type="dxa"/>
            <w:tcBorders>
              <w:top w:val="nil"/>
              <w:left w:val="nil"/>
              <w:bottom w:val="nil"/>
              <w:right w:val="nil"/>
            </w:tcBorders>
            <w:tcMar>
              <w:top w:w="0" w:type="dxa"/>
              <w:left w:w="0" w:type="dxa"/>
              <w:bottom w:w="0" w:type="dxa"/>
              <w:right w:w="0" w:type="dxa"/>
            </w:tcMar>
            <w:vAlign w:val="bottom"/>
          </w:tcPr>
          <w:p w14:paraId="0E391D2B"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020AF12"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6ABFF32B"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4B401415" w14:textId="77777777" w:rsidR="007C1CFF" w:rsidRDefault="00000000">
            <w:pPr>
              <w:keepNext/>
              <w:spacing w:before="75" w:after="30"/>
              <w:ind w:left="120"/>
            </w:pPr>
            <w:r>
              <w:rPr>
                <w:color w:val="000000"/>
                <w:sz w:val="20"/>
              </w:rPr>
              <w:t>Senior housing portfolio recurring capital expenditures</w:t>
            </w:r>
          </w:p>
        </w:tc>
        <w:tc>
          <w:tcPr>
            <w:tcW w:w="1095" w:type="dxa"/>
            <w:tcBorders>
              <w:top w:val="nil"/>
              <w:left w:val="nil"/>
              <w:bottom w:val="single" w:sz="8" w:space="0" w:color="000000"/>
              <w:right w:val="nil"/>
            </w:tcBorders>
            <w:tcMar>
              <w:top w:w="0" w:type="dxa"/>
              <w:left w:w="0" w:type="dxa"/>
              <w:bottom w:w="0" w:type="dxa"/>
              <w:right w:w="15" w:type="dxa"/>
            </w:tcMar>
            <w:vAlign w:val="bottom"/>
          </w:tcPr>
          <w:p w14:paraId="744F3CB9" w14:textId="77777777" w:rsidR="007C1CFF" w:rsidRDefault="00000000">
            <w:pPr>
              <w:keepNext/>
              <w:tabs>
                <w:tab w:val="left" w:pos="596"/>
              </w:tabs>
              <w:spacing w:before="75" w:after="30"/>
              <w:jc w:val="right"/>
            </w:pPr>
            <w:r>
              <w:rPr>
                <w:color w:val="000000"/>
                <w:sz w:val="20"/>
              </w:rPr>
              <w:tab/>
              <w:t>(130)</w:t>
            </w:r>
          </w:p>
        </w:tc>
        <w:tc>
          <w:tcPr>
            <w:tcW w:w="75" w:type="dxa"/>
            <w:tcBorders>
              <w:top w:val="nil"/>
              <w:left w:val="nil"/>
              <w:bottom w:val="nil"/>
              <w:right w:val="nil"/>
            </w:tcBorders>
            <w:tcMar>
              <w:top w:w="0" w:type="dxa"/>
              <w:left w:w="53" w:type="dxa"/>
              <w:bottom w:w="0" w:type="dxa"/>
              <w:right w:w="15" w:type="dxa"/>
            </w:tcMar>
            <w:vAlign w:val="bottom"/>
          </w:tcPr>
          <w:p w14:paraId="1ED96FE8" w14:textId="77777777" w:rsidR="007C1CFF" w:rsidRDefault="007C1CFF">
            <w:pPr>
              <w:keepNext/>
              <w:spacing w:before="75" w:after="30"/>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16A6E3F0"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53" w:type="dxa"/>
              <w:bottom w:w="0" w:type="dxa"/>
              <w:right w:w="15" w:type="dxa"/>
            </w:tcMar>
            <w:vAlign w:val="bottom"/>
          </w:tcPr>
          <w:p w14:paraId="1B831AB3" w14:textId="77777777" w:rsidR="007C1CFF" w:rsidRDefault="007C1CFF">
            <w:pPr>
              <w:keepNext/>
              <w:spacing w:before="75" w:after="30"/>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0FA3F476" w14:textId="77777777" w:rsidR="007C1CFF" w:rsidRDefault="00000000">
            <w:pPr>
              <w:keepNext/>
              <w:tabs>
                <w:tab w:val="left" w:pos="596"/>
              </w:tabs>
              <w:spacing w:before="75" w:after="30"/>
              <w:jc w:val="right"/>
            </w:pPr>
            <w:r>
              <w:rPr>
                <w:color w:val="000000"/>
                <w:sz w:val="20"/>
              </w:rPr>
              <w:tab/>
              <w:t>(130)</w:t>
            </w:r>
          </w:p>
        </w:tc>
        <w:tc>
          <w:tcPr>
            <w:tcW w:w="75" w:type="dxa"/>
            <w:tcBorders>
              <w:top w:val="nil"/>
              <w:left w:val="nil"/>
              <w:bottom w:val="nil"/>
              <w:right w:val="nil"/>
            </w:tcBorders>
            <w:tcMar>
              <w:top w:w="0" w:type="dxa"/>
              <w:left w:w="53" w:type="dxa"/>
              <w:bottom w:w="0" w:type="dxa"/>
              <w:right w:w="15" w:type="dxa"/>
            </w:tcMar>
            <w:vAlign w:val="bottom"/>
          </w:tcPr>
          <w:p w14:paraId="1FE60585" w14:textId="77777777" w:rsidR="007C1CFF" w:rsidRDefault="007C1CFF">
            <w:pPr>
              <w:keepNext/>
              <w:spacing w:before="75" w:after="30"/>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566E9110"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49778794"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60E0A916" w14:textId="77777777" w:rsidR="007C1CFF" w:rsidRDefault="00000000">
            <w:pPr>
              <w:keepNext/>
              <w:spacing w:before="55" w:after="30"/>
            </w:pPr>
            <w:r>
              <w:rPr>
                <w:color w:val="000000"/>
                <w:sz w:val="20"/>
              </w:rPr>
              <w:t>Normalized FAD attributable to common stockholders</w:t>
            </w: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14:paraId="25C3A37C" w14:textId="77777777" w:rsidR="007C1CFF" w:rsidRDefault="00000000">
            <w:pPr>
              <w:keepNext/>
              <w:tabs>
                <w:tab w:val="left" w:pos="412"/>
                <w:tab w:val="left" w:pos="1027"/>
              </w:tabs>
              <w:spacing w:before="55" w:after="30"/>
              <w:jc w:val="right"/>
            </w:pPr>
            <w:r>
              <w:rPr>
                <w:color w:val="000000"/>
                <w:sz w:val="20"/>
              </w:rPr>
              <w:t>$</w:t>
            </w:r>
            <w:r>
              <w:rPr>
                <w:color w:val="000000"/>
                <w:sz w:val="20"/>
              </w:rPr>
              <w:tab/>
              <w:t>56,279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D639480" w14:textId="77777777" w:rsidR="007C1CFF" w:rsidRDefault="007C1CFF">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14:paraId="5044E524" w14:textId="77777777" w:rsidR="007C1CFF" w:rsidRDefault="00000000">
            <w:pPr>
              <w:keepNext/>
              <w:tabs>
                <w:tab w:val="left" w:pos="412"/>
                <w:tab w:val="left" w:pos="1027"/>
              </w:tabs>
              <w:spacing w:before="55" w:after="30"/>
              <w:jc w:val="right"/>
            </w:pPr>
            <w:r>
              <w:rPr>
                <w:color w:val="000000"/>
                <w:sz w:val="20"/>
              </w:rPr>
              <w:t>$</w:t>
            </w:r>
            <w:r>
              <w:rPr>
                <w:color w:val="000000"/>
                <w:sz w:val="20"/>
              </w:rPr>
              <w:tab/>
              <w:t>52,839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E176C78" w14:textId="77777777" w:rsidR="007C1CFF" w:rsidRDefault="007C1CFF">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14:paraId="63A921FD" w14:textId="77777777" w:rsidR="007C1CFF" w:rsidRDefault="00000000">
            <w:pPr>
              <w:keepNext/>
              <w:tabs>
                <w:tab w:val="left" w:pos="312"/>
                <w:tab w:val="left" w:pos="1027"/>
              </w:tabs>
              <w:spacing w:before="55" w:after="30"/>
              <w:jc w:val="right"/>
            </w:pPr>
            <w:r>
              <w:rPr>
                <w:color w:val="000000"/>
                <w:sz w:val="20"/>
              </w:rPr>
              <w:t>$</w:t>
            </w:r>
            <w:r>
              <w:rPr>
                <w:color w:val="000000"/>
                <w:sz w:val="20"/>
              </w:rPr>
              <w:tab/>
              <w:t>108,951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A89E46A" w14:textId="77777777" w:rsidR="007C1CFF" w:rsidRDefault="007C1CFF">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14:paraId="470C99DD" w14:textId="77777777" w:rsidR="007C1CFF" w:rsidRDefault="00000000">
            <w:pPr>
              <w:keepNext/>
              <w:tabs>
                <w:tab w:val="left" w:pos="312"/>
                <w:tab w:val="left" w:pos="1027"/>
              </w:tabs>
              <w:spacing w:before="55" w:after="30"/>
              <w:jc w:val="right"/>
            </w:pPr>
            <w:r>
              <w:rPr>
                <w:color w:val="000000"/>
                <w:sz w:val="20"/>
              </w:rPr>
              <w:t>$</w:t>
            </w:r>
            <w:r>
              <w:rPr>
                <w:color w:val="000000"/>
                <w:sz w:val="20"/>
              </w:rPr>
              <w:tab/>
              <w:t>112,389</w:t>
            </w:r>
            <w:r>
              <w:rPr>
                <w:color w:val="000000"/>
                <w:sz w:val="20"/>
              </w:rPr>
              <w:tab/>
            </w:r>
          </w:p>
        </w:tc>
      </w:tr>
      <w:tr w:rsidR="007C1CFF" w14:paraId="3420221F" w14:textId="77777777">
        <w:trPr>
          <w:cantSplit/>
          <w:trHeight w:hRule="exact" w:val="285"/>
        </w:trPr>
        <w:tc>
          <w:tcPr>
            <w:tcW w:w="5835" w:type="dxa"/>
            <w:tcBorders>
              <w:top w:val="nil"/>
              <w:left w:val="nil"/>
              <w:bottom w:val="nil"/>
              <w:right w:val="nil"/>
            </w:tcBorders>
            <w:tcMar>
              <w:top w:w="0" w:type="dxa"/>
              <w:left w:w="0" w:type="dxa"/>
              <w:bottom w:w="0" w:type="dxa"/>
              <w:right w:w="0" w:type="dxa"/>
            </w:tcMar>
            <w:vAlign w:val="bottom"/>
          </w:tcPr>
          <w:p w14:paraId="09991FDF" w14:textId="77777777" w:rsidR="007C1CFF" w:rsidRDefault="007C1CFF">
            <w:pPr>
              <w:keepNext/>
            </w:pPr>
          </w:p>
        </w:tc>
        <w:tc>
          <w:tcPr>
            <w:tcW w:w="1095" w:type="dxa"/>
            <w:tcBorders>
              <w:top w:val="double" w:sz="8" w:space="0" w:color="000000"/>
              <w:left w:val="nil"/>
              <w:bottom w:val="nil"/>
              <w:right w:val="nil"/>
            </w:tcBorders>
            <w:tcMar>
              <w:top w:w="0" w:type="dxa"/>
              <w:left w:w="0" w:type="dxa"/>
              <w:bottom w:w="0" w:type="dxa"/>
              <w:right w:w="0" w:type="dxa"/>
            </w:tcMar>
            <w:vAlign w:val="bottom"/>
          </w:tcPr>
          <w:p w14:paraId="52685F17"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0914CE39" w14:textId="77777777" w:rsidR="007C1CFF" w:rsidRDefault="007C1CFF">
            <w:pPr>
              <w:keepNext/>
            </w:pPr>
          </w:p>
        </w:tc>
        <w:tc>
          <w:tcPr>
            <w:tcW w:w="1095" w:type="dxa"/>
            <w:tcBorders>
              <w:top w:val="double" w:sz="8" w:space="0" w:color="000000"/>
              <w:left w:val="nil"/>
              <w:bottom w:val="nil"/>
              <w:right w:val="nil"/>
            </w:tcBorders>
            <w:tcMar>
              <w:top w:w="0" w:type="dxa"/>
              <w:left w:w="0" w:type="dxa"/>
              <w:bottom w:w="0" w:type="dxa"/>
              <w:right w:w="0" w:type="dxa"/>
            </w:tcMar>
            <w:vAlign w:val="bottom"/>
          </w:tcPr>
          <w:p w14:paraId="7E382483"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4ADDC48D" w14:textId="77777777" w:rsidR="007C1CFF" w:rsidRDefault="007C1CFF">
            <w:pPr>
              <w:keepNext/>
            </w:pPr>
          </w:p>
        </w:tc>
        <w:tc>
          <w:tcPr>
            <w:tcW w:w="1095" w:type="dxa"/>
            <w:tcBorders>
              <w:top w:val="double" w:sz="8" w:space="0" w:color="000000"/>
              <w:left w:val="nil"/>
              <w:bottom w:val="nil"/>
              <w:right w:val="nil"/>
            </w:tcBorders>
            <w:tcMar>
              <w:top w:w="0" w:type="dxa"/>
              <w:left w:w="0" w:type="dxa"/>
              <w:bottom w:w="0" w:type="dxa"/>
              <w:right w:w="0" w:type="dxa"/>
            </w:tcMar>
            <w:vAlign w:val="bottom"/>
          </w:tcPr>
          <w:p w14:paraId="38CA44F1"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42C3A4B9" w14:textId="77777777" w:rsidR="007C1CFF" w:rsidRDefault="007C1CFF">
            <w:pPr>
              <w:keepNext/>
            </w:pPr>
          </w:p>
        </w:tc>
        <w:tc>
          <w:tcPr>
            <w:tcW w:w="1095" w:type="dxa"/>
            <w:tcBorders>
              <w:top w:val="double" w:sz="8" w:space="0" w:color="000000"/>
              <w:left w:val="nil"/>
              <w:bottom w:val="nil"/>
              <w:right w:val="nil"/>
            </w:tcBorders>
            <w:tcMar>
              <w:top w:w="0" w:type="dxa"/>
              <w:left w:w="0" w:type="dxa"/>
              <w:bottom w:w="0" w:type="dxa"/>
              <w:right w:w="0" w:type="dxa"/>
            </w:tcMar>
            <w:vAlign w:val="bottom"/>
          </w:tcPr>
          <w:p w14:paraId="66931882" w14:textId="77777777" w:rsidR="007C1CFF" w:rsidRDefault="007C1CFF">
            <w:pPr>
              <w:keepNext/>
            </w:pPr>
          </w:p>
        </w:tc>
      </w:tr>
      <w:tr w:rsidR="007C1CFF" w14:paraId="2B453F92"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4FC9D282" w14:textId="77777777" w:rsidR="007C1CFF" w:rsidRDefault="00000000">
            <w:pPr>
              <w:keepNext/>
              <w:spacing w:before="75" w:after="30"/>
            </w:pPr>
            <w:r>
              <w:rPr>
                <w:color w:val="000000"/>
                <w:sz w:val="20"/>
                <w:u w:val="single"/>
              </w:rPr>
              <w:t>BASIC</w:t>
            </w:r>
          </w:p>
        </w:tc>
        <w:tc>
          <w:tcPr>
            <w:tcW w:w="1095" w:type="dxa"/>
            <w:tcBorders>
              <w:top w:val="nil"/>
              <w:left w:val="nil"/>
              <w:bottom w:val="nil"/>
              <w:right w:val="nil"/>
            </w:tcBorders>
            <w:tcMar>
              <w:top w:w="0" w:type="dxa"/>
              <w:left w:w="0" w:type="dxa"/>
              <w:bottom w:w="0" w:type="dxa"/>
              <w:right w:w="0" w:type="dxa"/>
            </w:tcMar>
            <w:vAlign w:val="bottom"/>
          </w:tcPr>
          <w:p w14:paraId="0C9D9780"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14C9CDEA"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1CED3744"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536DFA74"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3D2E0A4F"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2A4E4E32"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191A914F" w14:textId="77777777" w:rsidR="007C1CFF" w:rsidRDefault="007C1CFF">
            <w:pPr>
              <w:keepNext/>
            </w:pPr>
          </w:p>
        </w:tc>
      </w:tr>
      <w:tr w:rsidR="007C1CFF" w14:paraId="5D8589E5"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1AA47C8A" w14:textId="77777777" w:rsidR="007C1CFF" w:rsidRDefault="00000000">
            <w:pPr>
              <w:keepNext/>
              <w:spacing w:before="75" w:after="30"/>
              <w:ind w:left="225"/>
            </w:pPr>
            <w:r>
              <w:rPr>
                <w:color w:val="000000"/>
                <w:sz w:val="20"/>
              </w:rPr>
              <w:t>Weighted average common shares outstanding</w:t>
            </w:r>
          </w:p>
        </w:tc>
        <w:tc>
          <w:tcPr>
            <w:tcW w:w="1095" w:type="dxa"/>
            <w:tcBorders>
              <w:top w:val="nil"/>
              <w:left w:val="nil"/>
              <w:bottom w:val="nil"/>
              <w:right w:val="nil"/>
            </w:tcBorders>
            <w:tcMar>
              <w:top w:w="0" w:type="dxa"/>
              <w:left w:w="0" w:type="dxa"/>
              <w:bottom w:w="0" w:type="dxa"/>
              <w:right w:w="15" w:type="dxa"/>
            </w:tcMar>
            <w:vAlign w:val="bottom"/>
          </w:tcPr>
          <w:p w14:paraId="334A6BF6" w14:textId="77777777" w:rsidR="007C1CFF" w:rsidRDefault="00000000">
            <w:pPr>
              <w:keepNext/>
              <w:tabs>
                <w:tab w:val="left" w:pos="62"/>
                <w:tab w:val="left" w:pos="1027"/>
              </w:tabs>
              <w:spacing w:before="75" w:after="30"/>
              <w:jc w:val="right"/>
            </w:pPr>
            <w:r>
              <w:rPr>
                <w:color w:val="000000"/>
                <w:sz w:val="20"/>
              </w:rPr>
              <w:tab/>
              <w:t>45,708,238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91C8E30"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787AEC3" w14:textId="77777777" w:rsidR="007C1CFF" w:rsidRDefault="00000000">
            <w:pPr>
              <w:keepNext/>
              <w:tabs>
                <w:tab w:val="left" w:pos="62"/>
                <w:tab w:val="left" w:pos="1027"/>
              </w:tabs>
              <w:spacing w:before="75" w:after="30"/>
              <w:jc w:val="right"/>
            </w:pPr>
            <w:r>
              <w:rPr>
                <w:color w:val="000000"/>
                <w:sz w:val="20"/>
              </w:rPr>
              <w:tab/>
              <w:t>45,850,599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B485B2F"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01DF0CF2" w14:textId="77777777" w:rsidR="007C1CFF" w:rsidRDefault="00000000">
            <w:pPr>
              <w:keepNext/>
              <w:tabs>
                <w:tab w:val="left" w:pos="62"/>
                <w:tab w:val="left" w:pos="1027"/>
              </w:tabs>
              <w:spacing w:before="75" w:after="30"/>
              <w:jc w:val="right"/>
            </w:pPr>
            <w:r>
              <w:rPr>
                <w:color w:val="000000"/>
                <w:sz w:val="20"/>
              </w:rPr>
              <w:tab/>
              <w:t>45,779,433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5003E7C"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569F915" w14:textId="77777777" w:rsidR="007C1CFF" w:rsidRDefault="00000000">
            <w:pPr>
              <w:keepNext/>
              <w:tabs>
                <w:tab w:val="left" w:pos="62"/>
                <w:tab w:val="left" w:pos="1027"/>
              </w:tabs>
              <w:spacing w:before="75" w:after="30"/>
              <w:jc w:val="right"/>
            </w:pPr>
            <w:r>
              <w:rPr>
                <w:color w:val="000000"/>
                <w:sz w:val="20"/>
              </w:rPr>
              <w:tab/>
              <w:t>45,577,843</w:t>
            </w:r>
            <w:r>
              <w:rPr>
                <w:color w:val="000000"/>
                <w:sz w:val="20"/>
              </w:rPr>
              <w:tab/>
            </w:r>
          </w:p>
        </w:tc>
      </w:tr>
      <w:tr w:rsidR="007C1CFF" w14:paraId="266C4D21"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67080C47" w14:textId="77777777" w:rsidR="007C1CFF" w:rsidRDefault="00000000">
            <w:pPr>
              <w:keepNext/>
              <w:spacing w:before="75" w:after="30"/>
              <w:ind w:left="225"/>
            </w:pPr>
            <w:r>
              <w:rPr>
                <w:color w:val="000000"/>
                <w:sz w:val="20"/>
              </w:rPr>
              <w:t>NAREIT FFO attributable to common stockholders per share</w:t>
            </w:r>
          </w:p>
        </w:tc>
        <w:tc>
          <w:tcPr>
            <w:tcW w:w="1095" w:type="dxa"/>
            <w:tcBorders>
              <w:top w:val="nil"/>
              <w:left w:val="nil"/>
              <w:bottom w:val="nil"/>
              <w:right w:val="nil"/>
            </w:tcBorders>
            <w:tcMar>
              <w:top w:w="0" w:type="dxa"/>
              <w:left w:w="0" w:type="dxa"/>
              <w:bottom w:w="0" w:type="dxa"/>
              <w:right w:w="15" w:type="dxa"/>
            </w:tcMar>
            <w:vAlign w:val="bottom"/>
          </w:tcPr>
          <w:p w14:paraId="3ACBE3D3" w14:textId="77777777" w:rsidR="007C1CFF" w:rsidRDefault="00000000">
            <w:pPr>
              <w:keepNext/>
              <w:tabs>
                <w:tab w:val="left" w:pos="612"/>
                <w:tab w:val="left" w:pos="1027"/>
              </w:tabs>
              <w:spacing w:before="75" w:after="30"/>
              <w:jc w:val="right"/>
            </w:pPr>
            <w:r>
              <w:rPr>
                <w:color w:val="000000"/>
                <w:sz w:val="20"/>
              </w:rPr>
              <w:t>$</w:t>
            </w:r>
            <w:r>
              <w:rPr>
                <w:color w:val="000000"/>
                <w:sz w:val="20"/>
              </w:rPr>
              <w:tab/>
              <w:t>0.71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AEFDBF0"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ED54834" w14:textId="77777777" w:rsidR="007C1CFF" w:rsidRDefault="00000000">
            <w:pPr>
              <w:keepNext/>
              <w:tabs>
                <w:tab w:val="left" w:pos="612"/>
                <w:tab w:val="left" w:pos="1027"/>
              </w:tabs>
              <w:spacing w:before="75" w:after="30"/>
              <w:jc w:val="right"/>
            </w:pPr>
            <w:r>
              <w:rPr>
                <w:color w:val="000000"/>
                <w:sz w:val="20"/>
              </w:rPr>
              <w:t>$</w:t>
            </w:r>
            <w:r>
              <w:rPr>
                <w:color w:val="000000"/>
                <w:sz w:val="20"/>
              </w:rPr>
              <w:tab/>
              <w:t>1.16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73FA756"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0039423" w14:textId="77777777" w:rsidR="007C1CFF" w:rsidRDefault="00000000">
            <w:pPr>
              <w:keepNext/>
              <w:tabs>
                <w:tab w:val="left" w:pos="612"/>
                <w:tab w:val="left" w:pos="1027"/>
              </w:tabs>
              <w:spacing w:before="75" w:after="30"/>
              <w:jc w:val="right"/>
            </w:pPr>
            <w:r>
              <w:rPr>
                <w:color w:val="000000"/>
                <w:sz w:val="20"/>
              </w:rPr>
              <w:t>$</w:t>
            </w:r>
            <w:r>
              <w:rPr>
                <w:color w:val="000000"/>
                <w:sz w:val="20"/>
              </w:rPr>
              <w:tab/>
              <w:t>1.76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456F356"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6C1DDF2" w14:textId="77777777" w:rsidR="007C1CFF" w:rsidRDefault="00000000">
            <w:pPr>
              <w:keepNext/>
              <w:tabs>
                <w:tab w:val="left" w:pos="612"/>
                <w:tab w:val="left" w:pos="1027"/>
              </w:tabs>
              <w:spacing w:before="75" w:after="30"/>
              <w:jc w:val="right"/>
            </w:pPr>
            <w:r>
              <w:rPr>
                <w:color w:val="000000"/>
                <w:sz w:val="20"/>
              </w:rPr>
              <w:t>$</w:t>
            </w:r>
            <w:r>
              <w:rPr>
                <w:color w:val="000000"/>
                <w:sz w:val="20"/>
              </w:rPr>
              <w:tab/>
              <w:t>2.39</w:t>
            </w:r>
            <w:r>
              <w:rPr>
                <w:color w:val="000000"/>
                <w:sz w:val="20"/>
              </w:rPr>
              <w:tab/>
            </w:r>
          </w:p>
        </w:tc>
      </w:tr>
      <w:tr w:rsidR="007C1CFF" w14:paraId="5A76EE66" w14:textId="77777777">
        <w:trPr>
          <w:cantSplit/>
          <w:trHeight w:hRule="exact" w:val="300"/>
        </w:trPr>
        <w:tc>
          <w:tcPr>
            <w:tcW w:w="5835" w:type="dxa"/>
            <w:tcBorders>
              <w:top w:val="nil"/>
              <w:left w:val="nil"/>
              <w:bottom w:val="nil"/>
              <w:right w:val="nil"/>
            </w:tcBorders>
            <w:tcMar>
              <w:top w:w="0" w:type="dxa"/>
              <w:left w:w="53" w:type="dxa"/>
              <w:bottom w:w="0" w:type="dxa"/>
              <w:right w:w="53" w:type="dxa"/>
            </w:tcMar>
            <w:vAlign w:val="bottom"/>
          </w:tcPr>
          <w:p w14:paraId="23D7B804" w14:textId="77777777" w:rsidR="007C1CFF" w:rsidRDefault="00000000">
            <w:pPr>
              <w:keepNext/>
              <w:spacing w:before="75" w:after="30"/>
              <w:ind w:left="225"/>
            </w:pPr>
            <w:r>
              <w:rPr>
                <w:color w:val="000000"/>
                <w:sz w:val="20"/>
              </w:rPr>
              <w:t>Normalized FFO attributable to common stockholders per share</w:t>
            </w:r>
          </w:p>
        </w:tc>
        <w:tc>
          <w:tcPr>
            <w:tcW w:w="1095" w:type="dxa"/>
            <w:tcBorders>
              <w:top w:val="nil"/>
              <w:left w:val="nil"/>
              <w:bottom w:val="nil"/>
              <w:right w:val="nil"/>
            </w:tcBorders>
            <w:tcMar>
              <w:top w:w="0" w:type="dxa"/>
              <w:left w:w="0" w:type="dxa"/>
              <w:bottom w:w="0" w:type="dxa"/>
              <w:right w:w="15" w:type="dxa"/>
            </w:tcMar>
            <w:vAlign w:val="bottom"/>
          </w:tcPr>
          <w:p w14:paraId="25BB40CE" w14:textId="77777777" w:rsidR="007C1CFF" w:rsidRDefault="00000000">
            <w:pPr>
              <w:keepNext/>
              <w:tabs>
                <w:tab w:val="left" w:pos="612"/>
                <w:tab w:val="left" w:pos="1027"/>
              </w:tabs>
              <w:spacing w:before="75" w:after="30"/>
              <w:jc w:val="right"/>
            </w:pPr>
            <w:r>
              <w:rPr>
                <w:color w:val="000000"/>
                <w:sz w:val="20"/>
              </w:rPr>
              <w:t>$</w:t>
            </w:r>
            <w:r>
              <w:rPr>
                <w:color w:val="000000"/>
                <w:sz w:val="20"/>
              </w:rPr>
              <w:tab/>
              <w:t>1.27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BB1E007"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1EC2112" w14:textId="77777777" w:rsidR="007C1CFF" w:rsidRDefault="00000000">
            <w:pPr>
              <w:keepNext/>
              <w:tabs>
                <w:tab w:val="left" w:pos="612"/>
                <w:tab w:val="left" w:pos="1027"/>
              </w:tabs>
              <w:spacing w:before="75" w:after="30"/>
              <w:jc w:val="right"/>
            </w:pPr>
            <w:r>
              <w:rPr>
                <w:color w:val="000000"/>
                <w:sz w:val="20"/>
              </w:rPr>
              <w:t>$</w:t>
            </w:r>
            <w:r>
              <w:rPr>
                <w:color w:val="000000"/>
                <w:sz w:val="20"/>
              </w:rPr>
              <w:tab/>
              <w:t>1.16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ABD6FAE"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0722C45" w14:textId="77777777" w:rsidR="007C1CFF" w:rsidRDefault="00000000">
            <w:pPr>
              <w:keepNext/>
              <w:tabs>
                <w:tab w:val="left" w:pos="612"/>
                <w:tab w:val="left" w:pos="1027"/>
              </w:tabs>
              <w:spacing w:before="75" w:after="30"/>
              <w:jc w:val="right"/>
            </w:pPr>
            <w:r>
              <w:rPr>
                <w:color w:val="000000"/>
                <w:sz w:val="20"/>
              </w:rPr>
              <w:t>$</w:t>
            </w:r>
            <w:r>
              <w:rPr>
                <w:color w:val="000000"/>
                <w:sz w:val="20"/>
              </w:rPr>
              <w:tab/>
              <w:t>2.37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7192689"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AE83CF3" w14:textId="77777777" w:rsidR="007C1CFF" w:rsidRDefault="00000000">
            <w:pPr>
              <w:keepNext/>
              <w:tabs>
                <w:tab w:val="left" w:pos="612"/>
                <w:tab w:val="left" w:pos="1027"/>
              </w:tabs>
              <w:spacing w:before="75" w:after="30"/>
              <w:jc w:val="right"/>
            </w:pPr>
            <w:r>
              <w:rPr>
                <w:color w:val="000000"/>
                <w:sz w:val="20"/>
              </w:rPr>
              <w:t>$</w:t>
            </w:r>
            <w:r>
              <w:rPr>
                <w:color w:val="000000"/>
                <w:sz w:val="20"/>
              </w:rPr>
              <w:tab/>
              <w:t>2.40</w:t>
            </w:r>
            <w:r>
              <w:rPr>
                <w:color w:val="000000"/>
                <w:sz w:val="20"/>
              </w:rPr>
              <w:tab/>
            </w:r>
          </w:p>
        </w:tc>
      </w:tr>
      <w:tr w:rsidR="007C1CFF" w14:paraId="793F9576" w14:textId="77777777">
        <w:trPr>
          <w:cantSplit/>
          <w:trHeight w:hRule="exact" w:val="240"/>
        </w:trPr>
        <w:tc>
          <w:tcPr>
            <w:tcW w:w="5835" w:type="dxa"/>
            <w:tcBorders>
              <w:top w:val="nil"/>
              <w:left w:val="nil"/>
              <w:bottom w:val="nil"/>
              <w:right w:val="nil"/>
            </w:tcBorders>
            <w:tcMar>
              <w:top w:w="0" w:type="dxa"/>
              <w:left w:w="0" w:type="dxa"/>
              <w:bottom w:w="0" w:type="dxa"/>
              <w:right w:w="0" w:type="dxa"/>
            </w:tcMar>
            <w:vAlign w:val="bottom"/>
          </w:tcPr>
          <w:p w14:paraId="1FA49AC5"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08D237A2"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03AD00F2"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1F09F525"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5C0E4CE1"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2BA835AC"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6F1FCA78"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31A74645" w14:textId="77777777" w:rsidR="007C1CFF" w:rsidRDefault="007C1CFF">
            <w:pPr>
              <w:keepNext/>
            </w:pPr>
          </w:p>
        </w:tc>
      </w:tr>
      <w:tr w:rsidR="007C1CFF" w14:paraId="2C52080F"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1755CC40" w14:textId="77777777" w:rsidR="007C1CFF" w:rsidRDefault="00000000">
            <w:pPr>
              <w:keepNext/>
              <w:spacing w:before="75" w:after="30"/>
            </w:pPr>
            <w:r>
              <w:rPr>
                <w:color w:val="000000"/>
                <w:sz w:val="20"/>
                <w:u w:val="single"/>
              </w:rPr>
              <w:t>DILUTED</w:t>
            </w:r>
          </w:p>
        </w:tc>
        <w:tc>
          <w:tcPr>
            <w:tcW w:w="1095" w:type="dxa"/>
            <w:tcBorders>
              <w:top w:val="nil"/>
              <w:left w:val="nil"/>
              <w:bottom w:val="nil"/>
              <w:right w:val="nil"/>
            </w:tcBorders>
            <w:tcMar>
              <w:top w:w="0" w:type="dxa"/>
              <w:left w:w="0" w:type="dxa"/>
              <w:bottom w:w="0" w:type="dxa"/>
              <w:right w:w="0" w:type="dxa"/>
            </w:tcMar>
            <w:vAlign w:val="bottom"/>
          </w:tcPr>
          <w:p w14:paraId="51897ACE"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22391C96"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040A619D"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1D4F8394"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0E777972"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187AB221"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361059CE" w14:textId="77777777" w:rsidR="007C1CFF" w:rsidRDefault="007C1CFF">
            <w:pPr>
              <w:keepNext/>
            </w:pPr>
          </w:p>
        </w:tc>
      </w:tr>
      <w:tr w:rsidR="007C1CFF" w14:paraId="2E7E20DD"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620BE138" w14:textId="77777777" w:rsidR="007C1CFF" w:rsidRDefault="00000000">
            <w:pPr>
              <w:keepNext/>
              <w:spacing w:before="75" w:after="30"/>
              <w:ind w:left="225"/>
            </w:pPr>
            <w:r>
              <w:rPr>
                <w:color w:val="000000"/>
                <w:sz w:val="20"/>
              </w:rPr>
              <w:t>Weighted average common shares outstanding</w:t>
            </w:r>
          </w:p>
        </w:tc>
        <w:tc>
          <w:tcPr>
            <w:tcW w:w="1095" w:type="dxa"/>
            <w:tcBorders>
              <w:top w:val="nil"/>
              <w:left w:val="nil"/>
              <w:bottom w:val="nil"/>
              <w:right w:val="nil"/>
            </w:tcBorders>
            <w:tcMar>
              <w:top w:w="0" w:type="dxa"/>
              <w:left w:w="0" w:type="dxa"/>
              <w:bottom w:w="0" w:type="dxa"/>
              <w:right w:w="15" w:type="dxa"/>
            </w:tcMar>
            <w:vAlign w:val="bottom"/>
          </w:tcPr>
          <w:p w14:paraId="7CCBFCE7" w14:textId="77777777" w:rsidR="007C1CFF" w:rsidRDefault="00000000">
            <w:pPr>
              <w:keepNext/>
              <w:tabs>
                <w:tab w:val="left" w:pos="62"/>
                <w:tab w:val="left" w:pos="1027"/>
              </w:tabs>
              <w:spacing w:before="75" w:after="30"/>
              <w:jc w:val="right"/>
            </w:pPr>
            <w:r>
              <w:rPr>
                <w:color w:val="000000"/>
                <w:sz w:val="20"/>
              </w:rPr>
              <w:tab/>
              <w:t>45,718,538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8B228C6"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5D2FB57" w14:textId="77777777" w:rsidR="007C1CFF" w:rsidRDefault="00000000">
            <w:pPr>
              <w:keepNext/>
              <w:tabs>
                <w:tab w:val="left" w:pos="62"/>
                <w:tab w:val="left" w:pos="1027"/>
              </w:tabs>
              <w:spacing w:before="75" w:after="30"/>
              <w:jc w:val="right"/>
            </w:pPr>
            <w:r>
              <w:rPr>
                <w:color w:val="000000"/>
                <w:sz w:val="20"/>
              </w:rPr>
              <w:tab/>
              <w:t>45,858,074</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A00F00E"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01060C73" w14:textId="77777777" w:rsidR="007C1CFF" w:rsidRDefault="00000000">
            <w:pPr>
              <w:keepNext/>
              <w:tabs>
                <w:tab w:val="left" w:pos="62"/>
                <w:tab w:val="left" w:pos="1027"/>
              </w:tabs>
              <w:spacing w:before="75" w:after="30"/>
              <w:jc w:val="right"/>
            </w:pPr>
            <w:r>
              <w:rPr>
                <w:color w:val="000000"/>
                <w:sz w:val="20"/>
              </w:rPr>
              <w:tab/>
              <w:t>45,784,771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0185691"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0BDDAC3" w14:textId="77777777" w:rsidR="007C1CFF" w:rsidRDefault="00000000">
            <w:pPr>
              <w:keepNext/>
              <w:tabs>
                <w:tab w:val="left" w:pos="62"/>
                <w:tab w:val="left" w:pos="1027"/>
              </w:tabs>
              <w:spacing w:before="75" w:after="30"/>
              <w:jc w:val="right"/>
            </w:pPr>
            <w:r>
              <w:rPr>
                <w:color w:val="000000"/>
                <w:sz w:val="20"/>
              </w:rPr>
              <w:tab/>
              <w:t>45,607,924</w:t>
            </w:r>
            <w:r>
              <w:rPr>
                <w:color w:val="000000"/>
                <w:sz w:val="20"/>
              </w:rPr>
              <w:tab/>
            </w:r>
          </w:p>
        </w:tc>
      </w:tr>
      <w:tr w:rsidR="007C1CFF" w14:paraId="20C039C3"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37BF96B4" w14:textId="77777777" w:rsidR="007C1CFF" w:rsidRDefault="00000000">
            <w:pPr>
              <w:keepNext/>
              <w:spacing w:before="75" w:after="30"/>
              <w:ind w:left="225"/>
            </w:pPr>
            <w:r>
              <w:rPr>
                <w:color w:val="000000"/>
                <w:sz w:val="20"/>
              </w:rPr>
              <w:t>NAREIT FFO attributable to common stockholders per share</w:t>
            </w:r>
          </w:p>
        </w:tc>
        <w:tc>
          <w:tcPr>
            <w:tcW w:w="1095" w:type="dxa"/>
            <w:tcBorders>
              <w:top w:val="nil"/>
              <w:left w:val="nil"/>
              <w:bottom w:val="nil"/>
              <w:right w:val="nil"/>
            </w:tcBorders>
            <w:tcMar>
              <w:top w:w="0" w:type="dxa"/>
              <w:left w:w="0" w:type="dxa"/>
              <w:bottom w:w="0" w:type="dxa"/>
              <w:right w:w="15" w:type="dxa"/>
            </w:tcMar>
            <w:vAlign w:val="bottom"/>
          </w:tcPr>
          <w:p w14:paraId="4C0537C1" w14:textId="77777777" w:rsidR="007C1CFF" w:rsidRDefault="00000000">
            <w:pPr>
              <w:keepNext/>
              <w:tabs>
                <w:tab w:val="left" w:pos="612"/>
                <w:tab w:val="left" w:pos="1027"/>
              </w:tabs>
              <w:spacing w:before="75" w:after="30"/>
              <w:jc w:val="right"/>
            </w:pPr>
            <w:r>
              <w:rPr>
                <w:color w:val="000000"/>
                <w:sz w:val="20"/>
              </w:rPr>
              <w:t>$</w:t>
            </w:r>
            <w:r>
              <w:rPr>
                <w:color w:val="000000"/>
                <w:sz w:val="20"/>
              </w:rPr>
              <w:tab/>
              <w:t>0.71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F38C213"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F7A405F" w14:textId="77777777" w:rsidR="007C1CFF" w:rsidRDefault="00000000">
            <w:pPr>
              <w:keepNext/>
              <w:tabs>
                <w:tab w:val="left" w:pos="612"/>
                <w:tab w:val="left" w:pos="1027"/>
              </w:tabs>
              <w:spacing w:before="75" w:after="30"/>
              <w:jc w:val="right"/>
            </w:pPr>
            <w:r>
              <w:rPr>
                <w:color w:val="000000"/>
                <w:sz w:val="20"/>
              </w:rPr>
              <w:t>$</w:t>
            </w:r>
            <w:r>
              <w:rPr>
                <w:color w:val="000000"/>
                <w:sz w:val="20"/>
              </w:rPr>
              <w:tab/>
              <w:t>1.16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00464E3"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39F3347" w14:textId="77777777" w:rsidR="007C1CFF" w:rsidRDefault="00000000">
            <w:pPr>
              <w:keepNext/>
              <w:tabs>
                <w:tab w:val="left" w:pos="612"/>
                <w:tab w:val="left" w:pos="1027"/>
              </w:tabs>
              <w:spacing w:before="75" w:after="30"/>
              <w:jc w:val="right"/>
            </w:pPr>
            <w:r>
              <w:rPr>
                <w:color w:val="000000"/>
                <w:sz w:val="20"/>
              </w:rPr>
              <w:t>$</w:t>
            </w:r>
            <w:r>
              <w:rPr>
                <w:color w:val="000000"/>
                <w:sz w:val="20"/>
              </w:rPr>
              <w:tab/>
              <w:t>1.76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D7F0A54"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DBC02B2" w14:textId="77777777" w:rsidR="007C1CFF" w:rsidRDefault="00000000">
            <w:pPr>
              <w:keepNext/>
              <w:tabs>
                <w:tab w:val="left" w:pos="612"/>
                <w:tab w:val="left" w:pos="1027"/>
              </w:tabs>
              <w:spacing w:before="75" w:after="30"/>
              <w:jc w:val="right"/>
            </w:pPr>
            <w:r>
              <w:rPr>
                <w:color w:val="000000"/>
                <w:sz w:val="20"/>
              </w:rPr>
              <w:t>$</w:t>
            </w:r>
            <w:r>
              <w:rPr>
                <w:color w:val="000000"/>
                <w:sz w:val="20"/>
              </w:rPr>
              <w:tab/>
              <w:t>2.39</w:t>
            </w:r>
            <w:r>
              <w:rPr>
                <w:color w:val="000000"/>
                <w:sz w:val="20"/>
              </w:rPr>
              <w:tab/>
            </w:r>
          </w:p>
        </w:tc>
      </w:tr>
      <w:tr w:rsidR="007C1CFF" w14:paraId="164F88E1" w14:textId="77777777">
        <w:trPr>
          <w:cantSplit/>
          <w:trHeight w:hRule="exact" w:val="285"/>
        </w:trPr>
        <w:tc>
          <w:tcPr>
            <w:tcW w:w="5835" w:type="dxa"/>
            <w:tcBorders>
              <w:top w:val="nil"/>
              <w:left w:val="nil"/>
              <w:bottom w:val="nil"/>
              <w:right w:val="nil"/>
            </w:tcBorders>
            <w:tcMar>
              <w:top w:w="0" w:type="dxa"/>
              <w:left w:w="53" w:type="dxa"/>
              <w:bottom w:w="0" w:type="dxa"/>
              <w:right w:w="53" w:type="dxa"/>
            </w:tcMar>
            <w:vAlign w:val="bottom"/>
          </w:tcPr>
          <w:p w14:paraId="0974B22E" w14:textId="77777777" w:rsidR="007C1CFF" w:rsidRDefault="00000000">
            <w:pPr>
              <w:spacing w:before="75" w:after="30"/>
              <w:ind w:left="225"/>
            </w:pPr>
            <w:r>
              <w:rPr>
                <w:color w:val="000000"/>
                <w:sz w:val="20"/>
              </w:rPr>
              <w:t>Normalized FFO attributable to common stockholders per share</w:t>
            </w:r>
          </w:p>
        </w:tc>
        <w:tc>
          <w:tcPr>
            <w:tcW w:w="1095" w:type="dxa"/>
            <w:tcBorders>
              <w:top w:val="nil"/>
              <w:left w:val="nil"/>
              <w:bottom w:val="nil"/>
              <w:right w:val="nil"/>
            </w:tcBorders>
            <w:tcMar>
              <w:top w:w="0" w:type="dxa"/>
              <w:left w:w="0" w:type="dxa"/>
              <w:bottom w:w="0" w:type="dxa"/>
              <w:right w:w="15" w:type="dxa"/>
            </w:tcMar>
            <w:vAlign w:val="bottom"/>
          </w:tcPr>
          <w:p w14:paraId="5CE434FF" w14:textId="77777777" w:rsidR="007C1CFF" w:rsidRDefault="00000000">
            <w:pPr>
              <w:tabs>
                <w:tab w:val="left" w:pos="612"/>
                <w:tab w:val="left" w:pos="1027"/>
              </w:tabs>
              <w:spacing w:before="75" w:after="30"/>
              <w:jc w:val="right"/>
            </w:pPr>
            <w:r>
              <w:rPr>
                <w:color w:val="000000"/>
                <w:sz w:val="20"/>
              </w:rPr>
              <w:t>$</w:t>
            </w:r>
            <w:r>
              <w:rPr>
                <w:color w:val="000000"/>
                <w:sz w:val="20"/>
              </w:rPr>
              <w:tab/>
              <w:t>1.26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9D213DF" w14:textId="77777777" w:rsidR="007C1CFF" w:rsidRDefault="007C1CFF"/>
        </w:tc>
        <w:tc>
          <w:tcPr>
            <w:tcW w:w="1095" w:type="dxa"/>
            <w:tcBorders>
              <w:top w:val="nil"/>
              <w:left w:val="nil"/>
              <w:bottom w:val="nil"/>
              <w:right w:val="nil"/>
            </w:tcBorders>
            <w:tcMar>
              <w:top w:w="0" w:type="dxa"/>
              <w:left w:w="0" w:type="dxa"/>
              <w:bottom w:w="0" w:type="dxa"/>
              <w:right w:w="15" w:type="dxa"/>
            </w:tcMar>
            <w:vAlign w:val="bottom"/>
          </w:tcPr>
          <w:p w14:paraId="4B5127CE" w14:textId="77777777" w:rsidR="007C1CFF" w:rsidRDefault="00000000">
            <w:pPr>
              <w:tabs>
                <w:tab w:val="left" w:pos="612"/>
                <w:tab w:val="left" w:pos="1027"/>
              </w:tabs>
              <w:spacing w:before="75" w:after="30"/>
              <w:jc w:val="right"/>
            </w:pPr>
            <w:r>
              <w:rPr>
                <w:color w:val="000000"/>
                <w:sz w:val="20"/>
              </w:rPr>
              <w:t>$</w:t>
            </w:r>
            <w:r>
              <w:rPr>
                <w:color w:val="000000"/>
                <w:sz w:val="20"/>
              </w:rPr>
              <w:tab/>
              <w:t>1.16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370E2DB" w14:textId="77777777" w:rsidR="007C1CFF" w:rsidRDefault="007C1CFF"/>
        </w:tc>
        <w:tc>
          <w:tcPr>
            <w:tcW w:w="1095" w:type="dxa"/>
            <w:tcBorders>
              <w:top w:val="nil"/>
              <w:left w:val="nil"/>
              <w:bottom w:val="nil"/>
              <w:right w:val="nil"/>
            </w:tcBorders>
            <w:tcMar>
              <w:top w:w="0" w:type="dxa"/>
              <w:left w:w="0" w:type="dxa"/>
              <w:bottom w:w="0" w:type="dxa"/>
              <w:right w:w="15" w:type="dxa"/>
            </w:tcMar>
            <w:vAlign w:val="bottom"/>
          </w:tcPr>
          <w:p w14:paraId="1CBB96F2" w14:textId="77777777" w:rsidR="007C1CFF" w:rsidRDefault="00000000">
            <w:pPr>
              <w:tabs>
                <w:tab w:val="left" w:pos="612"/>
                <w:tab w:val="left" w:pos="1027"/>
              </w:tabs>
              <w:spacing w:before="75" w:after="30"/>
              <w:jc w:val="right"/>
            </w:pPr>
            <w:r>
              <w:rPr>
                <w:color w:val="000000"/>
                <w:sz w:val="20"/>
              </w:rPr>
              <w:t>$</w:t>
            </w:r>
            <w:r>
              <w:rPr>
                <w:color w:val="000000"/>
                <w:sz w:val="20"/>
              </w:rPr>
              <w:tab/>
              <w:t>2.37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39A7BE8" w14:textId="77777777" w:rsidR="007C1CFF" w:rsidRDefault="007C1CFF"/>
        </w:tc>
        <w:tc>
          <w:tcPr>
            <w:tcW w:w="1095" w:type="dxa"/>
            <w:tcBorders>
              <w:top w:val="nil"/>
              <w:left w:val="nil"/>
              <w:bottom w:val="nil"/>
              <w:right w:val="nil"/>
            </w:tcBorders>
            <w:tcMar>
              <w:top w:w="0" w:type="dxa"/>
              <w:left w:w="0" w:type="dxa"/>
              <w:bottom w:w="0" w:type="dxa"/>
              <w:right w:w="15" w:type="dxa"/>
            </w:tcMar>
            <w:vAlign w:val="bottom"/>
          </w:tcPr>
          <w:p w14:paraId="389063C0" w14:textId="77777777" w:rsidR="007C1CFF" w:rsidRDefault="00000000">
            <w:pPr>
              <w:tabs>
                <w:tab w:val="left" w:pos="612"/>
                <w:tab w:val="left" w:pos="1027"/>
              </w:tabs>
              <w:spacing w:before="75" w:after="30"/>
              <w:jc w:val="right"/>
            </w:pPr>
            <w:r>
              <w:rPr>
                <w:color w:val="000000"/>
                <w:sz w:val="20"/>
              </w:rPr>
              <w:t>$</w:t>
            </w:r>
            <w:r>
              <w:rPr>
                <w:color w:val="000000"/>
                <w:sz w:val="20"/>
              </w:rPr>
              <w:tab/>
              <w:t>2.40</w:t>
            </w:r>
            <w:r>
              <w:rPr>
                <w:color w:val="000000"/>
                <w:sz w:val="20"/>
              </w:rPr>
              <w:tab/>
            </w:r>
          </w:p>
        </w:tc>
      </w:tr>
    </w:tbl>
    <w:p w14:paraId="0442E833" w14:textId="77777777" w:rsidR="007C1CFF" w:rsidRDefault="007C1CFF">
      <w:pPr>
        <w:spacing w:line="288" w:lineRule="auto"/>
        <w:jc w:val="both"/>
        <w:rPr>
          <w:sz w:val="20"/>
        </w:rPr>
      </w:pPr>
    </w:p>
    <w:p w14:paraId="15D29272" w14:textId="77777777" w:rsidR="007C1CFF" w:rsidRDefault="007C1CFF">
      <w:pPr>
        <w:spacing w:line="288" w:lineRule="auto"/>
        <w:rPr>
          <w:i/>
          <w:sz w:val="20"/>
        </w:rPr>
      </w:pPr>
    </w:p>
    <w:p w14:paraId="4A48CF71" w14:textId="77777777" w:rsidR="007C1CFF" w:rsidRDefault="007C1CFF">
      <w:pPr>
        <w:spacing w:line="288" w:lineRule="auto"/>
        <w:rPr>
          <w:i/>
          <w:sz w:val="20"/>
        </w:rPr>
      </w:pPr>
    </w:p>
    <w:p w14:paraId="664B0C72" w14:textId="77777777" w:rsidR="007C1CFF" w:rsidRDefault="007C1CFF">
      <w:pPr>
        <w:spacing w:line="288" w:lineRule="auto"/>
        <w:rPr>
          <w:i/>
          <w:sz w:val="20"/>
        </w:rPr>
      </w:pPr>
    </w:p>
    <w:p w14:paraId="68296EEB" w14:textId="77777777" w:rsidR="007C1CFF" w:rsidRDefault="007C1CFF">
      <w:pPr>
        <w:spacing w:line="288" w:lineRule="auto"/>
        <w:rPr>
          <w:i/>
          <w:sz w:val="20"/>
        </w:rPr>
      </w:pPr>
    </w:p>
    <w:p w14:paraId="189110BB" w14:textId="77777777" w:rsidR="007C1CFF" w:rsidRDefault="007C1CFF">
      <w:pPr>
        <w:spacing w:line="288" w:lineRule="auto"/>
        <w:rPr>
          <w:i/>
          <w:sz w:val="20"/>
        </w:rPr>
      </w:pPr>
    </w:p>
    <w:p w14:paraId="103B83DE" w14:textId="77777777" w:rsidR="007C1CFF" w:rsidRDefault="007C1CFF">
      <w:pPr>
        <w:spacing w:line="288" w:lineRule="auto"/>
        <w:rPr>
          <w:i/>
          <w:sz w:val="20"/>
        </w:rPr>
      </w:pPr>
    </w:p>
    <w:p w14:paraId="563E9C63" w14:textId="77777777" w:rsidR="007C1CFF" w:rsidRDefault="00000000">
      <w:pPr>
        <w:spacing w:line="288" w:lineRule="auto"/>
        <w:ind w:firstLine="270"/>
        <w:jc w:val="both"/>
        <w:rPr>
          <w:i/>
          <w:sz w:val="20"/>
        </w:rPr>
      </w:pPr>
      <w:r>
        <w:rPr>
          <w:sz w:val="20"/>
        </w:rPr>
        <w:lastRenderedPageBreak/>
        <w:t>The following table reconciles NOI to net income, the most directly comparable GAAP metric (</w:t>
      </w:r>
      <w:r>
        <w:rPr>
          <w:i/>
          <w:sz w:val="20"/>
        </w:rPr>
        <w:t>$ in thousands</w:t>
      </w:r>
      <w:r>
        <w:rPr>
          <w:sz w:val="20"/>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2"/>
        <w:gridCol w:w="1114"/>
        <w:gridCol w:w="126"/>
        <w:gridCol w:w="1144"/>
        <w:gridCol w:w="150"/>
        <w:gridCol w:w="1114"/>
        <w:gridCol w:w="126"/>
        <w:gridCol w:w="1144"/>
      </w:tblGrid>
      <w:tr w:rsidR="007C1CFF" w14:paraId="1CD63812" w14:textId="77777777">
        <w:trPr>
          <w:cantSplit/>
          <w:trHeight w:hRule="exact" w:val="300"/>
        </w:trPr>
        <w:tc>
          <w:tcPr>
            <w:tcW w:w="5580" w:type="dxa"/>
            <w:tcBorders>
              <w:top w:val="nil"/>
              <w:left w:val="nil"/>
              <w:bottom w:val="nil"/>
              <w:right w:val="nil"/>
            </w:tcBorders>
            <w:tcMar>
              <w:top w:w="0" w:type="dxa"/>
              <w:left w:w="0" w:type="dxa"/>
              <w:bottom w:w="0" w:type="dxa"/>
              <w:right w:w="0" w:type="dxa"/>
            </w:tcMar>
            <w:vAlign w:val="bottom"/>
          </w:tcPr>
          <w:p w14:paraId="3B025968" w14:textId="77777777" w:rsidR="007C1CFF" w:rsidRDefault="007C1CFF">
            <w:pPr>
              <w:keepNext/>
            </w:pPr>
          </w:p>
        </w:tc>
        <w:tc>
          <w:tcPr>
            <w:tcW w:w="2355" w:type="dxa"/>
            <w:gridSpan w:val="3"/>
            <w:tcBorders>
              <w:top w:val="nil"/>
              <w:left w:val="nil"/>
              <w:bottom w:val="nil"/>
              <w:right w:val="nil"/>
            </w:tcBorders>
            <w:tcMar>
              <w:top w:w="0" w:type="dxa"/>
              <w:left w:w="53" w:type="dxa"/>
              <w:bottom w:w="0" w:type="dxa"/>
              <w:right w:w="53" w:type="dxa"/>
            </w:tcMar>
            <w:vAlign w:val="bottom"/>
          </w:tcPr>
          <w:p w14:paraId="642CC3A5" w14:textId="77777777" w:rsidR="007C1CFF" w:rsidRDefault="00000000">
            <w:pPr>
              <w:keepNext/>
              <w:spacing w:before="75" w:after="30"/>
              <w:jc w:val="center"/>
            </w:pPr>
            <w:r>
              <w:rPr>
                <w:color w:val="000000"/>
                <w:sz w:val="20"/>
              </w:rPr>
              <w:t>Three Months Ended</w:t>
            </w:r>
          </w:p>
        </w:tc>
        <w:tc>
          <w:tcPr>
            <w:tcW w:w="150" w:type="dxa"/>
            <w:tcBorders>
              <w:top w:val="nil"/>
              <w:left w:val="nil"/>
              <w:bottom w:val="nil"/>
              <w:right w:val="nil"/>
            </w:tcBorders>
            <w:tcMar>
              <w:top w:w="0" w:type="dxa"/>
              <w:left w:w="0" w:type="dxa"/>
              <w:bottom w:w="0" w:type="dxa"/>
              <w:right w:w="0" w:type="dxa"/>
            </w:tcMar>
            <w:vAlign w:val="bottom"/>
          </w:tcPr>
          <w:p w14:paraId="245A7B1E" w14:textId="77777777" w:rsidR="007C1CFF" w:rsidRDefault="007C1CFF">
            <w:pPr>
              <w:keepNext/>
            </w:pPr>
          </w:p>
        </w:tc>
        <w:tc>
          <w:tcPr>
            <w:tcW w:w="2355" w:type="dxa"/>
            <w:gridSpan w:val="3"/>
            <w:tcBorders>
              <w:top w:val="nil"/>
              <w:left w:val="nil"/>
              <w:bottom w:val="nil"/>
              <w:right w:val="nil"/>
            </w:tcBorders>
            <w:tcMar>
              <w:top w:w="0" w:type="dxa"/>
              <w:left w:w="53" w:type="dxa"/>
              <w:bottom w:w="0" w:type="dxa"/>
              <w:right w:w="53" w:type="dxa"/>
            </w:tcMar>
            <w:vAlign w:val="bottom"/>
          </w:tcPr>
          <w:p w14:paraId="3E31F023" w14:textId="77777777" w:rsidR="007C1CFF" w:rsidRDefault="00000000">
            <w:pPr>
              <w:keepNext/>
              <w:spacing w:before="75" w:after="30"/>
              <w:jc w:val="center"/>
            </w:pPr>
            <w:r>
              <w:rPr>
                <w:color w:val="000000"/>
                <w:sz w:val="20"/>
              </w:rPr>
              <w:t>Six Months Ended</w:t>
            </w:r>
          </w:p>
        </w:tc>
      </w:tr>
      <w:tr w:rsidR="007C1CFF" w14:paraId="13A7E920" w14:textId="77777777">
        <w:trPr>
          <w:cantSplit/>
          <w:trHeight w:hRule="exact" w:val="300"/>
        </w:trPr>
        <w:tc>
          <w:tcPr>
            <w:tcW w:w="5580" w:type="dxa"/>
            <w:tcBorders>
              <w:top w:val="nil"/>
              <w:left w:val="nil"/>
              <w:bottom w:val="nil"/>
              <w:right w:val="nil"/>
            </w:tcBorders>
            <w:tcMar>
              <w:top w:w="0" w:type="dxa"/>
              <w:left w:w="0" w:type="dxa"/>
              <w:bottom w:w="0" w:type="dxa"/>
              <w:right w:w="0" w:type="dxa"/>
            </w:tcMar>
            <w:vAlign w:val="bottom"/>
          </w:tcPr>
          <w:p w14:paraId="6131DDB5" w14:textId="77777777" w:rsidR="007C1CFF" w:rsidRDefault="007C1CFF">
            <w:pPr>
              <w:keepNext/>
            </w:pPr>
          </w:p>
        </w:tc>
        <w:tc>
          <w:tcPr>
            <w:tcW w:w="2355" w:type="dxa"/>
            <w:gridSpan w:val="3"/>
            <w:tcBorders>
              <w:top w:val="nil"/>
              <w:left w:val="nil"/>
              <w:bottom w:val="single" w:sz="8" w:space="0" w:color="000000"/>
              <w:right w:val="nil"/>
            </w:tcBorders>
            <w:tcMar>
              <w:top w:w="0" w:type="dxa"/>
              <w:left w:w="53" w:type="dxa"/>
              <w:bottom w:w="0" w:type="dxa"/>
              <w:right w:w="53" w:type="dxa"/>
            </w:tcMar>
            <w:vAlign w:val="bottom"/>
          </w:tcPr>
          <w:p w14:paraId="51135A6B" w14:textId="77777777" w:rsidR="007C1CFF" w:rsidRDefault="00000000">
            <w:pPr>
              <w:keepNext/>
              <w:spacing w:before="75" w:after="30"/>
              <w:jc w:val="center"/>
            </w:pPr>
            <w:r>
              <w:rPr>
                <w:color w:val="000000"/>
                <w:sz w:val="20"/>
              </w:rPr>
              <w:t>June 30</w:t>
            </w:r>
          </w:p>
        </w:tc>
        <w:tc>
          <w:tcPr>
            <w:tcW w:w="150" w:type="dxa"/>
            <w:tcBorders>
              <w:top w:val="nil"/>
              <w:left w:val="nil"/>
              <w:bottom w:val="nil"/>
              <w:right w:val="nil"/>
            </w:tcBorders>
            <w:tcMar>
              <w:top w:w="0" w:type="dxa"/>
              <w:left w:w="0" w:type="dxa"/>
              <w:bottom w:w="0" w:type="dxa"/>
              <w:right w:w="0" w:type="dxa"/>
            </w:tcMar>
            <w:vAlign w:val="bottom"/>
          </w:tcPr>
          <w:p w14:paraId="6E80A9C3" w14:textId="77777777" w:rsidR="007C1CFF" w:rsidRDefault="007C1CFF">
            <w:pPr>
              <w:keepNext/>
            </w:pPr>
          </w:p>
        </w:tc>
        <w:tc>
          <w:tcPr>
            <w:tcW w:w="2355" w:type="dxa"/>
            <w:gridSpan w:val="3"/>
            <w:tcBorders>
              <w:top w:val="nil"/>
              <w:left w:val="nil"/>
              <w:bottom w:val="single" w:sz="8" w:space="0" w:color="000000"/>
              <w:right w:val="nil"/>
            </w:tcBorders>
            <w:tcMar>
              <w:top w:w="0" w:type="dxa"/>
              <w:left w:w="53" w:type="dxa"/>
              <w:bottom w:w="0" w:type="dxa"/>
              <w:right w:w="53" w:type="dxa"/>
            </w:tcMar>
            <w:vAlign w:val="bottom"/>
          </w:tcPr>
          <w:p w14:paraId="58FD9773" w14:textId="77777777" w:rsidR="007C1CFF" w:rsidRDefault="00000000">
            <w:pPr>
              <w:keepNext/>
              <w:spacing w:before="75" w:after="30"/>
              <w:jc w:val="center"/>
            </w:pPr>
            <w:r>
              <w:rPr>
                <w:color w:val="000000"/>
                <w:sz w:val="20"/>
              </w:rPr>
              <w:t>June 30</w:t>
            </w:r>
          </w:p>
        </w:tc>
      </w:tr>
      <w:tr w:rsidR="007C1CFF" w14:paraId="776AC248"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2BA73C01" w14:textId="77777777" w:rsidR="007C1CFF" w:rsidRDefault="00000000">
            <w:pPr>
              <w:keepNext/>
              <w:spacing w:before="55" w:after="30"/>
            </w:pPr>
            <w:r>
              <w:rPr>
                <w:color w:val="000000"/>
                <w:sz w:val="20"/>
              </w:rPr>
              <w:t>NOI Reconciliations:</w:t>
            </w:r>
          </w:p>
        </w:tc>
        <w:tc>
          <w:tcPr>
            <w:tcW w:w="1125" w:type="dxa"/>
            <w:tcBorders>
              <w:top w:val="nil"/>
              <w:left w:val="nil"/>
              <w:bottom w:val="single" w:sz="8" w:space="0" w:color="000000"/>
              <w:right w:val="nil"/>
            </w:tcBorders>
            <w:tcMar>
              <w:top w:w="0" w:type="dxa"/>
              <w:left w:w="53" w:type="dxa"/>
              <w:bottom w:w="0" w:type="dxa"/>
              <w:right w:w="53" w:type="dxa"/>
            </w:tcMar>
            <w:vAlign w:val="bottom"/>
          </w:tcPr>
          <w:p w14:paraId="49B5C1DD" w14:textId="77777777" w:rsidR="007C1CFF" w:rsidRDefault="00000000">
            <w:pPr>
              <w:keepNext/>
              <w:spacing w:before="55" w:after="30"/>
              <w:jc w:val="center"/>
            </w:pPr>
            <w:r>
              <w:rPr>
                <w:color w:val="000000"/>
                <w:sz w:val="20"/>
              </w:rPr>
              <w:t>2022</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5CDB0A68" w14:textId="77777777" w:rsidR="007C1CFF" w:rsidRDefault="007C1CFF">
            <w:pPr>
              <w:keepNext/>
              <w:spacing w:before="55" w:after="30"/>
              <w:jc w:val="center"/>
            </w:pPr>
          </w:p>
        </w:tc>
        <w:tc>
          <w:tcPr>
            <w:tcW w:w="115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A2B30CA" w14:textId="77777777" w:rsidR="007C1CFF" w:rsidRDefault="00000000">
            <w:pPr>
              <w:keepNext/>
              <w:spacing w:before="55" w:after="30"/>
              <w:jc w:val="center"/>
            </w:pPr>
            <w:r>
              <w:rPr>
                <w:color w:val="000000"/>
                <w:sz w:val="20"/>
              </w:rPr>
              <w:t>2021</w:t>
            </w:r>
          </w:p>
        </w:tc>
        <w:tc>
          <w:tcPr>
            <w:tcW w:w="150" w:type="dxa"/>
            <w:tcBorders>
              <w:top w:val="nil"/>
              <w:left w:val="nil"/>
              <w:bottom w:val="nil"/>
              <w:right w:val="nil"/>
            </w:tcBorders>
            <w:tcMar>
              <w:top w:w="0" w:type="dxa"/>
              <w:left w:w="0" w:type="dxa"/>
              <w:bottom w:w="0" w:type="dxa"/>
              <w:right w:w="0" w:type="dxa"/>
            </w:tcMar>
            <w:vAlign w:val="bottom"/>
          </w:tcPr>
          <w:p w14:paraId="45FB9CA2" w14:textId="77777777" w:rsidR="007C1CFF" w:rsidRDefault="007C1CFF">
            <w:pPr>
              <w:keepNext/>
            </w:pPr>
          </w:p>
        </w:tc>
        <w:tc>
          <w:tcPr>
            <w:tcW w:w="1125" w:type="dxa"/>
            <w:tcBorders>
              <w:top w:val="nil"/>
              <w:left w:val="nil"/>
              <w:bottom w:val="single" w:sz="8" w:space="0" w:color="000000"/>
              <w:right w:val="nil"/>
            </w:tcBorders>
            <w:tcMar>
              <w:top w:w="0" w:type="dxa"/>
              <w:left w:w="53" w:type="dxa"/>
              <w:bottom w:w="0" w:type="dxa"/>
              <w:right w:w="53" w:type="dxa"/>
            </w:tcMar>
            <w:vAlign w:val="bottom"/>
          </w:tcPr>
          <w:p w14:paraId="60B4D83A" w14:textId="77777777" w:rsidR="007C1CFF" w:rsidRDefault="00000000">
            <w:pPr>
              <w:keepNext/>
              <w:spacing w:before="55" w:after="30"/>
              <w:jc w:val="center"/>
            </w:pPr>
            <w:r>
              <w:rPr>
                <w:color w:val="000000"/>
                <w:sz w:val="20"/>
              </w:rPr>
              <w:t>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4D8200F" w14:textId="77777777" w:rsidR="007C1CFF" w:rsidRDefault="007C1CFF">
            <w:pPr>
              <w:keepNext/>
            </w:pPr>
          </w:p>
        </w:tc>
        <w:tc>
          <w:tcPr>
            <w:tcW w:w="115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252A402" w14:textId="77777777" w:rsidR="007C1CFF" w:rsidRDefault="00000000">
            <w:pPr>
              <w:keepNext/>
              <w:spacing w:before="55" w:after="30"/>
              <w:jc w:val="center"/>
            </w:pPr>
            <w:r>
              <w:rPr>
                <w:color w:val="000000"/>
                <w:sz w:val="20"/>
              </w:rPr>
              <w:t>2021</w:t>
            </w:r>
          </w:p>
        </w:tc>
      </w:tr>
      <w:tr w:rsidR="007C1CFF" w14:paraId="551C4EBC"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55AC3107" w14:textId="77777777" w:rsidR="007C1CFF" w:rsidRDefault="00000000">
            <w:pPr>
              <w:keepNext/>
              <w:spacing w:before="55" w:after="30"/>
            </w:pPr>
            <w:r>
              <w:rPr>
                <w:color w:val="000000"/>
                <w:sz w:val="20"/>
              </w:rPr>
              <w:t>Net income</w:t>
            </w:r>
          </w:p>
        </w:tc>
        <w:tc>
          <w:tcPr>
            <w:tcW w:w="1125" w:type="dxa"/>
            <w:tcBorders>
              <w:top w:val="single" w:sz="8" w:space="0" w:color="000000"/>
              <w:left w:val="nil"/>
              <w:bottom w:val="nil"/>
              <w:right w:val="nil"/>
            </w:tcBorders>
            <w:tcMar>
              <w:top w:w="0" w:type="dxa"/>
              <w:left w:w="0" w:type="dxa"/>
              <w:bottom w:w="0" w:type="dxa"/>
              <w:right w:w="15" w:type="dxa"/>
            </w:tcMar>
            <w:vAlign w:val="bottom"/>
          </w:tcPr>
          <w:p w14:paraId="49E1B089" w14:textId="77777777" w:rsidR="007C1CFF" w:rsidRDefault="00000000">
            <w:pPr>
              <w:keepNext/>
              <w:tabs>
                <w:tab w:val="left" w:pos="442"/>
                <w:tab w:val="left" w:pos="1057"/>
              </w:tabs>
              <w:spacing w:before="55" w:after="30"/>
              <w:jc w:val="right"/>
            </w:pPr>
            <w:r>
              <w:rPr>
                <w:color w:val="000000"/>
                <w:sz w:val="20"/>
              </w:rPr>
              <w:t>$</w:t>
            </w:r>
            <w:r>
              <w:rPr>
                <w:color w:val="000000"/>
                <w:sz w:val="20"/>
              </w:rPr>
              <w:tab/>
              <w:t>21,466</w:t>
            </w:r>
            <w:r>
              <w:rPr>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723E4D2F" w14:textId="77777777" w:rsidR="007C1CFF" w:rsidRDefault="007C1CFF">
            <w:pPr>
              <w:keepNext/>
              <w:spacing w:before="55" w:after="30"/>
              <w:jc w:val="right"/>
            </w:pPr>
          </w:p>
        </w:tc>
        <w:tc>
          <w:tcPr>
            <w:tcW w:w="1155" w:type="dxa"/>
            <w:tcBorders>
              <w:top w:val="single" w:sz="8" w:space="0" w:color="000000"/>
              <w:left w:val="nil"/>
              <w:bottom w:val="nil"/>
              <w:right w:val="nil"/>
            </w:tcBorders>
            <w:tcMar>
              <w:top w:w="0" w:type="dxa"/>
              <w:left w:w="0" w:type="dxa"/>
              <w:bottom w:w="0" w:type="dxa"/>
              <w:right w:w="15" w:type="dxa"/>
            </w:tcMar>
            <w:vAlign w:val="bottom"/>
          </w:tcPr>
          <w:p w14:paraId="5B2406F9" w14:textId="77777777" w:rsidR="007C1CFF" w:rsidRDefault="00000000">
            <w:pPr>
              <w:keepNext/>
              <w:tabs>
                <w:tab w:val="left" w:pos="472"/>
                <w:tab w:val="left" w:pos="1087"/>
              </w:tabs>
              <w:spacing w:before="55" w:after="30"/>
              <w:jc w:val="right"/>
            </w:pPr>
            <w:r>
              <w:rPr>
                <w:color w:val="000000"/>
                <w:sz w:val="20"/>
              </w:rPr>
              <w:t>$</w:t>
            </w:r>
            <w:r>
              <w:rPr>
                <w:color w:val="000000"/>
                <w:sz w:val="20"/>
              </w:rPr>
              <w:tab/>
              <w:t>39,231</w:t>
            </w:r>
            <w:r>
              <w:rPr>
                <w:color w:val="000000"/>
                <w:sz w:val="20"/>
              </w:rPr>
              <w:tab/>
            </w:r>
          </w:p>
        </w:tc>
        <w:tc>
          <w:tcPr>
            <w:tcW w:w="150" w:type="dxa"/>
            <w:tcBorders>
              <w:top w:val="nil"/>
              <w:left w:val="nil"/>
              <w:bottom w:val="nil"/>
              <w:right w:val="nil"/>
            </w:tcBorders>
            <w:tcMar>
              <w:top w:w="0" w:type="dxa"/>
              <w:left w:w="0" w:type="dxa"/>
              <w:bottom w:w="0" w:type="dxa"/>
              <w:right w:w="0" w:type="dxa"/>
            </w:tcMar>
            <w:vAlign w:val="bottom"/>
          </w:tcPr>
          <w:p w14:paraId="102C64E3" w14:textId="77777777" w:rsidR="007C1CFF" w:rsidRDefault="007C1CFF">
            <w:pPr>
              <w:keepNext/>
            </w:pPr>
          </w:p>
        </w:tc>
        <w:tc>
          <w:tcPr>
            <w:tcW w:w="1125" w:type="dxa"/>
            <w:tcBorders>
              <w:top w:val="single" w:sz="8" w:space="0" w:color="000000"/>
              <w:left w:val="nil"/>
              <w:bottom w:val="nil"/>
              <w:right w:val="nil"/>
            </w:tcBorders>
            <w:tcMar>
              <w:top w:w="0" w:type="dxa"/>
              <w:left w:w="0" w:type="dxa"/>
              <w:bottom w:w="0" w:type="dxa"/>
              <w:right w:w="15" w:type="dxa"/>
            </w:tcMar>
            <w:vAlign w:val="bottom"/>
          </w:tcPr>
          <w:p w14:paraId="1227178F" w14:textId="77777777" w:rsidR="007C1CFF" w:rsidRDefault="00000000">
            <w:pPr>
              <w:keepNext/>
              <w:tabs>
                <w:tab w:val="left" w:pos="442"/>
                <w:tab w:val="left" w:pos="1057"/>
              </w:tabs>
              <w:spacing w:before="55" w:after="30"/>
              <w:jc w:val="right"/>
            </w:pPr>
            <w:r>
              <w:rPr>
                <w:color w:val="000000"/>
                <w:sz w:val="20"/>
              </w:rPr>
              <w:t>$</w:t>
            </w:r>
            <w:r>
              <w:rPr>
                <w:color w:val="000000"/>
                <w:sz w:val="20"/>
              </w:rPr>
              <w:tab/>
              <w:t>29,712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0BF7A2E" w14:textId="77777777" w:rsidR="007C1CFF" w:rsidRDefault="007C1CFF">
            <w:pPr>
              <w:keepNext/>
            </w:pPr>
          </w:p>
        </w:tc>
        <w:tc>
          <w:tcPr>
            <w:tcW w:w="1155" w:type="dxa"/>
            <w:tcBorders>
              <w:top w:val="single" w:sz="8" w:space="0" w:color="000000"/>
              <w:left w:val="nil"/>
              <w:bottom w:val="nil"/>
              <w:right w:val="nil"/>
            </w:tcBorders>
            <w:tcMar>
              <w:top w:w="0" w:type="dxa"/>
              <w:left w:w="0" w:type="dxa"/>
              <w:bottom w:w="0" w:type="dxa"/>
              <w:right w:w="15" w:type="dxa"/>
            </w:tcMar>
            <w:vAlign w:val="bottom"/>
          </w:tcPr>
          <w:p w14:paraId="4CBEF726" w14:textId="77777777" w:rsidR="007C1CFF" w:rsidRDefault="00000000">
            <w:pPr>
              <w:keepNext/>
              <w:tabs>
                <w:tab w:val="left" w:pos="472"/>
                <w:tab w:val="left" w:pos="1087"/>
              </w:tabs>
              <w:spacing w:before="55" w:after="30"/>
              <w:jc w:val="right"/>
            </w:pPr>
            <w:r>
              <w:rPr>
                <w:color w:val="000000"/>
                <w:sz w:val="20"/>
              </w:rPr>
              <w:t>$</w:t>
            </w:r>
            <w:r>
              <w:rPr>
                <w:color w:val="000000"/>
                <w:sz w:val="20"/>
              </w:rPr>
              <w:tab/>
              <w:t>74,613</w:t>
            </w:r>
            <w:r>
              <w:rPr>
                <w:color w:val="000000"/>
                <w:sz w:val="20"/>
              </w:rPr>
              <w:tab/>
            </w:r>
          </w:p>
        </w:tc>
      </w:tr>
      <w:tr w:rsidR="007C1CFF" w14:paraId="415BA890" w14:textId="77777777">
        <w:trPr>
          <w:cantSplit/>
          <w:trHeight w:hRule="exact" w:val="255"/>
        </w:trPr>
        <w:tc>
          <w:tcPr>
            <w:tcW w:w="5580" w:type="dxa"/>
            <w:tcBorders>
              <w:top w:val="nil"/>
              <w:left w:val="nil"/>
              <w:bottom w:val="nil"/>
              <w:right w:val="nil"/>
            </w:tcBorders>
            <w:tcMar>
              <w:top w:w="0" w:type="dxa"/>
              <w:left w:w="53" w:type="dxa"/>
              <w:bottom w:w="0" w:type="dxa"/>
              <w:right w:w="53" w:type="dxa"/>
            </w:tcMar>
            <w:vAlign w:val="bottom"/>
          </w:tcPr>
          <w:p w14:paraId="3A05771C" w14:textId="77777777" w:rsidR="007C1CFF" w:rsidRDefault="00000000">
            <w:pPr>
              <w:keepNext/>
              <w:spacing w:before="75" w:after="30"/>
            </w:pPr>
            <w:r>
              <w:rPr>
                <w:color w:val="000000"/>
                <w:sz w:val="20"/>
              </w:rPr>
              <w:t>(Gains) losses from equity method investment</w:t>
            </w:r>
          </w:p>
        </w:tc>
        <w:tc>
          <w:tcPr>
            <w:tcW w:w="1125" w:type="dxa"/>
            <w:tcBorders>
              <w:top w:val="nil"/>
              <w:left w:val="nil"/>
              <w:bottom w:val="nil"/>
              <w:right w:val="nil"/>
            </w:tcBorders>
            <w:tcMar>
              <w:top w:w="0" w:type="dxa"/>
              <w:left w:w="0" w:type="dxa"/>
              <w:bottom w:w="0" w:type="dxa"/>
              <w:right w:w="15" w:type="dxa"/>
            </w:tcMar>
            <w:vAlign w:val="bottom"/>
          </w:tcPr>
          <w:p w14:paraId="7EB74DD3" w14:textId="77777777" w:rsidR="007C1CFF" w:rsidRDefault="00000000">
            <w:pPr>
              <w:keepNext/>
              <w:tabs>
                <w:tab w:val="left" w:pos="626"/>
              </w:tabs>
              <w:spacing w:before="75" w:after="30"/>
              <w:jc w:val="right"/>
            </w:pPr>
            <w:r>
              <w:rPr>
                <w:color w:val="000000"/>
                <w:sz w:val="20"/>
              </w:rPr>
              <w:tab/>
              <w:t>(273)</w:t>
            </w:r>
          </w:p>
        </w:tc>
        <w:tc>
          <w:tcPr>
            <w:tcW w:w="75" w:type="dxa"/>
            <w:tcBorders>
              <w:top w:val="nil"/>
              <w:left w:val="nil"/>
              <w:bottom w:val="nil"/>
              <w:right w:val="nil"/>
            </w:tcBorders>
            <w:tcMar>
              <w:top w:w="0" w:type="dxa"/>
              <w:left w:w="0" w:type="dxa"/>
              <w:bottom w:w="0" w:type="dxa"/>
              <w:right w:w="53" w:type="dxa"/>
            </w:tcMar>
            <w:vAlign w:val="bottom"/>
          </w:tcPr>
          <w:p w14:paraId="5931A3FE"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606D295A" w14:textId="77777777" w:rsidR="007C1CFF" w:rsidRDefault="00000000">
            <w:pPr>
              <w:keepNext/>
              <w:tabs>
                <w:tab w:val="left" w:pos="722"/>
                <w:tab w:val="left" w:pos="1087"/>
              </w:tabs>
              <w:spacing w:before="75" w:after="30"/>
              <w:jc w:val="right"/>
            </w:pPr>
            <w:r>
              <w:rPr>
                <w:color w:val="000000"/>
                <w:sz w:val="20"/>
              </w:rPr>
              <w:tab/>
              <w:t>909</w:t>
            </w:r>
            <w:r>
              <w:rPr>
                <w:color w:val="000000"/>
                <w:sz w:val="20"/>
              </w:rPr>
              <w:tab/>
            </w:r>
          </w:p>
        </w:tc>
        <w:tc>
          <w:tcPr>
            <w:tcW w:w="150" w:type="dxa"/>
            <w:tcBorders>
              <w:top w:val="nil"/>
              <w:left w:val="nil"/>
              <w:bottom w:val="nil"/>
              <w:right w:val="nil"/>
            </w:tcBorders>
            <w:tcMar>
              <w:top w:w="0" w:type="dxa"/>
              <w:left w:w="0" w:type="dxa"/>
              <w:bottom w:w="0" w:type="dxa"/>
              <w:right w:w="15" w:type="dxa"/>
            </w:tcMar>
            <w:vAlign w:val="bottom"/>
          </w:tcPr>
          <w:p w14:paraId="56D858FB" w14:textId="77777777" w:rsidR="007C1CFF" w:rsidRDefault="007C1CFF">
            <w:pPr>
              <w:keepNext/>
              <w:spacing w:before="75" w:after="30"/>
              <w:jc w:val="right"/>
            </w:pPr>
          </w:p>
        </w:tc>
        <w:tc>
          <w:tcPr>
            <w:tcW w:w="1125" w:type="dxa"/>
            <w:tcBorders>
              <w:top w:val="nil"/>
              <w:left w:val="nil"/>
              <w:bottom w:val="nil"/>
              <w:right w:val="nil"/>
            </w:tcBorders>
            <w:tcMar>
              <w:top w:w="0" w:type="dxa"/>
              <w:left w:w="0" w:type="dxa"/>
              <w:bottom w:w="0" w:type="dxa"/>
              <w:right w:w="15" w:type="dxa"/>
            </w:tcMar>
            <w:vAlign w:val="bottom"/>
          </w:tcPr>
          <w:p w14:paraId="44DA759E" w14:textId="77777777" w:rsidR="007C1CFF" w:rsidRDefault="00000000">
            <w:pPr>
              <w:keepNext/>
              <w:tabs>
                <w:tab w:val="left" w:pos="626"/>
              </w:tabs>
              <w:spacing w:before="75" w:after="30"/>
              <w:jc w:val="right"/>
            </w:pPr>
            <w:r>
              <w:rPr>
                <w:color w:val="000000"/>
                <w:sz w:val="20"/>
              </w:rPr>
              <w:tab/>
              <w:t>(569)</w:t>
            </w:r>
          </w:p>
        </w:tc>
        <w:tc>
          <w:tcPr>
            <w:tcW w:w="75" w:type="dxa"/>
            <w:tcBorders>
              <w:top w:val="nil"/>
              <w:left w:val="nil"/>
              <w:bottom w:val="nil"/>
              <w:right w:val="nil"/>
            </w:tcBorders>
            <w:tcMar>
              <w:top w:w="0" w:type="dxa"/>
              <w:left w:w="0" w:type="dxa"/>
              <w:bottom w:w="0" w:type="dxa"/>
              <w:right w:w="53" w:type="dxa"/>
            </w:tcMar>
            <w:vAlign w:val="bottom"/>
          </w:tcPr>
          <w:p w14:paraId="0BDEFF79"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04FB8CF8" w14:textId="77777777" w:rsidR="007C1CFF" w:rsidRDefault="00000000">
            <w:pPr>
              <w:keepNext/>
              <w:tabs>
                <w:tab w:val="left" w:pos="572"/>
                <w:tab w:val="left" w:pos="1087"/>
              </w:tabs>
              <w:spacing w:before="75" w:after="30"/>
              <w:jc w:val="right"/>
            </w:pPr>
            <w:r>
              <w:rPr>
                <w:color w:val="000000"/>
                <w:sz w:val="20"/>
              </w:rPr>
              <w:tab/>
              <w:t>1,718</w:t>
            </w:r>
            <w:r>
              <w:rPr>
                <w:color w:val="000000"/>
                <w:sz w:val="20"/>
              </w:rPr>
              <w:tab/>
            </w:r>
          </w:p>
        </w:tc>
      </w:tr>
      <w:tr w:rsidR="007C1CFF" w14:paraId="611FD15B"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745E6511" w14:textId="77777777" w:rsidR="007C1CFF" w:rsidRDefault="00000000">
            <w:pPr>
              <w:keepNext/>
              <w:spacing w:before="75" w:after="30"/>
            </w:pPr>
            <w:r>
              <w:rPr>
                <w:color w:val="000000"/>
                <w:sz w:val="20"/>
              </w:rPr>
              <w:t>Loss on early retirement of debt</w:t>
            </w:r>
          </w:p>
        </w:tc>
        <w:tc>
          <w:tcPr>
            <w:tcW w:w="1125" w:type="dxa"/>
            <w:tcBorders>
              <w:top w:val="nil"/>
              <w:left w:val="nil"/>
              <w:bottom w:val="nil"/>
              <w:right w:val="nil"/>
            </w:tcBorders>
            <w:tcMar>
              <w:top w:w="0" w:type="dxa"/>
              <w:left w:w="0" w:type="dxa"/>
              <w:bottom w:w="0" w:type="dxa"/>
              <w:right w:w="15" w:type="dxa"/>
            </w:tcMar>
            <w:vAlign w:val="bottom"/>
          </w:tcPr>
          <w:p w14:paraId="64582553" w14:textId="77777777" w:rsidR="007C1CFF" w:rsidRDefault="00000000">
            <w:pPr>
              <w:keepNext/>
              <w:tabs>
                <w:tab w:val="left" w:pos="792"/>
                <w:tab w:val="left" w:pos="105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249CCD93"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2E8753E0" w14:textId="77777777" w:rsidR="007C1CFF" w:rsidRDefault="00000000">
            <w:pPr>
              <w:keepNext/>
              <w:tabs>
                <w:tab w:val="left" w:pos="822"/>
                <w:tab w:val="left" w:pos="1087"/>
              </w:tabs>
              <w:spacing w:before="75" w:after="30"/>
              <w:jc w:val="right"/>
            </w:pPr>
            <w:r>
              <w:rPr>
                <w:color w:val="000000"/>
                <w:sz w:val="20"/>
              </w:rPr>
              <w:tab/>
              <w:t>—</w:t>
            </w:r>
            <w:r>
              <w:rPr>
                <w:color w:val="000000"/>
                <w:sz w:val="20"/>
              </w:rPr>
              <w:tab/>
            </w:r>
          </w:p>
        </w:tc>
        <w:tc>
          <w:tcPr>
            <w:tcW w:w="150" w:type="dxa"/>
            <w:tcBorders>
              <w:top w:val="nil"/>
              <w:left w:val="nil"/>
              <w:bottom w:val="nil"/>
              <w:right w:val="nil"/>
            </w:tcBorders>
            <w:tcMar>
              <w:top w:w="0" w:type="dxa"/>
              <w:left w:w="53" w:type="dxa"/>
              <w:bottom w:w="0" w:type="dxa"/>
              <w:right w:w="53" w:type="dxa"/>
            </w:tcMar>
            <w:vAlign w:val="bottom"/>
          </w:tcPr>
          <w:p w14:paraId="18A97931" w14:textId="77777777" w:rsidR="007C1CFF" w:rsidRDefault="007C1CFF">
            <w:pPr>
              <w:keepNext/>
              <w:spacing w:before="75" w:after="30"/>
            </w:pPr>
          </w:p>
        </w:tc>
        <w:tc>
          <w:tcPr>
            <w:tcW w:w="1125" w:type="dxa"/>
            <w:tcBorders>
              <w:top w:val="nil"/>
              <w:left w:val="nil"/>
              <w:bottom w:val="nil"/>
              <w:right w:val="nil"/>
            </w:tcBorders>
            <w:tcMar>
              <w:top w:w="0" w:type="dxa"/>
              <w:left w:w="0" w:type="dxa"/>
              <w:bottom w:w="0" w:type="dxa"/>
              <w:right w:w="15" w:type="dxa"/>
            </w:tcMar>
            <w:vAlign w:val="bottom"/>
          </w:tcPr>
          <w:p w14:paraId="389B04D9" w14:textId="77777777" w:rsidR="007C1CFF" w:rsidRDefault="00000000">
            <w:pPr>
              <w:keepNext/>
              <w:tabs>
                <w:tab w:val="left" w:pos="692"/>
                <w:tab w:val="left" w:pos="1057"/>
              </w:tabs>
              <w:spacing w:before="75" w:after="30"/>
              <w:jc w:val="right"/>
            </w:pPr>
            <w:r>
              <w:rPr>
                <w:color w:val="000000"/>
                <w:sz w:val="20"/>
              </w:rPr>
              <w:tab/>
              <w:t>151</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2E15CD94"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157C6AF4" w14:textId="77777777" w:rsidR="007C1CFF" w:rsidRDefault="00000000">
            <w:pPr>
              <w:keepNext/>
              <w:tabs>
                <w:tab w:val="left" w:pos="722"/>
                <w:tab w:val="left" w:pos="1087"/>
              </w:tabs>
              <w:spacing w:before="75" w:after="30"/>
              <w:jc w:val="right"/>
            </w:pPr>
            <w:r>
              <w:rPr>
                <w:color w:val="000000"/>
                <w:sz w:val="20"/>
              </w:rPr>
              <w:tab/>
              <w:t>451</w:t>
            </w:r>
            <w:r>
              <w:rPr>
                <w:color w:val="000000"/>
                <w:sz w:val="20"/>
              </w:rPr>
              <w:tab/>
            </w:r>
          </w:p>
        </w:tc>
      </w:tr>
      <w:tr w:rsidR="007C1CFF" w14:paraId="42DD7074"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1CAF6B2D" w14:textId="77777777" w:rsidR="007C1CFF" w:rsidRDefault="00000000">
            <w:pPr>
              <w:keepNext/>
              <w:spacing w:before="75" w:after="30"/>
            </w:pPr>
            <w:r>
              <w:rPr>
                <w:color w:val="000000"/>
                <w:sz w:val="20"/>
              </w:rPr>
              <w:t>Gain on note payoff</w:t>
            </w:r>
          </w:p>
        </w:tc>
        <w:tc>
          <w:tcPr>
            <w:tcW w:w="1125" w:type="dxa"/>
            <w:tcBorders>
              <w:top w:val="nil"/>
              <w:left w:val="nil"/>
              <w:bottom w:val="nil"/>
              <w:right w:val="nil"/>
            </w:tcBorders>
            <w:tcMar>
              <w:top w:w="0" w:type="dxa"/>
              <w:left w:w="0" w:type="dxa"/>
              <w:bottom w:w="0" w:type="dxa"/>
              <w:right w:w="15" w:type="dxa"/>
            </w:tcMar>
            <w:vAlign w:val="bottom"/>
          </w:tcPr>
          <w:p w14:paraId="10AF4C08" w14:textId="77777777" w:rsidR="007C1CFF" w:rsidRDefault="00000000">
            <w:pPr>
              <w:keepNext/>
              <w:tabs>
                <w:tab w:val="left" w:pos="476"/>
              </w:tabs>
              <w:spacing w:before="75" w:after="30"/>
              <w:jc w:val="right"/>
            </w:pPr>
            <w:r>
              <w:rPr>
                <w:color w:val="000000"/>
                <w:sz w:val="20"/>
              </w:rPr>
              <w:tab/>
              <w:t>(1,113)</w:t>
            </w:r>
          </w:p>
        </w:tc>
        <w:tc>
          <w:tcPr>
            <w:tcW w:w="75" w:type="dxa"/>
            <w:tcBorders>
              <w:top w:val="nil"/>
              <w:left w:val="nil"/>
              <w:bottom w:val="nil"/>
              <w:right w:val="nil"/>
            </w:tcBorders>
            <w:tcMar>
              <w:top w:w="0" w:type="dxa"/>
              <w:left w:w="0" w:type="dxa"/>
              <w:bottom w:w="0" w:type="dxa"/>
              <w:right w:w="15" w:type="dxa"/>
            </w:tcMar>
            <w:vAlign w:val="bottom"/>
          </w:tcPr>
          <w:p w14:paraId="3004889A"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38F9508A" w14:textId="77777777" w:rsidR="007C1CFF" w:rsidRDefault="00000000">
            <w:pPr>
              <w:keepNext/>
              <w:tabs>
                <w:tab w:val="left" w:pos="822"/>
                <w:tab w:val="left" w:pos="1087"/>
              </w:tabs>
              <w:spacing w:before="75" w:after="30"/>
              <w:jc w:val="right"/>
            </w:pPr>
            <w:r>
              <w:rPr>
                <w:color w:val="000000"/>
                <w:sz w:val="20"/>
              </w:rPr>
              <w:tab/>
              <w:t>—</w:t>
            </w:r>
            <w:r>
              <w:rPr>
                <w:color w:val="000000"/>
                <w:sz w:val="20"/>
              </w:rPr>
              <w:tab/>
            </w:r>
          </w:p>
        </w:tc>
        <w:tc>
          <w:tcPr>
            <w:tcW w:w="150" w:type="dxa"/>
            <w:tcBorders>
              <w:top w:val="nil"/>
              <w:left w:val="nil"/>
              <w:bottom w:val="nil"/>
              <w:right w:val="nil"/>
            </w:tcBorders>
            <w:tcMar>
              <w:top w:w="0" w:type="dxa"/>
              <w:left w:w="0" w:type="dxa"/>
              <w:bottom w:w="0" w:type="dxa"/>
              <w:right w:w="15" w:type="dxa"/>
            </w:tcMar>
            <w:vAlign w:val="bottom"/>
          </w:tcPr>
          <w:p w14:paraId="4F939ABE" w14:textId="77777777" w:rsidR="007C1CFF" w:rsidRDefault="007C1CFF">
            <w:pPr>
              <w:keepNext/>
              <w:spacing w:before="75" w:after="30"/>
              <w:jc w:val="right"/>
            </w:pPr>
          </w:p>
        </w:tc>
        <w:tc>
          <w:tcPr>
            <w:tcW w:w="1125" w:type="dxa"/>
            <w:tcBorders>
              <w:top w:val="nil"/>
              <w:left w:val="nil"/>
              <w:bottom w:val="nil"/>
              <w:right w:val="nil"/>
            </w:tcBorders>
            <w:tcMar>
              <w:top w:w="0" w:type="dxa"/>
              <w:left w:w="0" w:type="dxa"/>
              <w:bottom w:w="0" w:type="dxa"/>
              <w:right w:w="15" w:type="dxa"/>
            </w:tcMar>
            <w:vAlign w:val="bottom"/>
          </w:tcPr>
          <w:p w14:paraId="6CA45857" w14:textId="77777777" w:rsidR="007C1CFF" w:rsidRDefault="00000000">
            <w:pPr>
              <w:keepNext/>
              <w:tabs>
                <w:tab w:val="left" w:pos="476"/>
              </w:tabs>
              <w:spacing w:before="75" w:after="30"/>
              <w:jc w:val="right"/>
            </w:pPr>
            <w:r>
              <w:rPr>
                <w:color w:val="000000"/>
                <w:sz w:val="20"/>
              </w:rPr>
              <w:tab/>
              <w:t>(1,113)</w:t>
            </w:r>
          </w:p>
        </w:tc>
        <w:tc>
          <w:tcPr>
            <w:tcW w:w="75" w:type="dxa"/>
            <w:tcBorders>
              <w:top w:val="nil"/>
              <w:left w:val="nil"/>
              <w:bottom w:val="nil"/>
              <w:right w:val="nil"/>
            </w:tcBorders>
            <w:tcMar>
              <w:top w:w="0" w:type="dxa"/>
              <w:left w:w="0" w:type="dxa"/>
              <w:bottom w:w="0" w:type="dxa"/>
              <w:right w:w="15" w:type="dxa"/>
            </w:tcMar>
            <w:vAlign w:val="bottom"/>
          </w:tcPr>
          <w:p w14:paraId="77DE0254"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1B0C531E" w14:textId="77777777" w:rsidR="007C1CFF" w:rsidRDefault="00000000">
            <w:pPr>
              <w:keepNext/>
              <w:tabs>
                <w:tab w:val="left" w:pos="822"/>
                <w:tab w:val="left" w:pos="1087"/>
              </w:tabs>
              <w:spacing w:before="75" w:after="30"/>
              <w:jc w:val="right"/>
            </w:pPr>
            <w:r>
              <w:rPr>
                <w:color w:val="000000"/>
                <w:sz w:val="20"/>
              </w:rPr>
              <w:tab/>
              <w:t>—</w:t>
            </w:r>
            <w:r>
              <w:rPr>
                <w:color w:val="000000"/>
                <w:sz w:val="20"/>
              </w:rPr>
              <w:tab/>
            </w:r>
          </w:p>
        </w:tc>
      </w:tr>
      <w:tr w:rsidR="007C1CFF" w14:paraId="24D5FAFB"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442FE1B7" w14:textId="77777777" w:rsidR="007C1CFF" w:rsidRDefault="00000000">
            <w:pPr>
              <w:keepNext/>
              <w:spacing w:before="75" w:after="30"/>
            </w:pPr>
            <w:r>
              <w:rPr>
                <w:color w:val="000000"/>
                <w:sz w:val="20"/>
              </w:rPr>
              <w:t>Loss on operations transfer, net</w:t>
            </w:r>
          </w:p>
        </w:tc>
        <w:tc>
          <w:tcPr>
            <w:tcW w:w="1125" w:type="dxa"/>
            <w:tcBorders>
              <w:top w:val="nil"/>
              <w:left w:val="nil"/>
              <w:bottom w:val="nil"/>
              <w:right w:val="nil"/>
            </w:tcBorders>
            <w:tcMar>
              <w:top w:w="0" w:type="dxa"/>
              <w:left w:w="0" w:type="dxa"/>
              <w:bottom w:w="0" w:type="dxa"/>
              <w:right w:w="15" w:type="dxa"/>
            </w:tcMar>
            <w:vAlign w:val="bottom"/>
          </w:tcPr>
          <w:p w14:paraId="7BF2FF92" w14:textId="77777777" w:rsidR="007C1CFF" w:rsidRDefault="00000000">
            <w:pPr>
              <w:keepNext/>
              <w:tabs>
                <w:tab w:val="left" w:pos="692"/>
                <w:tab w:val="left" w:pos="1057"/>
              </w:tabs>
              <w:spacing w:before="75" w:after="30"/>
              <w:jc w:val="right"/>
            </w:pPr>
            <w:r>
              <w:rPr>
                <w:color w:val="000000"/>
                <w:sz w:val="20"/>
              </w:rPr>
              <w:tab/>
              <w:t>729</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344378EE"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1B8303BA" w14:textId="77777777" w:rsidR="007C1CFF" w:rsidRDefault="00000000">
            <w:pPr>
              <w:keepNext/>
              <w:tabs>
                <w:tab w:val="left" w:pos="822"/>
                <w:tab w:val="left" w:pos="1087"/>
              </w:tabs>
              <w:spacing w:before="75" w:after="30"/>
              <w:jc w:val="right"/>
            </w:pPr>
            <w:r>
              <w:rPr>
                <w:color w:val="000000"/>
                <w:sz w:val="20"/>
              </w:rPr>
              <w:tab/>
              <w:t>—</w:t>
            </w:r>
            <w:r>
              <w:rPr>
                <w:color w:val="000000"/>
                <w:sz w:val="20"/>
              </w:rPr>
              <w:tab/>
            </w:r>
          </w:p>
        </w:tc>
        <w:tc>
          <w:tcPr>
            <w:tcW w:w="150" w:type="dxa"/>
            <w:tcBorders>
              <w:top w:val="nil"/>
              <w:left w:val="nil"/>
              <w:bottom w:val="nil"/>
              <w:right w:val="nil"/>
            </w:tcBorders>
            <w:tcMar>
              <w:top w:w="0" w:type="dxa"/>
              <w:left w:w="0" w:type="dxa"/>
              <w:bottom w:w="0" w:type="dxa"/>
              <w:right w:w="15" w:type="dxa"/>
            </w:tcMar>
            <w:vAlign w:val="bottom"/>
          </w:tcPr>
          <w:p w14:paraId="0C32B211" w14:textId="77777777" w:rsidR="007C1CFF" w:rsidRDefault="007C1CFF">
            <w:pPr>
              <w:keepNext/>
              <w:spacing w:before="75" w:after="30"/>
              <w:jc w:val="right"/>
            </w:pPr>
          </w:p>
        </w:tc>
        <w:tc>
          <w:tcPr>
            <w:tcW w:w="1125" w:type="dxa"/>
            <w:tcBorders>
              <w:top w:val="nil"/>
              <w:left w:val="nil"/>
              <w:bottom w:val="nil"/>
              <w:right w:val="nil"/>
            </w:tcBorders>
            <w:tcMar>
              <w:top w:w="0" w:type="dxa"/>
              <w:left w:w="0" w:type="dxa"/>
              <w:bottom w:w="0" w:type="dxa"/>
              <w:right w:w="15" w:type="dxa"/>
            </w:tcMar>
            <w:vAlign w:val="bottom"/>
          </w:tcPr>
          <w:p w14:paraId="0FE5F232" w14:textId="77777777" w:rsidR="007C1CFF" w:rsidRDefault="00000000">
            <w:pPr>
              <w:keepNext/>
              <w:tabs>
                <w:tab w:val="left" w:pos="692"/>
                <w:tab w:val="left" w:pos="1057"/>
              </w:tabs>
              <w:spacing w:before="75" w:after="30"/>
              <w:jc w:val="right"/>
            </w:pPr>
            <w:r>
              <w:rPr>
                <w:color w:val="000000"/>
                <w:sz w:val="20"/>
              </w:rPr>
              <w:tab/>
              <w:t>729</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03892E9A"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40CD7388" w14:textId="77777777" w:rsidR="007C1CFF" w:rsidRDefault="00000000">
            <w:pPr>
              <w:keepNext/>
              <w:tabs>
                <w:tab w:val="left" w:pos="822"/>
                <w:tab w:val="left" w:pos="1087"/>
              </w:tabs>
              <w:spacing w:before="75" w:after="30"/>
              <w:jc w:val="right"/>
            </w:pPr>
            <w:r>
              <w:rPr>
                <w:color w:val="000000"/>
                <w:sz w:val="20"/>
              </w:rPr>
              <w:tab/>
              <w:t>—</w:t>
            </w:r>
            <w:r>
              <w:rPr>
                <w:color w:val="000000"/>
                <w:sz w:val="20"/>
              </w:rPr>
              <w:tab/>
            </w:r>
          </w:p>
        </w:tc>
      </w:tr>
      <w:tr w:rsidR="007C1CFF" w14:paraId="749F5B52"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400A291A" w14:textId="77777777" w:rsidR="007C1CFF" w:rsidRDefault="00000000">
            <w:pPr>
              <w:keepNext/>
              <w:spacing w:before="75" w:after="30"/>
            </w:pPr>
            <w:r>
              <w:rPr>
                <w:color w:val="000000"/>
                <w:sz w:val="20"/>
              </w:rPr>
              <w:t>Gains on sales of real estate, net</w:t>
            </w:r>
          </w:p>
        </w:tc>
        <w:tc>
          <w:tcPr>
            <w:tcW w:w="1125" w:type="dxa"/>
            <w:tcBorders>
              <w:top w:val="nil"/>
              <w:left w:val="nil"/>
              <w:bottom w:val="nil"/>
              <w:right w:val="nil"/>
            </w:tcBorders>
            <w:tcMar>
              <w:top w:w="0" w:type="dxa"/>
              <w:left w:w="0" w:type="dxa"/>
              <w:bottom w:w="0" w:type="dxa"/>
              <w:right w:w="15" w:type="dxa"/>
            </w:tcMar>
            <w:vAlign w:val="bottom"/>
          </w:tcPr>
          <w:p w14:paraId="60D7B3F1" w14:textId="77777777" w:rsidR="007C1CFF" w:rsidRDefault="00000000">
            <w:pPr>
              <w:keepNext/>
              <w:tabs>
                <w:tab w:val="left" w:pos="376"/>
              </w:tabs>
              <w:spacing w:before="75" w:after="30"/>
              <w:jc w:val="right"/>
            </w:pPr>
            <w:r>
              <w:rPr>
                <w:color w:val="000000"/>
                <w:sz w:val="20"/>
              </w:rPr>
              <w:tab/>
              <w:t>(10,521)</w:t>
            </w:r>
          </w:p>
        </w:tc>
        <w:tc>
          <w:tcPr>
            <w:tcW w:w="75" w:type="dxa"/>
            <w:tcBorders>
              <w:top w:val="nil"/>
              <w:left w:val="nil"/>
              <w:bottom w:val="nil"/>
              <w:right w:val="nil"/>
            </w:tcBorders>
            <w:tcMar>
              <w:top w:w="0" w:type="dxa"/>
              <w:left w:w="0" w:type="dxa"/>
              <w:bottom w:w="0" w:type="dxa"/>
              <w:right w:w="0" w:type="dxa"/>
            </w:tcMar>
            <w:vAlign w:val="bottom"/>
          </w:tcPr>
          <w:p w14:paraId="4E1F1B29" w14:textId="77777777" w:rsidR="007C1CFF" w:rsidRDefault="007C1CFF">
            <w:pPr>
              <w:keepNext/>
            </w:pPr>
          </w:p>
        </w:tc>
        <w:tc>
          <w:tcPr>
            <w:tcW w:w="1155" w:type="dxa"/>
            <w:tcBorders>
              <w:top w:val="nil"/>
              <w:left w:val="nil"/>
              <w:bottom w:val="nil"/>
              <w:right w:val="nil"/>
            </w:tcBorders>
            <w:tcMar>
              <w:top w:w="0" w:type="dxa"/>
              <w:left w:w="0" w:type="dxa"/>
              <w:bottom w:w="0" w:type="dxa"/>
              <w:right w:w="15" w:type="dxa"/>
            </w:tcMar>
            <w:vAlign w:val="bottom"/>
          </w:tcPr>
          <w:p w14:paraId="1A61E257" w14:textId="77777777" w:rsidR="007C1CFF" w:rsidRDefault="00000000">
            <w:pPr>
              <w:keepNext/>
              <w:tabs>
                <w:tab w:val="left" w:pos="506"/>
              </w:tabs>
              <w:spacing w:before="75" w:after="30"/>
              <w:jc w:val="right"/>
            </w:pPr>
            <w:r>
              <w:rPr>
                <w:color w:val="000000"/>
                <w:sz w:val="20"/>
              </w:rPr>
              <w:tab/>
              <w:t>(6,484)</w:t>
            </w:r>
          </w:p>
        </w:tc>
        <w:tc>
          <w:tcPr>
            <w:tcW w:w="150" w:type="dxa"/>
            <w:tcBorders>
              <w:top w:val="nil"/>
              <w:left w:val="nil"/>
              <w:bottom w:val="nil"/>
              <w:right w:val="nil"/>
            </w:tcBorders>
            <w:tcMar>
              <w:top w:w="0" w:type="dxa"/>
              <w:left w:w="0" w:type="dxa"/>
              <w:bottom w:w="0" w:type="dxa"/>
              <w:right w:w="0" w:type="dxa"/>
            </w:tcMar>
            <w:vAlign w:val="bottom"/>
          </w:tcPr>
          <w:p w14:paraId="3834F368" w14:textId="77777777" w:rsidR="007C1CFF" w:rsidRDefault="007C1CFF">
            <w:pPr>
              <w:keepNext/>
            </w:pPr>
          </w:p>
        </w:tc>
        <w:tc>
          <w:tcPr>
            <w:tcW w:w="1125" w:type="dxa"/>
            <w:tcBorders>
              <w:top w:val="nil"/>
              <w:left w:val="nil"/>
              <w:bottom w:val="nil"/>
              <w:right w:val="nil"/>
            </w:tcBorders>
            <w:tcMar>
              <w:top w:w="0" w:type="dxa"/>
              <w:left w:w="0" w:type="dxa"/>
              <w:bottom w:w="0" w:type="dxa"/>
              <w:right w:w="15" w:type="dxa"/>
            </w:tcMar>
            <w:vAlign w:val="bottom"/>
          </w:tcPr>
          <w:p w14:paraId="626AA16A" w14:textId="77777777" w:rsidR="007C1CFF" w:rsidRDefault="00000000">
            <w:pPr>
              <w:keepNext/>
              <w:tabs>
                <w:tab w:val="left" w:pos="376"/>
              </w:tabs>
              <w:spacing w:before="75" w:after="30"/>
              <w:jc w:val="right"/>
            </w:pPr>
            <w:r>
              <w:rPr>
                <w:color w:val="000000"/>
                <w:sz w:val="20"/>
              </w:rPr>
              <w:tab/>
              <w:t>(13,502)</w:t>
            </w:r>
          </w:p>
        </w:tc>
        <w:tc>
          <w:tcPr>
            <w:tcW w:w="75" w:type="dxa"/>
            <w:tcBorders>
              <w:top w:val="nil"/>
              <w:left w:val="nil"/>
              <w:bottom w:val="nil"/>
              <w:right w:val="nil"/>
            </w:tcBorders>
            <w:tcMar>
              <w:top w:w="0" w:type="dxa"/>
              <w:left w:w="0" w:type="dxa"/>
              <w:bottom w:w="0" w:type="dxa"/>
              <w:right w:w="0" w:type="dxa"/>
            </w:tcMar>
            <w:vAlign w:val="bottom"/>
          </w:tcPr>
          <w:p w14:paraId="2FBF4809" w14:textId="77777777" w:rsidR="007C1CFF" w:rsidRDefault="007C1CFF">
            <w:pPr>
              <w:keepNext/>
            </w:pPr>
          </w:p>
        </w:tc>
        <w:tc>
          <w:tcPr>
            <w:tcW w:w="1155" w:type="dxa"/>
            <w:tcBorders>
              <w:top w:val="nil"/>
              <w:left w:val="nil"/>
              <w:bottom w:val="nil"/>
              <w:right w:val="nil"/>
            </w:tcBorders>
            <w:tcMar>
              <w:top w:w="0" w:type="dxa"/>
              <w:left w:w="0" w:type="dxa"/>
              <w:bottom w:w="0" w:type="dxa"/>
              <w:right w:w="15" w:type="dxa"/>
            </w:tcMar>
            <w:vAlign w:val="bottom"/>
          </w:tcPr>
          <w:p w14:paraId="583B43A8" w14:textId="77777777" w:rsidR="007C1CFF" w:rsidRDefault="00000000">
            <w:pPr>
              <w:keepNext/>
              <w:tabs>
                <w:tab w:val="left" w:pos="506"/>
              </w:tabs>
              <w:spacing w:before="75" w:after="30"/>
              <w:jc w:val="right"/>
            </w:pPr>
            <w:r>
              <w:rPr>
                <w:color w:val="000000"/>
                <w:sz w:val="20"/>
              </w:rPr>
              <w:tab/>
              <w:t>(6,484)</w:t>
            </w:r>
          </w:p>
        </w:tc>
      </w:tr>
      <w:tr w:rsidR="007C1CFF" w14:paraId="4D91818F"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207F4A15" w14:textId="77777777" w:rsidR="007C1CFF" w:rsidRDefault="00000000">
            <w:pPr>
              <w:keepNext/>
              <w:spacing w:before="75" w:after="30"/>
            </w:pPr>
            <w:r>
              <w:rPr>
                <w:color w:val="000000"/>
                <w:sz w:val="20"/>
              </w:rPr>
              <w:t>Loan and realty losses</w:t>
            </w:r>
          </w:p>
        </w:tc>
        <w:tc>
          <w:tcPr>
            <w:tcW w:w="1125" w:type="dxa"/>
            <w:tcBorders>
              <w:top w:val="nil"/>
              <w:left w:val="nil"/>
              <w:bottom w:val="nil"/>
              <w:right w:val="nil"/>
            </w:tcBorders>
            <w:tcMar>
              <w:top w:w="0" w:type="dxa"/>
              <w:left w:w="0" w:type="dxa"/>
              <w:bottom w:w="0" w:type="dxa"/>
              <w:right w:w="15" w:type="dxa"/>
            </w:tcMar>
            <w:vAlign w:val="bottom"/>
          </w:tcPr>
          <w:p w14:paraId="4E49D3AE" w14:textId="77777777" w:rsidR="007C1CFF" w:rsidRDefault="00000000">
            <w:pPr>
              <w:keepNext/>
              <w:tabs>
                <w:tab w:val="left" w:pos="542"/>
                <w:tab w:val="left" w:pos="1057"/>
              </w:tabs>
              <w:spacing w:before="75" w:after="30"/>
              <w:jc w:val="right"/>
            </w:pPr>
            <w:r>
              <w:rPr>
                <w:color w:val="000000"/>
                <w:sz w:val="20"/>
              </w:rPr>
              <w:tab/>
              <w:t>4,094</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014AA211"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27381036" w14:textId="77777777" w:rsidR="007C1CFF" w:rsidRDefault="00000000">
            <w:pPr>
              <w:keepNext/>
              <w:tabs>
                <w:tab w:val="left" w:pos="572"/>
                <w:tab w:val="left" w:pos="1087"/>
              </w:tabs>
              <w:spacing w:before="75" w:after="30"/>
              <w:jc w:val="right"/>
            </w:pPr>
            <w:r>
              <w:rPr>
                <w:color w:val="000000"/>
                <w:sz w:val="20"/>
              </w:rPr>
              <w:tab/>
              <w:t>1,221</w:t>
            </w:r>
            <w:r>
              <w:rPr>
                <w:color w:val="000000"/>
                <w:sz w:val="20"/>
              </w:rPr>
              <w:tab/>
            </w:r>
          </w:p>
        </w:tc>
        <w:tc>
          <w:tcPr>
            <w:tcW w:w="150" w:type="dxa"/>
            <w:tcBorders>
              <w:top w:val="nil"/>
              <w:left w:val="nil"/>
              <w:bottom w:val="nil"/>
              <w:right w:val="nil"/>
            </w:tcBorders>
            <w:tcMar>
              <w:top w:w="0" w:type="dxa"/>
              <w:left w:w="0" w:type="dxa"/>
              <w:bottom w:w="0" w:type="dxa"/>
              <w:right w:w="15" w:type="dxa"/>
            </w:tcMar>
            <w:vAlign w:val="bottom"/>
          </w:tcPr>
          <w:p w14:paraId="2CD2BDA3" w14:textId="77777777" w:rsidR="007C1CFF" w:rsidRDefault="007C1CFF">
            <w:pPr>
              <w:keepNext/>
              <w:spacing w:before="75" w:after="30"/>
              <w:jc w:val="right"/>
            </w:pPr>
          </w:p>
        </w:tc>
        <w:tc>
          <w:tcPr>
            <w:tcW w:w="1125" w:type="dxa"/>
            <w:tcBorders>
              <w:top w:val="nil"/>
              <w:left w:val="nil"/>
              <w:bottom w:val="nil"/>
              <w:right w:val="nil"/>
            </w:tcBorders>
            <w:tcMar>
              <w:top w:w="0" w:type="dxa"/>
              <w:left w:w="0" w:type="dxa"/>
              <w:bottom w:w="0" w:type="dxa"/>
              <w:right w:w="15" w:type="dxa"/>
            </w:tcMar>
            <w:vAlign w:val="bottom"/>
          </w:tcPr>
          <w:p w14:paraId="2BC1E946" w14:textId="77777777" w:rsidR="007C1CFF" w:rsidRDefault="00000000">
            <w:pPr>
              <w:keepNext/>
              <w:tabs>
                <w:tab w:val="left" w:pos="442"/>
                <w:tab w:val="left" w:pos="1057"/>
              </w:tabs>
              <w:spacing w:before="75" w:after="30"/>
              <w:jc w:val="right"/>
            </w:pPr>
            <w:r>
              <w:rPr>
                <w:color w:val="000000"/>
                <w:sz w:val="20"/>
              </w:rPr>
              <w:tab/>
              <w:t>28,622</w:t>
            </w:r>
            <w:r>
              <w:rPr>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491EF676"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43E1EEC3" w14:textId="77777777" w:rsidR="007C1CFF" w:rsidRDefault="00000000">
            <w:pPr>
              <w:keepNext/>
              <w:tabs>
                <w:tab w:val="left" w:pos="572"/>
                <w:tab w:val="left" w:pos="1087"/>
              </w:tabs>
              <w:spacing w:before="75" w:after="30"/>
              <w:jc w:val="right"/>
            </w:pPr>
            <w:r>
              <w:rPr>
                <w:color w:val="000000"/>
                <w:sz w:val="20"/>
              </w:rPr>
              <w:tab/>
              <w:t>1,171</w:t>
            </w:r>
            <w:r>
              <w:rPr>
                <w:color w:val="000000"/>
                <w:sz w:val="20"/>
              </w:rPr>
              <w:tab/>
            </w:r>
          </w:p>
        </w:tc>
      </w:tr>
      <w:tr w:rsidR="007C1CFF" w14:paraId="48C1606B" w14:textId="77777777">
        <w:trPr>
          <w:cantSplit/>
          <w:trHeight w:hRule="exact" w:val="285"/>
        </w:trPr>
        <w:tc>
          <w:tcPr>
            <w:tcW w:w="5580" w:type="dxa"/>
            <w:tcBorders>
              <w:top w:val="nil"/>
              <w:left w:val="nil"/>
              <w:bottom w:val="nil"/>
              <w:right w:val="nil"/>
            </w:tcBorders>
            <w:tcMar>
              <w:top w:w="0" w:type="dxa"/>
              <w:left w:w="53" w:type="dxa"/>
              <w:bottom w:w="0" w:type="dxa"/>
              <w:right w:w="53" w:type="dxa"/>
            </w:tcMar>
            <w:vAlign w:val="bottom"/>
          </w:tcPr>
          <w:p w14:paraId="6224392B" w14:textId="77777777" w:rsidR="007C1CFF" w:rsidRDefault="00000000">
            <w:pPr>
              <w:keepNext/>
              <w:spacing w:before="75" w:after="30"/>
            </w:pPr>
            <w:r>
              <w:rPr>
                <w:color w:val="000000"/>
                <w:sz w:val="20"/>
              </w:rPr>
              <w:t>General and administrative</w:t>
            </w:r>
          </w:p>
        </w:tc>
        <w:tc>
          <w:tcPr>
            <w:tcW w:w="1125" w:type="dxa"/>
            <w:tcBorders>
              <w:top w:val="nil"/>
              <w:left w:val="nil"/>
              <w:bottom w:val="nil"/>
              <w:right w:val="nil"/>
            </w:tcBorders>
            <w:tcMar>
              <w:top w:w="0" w:type="dxa"/>
              <w:left w:w="0" w:type="dxa"/>
              <w:bottom w:w="0" w:type="dxa"/>
              <w:right w:w="15" w:type="dxa"/>
            </w:tcMar>
            <w:vAlign w:val="bottom"/>
          </w:tcPr>
          <w:p w14:paraId="22B207E1" w14:textId="77777777" w:rsidR="007C1CFF" w:rsidRDefault="00000000">
            <w:pPr>
              <w:keepNext/>
              <w:tabs>
                <w:tab w:val="left" w:pos="542"/>
                <w:tab w:val="left" w:pos="1057"/>
              </w:tabs>
              <w:spacing w:before="75" w:after="30"/>
              <w:jc w:val="right"/>
            </w:pPr>
            <w:r>
              <w:rPr>
                <w:color w:val="000000"/>
                <w:sz w:val="20"/>
              </w:rPr>
              <w:tab/>
              <w:t>5,049</w:t>
            </w:r>
            <w:r>
              <w:rPr>
                <w:color w:val="000000"/>
                <w:sz w:val="20"/>
              </w:rPr>
              <w:tab/>
            </w:r>
          </w:p>
        </w:tc>
        <w:tc>
          <w:tcPr>
            <w:tcW w:w="75" w:type="dxa"/>
            <w:tcBorders>
              <w:top w:val="nil"/>
              <w:left w:val="nil"/>
              <w:bottom w:val="nil"/>
              <w:right w:val="nil"/>
            </w:tcBorders>
            <w:tcMar>
              <w:top w:w="0" w:type="dxa"/>
              <w:left w:w="0" w:type="dxa"/>
              <w:bottom w:w="0" w:type="dxa"/>
              <w:right w:w="15" w:type="dxa"/>
            </w:tcMar>
            <w:vAlign w:val="bottom"/>
          </w:tcPr>
          <w:p w14:paraId="22E513BD"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4932FAB3" w14:textId="77777777" w:rsidR="007C1CFF" w:rsidRDefault="00000000">
            <w:pPr>
              <w:keepNext/>
              <w:tabs>
                <w:tab w:val="left" w:pos="572"/>
                <w:tab w:val="left" w:pos="1087"/>
              </w:tabs>
              <w:spacing w:before="75" w:after="30"/>
              <w:jc w:val="right"/>
            </w:pPr>
            <w:r>
              <w:rPr>
                <w:color w:val="000000"/>
                <w:sz w:val="20"/>
              </w:rPr>
              <w:tab/>
              <w:t>3,588</w:t>
            </w:r>
            <w:r>
              <w:rPr>
                <w:color w:val="000000"/>
                <w:sz w:val="20"/>
              </w:rPr>
              <w:tab/>
            </w:r>
          </w:p>
        </w:tc>
        <w:tc>
          <w:tcPr>
            <w:tcW w:w="150" w:type="dxa"/>
            <w:tcBorders>
              <w:top w:val="nil"/>
              <w:left w:val="nil"/>
              <w:bottom w:val="nil"/>
              <w:right w:val="nil"/>
            </w:tcBorders>
            <w:tcMar>
              <w:top w:w="0" w:type="dxa"/>
              <w:left w:w="0" w:type="dxa"/>
              <w:bottom w:w="0" w:type="dxa"/>
              <w:right w:w="15" w:type="dxa"/>
            </w:tcMar>
            <w:vAlign w:val="bottom"/>
          </w:tcPr>
          <w:p w14:paraId="43C871FB" w14:textId="77777777" w:rsidR="007C1CFF" w:rsidRDefault="007C1CFF">
            <w:pPr>
              <w:keepNext/>
              <w:spacing w:before="75" w:after="30"/>
              <w:jc w:val="right"/>
            </w:pPr>
          </w:p>
        </w:tc>
        <w:tc>
          <w:tcPr>
            <w:tcW w:w="1125" w:type="dxa"/>
            <w:tcBorders>
              <w:top w:val="nil"/>
              <w:left w:val="nil"/>
              <w:bottom w:val="nil"/>
              <w:right w:val="nil"/>
            </w:tcBorders>
            <w:tcMar>
              <w:top w:w="0" w:type="dxa"/>
              <w:left w:w="0" w:type="dxa"/>
              <w:bottom w:w="0" w:type="dxa"/>
              <w:right w:w="15" w:type="dxa"/>
            </w:tcMar>
            <w:vAlign w:val="bottom"/>
          </w:tcPr>
          <w:p w14:paraId="7BC97290" w14:textId="77777777" w:rsidR="007C1CFF" w:rsidRDefault="00000000">
            <w:pPr>
              <w:keepNext/>
              <w:tabs>
                <w:tab w:val="left" w:pos="442"/>
                <w:tab w:val="left" w:pos="1057"/>
              </w:tabs>
              <w:spacing w:before="75" w:after="30"/>
              <w:jc w:val="right"/>
            </w:pPr>
            <w:r>
              <w:rPr>
                <w:color w:val="000000"/>
                <w:sz w:val="20"/>
              </w:rPr>
              <w:tab/>
              <w:t>13,150</w:t>
            </w:r>
            <w:r>
              <w:rPr>
                <w:color w:val="000000"/>
                <w:sz w:val="20"/>
              </w:rPr>
              <w:tab/>
            </w:r>
          </w:p>
        </w:tc>
        <w:tc>
          <w:tcPr>
            <w:tcW w:w="75" w:type="dxa"/>
            <w:tcBorders>
              <w:top w:val="nil"/>
              <w:left w:val="nil"/>
              <w:bottom w:val="nil"/>
              <w:right w:val="nil"/>
            </w:tcBorders>
            <w:tcMar>
              <w:top w:w="0" w:type="dxa"/>
              <w:left w:w="0" w:type="dxa"/>
              <w:bottom w:w="0" w:type="dxa"/>
              <w:right w:w="15" w:type="dxa"/>
            </w:tcMar>
            <w:vAlign w:val="bottom"/>
          </w:tcPr>
          <w:p w14:paraId="7A3CE9FB"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0DE94323" w14:textId="77777777" w:rsidR="007C1CFF" w:rsidRDefault="00000000">
            <w:pPr>
              <w:keepNext/>
              <w:tabs>
                <w:tab w:val="left" w:pos="472"/>
                <w:tab w:val="left" w:pos="1087"/>
              </w:tabs>
              <w:spacing w:before="75" w:after="30"/>
              <w:jc w:val="right"/>
            </w:pPr>
            <w:r>
              <w:rPr>
                <w:color w:val="000000"/>
                <w:sz w:val="20"/>
              </w:rPr>
              <w:tab/>
              <w:t>11,577</w:t>
            </w:r>
            <w:r>
              <w:rPr>
                <w:color w:val="000000"/>
                <w:sz w:val="20"/>
              </w:rPr>
              <w:tab/>
            </w:r>
          </w:p>
        </w:tc>
      </w:tr>
      <w:tr w:rsidR="007C1CFF" w14:paraId="56FE84B8"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3D9CC662" w14:textId="77777777" w:rsidR="007C1CFF" w:rsidRDefault="00000000">
            <w:pPr>
              <w:keepNext/>
              <w:spacing w:before="75" w:after="30"/>
            </w:pPr>
            <w:r>
              <w:rPr>
                <w:color w:val="000000"/>
                <w:sz w:val="20"/>
              </w:rPr>
              <w:t>Franchise, excise and other taxes</w:t>
            </w:r>
          </w:p>
        </w:tc>
        <w:tc>
          <w:tcPr>
            <w:tcW w:w="1125" w:type="dxa"/>
            <w:tcBorders>
              <w:top w:val="nil"/>
              <w:left w:val="nil"/>
              <w:bottom w:val="nil"/>
              <w:right w:val="nil"/>
            </w:tcBorders>
            <w:tcMar>
              <w:top w:w="0" w:type="dxa"/>
              <w:left w:w="0" w:type="dxa"/>
              <w:bottom w:w="0" w:type="dxa"/>
              <w:right w:w="15" w:type="dxa"/>
            </w:tcMar>
            <w:vAlign w:val="bottom"/>
          </w:tcPr>
          <w:p w14:paraId="42736B74" w14:textId="77777777" w:rsidR="007C1CFF" w:rsidRDefault="00000000">
            <w:pPr>
              <w:keepNext/>
              <w:tabs>
                <w:tab w:val="left" w:pos="692"/>
                <w:tab w:val="left" w:pos="1057"/>
              </w:tabs>
              <w:spacing w:before="75" w:after="30"/>
              <w:jc w:val="right"/>
            </w:pPr>
            <w:r>
              <w:rPr>
                <w:color w:val="000000"/>
                <w:sz w:val="20"/>
              </w:rPr>
              <w:tab/>
              <w:t>225</w:t>
            </w:r>
            <w:r>
              <w:rPr>
                <w:color w:val="000000"/>
                <w:sz w:val="20"/>
              </w:rPr>
              <w:tab/>
            </w:r>
          </w:p>
        </w:tc>
        <w:tc>
          <w:tcPr>
            <w:tcW w:w="75" w:type="dxa"/>
            <w:tcBorders>
              <w:top w:val="nil"/>
              <w:left w:val="nil"/>
              <w:bottom w:val="nil"/>
              <w:right w:val="nil"/>
            </w:tcBorders>
            <w:tcMar>
              <w:top w:w="0" w:type="dxa"/>
              <w:left w:w="53" w:type="dxa"/>
              <w:bottom w:w="0" w:type="dxa"/>
              <w:right w:w="15" w:type="dxa"/>
            </w:tcMar>
            <w:vAlign w:val="bottom"/>
          </w:tcPr>
          <w:p w14:paraId="60EE106A"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27F89318" w14:textId="77777777" w:rsidR="007C1CFF" w:rsidRDefault="00000000">
            <w:pPr>
              <w:keepNext/>
              <w:tabs>
                <w:tab w:val="left" w:pos="722"/>
                <w:tab w:val="left" w:pos="1087"/>
              </w:tabs>
              <w:spacing w:before="75" w:after="30"/>
              <w:jc w:val="right"/>
            </w:pPr>
            <w:r>
              <w:rPr>
                <w:color w:val="000000"/>
                <w:sz w:val="20"/>
              </w:rPr>
              <w:tab/>
              <w:t>232</w:t>
            </w:r>
            <w:r>
              <w:rPr>
                <w:color w:val="000000"/>
                <w:sz w:val="20"/>
              </w:rPr>
              <w:tab/>
            </w:r>
          </w:p>
        </w:tc>
        <w:tc>
          <w:tcPr>
            <w:tcW w:w="150" w:type="dxa"/>
            <w:tcBorders>
              <w:top w:val="nil"/>
              <w:left w:val="nil"/>
              <w:bottom w:val="nil"/>
              <w:right w:val="nil"/>
            </w:tcBorders>
            <w:tcMar>
              <w:top w:w="0" w:type="dxa"/>
              <w:left w:w="53" w:type="dxa"/>
              <w:bottom w:w="0" w:type="dxa"/>
              <w:right w:w="15" w:type="dxa"/>
            </w:tcMar>
            <w:vAlign w:val="bottom"/>
          </w:tcPr>
          <w:p w14:paraId="062FB85E" w14:textId="77777777" w:rsidR="007C1CFF" w:rsidRDefault="007C1CFF">
            <w:pPr>
              <w:keepNext/>
              <w:spacing w:before="75" w:after="30"/>
            </w:pPr>
          </w:p>
        </w:tc>
        <w:tc>
          <w:tcPr>
            <w:tcW w:w="1125" w:type="dxa"/>
            <w:tcBorders>
              <w:top w:val="nil"/>
              <w:left w:val="nil"/>
              <w:bottom w:val="nil"/>
              <w:right w:val="nil"/>
            </w:tcBorders>
            <w:tcMar>
              <w:top w:w="0" w:type="dxa"/>
              <w:left w:w="0" w:type="dxa"/>
              <w:bottom w:w="0" w:type="dxa"/>
              <w:right w:w="15" w:type="dxa"/>
            </w:tcMar>
            <w:vAlign w:val="bottom"/>
          </w:tcPr>
          <w:p w14:paraId="6FC0ADE9" w14:textId="77777777" w:rsidR="007C1CFF" w:rsidRDefault="00000000">
            <w:pPr>
              <w:keepNext/>
              <w:tabs>
                <w:tab w:val="left" w:pos="692"/>
                <w:tab w:val="left" w:pos="1057"/>
              </w:tabs>
              <w:spacing w:before="75" w:after="30"/>
              <w:jc w:val="right"/>
            </w:pPr>
            <w:r>
              <w:rPr>
                <w:color w:val="000000"/>
                <w:sz w:val="20"/>
              </w:rPr>
              <w:tab/>
              <w:t>469</w:t>
            </w:r>
            <w:r>
              <w:rPr>
                <w:color w:val="000000"/>
                <w:sz w:val="20"/>
              </w:rPr>
              <w:tab/>
            </w:r>
          </w:p>
        </w:tc>
        <w:tc>
          <w:tcPr>
            <w:tcW w:w="75" w:type="dxa"/>
            <w:tcBorders>
              <w:top w:val="nil"/>
              <w:left w:val="nil"/>
              <w:bottom w:val="nil"/>
              <w:right w:val="nil"/>
            </w:tcBorders>
            <w:tcMar>
              <w:top w:w="0" w:type="dxa"/>
              <w:left w:w="53" w:type="dxa"/>
              <w:bottom w:w="0" w:type="dxa"/>
              <w:right w:w="15" w:type="dxa"/>
            </w:tcMar>
            <w:vAlign w:val="bottom"/>
          </w:tcPr>
          <w:p w14:paraId="4DDCB396"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26E269B8" w14:textId="77777777" w:rsidR="007C1CFF" w:rsidRDefault="00000000">
            <w:pPr>
              <w:keepNext/>
              <w:tabs>
                <w:tab w:val="left" w:pos="722"/>
                <w:tab w:val="left" w:pos="1087"/>
              </w:tabs>
              <w:spacing w:before="75" w:after="30"/>
              <w:jc w:val="right"/>
            </w:pPr>
            <w:r>
              <w:rPr>
                <w:color w:val="000000"/>
                <w:sz w:val="20"/>
              </w:rPr>
              <w:tab/>
              <w:t>465</w:t>
            </w:r>
            <w:r>
              <w:rPr>
                <w:color w:val="000000"/>
                <w:sz w:val="20"/>
              </w:rPr>
              <w:tab/>
            </w:r>
          </w:p>
        </w:tc>
      </w:tr>
      <w:tr w:rsidR="007C1CFF" w14:paraId="1D6BBF7D"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7D366E9E" w14:textId="77777777" w:rsidR="007C1CFF" w:rsidRDefault="00000000">
            <w:pPr>
              <w:keepNext/>
              <w:spacing w:before="75" w:after="30"/>
            </w:pPr>
            <w:r>
              <w:rPr>
                <w:color w:val="000000"/>
                <w:sz w:val="20"/>
              </w:rPr>
              <w:t>Legal</w:t>
            </w:r>
          </w:p>
        </w:tc>
        <w:tc>
          <w:tcPr>
            <w:tcW w:w="1125" w:type="dxa"/>
            <w:tcBorders>
              <w:top w:val="nil"/>
              <w:left w:val="nil"/>
              <w:bottom w:val="nil"/>
              <w:right w:val="nil"/>
            </w:tcBorders>
            <w:tcMar>
              <w:top w:w="0" w:type="dxa"/>
              <w:left w:w="0" w:type="dxa"/>
              <w:bottom w:w="0" w:type="dxa"/>
              <w:right w:w="15" w:type="dxa"/>
            </w:tcMar>
            <w:vAlign w:val="bottom"/>
          </w:tcPr>
          <w:p w14:paraId="2C3E9331" w14:textId="77777777" w:rsidR="007C1CFF" w:rsidRDefault="00000000">
            <w:pPr>
              <w:keepNext/>
              <w:tabs>
                <w:tab w:val="left" w:pos="692"/>
                <w:tab w:val="left" w:pos="1057"/>
              </w:tabs>
              <w:spacing w:before="75" w:after="30"/>
              <w:jc w:val="right"/>
            </w:pPr>
            <w:r>
              <w:rPr>
                <w:color w:val="000000"/>
                <w:sz w:val="20"/>
              </w:rPr>
              <w:tab/>
              <w:t>339</w:t>
            </w:r>
            <w:r>
              <w:rPr>
                <w:color w:val="000000"/>
                <w:sz w:val="20"/>
              </w:rPr>
              <w:tab/>
            </w:r>
          </w:p>
        </w:tc>
        <w:tc>
          <w:tcPr>
            <w:tcW w:w="75" w:type="dxa"/>
            <w:tcBorders>
              <w:top w:val="nil"/>
              <w:left w:val="nil"/>
              <w:bottom w:val="nil"/>
              <w:right w:val="nil"/>
            </w:tcBorders>
            <w:tcMar>
              <w:top w:w="0" w:type="dxa"/>
              <w:left w:w="0" w:type="dxa"/>
              <w:bottom w:w="0" w:type="dxa"/>
              <w:right w:w="15" w:type="dxa"/>
            </w:tcMar>
            <w:vAlign w:val="bottom"/>
          </w:tcPr>
          <w:p w14:paraId="77A198F0"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0D751CBC" w14:textId="77777777" w:rsidR="007C1CFF" w:rsidRDefault="00000000">
            <w:pPr>
              <w:keepNext/>
              <w:tabs>
                <w:tab w:val="left" w:pos="756"/>
              </w:tabs>
              <w:spacing w:before="75" w:after="30"/>
              <w:jc w:val="right"/>
            </w:pPr>
            <w:r>
              <w:rPr>
                <w:color w:val="000000"/>
                <w:sz w:val="20"/>
              </w:rPr>
              <w:tab/>
              <w:t>(40)</w:t>
            </w:r>
          </w:p>
        </w:tc>
        <w:tc>
          <w:tcPr>
            <w:tcW w:w="150" w:type="dxa"/>
            <w:tcBorders>
              <w:top w:val="nil"/>
              <w:left w:val="nil"/>
              <w:bottom w:val="nil"/>
              <w:right w:val="nil"/>
            </w:tcBorders>
            <w:tcMar>
              <w:top w:w="0" w:type="dxa"/>
              <w:left w:w="0" w:type="dxa"/>
              <w:bottom w:w="0" w:type="dxa"/>
              <w:right w:w="15" w:type="dxa"/>
            </w:tcMar>
            <w:vAlign w:val="bottom"/>
          </w:tcPr>
          <w:p w14:paraId="60DC215A" w14:textId="77777777" w:rsidR="007C1CFF" w:rsidRDefault="007C1CFF">
            <w:pPr>
              <w:keepNext/>
              <w:spacing w:before="75" w:after="30"/>
              <w:jc w:val="right"/>
            </w:pPr>
          </w:p>
        </w:tc>
        <w:tc>
          <w:tcPr>
            <w:tcW w:w="1125" w:type="dxa"/>
            <w:tcBorders>
              <w:top w:val="nil"/>
              <w:left w:val="nil"/>
              <w:bottom w:val="nil"/>
              <w:right w:val="nil"/>
            </w:tcBorders>
            <w:tcMar>
              <w:top w:w="0" w:type="dxa"/>
              <w:left w:w="0" w:type="dxa"/>
              <w:bottom w:w="0" w:type="dxa"/>
              <w:right w:w="15" w:type="dxa"/>
            </w:tcMar>
            <w:vAlign w:val="bottom"/>
          </w:tcPr>
          <w:p w14:paraId="77F8575A" w14:textId="77777777" w:rsidR="007C1CFF" w:rsidRDefault="00000000">
            <w:pPr>
              <w:keepNext/>
              <w:tabs>
                <w:tab w:val="left" w:pos="542"/>
                <w:tab w:val="left" w:pos="1057"/>
              </w:tabs>
              <w:spacing w:before="75" w:after="30"/>
              <w:jc w:val="right"/>
            </w:pPr>
            <w:r>
              <w:rPr>
                <w:color w:val="000000"/>
                <w:sz w:val="20"/>
              </w:rPr>
              <w:tab/>
              <w:t>2,166</w:t>
            </w:r>
            <w:r>
              <w:rPr>
                <w:color w:val="000000"/>
                <w:sz w:val="20"/>
              </w:rPr>
              <w:tab/>
            </w:r>
          </w:p>
        </w:tc>
        <w:tc>
          <w:tcPr>
            <w:tcW w:w="75" w:type="dxa"/>
            <w:tcBorders>
              <w:top w:val="nil"/>
              <w:left w:val="nil"/>
              <w:bottom w:val="nil"/>
              <w:right w:val="nil"/>
            </w:tcBorders>
            <w:tcMar>
              <w:top w:w="0" w:type="dxa"/>
              <w:left w:w="0" w:type="dxa"/>
              <w:bottom w:w="0" w:type="dxa"/>
              <w:right w:w="15" w:type="dxa"/>
            </w:tcMar>
            <w:vAlign w:val="bottom"/>
          </w:tcPr>
          <w:p w14:paraId="0D3C19D9"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55B860F0" w14:textId="77777777" w:rsidR="007C1CFF" w:rsidRDefault="00000000">
            <w:pPr>
              <w:keepNext/>
              <w:tabs>
                <w:tab w:val="left" w:pos="822"/>
                <w:tab w:val="left" w:pos="1087"/>
              </w:tabs>
              <w:spacing w:before="75" w:after="30"/>
              <w:jc w:val="right"/>
            </w:pPr>
            <w:r>
              <w:rPr>
                <w:color w:val="000000"/>
                <w:sz w:val="20"/>
              </w:rPr>
              <w:tab/>
              <w:t>90</w:t>
            </w:r>
            <w:r>
              <w:rPr>
                <w:color w:val="000000"/>
                <w:sz w:val="20"/>
              </w:rPr>
              <w:tab/>
            </w:r>
          </w:p>
        </w:tc>
      </w:tr>
      <w:tr w:rsidR="007C1CFF" w14:paraId="751214D8"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499DF241" w14:textId="77777777" w:rsidR="007C1CFF" w:rsidRDefault="00000000">
            <w:pPr>
              <w:keepNext/>
              <w:spacing w:before="75" w:after="30"/>
            </w:pPr>
            <w:r>
              <w:rPr>
                <w:color w:val="000000"/>
                <w:sz w:val="20"/>
              </w:rPr>
              <w:t>Interest</w:t>
            </w:r>
          </w:p>
        </w:tc>
        <w:tc>
          <w:tcPr>
            <w:tcW w:w="1125" w:type="dxa"/>
            <w:tcBorders>
              <w:top w:val="nil"/>
              <w:left w:val="nil"/>
              <w:bottom w:val="nil"/>
              <w:right w:val="nil"/>
            </w:tcBorders>
            <w:tcMar>
              <w:top w:w="0" w:type="dxa"/>
              <w:left w:w="0" w:type="dxa"/>
              <w:bottom w:w="0" w:type="dxa"/>
              <w:right w:w="15" w:type="dxa"/>
            </w:tcMar>
            <w:vAlign w:val="bottom"/>
          </w:tcPr>
          <w:p w14:paraId="4B638B44" w14:textId="77777777" w:rsidR="007C1CFF" w:rsidRDefault="00000000">
            <w:pPr>
              <w:keepNext/>
              <w:tabs>
                <w:tab w:val="left" w:pos="442"/>
                <w:tab w:val="left" w:pos="1057"/>
              </w:tabs>
              <w:spacing w:before="75" w:after="30"/>
              <w:jc w:val="right"/>
            </w:pPr>
            <w:r>
              <w:rPr>
                <w:color w:val="000000"/>
                <w:sz w:val="20"/>
              </w:rPr>
              <w:tab/>
              <w:t>10,862</w:t>
            </w:r>
            <w:r>
              <w:rPr>
                <w:color w:val="000000"/>
                <w:sz w:val="20"/>
              </w:rPr>
              <w:tab/>
            </w:r>
          </w:p>
        </w:tc>
        <w:tc>
          <w:tcPr>
            <w:tcW w:w="75" w:type="dxa"/>
            <w:tcBorders>
              <w:top w:val="nil"/>
              <w:left w:val="nil"/>
              <w:bottom w:val="nil"/>
              <w:right w:val="nil"/>
            </w:tcBorders>
            <w:tcMar>
              <w:top w:w="0" w:type="dxa"/>
              <w:left w:w="0" w:type="dxa"/>
              <w:bottom w:w="0" w:type="dxa"/>
              <w:right w:w="15" w:type="dxa"/>
            </w:tcMar>
            <w:vAlign w:val="bottom"/>
          </w:tcPr>
          <w:p w14:paraId="44E29FDF"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451C04A1" w14:textId="77777777" w:rsidR="007C1CFF" w:rsidRDefault="00000000">
            <w:pPr>
              <w:keepNext/>
              <w:tabs>
                <w:tab w:val="left" w:pos="472"/>
                <w:tab w:val="left" w:pos="1087"/>
              </w:tabs>
              <w:spacing w:before="75" w:after="30"/>
              <w:jc w:val="right"/>
            </w:pPr>
            <w:r>
              <w:rPr>
                <w:color w:val="000000"/>
                <w:sz w:val="20"/>
              </w:rPr>
              <w:tab/>
              <w:t>12,840</w:t>
            </w:r>
            <w:r>
              <w:rPr>
                <w:color w:val="000000"/>
                <w:sz w:val="20"/>
              </w:rPr>
              <w:tab/>
            </w:r>
          </w:p>
        </w:tc>
        <w:tc>
          <w:tcPr>
            <w:tcW w:w="150" w:type="dxa"/>
            <w:tcBorders>
              <w:top w:val="nil"/>
              <w:left w:val="nil"/>
              <w:bottom w:val="nil"/>
              <w:right w:val="nil"/>
            </w:tcBorders>
            <w:tcMar>
              <w:top w:w="0" w:type="dxa"/>
              <w:left w:w="0" w:type="dxa"/>
              <w:bottom w:w="0" w:type="dxa"/>
              <w:right w:w="15" w:type="dxa"/>
            </w:tcMar>
            <w:vAlign w:val="bottom"/>
          </w:tcPr>
          <w:p w14:paraId="5EEA6D6D" w14:textId="77777777" w:rsidR="007C1CFF" w:rsidRDefault="007C1CFF">
            <w:pPr>
              <w:keepNext/>
              <w:spacing w:before="75" w:after="30"/>
              <w:jc w:val="right"/>
            </w:pPr>
          </w:p>
        </w:tc>
        <w:tc>
          <w:tcPr>
            <w:tcW w:w="1125" w:type="dxa"/>
            <w:tcBorders>
              <w:top w:val="nil"/>
              <w:left w:val="nil"/>
              <w:bottom w:val="nil"/>
              <w:right w:val="nil"/>
            </w:tcBorders>
            <w:tcMar>
              <w:top w:w="0" w:type="dxa"/>
              <w:left w:w="0" w:type="dxa"/>
              <w:bottom w:w="0" w:type="dxa"/>
              <w:right w:w="15" w:type="dxa"/>
            </w:tcMar>
            <w:vAlign w:val="bottom"/>
          </w:tcPr>
          <w:p w14:paraId="6274DFBD" w14:textId="77777777" w:rsidR="007C1CFF" w:rsidRDefault="00000000">
            <w:pPr>
              <w:keepNext/>
              <w:tabs>
                <w:tab w:val="left" w:pos="442"/>
                <w:tab w:val="left" w:pos="1057"/>
              </w:tabs>
              <w:spacing w:before="75" w:after="30"/>
              <w:jc w:val="right"/>
            </w:pPr>
            <w:r>
              <w:rPr>
                <w:color w:val="000000"/>
                <w:sz w:val="20"/>
              </w:rPr>
              <w:tab/>
              <w:t>21,060</w:t>
            </w:r>
            <w:r>
              <w:rPr>
                <w:color w:val="000000"/>
                <w:sz w:val="20"/>
              </w:rPr>
              <w:tab/>
            </w:r>
          </w:p>
        </w:tc>
        <w:tc>
          <w:tcPr>
            <w:tcW w:w="75" w:type="dxa"/>
            <w:tcBorders>
              <w:top w:val="nil"/>
              <w:left w:val="nil"/>
              <w:bottom w:val="nil"/>
              <w:right w:val="nil"/>
            </w:tcBorders>
            <w:tcMar>
              <w:top w:w="0" w:type="dxa"/>
              <w:left w:w="0" w:type="dxa"/>
              <w:bottom w:w="0" w:type="dxa"/>
              <w:right w:w="15" w:type="dxa"/>
            </w:tcMar>
            <w:vAlign w:val="bottom"/>
          </w:tcPr>
          <w:p w14:paraId="38B83A24"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0E9B40D0" w14:textId="77777777" w:rsidR="007C1CFF" w:rsidRDefault="00000000">
            <w:pPr>
              <w:keepNext/>
              <w:tabs>
                <w:tab w:val="left" w:pos="472"/>
                <w:tab w:val="left" w:pos="1087"/>
              </w:tabs>
              <w:spacing w:before="75" w:after="30"/>
              <w:jc w:val="right"/>
            </w:pPr>
            <w:r>
              <w:rPr>
                <w:color w:val="000000"/>
                <w:sz w:val="20"/>
              </w:rPr>
              <w:tab/>
              <w:t>25,813</w:t>
            </w:r>
            <w:r>
              <w:rPr>
                <w:color w:val="000000"/>
                <w:sz w:val="20"/>
              </w:rPr>
              <w:tab/>
            </w:r>
          </w:p>
        </w:tc>
      </w:tr>
      <w:tr w:rsidR="007C1CFF" w14:paraId="7AAE25BF"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51B6A5E4" w14:textId="77777777" w:rsidR="007C1CFF" w:rsidRDefault="00000000">
            <w:pPr>
              <w:keepNext/>
              <w:spacing w:before="75" w:after="30"/>
            </w:pPr>
            <w:r>
              <w:rPr>
                <w:color w:val="000000"/>
                <w:sz w:val="20"/>
              </w:rPr>
              <w:t>Depreciation</w:t>
            </w:r>
          </w:p>
        </w:tc>
        <w:tc>
          <w:tcPr>
            <w:tcW w:w="1125" w:type="dxa"/>
            <w:tcBorders>
              <w:top w:val="nil"/>
              <w:left w:val="nil"/>
              <w:bottom w:val="single" w:sz="8" w:space="0" w:color="000000"/>
              <w:right w:val="nil"/>
            </w:tcBorders>
            <w:tcMar>
              <w:top w:w="0" w:type="dxa"/>
              <w:left w:w="0" w:type="dxa"/>
              <w:bottom w:w="0" w:type="dxa"/>
              <w:right w:w="15" w:type="dxa"/>
            </w:tcMar>
            <w:vAlign w:val="bottom"/>
          </w:tcPr>
          <w:p w14:paraId="67070CBE" w14:textId="77777777" w:rsidR="007C1CFF" w:rsidRDefault="00000000">
            <w:pPr>
              <w:keepNext/>
              <w:tabs>
                <w:tab w:val="left" w:pos="442"/>
                <w:tab w:val="left" w:pos="1057"/>
              </w:tabs>
              <w:spacing w:before="75" w:after="30"/>
              <w:jc w:val="right"/>
            </w:pPr>
            <w:r>
              <w:rPr>
                <w:color w:val="000000"/>
                <w:sz w:val="20"/>
              </w:rPr>
              <w:tab/>
              <w:t>17,772</w:t>
            </w:r>
            <w:r>
              <w:rPr>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1480CAF7" w14:textId="77777777" w:rsidR="007C1CFF" w:rsidRDefault="007C1CFF">
            <w:pPr>
              <w:keepNext/>
              <w:spacing w:before="75" w:after="30"/>
              <w:jc w:val="right"/>
            </w:pPr>
          </w:p>
        </w:tc>
        <w:tc>
          <w:tcPr>
            <w:tcW w:w="1155" w:type="dxa"/>
            <w:tcBorders>
              <w:top w:val="nil"/>
              <w:left w:val="nil"/>
              <w:bottom w:val="single" w:sz="8" w:space="0" w:color="000000"/>
              <w:right w:val="nil"/>
            </w:tcBorders>
            <w:tcMar>
              <w:top w:w="0" w:type="dxa"/>
              <w:left w:w="0" w:type="dxa"/>
              <w:bottom w:w="0" w:type="dxa"/>
              <w:right w:w="15" w:type="dxa"/>
            </w:tcMar>
            <w:vAlign w:val="bottom"/>
          </w:tcPr>
          <w:p w14:paraId="2BF71576" w14:textId="77777777" w:rsidR="007C1CFF" w:rsidRDefault="00000000">
            <w:pPr>
              <w:keepNext/>
              <w:tabs>
                <w:tab w:val="left" w:pos="472"/>
                <w:tab w:val="left" w:pos="1087"/>
              </w:tabs>
              <w:spacing w:before="75" w:after="30"/>
              <w:jc w:val="right"/>
            </w:pPr>
            <w:r>
              <w:rPr>
                <w:color w:val="000000"/>
                <w:sz w:val="20"/>
              </w:rPr>
              <w:tab/>
              <w:t>20,658</w:t>
            </w:r>
            <w:r>
              <w:rPr>
                <w:color w:val="000000"/>
                <w:sz w:val="20"/>
              </w:rPr>
              <w:tab/>
            </w:r>
          </w:p>
        </w:tc>
        <w:tc>
          <w:tcPr>
            <w:tcW w:w="150" w:type="dxa"/>
            <w:tcBorders>
              <w:top w:val="nil"/>
              <w:left w:val="nil"/>
              <w:bottom w:val="nil"/>
              <w:right w:val="nil"/>
            </w:tcBorders>
            <w:tcMar>
              <w:top w:w="0" w:type="dxa"/>
              <w:left w:w="0" w:type="dxa"/>
              <w:bottom w:w="0" w:type="dxa"/>
              <w:right w:w="15" w:type="dxa"/>
            </w:tcMar>
            <w:vAlign w:val="bottom"/>
          </w:tcPr>
          <w:p w14:paraId="40FF1E64" w14:textId="77777777" w:rsidR="007C1CFF" w:rsidRDefault="007C1CFF">
            <w:pPr>
              <w:keepNext/>
              <w:spacing w:before="75" w:after="30"/>
              <w:jc w:val="right"/>
            </w:pPr>
          </w:p>
        </w:tc>
        <w:tc>
          <w:tcPr>
            <w:tcW w:w="1125" w:type="dxa"/>
            <w:tcBorders>
              <w:top w:val="nil"/>
              <w:left w:val="nil"/>
              <w:bottom w:val="single" w:sz="8" w:space="0" w:color="000000"/>
              <w:right w:val="nil"/>
            </w:tcBorders>
            <w:tcMar>
              <w:top w:w="0" w:type="dxa"/>
              <w:left w:w="0" w:type="dxa"/>
              <w:bottom w:w="0" w:type="dxa"/>
              <w:right w:w="15" w:type="dxa"/>
            </w:tcMar>
            <w:vAlign w:val="bottom"/>
          </w:tcPr>
          <w:p w14:paraId="163DC9F5" w14:textId="77777777" w:rsidR="007C1CFF" w:rsidRDefault="00000000">
            <w:pPr>
              <w:keepNext/>
              <w:tabs>
                <w:tab w:val="left" w:pos="442"/>
                <w:tab w:val="left" w:pos="1057"/>
              </w:tabs>
              <w:spacing w:before="75" w:after="30"/>
              <w:jc w:val="right"/>
            </w:pPr>
            <w:r>
              <w:rPr>
                <w:color w:val="000000"/>
                <w:sz w:val="20"/>
              </w:rPr>
              <w:tab/>
              <w:t>36,044</w:t>
            </w:r>
            <w:r>
              <w:rPr>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5B79777F" w14:textId="77777777" w:rsidR="007C1CFF" w:rsidRDefault="007C1CFF">
            <w:pPr>
              <w:keepNext/>
              <w:spacing w:before="75" w:after="30"/>
              <w:jc w:val="right"/>
            </w:pPr>
          </w:p>
        </w:tc>
        <w:tc>
          <w:tcPr>
            <w:tcW w:w="1155" w:type="dxa"/>
            <w:tcBorders>
              <w:top w:val="nil"/>
              <w:left w:val="nil"/>
              <w:bottom w:val="single" w:sz="8" w:space="0" w:color="000000"/>
              <w:right w:val="nil"/>
            </w:tcBorders>
            <w:tcMar>
              <w:top w:w="0" w:type="dxa"/>
              <w:left w:w="0" w:type="dxa"/>
              <w:bottom w:w="0" w:type="dxa"/>
              <w:right w:w="15" w:type="dxa"/>
            </w:tcMar>
            <w:vAlign w:val="bottom"/>
          </w:tcPr>
          <w:p w14:paraId="5DEA2584" w14:textId="77777777" w:rsidR="007C1CFF" w:rsidRDefault="00000000">
            <w:pPr>
              <w:keepNext/>
              <w:tabs>
                <w:tab w:val="left" w:pos="472"/>
                <w:tab w:val="left" w:pos="1087"/>
              </w:tabs>
              <w:spacing w:before="75" w:after="30"/>
              <w:jc w:val="right"/>
            </w:pPr>
            <w:r>
              <w:rPr>
                <w:color w:val="000000"/>
                <w:sz w:val="20"/>
              </w:rPr>
              <w:tab/>
              <w:t>41,464</w:t>
            </w:r>
            <w:r>
              <w:rPr>
                <w:color w:val="000000"/>
                <w:sz w:val="20"/>
              </w:rPr>
              <w:tab/>
            </w:r>
          </w:p>
        </w:tc>
      </w:tr>
      <w:tr w:rsidR="007C1CFF" w14:paraId="4C28A284"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05EB06B4" w14:textId="77777777" w:rsidR="007C1CFF" w:rsidRDefault="00000000">
            <w:pPr>
              <w:keepNext/>
              <w:spacing w:before="55" w:after="30"/>
            </w:pPr>
            <w:r>
              <w:rPr>
                <w:color w:val="000000"/>
                <w:sz w:val="20"/>
              </w:rPr>
              <w:t>Consolidated net operating income (NOI)</w:t>
            </w:r>
          </w:p>
        </w:tc>
        <w:tc>
          <w:tcPr>
            <w:tcW w:w="1125" w:type="dxa"/>
            <w:tcBorders>
              <w:top w:val="single" w:sz="8" w:space="0" w:color="000000"/>
              <w:left w:val="nil"/>
              <w:bottom w:val="double" w:sz="8" w:space="0" w:color="000000"/>
              <w:right w:val="nil"/>
            </w:tcBorders>
            <w:tcMar>
              <w:top w:w="0" w:type="dxa"/>
              <w:left w:w="0" w:type="dxa"/>
              <w:bottom w:w="0" w:type="dxa"/>
              <w:right w:w="15" w:type="dxa"/>
            </w:tcMar>
            <w:vAlign w:val="bottom"/>
          </w:tcPr>
          <w:p w14:paraId="246CD3AD" w14:textId="77777777" w:rsidR="007C1CFF" w:rsidRDefault="00000000">
            <w:pPr>
              <w:keepNext/>
              <w:tabs>
                <w:tab w:val="left" w:pos="442"/>
                <w:tab w:val="left" w:pos="1057"/>
              </w:tabs>
              <w:spacing w:before="55" w:after="30"/>
              <w:jc w:val="right"/>
            </w:pPr>
            <w:r>
              <w:rPr>
                <w:color w:val="000000"/>
                <w:sz w:val="20"/>
              </w:rPr>
              <w:t>$</w:t>
            </w:r>
            <w:r>
              <w:rPr>
                <w:color w:val="000000"/>
                <w:sz w:val="20"/>
              </w:rPr>
              <w:tab/>
              <w:t>48,629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E0154BB" w14:textId="77777777" w:rsidR="007C1CFF" w:rsidRDefault="007C1CFF">
            <w:pPr>
              <w:keepNext/>
            </w:pPr>
          </w:p>
        </w:tc>
        <w:tc>
          <w:tcPr>
            <w:tcW w:w="115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41C95AE" w14:textId="77777777" w:rsidR="007C1CFF" w:rsidRDefault="00000000">
            <w:pPr>
              <w:keepNext/>
              <w:tabs>
                <w:tab w:val="left" w:pos="472"/>
                <w:tab w:val="left" w:pos="1087"/>
              </w:tabs>
              <w:spacing w:before="55" w:after="30"/>
              <w:jc w:val="right"/>
            </w:pPr>
            <w:r>
              <w:rPr>
                <w:color w:val="000000"/>
                <w:sz w:val="20"/>
              </w:rPr>
              <w:t>$</w:t>
            </w:r>
            <w:r>
              <w:rPr>
                <w:color w:val="000000"/>
                <w:sz w:val="20"/>
              </w:rPr>
              <w:tab/>
              <w:t>72,155</w:t>
            </w:r>
            <w:r>
              <w:rPr>
                <w:color w:val="000000"/>
                <w:sz w:val="20"/>
              </w:rPr>
              <w:tab/>
            </w:r>
          </w:p>
        </w:tc>
        <w:tc>
          <w:tcPr>
            <w:tcW w:w="150" w:type="dxa"/>
            <w:tcBorders>
              <w:top w:val="nil"/>
              <w:left w:val="nil"/>
              <w:bottom w:val="nil"/>
              <w:right w:val="nil"/>
            </w:tcBorders>
            <w:tcMar>
              <w:top w:w="0" w:type="dxa"/>
              <w:left w:w="0" w:type="dxa"/>
              <w:bottom w:w="0" w:type="dxa"/>
              <w:right w:w="0" w:type="dxa"/>
            </w:tcMar>
            <w:vAlign w:val="bottom"/>
          </w:tcPr>
          <w:p w14:paraId="27A6DE8C" w14:textId="77777777" w:rsidR="007C1CFF" w:rsidRDefault="007C1CFF">
            <w:pPr>
              <w:keepNext/>
            </w:pPr>
          </w:p>
        </w:tc>
        <w:tc>
          <w:tcPr>
            <w:tcW w:w="1125" w:type="dxa"/>
            <w:tcBorders>
              <w:top w:val="single" w:sz="8" w:space="0" w:color="000000"/>
              <w:left w:val="nil"/>
              <w:bottom w:val="double" w:sz="8" w:space="0" w:color="000000"/>
              <w:right w:val="nil"/>
            </w:tcBorders>
            <w:tcMar>
              <w:top w:w="0" w:type="dxa"/>
              <w:left w:w="0" w:type="dxa"/>
              <w:bottom w:w="0" w:type="dxa"/>
              <w:right w:w="15" w:type="dxa"/>
            </w:tcMar>
            <w:vAlign w:val="bottom"/>
          </w:tcPr>
          <w:p w14:paraId="47B46C63" w14:textId="77777777" w:rsidR="007C1CFF" w:rsidRDefault="00000000">
            <w:pPr>
              <w:keepNext/>
              <w:tabs>
                <w:tab w:val="left" w:pos="342"/>
                <w:tab w:val="left" w:pos="1057"/>
              </w:tabs>
              <w:spacing w:before="55" w:after="30"/>
              <w:jc w:val="right"/>
            </w:pPr>
            <w:r>
              <w:rPr>
                <w:color w:val="000000"/>
                <w:sz w:val="20"/>
              </w:rPr>
              <w:t>$</w:t>
            </w:r>
            <w:r>
              <w:rPr>
                <w:color w:val="000000"/>
                <w:sz w:val="20"/>
              </w:rPr>
              <w:tab/>
              <w:t>116,919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FAEEF66" w14:textId="77777777" w:rsidR="007C1CFF" w:rsidRDefault="007C1CFF">
            <w:pPr>
              <w:keepNext/>
            </w:pPr>
          </w:p>
        </w:tc>
        <w:tc>
          <w:tcPr>
            <w:tcW w:w="1155" w:type="dxa"/>
            <w:tcBorders>
              <w:top w:val="single" w:sz="8" w:space="0" w:color="000000"/>
              <w:left w:val="nil"/>
              <w:bottom w:val="double" w:sz="8" w:space="0" w:color="000000"/>
              <w:right w:val="nil"/>
            </w:tcBorders>
            <w:tcMar>
              <w:top w:w="0" w:type="dxa"/>
              <w:left w:w="0" w:type="dxa"/>
              <w:bottom w:w="0" w:type="dxa"/>
              <w:right w:w="15" w:type="dxa"/>
            </w:tcMar>
            <w:vAlign w:val="bottom"/>
          </w:tcPr>
          <w:p w14:paraId="2523094D" w14:textId="77777777" w:rsidR="007C1CFF" w:rsidRDefault="00000000">
            <w:pPr>
              <w:keepNext/>
              <w:tabs>
                <w:tab w:val="left" w:pos="372"/>
                <w:tab w:val="left" w:pos="1087"/>
              </w:tabs>
              <w:spacing w:before="55" w:after="30"/>
              <w:jc w:val="right"/>
            </w:pPr>
            <w:r>
              <w:rPr>
                <w:color w:val="000000"/>
                <w:sz w:val="20"/>
              </w:rPr>
              <w:t>$</w:t>
            </w:r>
            <w:r>
              <w:rPr>
                <w:color w:val="000000"/>
                <w:sz w:val="20"/>
              </w:rPr>
              <w:tab/>
              <w:t>150,878</w:t>
            </w:r>
            <w:r>
              <w:rPr>
                <w:color w:val="000000"/>
                <w:sz w:val="20"/>
              </w:rPr>
              <w:tab/>
            </w:r>
          </w:p>
        </w:tc>
      </w:tr>
      <w:tr w:rsidR="007C1CFF" w14:paraId="719DCAB5"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4DEF9019" w14:textId="77777777" w:rsidR="007C1CFF" w:rsidRDefault="00000000">
            <w:pPr>
              <w:keepNext/>
              <w:spacing w:before="15" w:after="30"/>
            </w:pPr>
            <w:r>
              <w:rPr>
                <w:color w:val="000000"/>
                <w:sz w:val="20"/>
              </w:rPr>
              <w:t>NOI by segment:</w:t>
            </w:r>
          </w:p>
        </w:tc>
        <w:tc>
          <w:tcPr>
            <w:tcW w:w="1125" w:type="dxa"/>
            <w:tcBorders>
              <w:top w:val="double" w:sz="8" w:space="0" w:color="000000"/>
              <w:left w:val="nil"/>
              <w:bottom w:val="nil"/>
              <w:right w:val="nil"/>
            </w:tcBorders>
            <w:tcMar>
              <w:top w:w="0" w:type="dxa"/>
              <w:left w:w="0" w:type="dxa"/>
              <w:bottom w:w="0" w:type="dxa"/>
              <w:right w:w="0" w:type="dxa"/>
            </w:tcMar>
            <w:vAlign w:val="bottom"/>
          </w:tcPr>
          <w:p w14:paraId="7A77E95E"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6540B6A1" w14:textId="77777777" w:rsidR="007C1CFF" w:rsidRDefault="007C1CFF">
            <w:pPr>
              <w:keepNext/>
            </w:pPr>
          </w:p>
        </w:tc>
        <w:tc>
          <w:tcPr>
            <w:tcW w:w="1155" w:type="dxa"/>
            <w:tcBorders>
              <w:top w:val="double" w:sz="8" w:space="0" w:color="000000"/>
              <w:left w:val="nil"/>
              <w:bottom w:val="nil"/>
              <w:right w:val="nil"/>
            </w:tcBorders>
            <w:tcMar>
              <w:top w:w="0" w:type="dxa"/>
              <w:left w:w="0" w:type="dxa"/>
              <w:bottom w:w="0" w:type="dxa"/>
              <w:right w:w="0" w:type="dxa"/>
            </w:tcMar>
            <w:vAlign w:val="bottom"/>
          </w:tcPr>
          <w:p w14:paraId="7EAB2583" w14:textId="77777777" w:rsidR="007C1CFF" w:rsidRDefault="007C1CFF">
            <w:pPr>
              <w:keepNext/>
            </w:pPr>
          </w:p>
        </w:tc>
        <w:tc>
          <w:tcPr>
            <w:tcW w:w="150" w:type="dxa"/>
            <w:tcBorders>
              <w:top w:val="nil"/>
              <w:left w:val="nil"/>
              <w:bottom w:val="nil"/>
              <w:right w:val="nil"/>
            </w:tcBorders>
            <w:tcMar>
              <w:top w:w="0" w:type="dxa"/>
              <w:left w:w="0" w:type="dxa"/>
              <w:bottom w:w="0" w:type="dxa"/>
              <w:right w:w="0" w:type="dxa"/>
            </w:tcMar>
            <w:vAlign w:val="bottom"/>
          </w:tcPr>
          <w:p w14:paraId="06CB096E" w14:textId="77777777" w:rsidR="007C1CFF" w:rsidRDefault="007C1CFF">
            <w:pPr>
              <w:keepNext/>
            </w:pPr>
          </w:p>
        </w:tc>
        <w:tc>
          <w:tcPr>
            <w:tcW w:w="1125" w:type="dxa"/>
            <w:tcBorders>
              <w:top w:val="double" w:sz="8" w:space="0" w:color="000000"/>
              <w:left w:val="nil"/>
              <w:bottom w:val="nil"/>
              <w:right w:val="nil"/>
            </w:tcBorders>
            <w:tcMar>
              <w:top w:w="0" w:type="dxa"/>
              <w:left w:w="0" w:type="dxa"/>
              <w:bottom w:w="0" w:type="dxa"/>
              <w:right w:w="0" w:type="dxa"/>
            </w:tcMar>
            <w:vAlign w:val="bottom"/>
          </w:tcPr>
          <w:p w14:paraId="363577BC"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3C3F38AB" w14:textId="77777777" w:rsidR="007C1CFF" w:rsidRDefault="007C1CFF">
            <w:pPr>
              <w:keepNext/>
            </w:pPr>
          </w:p>
        </w:tc>
        <w:tc>
          <w:tcPr>
            <w:tcW w:w="1155" w:type="dxa"/>
            <w:tcBorders>
              <w:top w:val="double" w:sz="8" w:space="0" w:color="000000"/>
              <w:left w:val="nil"/>
              <w:bottom w:val="nil"/>
              <w:right w:val="nil"/>
            </w:tcBorders>
            <w:tcMar>
              <w:top w:w="0" w:type="dxa"/>
              <w:left w:w="0" w:type="dxa"/>
              <w:bottom w:w="0" w:type="dxa"/>
              <w:right w:w="0" w:type="dxa"/>
            </w:tcMar>
            <w:vAlign w:val="bottom"/>
          </w:tcPr>
          <w:p w14:paraId="606DDC00" w14:textId="77777777" w:rsidR="007C1CFF" w:rsidRDefault="007C1CFF">
            <w:pPr>
              <w:keepNext/>
            </w:pPr>
          </w:p>
        </w:tc>
      </w:tr>
      <w:tr w:rsidR="007C1CFF" w14:paraId="7BFB2E7A"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4D76725F" w14:textId="77777777" w:rsidR="007C1CFF" w:rsidRDefault="00000000">
            <w:pPr>
              <w:keepNext/>
              <w:spacing w:before="75" w:after="30"/>
            </w:pPr>
            <w:r>
              <w:rPr>
                <w:color w:val="000000"/>
                <w:sz w:val="20"/>
              </w:rPr>
              <w:t xml:space="preserve">   Real Estate Investments</w:t>
            </w:r>
          </w:p>
        </w:tc>
        <w:tc>
          <w:tcPr>
            <w:tcW w:w="1125" w:type="dxa"/>
            <w:tcBorders>
              <w:top w:val="nil"/>
              <w:left w:val="nil"/>
              <w:bottom w:val="nil"/>
              <w:right w:val="nil"/>
            </w:tcBorders>
            <w:tcMar>
              <w:top w:w="0" w:type="dxa"/>
              <w:left w:w="0" w:type="dxa"/>
              <w:bottom w:w="0" w:type="dxa"/>
              <w:right w:w="15" w:type="dxa"/>
            </w:tcMar>
            <w:vAlign w:val="bottom"/>
          </w:tcPr>
          <w:p w14:paraId="540E80A6" w14:textId="77777777" w:rsidR="007C1CFF" w:rsidRDefault="00000000">
            <w:pPr>
              <w:keepNext/>
              <w:tabs>
                <w:tab w:val="left" w:pos="442"/>
                <w:tab w:val="left" w:pos="1057"/>
              </w:tabs>
              <w:spacing w:before="75" w:after="30"/>
              <w:jc w:val="right"/>
            </w:pPr>
            <w:r>
              <w:rPr>
                <w:color w:val="000000"/>
                <w:sz w:val="20"/>
              </w:rPr>
              <w:t>$</w:t>
            </w:r>
            <w:r>
              <w:rPr>
                <w:color w:val="000000"/>
                <w:sz w:val="20"/>
              </w:rPr>
              <w:tab/>
              <w:t>45,650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B6A4DD9" w14:textId="77777777" w:rsidR="007C1CFF" w:rsidRDefault="007C1CFF">
            <w:pPr>
              <w:keepNext/>
            </w:pPr>
          </w:p>
        </w:tc>
        <w:tc>
          <w:tcPr>
            <w:tcW w:w="1155" w:type="dxa"/>
            <w:tcBorders>
              <w:top w:val="nil"/>
              <w:left w:val="nil"/>
              <w:bottom w:val="nil"/>
              <w:right w:val="nil"/>
            </w:tcBorders>
            <w:tcMar>
              <w:top w:w="0" w:type="dxa"/>
              <w:left w:w="0" w:type="dxa"/>
              <w:bottom w:w="0" w:type="dxa"/>
              <w:right w:w="15" w:type="dxa"/>
            </w:tcMar>
            <w:vAlign w:val="bottom"/>
          </w:tcPr>
          <w:p w14:paraId="48396D1A" w14:textId="77777777" w:rsidR="007C1CFF" w:rsidRDefault="00000000">
            <w:pPr>
              <w:keepNext/>
              <w:tabs>
                <w:tab w:val="left" w:pos="472"/>
                <w:tab w:val="left" w:pos="1087"/>
              </w:tabs>
              <w:spacing w:before="75" w:after="30"/>
              <w:jc w:val="right"/>
            </w:pPr>
            <w:r>
              <w:rPr>
                <w:color w:val="000000"/>
                <w:sz w:val="20"/>
              </w:rPr>
              <w:t>$</w:t>
            </w:r>
            <w:r>
              <w:rPr>
                <w:color w:val="000000"/>
                <w:sz w:val="20"/>
              </w:rPr>
              <w:tab/>
              <w:t>72,094</w:t>
            </w:r>
            <w:r>
              <w:rPr>
                <w:color w:val="000000"/>
                <w:sz w:val="20"/>
              </w:rPr>
              <w:tab/>
            </w:r>
          </w:p>
        </w:tc>
        <w:tc>
          <w:tcPr>
            <w:tcW w:w="150" w:type="dxa"/>
            <w:tcBorders>
              <w:top w:val="nil"/>
              <w:left w:val="nil"/>
              <w:bottom w:val="nil"/>
              <w:right w:val="nil"/>
            </w:tcBorders>
            <w:tcMar>
              <w:top w:w="0" w:type="dxa"/>
              <w:left w:w="0" w:type="dxa"/>
              <w:bottom w:w="0" w:type="dxa"/>
              <w:right w:w="0" w:type="dxa"/>
            </w:tcMar>
            <w:vAlign w:val="bottom"/>
          </w:tcPr>
          <w:p w14:paraId="5E1B4E2B" w14:textId="77777777" w:rsidR="007C1CFF" w:rsidRDefault="007C1CFF">
            <w:pPr>
              <w:keepNext/>
            </w:pPr>
          </w:p>
        </w:tc>
        <w:tc>
          <w:tcPr>
            <w:tcW w:w="1125" w:type="dxa"/>
            <w:tcBorders>
              <w:top w:val="nil"/>
              <w:left w:val="nil"/>
              <w:bottom w:val="nil"/>
              <w:right w:val="nil"/>
            </w:tcBorders>
            <w:tcMar>
              <w:top w:w="0" w:type="dxa"/>
              <w:left w:w="0" w:type="dxa"/>
              <w:bottom w:w="0" w:type="dxa"/>
              <w:right w:w="15" w:type="dxa"/>
            </w:tcMar>
            <w:vAlign w:val="bottom"/>
          </w:tcPr>
          <w:p w14:paraId="5892ABA6" w14:textId="77777777" w:rsidR="007C1CFF" w:rsidRDefault="00000000">
            <w:pPr>
              <w:keepNext/>
              <w:tabs>
                <w:tab w:val="left" w:pos="342"/>
                <w:tab w:val="left" w:pos="1057"/>
              </w:tabs>
              <w:spacing w:before="75" w:after="30"/>
              <w:jc w:val="right"/>
            </w:pPr>
            <w:r>
              <w:rPr>
                <w:color w:val="000000"/>
                <w:sz w:val="20"/>
              </w:rPr>
              <w:t>$</w:t>
            </w:r>
            <w:r>
              <w:rPr>
                <w:color w:val="000000"/>
                <w:sz w:val="20"/>
              </w:rPr>
              <w:tab/>
              <w:t>113,888</w:t>
            </w:r>
            <w:r>
              <w:rPr>
                <w:color w:val="000000"/>
                <w:sz w:val="20"/>
              </w:rPr>
              <w:tab/>
            </w:r>
          </w:p>
        </w:tc>
        <w:tc>
          <w:tcPr>
            <w:tcW w:w="75" w:type="dxa"/>
            <w:tcBorders>
              <w:top w:val="nil"/>
              <w:left w:val="nil"/>
              <w:bottom w:val="nil"/>
              <w:right w:val="nil"/>
            </w:tcBorders>
            <w:tcMar>
              <w:top w:w="0" w:type="dxa"/>
              <w:left w:w="0" w:type="dxa"/>
              <w:bottom w:w="0" w:type="dxa"/>
              <w:right w:w="15" w:type="dxa"/>
            </w:tcMar>
            <w:vAlign w:val="bottom"/>
          </w:tcPr>
          <w:p w14:paraId="0DCFEBF4" w14:textId="77777777" w:rsidR="007C1CFF" w:rsidRDefault="007C1CFF">
            <w:pPr>
              <w:keepNext/>
              <w:spacing w:before="75" w:after="30"/>
              <w:jc w:val="right"/>
            </w:pPr>
          </w:p>
        </w:tc>
        <w:tc>
          <w:tcPr>
            <w:tcW w:w="1155" w:type="dxa"/>
            <w:tcBorders>
              <w:top w:val="nil"/>
              <w:left w:val="nil"/>
              <w:bottom w:val="nil"/>
              <w:right w:val="nil"/>
            </w:tcBorders>
            <w:tcMar>
              <w:top w:w="0" w:type="dxa"/>
              <w:left w:w="0" w:type="dxa"/>
              <w:bottom w:w="0" w:type="dxa"/>
              <w:right w:w="15" w:type="dxa"/>
            </w:tcMar>
            <w:vAlign w:val="bottom"/>
          </w:tcPr>
          <w:p w14:paraId="7C9BB1A6" w14:textId="77777777" w:rsidR="007C1CFF" w:rsidRDefault="00000000">
            <w:pPr>
              <w:keepNext/>
              <w:tabs>
                <w:tab w:val="left" w:pos="372"/>
                <w:tab w:val="left" w:pos="1087"/>
              </w:tabs>
              <w:spacing w:before="75" w:after="30"/>
              <w:jc w:val="right"/>
            </w:pPr>
            <w:r>
              <w:rPr>
                <w:color w:val="000000"/>
                <w:sz w:val="20"/>
              </w:rPr>
              <w:t>$</w:t>
            </w:r>
            <w:r>
              <w:rPr>
                <w:color w:val="000000"/>
                <w:sz w:val="20"/>
              </w:rPr>
              <w:tab/>
              <w:t>150,740</w:t>
            </w:r>
            <w:r>
              <w:rPr>
                <w:color w:val="000000"/>
                <w:sz w:val="20"/>
              </w:rPr>
              <w:tab/>
            </w:r>
          </w:p>
        </w:tc>
      </w:tr>
      <w:tr w:rsidR="007C1CFF" w14:paraId="7B2C8C68"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6E330437" w14:textId="77777777" w:rsidR="007C1CFF" w:rsidRDefault="00000000">
            <w:pPr>
              <w:keepNext/>
              <w:spacing w:before="75" w:after="30"/>
            </w:pPr>
            <w:r>
              <w:rPr>
                <w:color w:val="000000"/>
                <w:sz w:val="20"/>
              </w:rPr>
              <w:t xml:space="preserve">   SHOP</w:t>
            </w:r>
          </w:p>
        </w:tc>
        <w:tc>
          <w:tcPr>
            <w:tcW w:w="1125" w:type="dxa"/>
            <w:tcBorders>
              <w:top w:val="nil"/>
              <w:left w:val="nil"/>
              <w:bottom w:val="nil"/>
              <w:right w:val="nil"/>
            </w:tcBorders>
            <w:tcMar>
              <w:top w:w="0" w:type="dxa"/>
              <w:left w:w="0" w:type="dxa"/>
              <w:bottom w:w="0" w:type="dxa"/>
              <w:right w:w="15" w:type="dxa"/>
            </w:tcMar>
            <w:vAlign w:val="bottom"/>
          </w:tcPr>
          <w:p w14:paraId="3635A299" w14:textId="77777777" w:rsidR="007C1CFF" w:rsidRDefault="00000000">
            <w:pPr>
              <w:keepNext/>
              <w:tabs>
                <w:tab w:val="left" w:pos="542"/>
                <w:tab w:val="left" w:pos="1057"/>
              </w:tabs>
              <w:spacing w:before="75" w:after="30"/>
              <w:jc w:val="right"/>
            </w:pPr>
            <w:r>
              <w:rPr>
                <w:color w:val="000000"/>
                <w:sz w:val="20"/>
              </w:rPr>
              <w:tab/>
              <w:t>2,879</w:t>
            </w:r>
            <w:r>
              <w:rPr>
                <w:color w:val="000000"/>
                <w:sz w:val="20"/>
              </w:rPr>
              <w:tab/>
            </w:r>
          </w:p>
        </w:tc>
        <w:tc>
          <w:tcPr>
            <w:tcW w:w="75" w:type="dxa"/>
            <w:tcBorders>
              <w:top w:val="nil"/>
              <w:left w:val="nil"/>
              <w:bottom w:val="nil"/>
              <w:right w:val="nil"/>
            </w:tcBorders>
            <w:tcMar>
              <w:top w:w="0" w:type="dxa"/>
              <w:left w:w="53" w:type="dxa"/>
              <w:bottom w:w="0" w:type="dxa"/>
              <w:right w:w="15" w:type="dxa"/>
            </w:tcMar>
            <w:vAlign w:val="bottom"/>
          </w:tcPr>
          <w:p w14:paraId="42ABA1B9"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4D67FD63" w14:textId="77777777" w:rsidR="007C1CFF" w:rsidRDefault="00000000">
            <w:pPr>
              <w:keepNext/>
              <w:tabs>
                <w:tab w:val="left" w:pos="822"/>
                <w:tab w:val="left" w:pos="1087"/>
              </w:tabs>
              <w:spacing w:before="75" w:after="30"/>
              <w:jc w:val="right"/>
            </w:pPr>
            <w:r>
              <w:rPr>
                <w:color w:val="000000"/>
                <w:sz w:val="20"/>
              </w:rPr>
              <w:tab/>
              <w:t>—</w:t>
            </w:r>
            <w:r>
              <w:rPr>
                <w:color w:val="000000"/>
                <w:sz w:val="20"/>
              </w:rPr>
              <w:tab/>
            </w:r>
          </w:p>
        </w:tc>
        <w:tc>
          <w:tcPr>
            <w:tcW w:w="150" w:type="dxa"/>
            <w:tcBorders>
              <w:top w:val="nil"/>
              <w:left w:val="nil"/>
              <w:bottom w:val="nil"/>
              <w:right w:val="nil"/>
            </w:tcBorders>
            <w:tcMar>
              <w:top w:w="0" w:type="dxa"/>
              <w:left w:w="0" w:type="dxa"/>
              <w:bottom w:w="0" w:type="dxa"/>
              <w:right w:w="0" w:type="dxa"/>
            </w:tcMar>
            <w:vAlign w:val="bottom"/>
          </w:tcPr>
          <w:p w14:paraId="2970AE3C" w14:textId="77777777" w:rsidR="007C1CFF" w:rsidRDefault="007C1CFF">
            <w:pPr>
              <w:keepNext/>
            </w:pPr>
          </w:p>
        </w:tc>
        <w:tc>
          <w:tcPr>
            <w:tcW w:w="1125" w:type="dxa"/>
            <w:tcBorders>
              <w:top w:val="nil"/>
              <w:left w:val="nil"/>
              <w:bottom w:val="nil"/>
              <w:right w:val="nil"/>
            </w:tcBorders>
            <w:tcMar>
              <w:top w:w="0" w:type="dxa"/>
              <w:left w:w="0" w:type="dxa"/>
              <w:bottom w:w="0" w:type="dxa"/>
              <w:right w:w="15" w:type="dxa"/>
            </w:tcMar>
            <w:vAlign w:val="bottom"/>
          </w:tcPr>
          <w:p w14:paraId="62D90385" w14:textId="77777777" w:rsidR="007C1CFF" w:rsidRDefault="00000000">
            <w:pPr>
              <w:keepNext/>
              <w:tabs>
                <w:tab w:val="left" w:pos="542"/>
                <w:tab w:val="left" w:pos="1057"/>
              </w:tabs>
              <w:spacing w:before="75" w:after="30"/>
              <w:jc w:val="right"/>
            </w:pPr>
            <w:r>
              <w:rPr>
                <w:color w:val="000000"/>
                <w:sz w:val="20"/>
              </w:rPr>
              <w:tab/>
              <w:t>2,879</w:t>
            </w:r>
            <w:r>
              <w:rPr>
                <w:color w:val="000000"/>
                <w:sz w:val="20"/>
              </w:rPr>
              <w:tab/>
            </w:r>
          </w:p>
        </w:tc>
        <w:tc>
          <w:tcPr>
            <w:tcW w:w="75" w:type="dxa"/>
            <w:tcBorders>
              <w:top w:val="nil"/>
              <w:left w:val="nil"/>
              <w:bottom w:val="nil"/>
              <w:right w:val="nil"/>
            </w:tcBorders>
            <w:tcMar>
              <w:top w:w="0" w:type="dxa"/>
              <w:left w:w="53" w:type="dxa"/>
              <w:bottom w:w="0" w:type="dxa"/>
              <w:right w:w="15" w:type="dxa"/>
            </w:tcMar>
            <w:vAlign w:val="bottom"/>
          </w:tcPr>
          <w:p w14:paraId="3A68E959" w14:textId="77777777" w:rsidR="007C1CFF" w:rsidRDefault="007C1CFF">
            <w:pPr>
              <w:keepNext/>
              <w:spacing w:before="75" w:after="30"/>
            </w:pPr>
          </w:p>
        </w:tc>
        <w:tc>
          <w:tcPr>
            <w:tcW w:w="1155" w:type="dxa"/>
            <w:tcBorders>
              <w:top w:val="nil"/>
              <w:left w:val="nil"/>
              <w:bottom w:val="nil"/>
              <w:right w:val="nil"/>
            </w:tcBorders>
            <w:tcMar>
              <w:top w:w="0" w:type="dxa"/>
              <w:left w:w="0" w:type="dxa"/>
              <w:bottom w:w="0" w:type="dxa"/>
              <w:right w:w="15" w:type="dxa"/>
            </w:tcMar>
            <w:vAlign w:val="bottom"/>
          </w:tcPr>
          <w:p w14:paraId="65CCC19D" w14:textId="77777777" w:rsidR="007C1CFF" w:rsidRDefault="00000000">
            <w:pPr>
              <w:keepNext/>
              <w:tabs>
                <w:tab w:val="left" w:pos="822"/>
                <w:tab w:val="left" w:pos="1087"/>
              </w:tabs>
              <w:spacing w:before="75" w:after="30"/>
              <w:jc w:val="right"/>
            </w:pPr>
            <w:r>
              <w:rPr>
                <w:color w:val="000000"/>
                <w:sz w:val="20"/>
              </w:rPr>
              <w:tab/>
              <w:t>—</w:t>
            </w:r>
            <w:r>
              <w:rPr>
                <w:color w:val="000000"/>
                <w:sz w:val="20"/>
              </w:rPr>
              <w:tab/>
            </w:r>
          </w:p>
        </w:tc>
      </w:tr>
      <w:tr w:rsidR="007C1CFF" w14:paraId="15DA7F70"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771372F4" w14:textId="77777777" w:rsidR="007C1CFF" w:rsidRDefault="00000000">
            <w:pPr>
              <w:keepNext/>
              <w:spacing w:before="75" w:after="30"/>
            </w:pPr>
            <w:r>
              <w:rPr>
                <w:color w:val="000000"/>
                <w:sz w:val="20"/>
              </w:rPr>
              <w:t xml:space="preserve">   Non-Segment/Corporate</w:t>
            </w:r>
          </w:p>
        </w:tc>
        <w:tc>
          <w:tcPr>
            <w:tcW w:w="1125" w:type="dxa"/>
            <w:tcBorders>
              <w:top w:val="nil"/>
              <w:left w:val="nil"/>
              <w:bottom w:val="single" w:sz="8" w:space="0" w:color="000000"/>
              <w:right w:val="nil"/>
            </w:tcBorders>
            <w:tcMar>
              <w:top w:w="0" w:type="dxa"/>
              <w:left w:w="0" w:type="dxa"/>
              <w:bottom w:w="0" w:type="dxa"/>
              <w:right w:w="15" w:type="dxa"/>
            </w:tcMar>
            <w:vAlign w:val="bottom"/>
          </w:tcPr>
          <w:p w14:paraId="402E008A" w14:textId="77777777" w:rsidR="007C1CFF" w:rsidRDefault="00000000">
            <w:pPr>
              <w:keepNext/>
              <w:tabs>
                <w:tab w:val="left" w:pos="692"/>
                <w:tab w:val="left" w:pos="1057"/>
              </w:tabs>
              <w:spacing w:before="75" w:after="30"/>
              <w:jc w:val="right"/>
            </w:pPr>
            <w:r>
              <w:rPr>
                <w:color w:val="000000"/>
                <w:sz w:val="20"/>
              </w:rPr>
              <w:tab/>
              <w:t>100</w:t>
            </w:r>
            <w:r>
              <w:rPr>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3FD77863" w14:textId="77777777" w:rsidR="007C1CFF" w:rsidRDefault="007C1CFF">
            <w:pPr>
              <w:keepNext/>
              <w:spacing w:before="75" w:after="30"/>
              <w:jc w:val="right"/>
            </w:pPr>
          </w:p>
        </w:tc>
        <w:tc>
          <w:tcPr>
            <w:tcW w:w="1155" w:type="dxa"/>
            <w:tcBorders>
              <w:top w:val="nil"/>
              <w:left w:val="nil"/>
              <w:bottom w:val="single" w:sz="8" w:space="0" w:color="000000"/>
              <w:right w:val="nil"/>
            </w:tcBorders>
            <w:tcMar>
              <w:top w:w="0" w:type="dxa"/>
              <w:left w:w="0" w:type="dxa"/>
              <w:bottom w:w="0" w:type="dxa"/>
              <w:right w:w="15" w:type="dxa"/>
            </w:tcMar>
            <w:vAlign w:val="bottom"/>
          </w:tcPr>
          <w:p w14:paraId="48324807" w14:textId="77777777" w:rsidR="007C1CFF" w:rsidRDefault="00000000">
            <w:pPr>
              <w:keepNext/>
              <w:tabs>
                <w:tab w:val="left" w:pos="822"/>
                <w:tab w:val="left" w:pos="1087"/>
              </w:tabs>
              <w:spacing w:before="75" w:after="30"/>
              <w:jc w:val="right"/>
            </w:pPr>
            <w:r>
              <w:rPr>
                <w:color w:val="000000"/>
                <w:sz w:val="20"/>
              </w:rPr>
              <w:tab/>
              <w:t>61</w:t>
            </w:r>
            <w:r>
              <w:rPr>
                <w:color w:val="000000"/>
                <w:sz w:val="20"/>
              </w:rPr>
              <w:tab/>
            </w:r>
          </w:p>
        </w:tc>
        <w:tc>
          <w:tcPr>
            <w:tcW w:w="150" w:type="dxa"/>
            <w:tcBorders>
              <w:top w:val="nil"/>
              <w:left w:val="nil"/>
              <w:bottom w:val="nil"/>
              <w:right w:val="nil"/>
            </w:tcBorders>
            <w:tcMar>
              <w:top w:w="0" w:type="dxa"/>
              <w:left w:w="0" w:type="dxa"/>
              <w:bottom w:w="0" w:type="dxa"/>
              <w:right w:w="0" w:type="dxa"/>
            </w:tcMar>
            <w:vAlign w:val="bottom"/>
          </w:tcPr>
          <w:p w14:paraId="4C021B1F" w14:textId="77777777" w:rsidR="007C1CFF" w:rsidRDefault="007C1CFF">
            <w:pPr>
              <w:keepNext/>
            </w:pPr>
          </w:p>
        </w:tc>
        <w:tc>
          <w:tcPr>
            <w:tcW w:w="1125" w:type="dxa"/>
            <w:tcBorders>
              <w:top w:val="nil"/>
              <w:left w:val="nil"/>
              <w:bottom w:val="single" w:sz="8" w:space="0" w:color="000000"/>
              <w:right w:val="nil"/>
            </w:tcBorders>
            <w:tcMar>
              <w:top w:w="0" w:type="dxa"/>
              <w:left w:w="0" w:type="dxa"/>
              <w:bottom w:w="0" w:type="dxa"/>
              <w:right w:w="15" w:type="dxa"/>
            </w:tcMar>
            <w:vAlign w:val="bottom"/>
          </w:tcPr>
          <w:p w14:paraId="07D7414B" w14:textId="77777777" w:rsidR="007C1CFF" w:rsidRDefault="00000000">
            <w:pPr>
              <w:keepNext/>
              <w:tabs>
                <w:tab w:val="left" w:pos="692"/>
                <w:tab w:val="left" w:pos="1057"/>
              </w:tabs>
              <w:spacing w:before="75" w:after="30"/>
              <w:jc w:val="right"/>
            </w:pPr>
            <w:r>
              <w:rPr>
                <w:color w:val="000000"/>
                <w:sz w:val="20"/>
              </w:rPr>
              <w:tab/>
              <w:t>152</w:t>
            </w:r>
            <w:r>
              <w:rPr>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67F0833B" w14:textId="77777777" w:rsidR="007C1CFF" w:rsidRDefault="007C1CFF">
            <w:pPr>
              <w:keepNext/>
              <w:spacing w:before="75" w:after="30"/>
              <w:jc w:val="right"/>
            </w:pPr>
          </w:p>
        </w:tc>
        <w:tc>
          <w:tcPr>
            <w:tcW w:w="1155" w:type="dxa"/>
            <w:tcBorders>
              <w:top w:val="nil"/>
              <w:left w:val="nil"/>
              <w:bottom w:val="single" w:sz="8" w:space="0" w:color="000000"/>
              <w:right w:val="nil"/>
            </w:tcBorders>
            <w:tcMar>
              <w:top w:w="0" w:type="dxa"/>
              <w:left w:w="0" w:type="dxa"/>
              <w:bottom w:w="0" w:type="dxa"/>
              <w:right w:w="15" w:type="dxa"/>
            </w:tcMar>
            <w:vAlign w:val="bottom"/>
          </w:tcPr>
          <w:p w14:paraId="10E755FD" w14:textId="77777777" w:rsidR="007C1CFF" w:rsidRDefault="00000000">
            <w:pPr>
              <w:keepNext/>
              <w:tabs>
                <w:tab w:val="left" w:pos="722"/>
                <w:tab w:val="left" w:pos="1087"/>
              </w:tabs>
              <w:spacing w:before="75" w:after="30"/>
              <w:jc w:val="right"/>
            </w:pPr>
            <w:r>
              <w:rPr>
                <w:color w:val="000000"/>
                <w:sz w:val="20"/>
              </w:rPr>
              <w:tab/>
              <w:t>138</w:t>
            </w:r>
            <w:r>
              <w:rPr>
                <w:color w:val="000000"/>
                <w:sz w:val="20"/>
              </w:rPr>
              <w:tab/>
            </w:r>
          </w:p>
        </w:tc>
      </w:tr>
      <w:tr w:rsidR="007C1CFF" w14:paraId="036CD6E4" w14:textId="77777777">
        <w:trPr>
          <w:cantSplit/>
          <w:trHeight w:hRule="exact" w:val="300"/>
        </w:trPr>
        <w:tc>
          <w:tcPr>
            <w:tcW w:w="5580" w:type="dxa"/>
            <w:tcBorders>
              <w:top w:val="nil"/>
              <w:left w:val="nil"/>
              <w:bottom w:val="nil"/>
              <w:right w:val="nil"/>
            </w:tcBorders>
            <w:tcMar>
              <w:top w:w="0" w:type="dxa"/>
              <w:left w:w="53" w:type="dxa"/>
              <w:bottom w:w="0" w:type="dxa"/>
              <w:right w:w="53" w:type="dxa"/>
            </w:tcMar>
            <w:vAlign w:val="bottom"/>
          </w:tcPr>
          <w:p w14:paraId="7A57ABD3" w14:textId="77777777" w:rsidR="007C1CFF" w:rsidRDefault="00000000">
            <w:pPr>
              <w:keepNext/>
              <w:spacing w:before="55" w:after="30"/>
            </w:pPr>
            <w:r>
              <w:rPr>
                <w:color w:val="000000"/>
                <w:sz w:val="20"/>
              </w:rPr>
              <w:t xml:space="preserve">        Total NOI</w:t>
            </w:r>
          </w:p>
        </w:tc>
        <w:tc>
          <w:tcPr>
            <w:tcW w:w="112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067AA14" w14:textId="77777777" w:rsidR="007C1CFF" w:rsidRDefault="00000000">
            <w:pPr>
              <w:keepNext/>
              <w:tabs>
                <w:tab w:val="left" w:pos="442"/>
                <w:tab w:val="left" w:pos="1057"/>
              </w:tabs>
              <w:spacing w:before="55" w:after="30"/>
              <w:jc w:val="right"/>
            </w:pPr>
            <w:r>
              <w:rPr>
                <w:color w:val="000000"/>
                <w:sz w:val="20"/>
              </w:rPr>
              <w:t>$</w:t>
            </w:r>
            <w:r>
              <w:rPr>
                <w:color w:val="000000"/>
                <w:sz w:val="20"/>
              </w:rPr>
              <w:tab/>
              <w:t>48,629</w:t>
            </w:r>
            <w:r>
              <w:rPr>
                <w:color w:val="000000"/>
                <w:sz w:val="20"/>
              </w:rPr>
              <w:tab/>
            </w:r>
          </w:p>
        </w:tc>
        <w:tc>
          <w:tcPr>
            <w:tcW w:w="75" w:type="dxa"/>
            <w:tcBorders>
              <w:top w:val="nil"/>
              <w:left w:val="nil"/>
              <w:bottom w:val="nil"/>
              <w:right w:val="nil"/>
            </w:tcBorders>
            <w:tcMar>
              <w:top w:w="0" w:type="dxa"/>
              <w:left w:w="0" w:type="dxa"/>
              <w:bottom w:w="0" w:type="dxa"/>
              <w:right w:w="15" w:type="dxa"/>
            </w:tcMar>
            <w:vAlign w:val="bottom"/>
          </w:tcPr>
          <w:p w14:paraId="73F46E72" w14:textId="77777777" w:rsidR="007C1CFF" w:rsidRDefault="007C1CFF">
            <w:pPr>
              <w:keepNext/>
              <w:spacing w:before="55" w:after="30"/>
              <w:jc w:val="right"/>
            </w:pPr>
          </w:p>
        </w:tc>
        <w:tc>
          <w:tcPr>
            <w:tcW w:w="1155" w:type="dxa"/>
            <w:tcBorders>
              <w:top w:val="single" w:sz="8" w:space="0" w:color="000000"/>
              <w:left w:val="nil"/>
              <w:bottom w:val="double" w:sz="8" w:space="0" w:color="000000"/>
              <w:right w:val="nil"/>
            </w:tcBorders>
            <w:tcMar>
              <w:top w:w="0" w:type="dxa"/>
              <w:left w:w="0" w:type="dxa"/>
              <w:bottom w:w="0" w:type="dxa"/>
              <w:right w:w="15" w:type="dxa"/>
            </w:tcMar>
            <w:vAlign w:val="bottom"/>
          </w:tcPr>
          <w:p w14:paraId="033DF990" w14:textId="77777777" w:rsidR="007C1CFF" w:rsidRDefault="00000000">
            <w:pPr>
              <w:keepNext/>
              <w:tabs>
                <w:tab w:val="left" w:pos="472"/>
                <w:tab w:val="left" w:pos="1087"/>
              </w:tabs>
              <w:spacing w:before="55" w:after="30"/>
              <w:jc w:val="right"/>
            </w:pPr>
            <w:r>
              <w:rPr>
                <w:color w:val="000000"/>
                <w:sz w:val="20"/>
              </w:rPr>
              <w:t>$</w:t>
            </w:r>
            <w:r>
              <w:rPr>
                <w:color w:val="000000"/>
                <w:sz w:val="20"/>
              </w:rPr>
              <w:tab/>
              <w:t>72,155</w:t>
            </w:r>
            <w:r>
              <w:rPr>
                <w:color w:val="000000"/>
                <w:sz w:val="20"/>
              </w:rPr>
              <w:tab/>
            </w:r>
          </w:p>
        </w:tc>
        <w:tc>
          <w:tcPr>
            <w:tcW w:w="150" w:type="dxa"/>
            <w:tcBorders>
              <w:top w:val="nil"/>
              <w:left w:val="nil"/>
              <w:bottom w:val="nil"/>
              <w:right w:val="nil"/>
            </w:tcBorders>
            <w:tcMar>
              <w:top w:w="0" w:type="dxa"/>
              <w:left w:w="0" w:type="dxa"/>
              <w:bottom w:w="0" w:type="dxa"/>
              <w:right w:w="0" w:type="dxa"/>
            </w:tcMar>
            <w:vAlign w:val="bottom"/>
          </w:tcPr>
          <w:p w14:paraId="7B9BBD62" w14:textId="77777777" w:rsidR="007C1CFF" w:rsidRDefault="007C1CFF">
            <w:pPr>
              <w:keepNext/>
            </w:pPr>
          </w:p>
        </w:tc>
        <w:tc>
          <w:tcPr>
            <w:tcW w:w="1125" w:type="dxa"/>
            <w:tcBorders>
              <w:top w:val="single" w:sz="8" w:space="0" w:color="000000"/>
              <w:left w:val="nil"/>
              <w:bottom w:val="double" w:sz="8" w:space="0" w:color="000000"/>
              <w:right w:val="nil"/>
            </w:tcBorders>
            <w:tcMar>
              <w:top w:w="0" w:type="dxa"/>
              <w:left w:w="0" w:type="dxa"/>
              <w:bottom w:w="0" w:type="dxa"/>
              <w:right w:w="15" w:type="dxa"/>
            </w:tcMar>
            <w:vAlign w:val="bottom"/>
          </w:tcPr>
          <w:p w14:paraId="20BD6206" w14:textId="77777777" w:rsidR="007C1CFF" w:rsidRDefault="00000000">
            <w:pPr>
              <w:keepNext/>
              <w:tabs>
                <w:tab w:val="left" w:pos="342"/>
                <w:tab w:val="left" w:pos="1057"/>
              </w:tabs>
              <w:spacing w:before="55" w:after="30"/>
              <w:jc w:val="right"/>
            </w:pPr>
            <w:r>
              <w:rPr>
                <w:color w:val="000000"/>
                <w:sz w:val="20"/>
              </w:rPr>
              <w:t>$</w:t>
            </w:r>
            <w:r>
              <w:rPr>
                <w:color w:val="000000"/>
                <w:sz w:val="20"/>
              </w:rPr>
              <w:tab/>
              <w:t>116,919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C664FAE" w14:textId="77777777" w:rsidR="007C1CFF" w:rsidRDefault="007C1CFF">
            <w:pPr>
              <w:keepNext/>
            </w:pPr>
          </w:p>
        </w:tc>
        <w:tc>
          <w:tcPr>
            <w:tcW w:w="115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C0B9556" w14:textId="77777777" w:rsidR="007C1CFF" w:rsidRDefault="00000000">
            <w:pPr>
              <w:keepNext/>
              <w:tabs>
                <w:tab w:val="left" w:pos="372"/>
                <w:tab w:val="left" w:pos="1087"/>
              </w:tabs>
              <w:spacing w:before="55" w:after="30"/>
              <w:jc w:val="right"/>
            </w:pPr>
            <w:r>
              <w:rPr>
                <w:color w:val="000000"/>
                <w:sz w:val="20"/>
              </w:rPr>
              <w:t>$</w:t>
            </w:r>
            <w:r>
              <w:rPr>
                <w:color w:val="000000"/>
                <w:sz w:val="20"/>
              </w:rPr>
              <w:tab/>
              <w:t>150,878</w:t>
            </w:r>
            <w:r>
              <w:rPr>
                <w:color w:val="000000"/>
                <w:sz w:val="20"/>
              </w:rPr>
              <w:tab/>
            </w:r>
          </w:p>
        </w:tc>
      </w:tr>
      <w:tr w:rsidR="007C1CFF" w14:paraId="7E7015B2" w14:textId="77777777">
        <w:trPr>
          <w:cantSplit/>
          <w:trHeight w:hRule="exact" w:val="255"/>
        </w:trPr>
        <w:tc>
          <w:tcPr>
            <w:tcW w:w="5580" w:type="dxa"/>
            <w:tcBorders>
              <w:top w:val="nil"/>
              <w:left w:val="nil"/>
              <w:bottom w:val="nil"/>
              <w:right w:val="nil"/>
            </w:tcBorders>
            <w:tcMar>
              <w:top w:w="0" w:type="dxa"/>
              <w:left w:w="0" w:type="dxa"/>
              <w:bottom w:w="0" w:type="dxa"/>
              <w:right w:w="0" w:type="dxa"/>
            </w:tcMar>
            <w:vAlign w:val="bottom"/>
          </w:tcPr>
          <w:p w14:paraId="017CA9B8" w14:textId="77777777" w:rsidR="007C1CFF" w:rsidRDefault="007C1CFF"/>
        </w:tc>
        <w:tc>
          <w:tcPr>
            <w:tcW w:w="1125" w:type="dxa"/>
            <w:tcBorders>
              <w:top w:val="double" w:sz="8" w:space="0" w:color="000000"/>
              <w:left w:val="nil"/>
              <w:bottom w:val="nil"/>
              <w:right w:val="nil"/>
            </w:tcBorders>
            <w:tcMar>
              <w:top w:w="0" w:type="dxa"/>
              <w:left w:w="0" w:type="dxa"/>
              <w:bottom w:w="0" w:type="dxa"/>
              <w:right w:w="15" w:type="dxa"/>
            </w:tcMar>
            <w:vAlign w:val="bottom"/>
          </w:tcPr>
          <w:p w14:paraId="2687B6DC" w14:textId="77777777" w:rsidR="007C1CFF" w:rsidRDefault="007C1CFF">
            <w:pPr>
              <w:spacing w:before="15" w:after="30"/>
              <w:jc w:val="right"/>
            </w:pPr>
          </w:p>
        </w:tc>
        <w:tc>
          <w:tcPr>
            <w:tcW w:w="75" w:type="dxa"/>
            <w:tcBorders>
              <w:top w:val="nil"/>
              <w:left w:val="nil"/>
              <w:bottom w:val="nil"/>
              <w:right w:val="nil"/>
            </w:tcBorders>
            <w:tcMar>
              <w:top w:w="0" w:type="dxa"/>
              <w:left w:w="0" w:type="dxa"/>
              <w:bottom w:w="0" w:type="dxa"/>
              <w:right w:w="53" w:type="dxa"/>
            </w:tcMar>
            <w:vAlign w:val="bottom"/>
          </w:tcPr>
          <w:p w14:paraId="3F7EE68C" w14:textId="77777777" w:rsidR="007C1CFF" w:rsidRDefault="007C1CFF">
            <w:pPr>
              <w:spacing w:before="15" w:after="30"/>
              <w:jc w:val="right"/>
            </w:pPr>
          </w:p>
        </w:tc>
        <w:tc>
          <w:tcPr>
            <w:tcW w:w="1155" w:type="dxa"/>
            <w:tcBorders>
              <w:top w:val="double" w:sz="8" w:space="0" w:color="000000"/>
              <w:left w:val="nil"/>
              <w:bottom w:val="nil"/>
              <w:right w:val="nil"/>
            </w:tcBorders>
            <w:tcMar>
              <w:top w:w="0" w:type="dxa"/>
              <w:left w:w="0" w:type="dxa"/>
              <w:bottom w:w="0" w:type="dxa"/>
              <w:right w:w="15" w:type="dxa"/>
            </w:tcMar>
            <w:vAlign w:val="bottom"/>
          </w:tcPr>
          <w:p w14:paraId="025F58ED" w14:textId="77777777" w:rsidR="007C1CFF" w:rsidRDefault="007C1CFF">
            <w:pPr>
              <w:spacing w:before="15" w:after="30"/>
              <w:jc w:val="right"/>
            </w:pPr>
          </w:p>
        </w:tc>
        <w:tc>
          <w:tcPr>
            <w:tcW w:w="150" w:type="dxa"/>
            <w:tcBorders>
              <w:top w:val="nil"/>
              <w:left w:val="nil"/>
              <w:bottom w:val="nil"/>
              <w:right w:val="nil"/>
            </w:tcBorders>
            <w:tcMar>
              <w:top w:w="0" w:type="dxa"/>
              <w:left w:w="0" w:type="dxa"/>
              <w:bottom w:w="0" w:type="dxa"/>
              <w:right w:w="0" w:type="dxa"/>
            </w:tcMar>
            <w:vAlign w:val="bottom"/>
          </w:tcPr>
          <w:p w14:paraId="1EE31F9E" w14:textId="77777777" w:rsidR="007C1CFF" w:rsidRDefault="007C1CFF"/>
        </w:tc>
        <w:tc>
          <w:tcPr>
            <w:tcW w:w="1125" w:type="dxa"/>
            <w:tcBorders>
              <w:top w:val="double" w:sz="8" w:space="0" w:color="000000"/>
              <w:left w:val="nil"/>
              <w:bottom w:val="nil"/>
              <w:right w:val="nil"/>
            </w:tcBorders>
            <w:tcMar>
              <w:top w:w="0" w:type="dxa"/>
              <w:left w:w="0" w:type="dxa"/>
              <w:bottom w:w="0" w:type="dxa"/>
              <w:right w:w="0" w:type="dxa"/>
            </w:tcMar>
            <w:vAlign w:val="bottom"/>
          </w:tcPr>
          <w:p w14:paraId="0A40A7A0" w14:textId="77777777" w:rsidR="007C1CFF" w:rsidRDefault="007C1CFF"/>
        </w:tc>
        <w:tc>
          <w:tcPr>
            <w:tcW w:w="75" w:type="dxa"/>
            <w:tcBorders>
              <w:top w:val="nil"/>
              <w:left w:val="nil"/>
              <w:bottom w:val="nil"/>
              <w:right w:val="nil"/>
            </w:tcBorders>
            <w:tcMar>
              <w:top w:w="0" w:type="dxa"/>
              <w:left w:w="0" w:type="dxa"/>
              <w:bottom w:w="0" w:type="dxa"/>
              <w:right w:w="0" w:type="dxa"/>
            </w:tcMar>
            <w:vAlign w:val="bottom"/>
          </w:tcPr>
          <w:p w14:paraId="6D6B6A95" w14:textId="77777777" w:rsidR="007C1CFF" w:rsidRDefault="007C1CFF"/>
        </w:tc>
        <w:tc>
          <w:tcPr>
            <w:tcW w:w="1155" w:type="dxa"/>
            <w:tcBorders>
              <w:top w:val="double" w:sz="8" w:space="0" w:color="000000"/>
              <w:left w:val="nil"/>
              <w:bottom w:val="nil"/>
              <w:right w:val="nil"/>
            </w:tcBorders>
            <w:tcMar>
              <w:top w:w="0" w:type="dxa"/>
              <w:left w:w="0" w:type="dxa"/>
              <w:bottom w:w="0" w:type="dxa"/>
              <w:right w:w="0" w:type="dxa"/>
            </w:tcMar>
            <w:vAlign w:val="bottom"/>
          </w:tcPr>
          <w:p w14:paraId="4CE4BE94" w14:textId="77777777" w:rsidR="007C1CFF" w:rsidRDefault="007C1CFF"/>
        </w:tc>
      </w:tr>
    </w:tbl>
    <w:p w14:paraId="2CFD3704" w14:textId="77777777" w:rsidR="007C1CFF" w:rsidRDefault="007C1CFF">
      <w:pPr>
        <w:spacing w:line="288" w:lineRule="auto"/>
        <w:rPr>
          <w:i/>
          <w:sz w:val="20"/>
        </w:rPr>
      </w:pPr>
    </w:p>
    <w:p w14:paraId="093456EB" w14:textId="77777777" w:rsidR="007C1CFF" w:rsidRDefault="007C1CFF">
      <w:pPr>
        <w:spacing w:line="288" w:lineRule="auto"/>
        <w:rPr>
          <w:i/>
          <w:sz w:val="20"/>
        </w:rPr>
      </w:pPr>
    </w:p>
    <w:p w14:paraId="37F72D45" w14:textId="77777777" w:rsidR="007C1CFF" w:rsidRDefault="007C1CFF">
      <w:pPr>
        <w:spacing w:line="288" w:lineRule="auto"/>
        <w:rPr>
          <w:i/>
          <w:sz w:val="20"/>
        </w:rPr>
      </w:pPr>
    </w:p>
    <w:p w14:paraId="209076E0" w14:textId="77777777" w:rsidR="007C1CFF" w:rsidRDefault="00000000">
      <w:pPr>
        <w:spacing w:line="288" w:lineRule="auto"/>
        <w:rPr>
          <w:i/>
          <w:sz w:val="20"/>
        </w:rPr>
      </w:pPr>
      <w:r>
        <w:rPr>
          <w:i/>
          <w:sz w:val="20"/>
        </w:rPr>
        <w:t>See Notes to Reconciliation of FFO, Normalized FFO, Normalized FAD and NOI.</w:t>
      </w:r>
    </w:p>
    <w:p w14:paraId="612D3BCD" w14:textId="77777777" w:rsidR="007C1CFF" w:rsidRDefault="00000000">
      <w:pPr>
        <w:pageBreakBefore/>
        <w:spacing w:line="288" w:lineRule="auto"/>
        <w:rPr>
          <w:sz w:val="20"/>
        </w:rPr>
      </w:pPr>
      <w:r>
        <w:rPr>
          <w:sz w:val="20"/>
          <w:u w:val="single"/>
        </w:rPr>
        <w:lastRenderedPageBreak/>
        <w:t>Notes to Reconciliation of FFO, Normalized FFO, Normalized FAD and NOI</w:t>
      </w:r>
    </w:p>
    <w:p w14:paraId="1F5C0BCE" w14:textId="77777777" w:rsidR="007C1CFF" w:rsidRDefault="007C1CFF">
      <w:pPr>
        <w:spacing w:line="288" w:lineRule="auto"/>
        <w:rPr>
          <w:sz w:val="20"/>
        </w:rPr>
      </w:pPr>
    </w:p>
    <w:p w14:paraId="293D99A1" w14:textId="77777777" w:rsidR="007C1CFF" w:rsidRDefault="00000000">
      <w:pPr>
        <w:spacing w:line="288" w:lineRule="auto"/>
        <w:ind w:firstLine="225"/>
        <w:jc w:val="both"/>
        <w:rPr>
          <w:sz w:val="20"/>
        </w:rPr>
      </w:pPr>
      <w:r>
        <w:rPr>
          <w:sz w:val="20"/>
        </w:rPr>
        <w:t>These supplemental performance measures may not be comparable to similarly titled measures used by other REITs. Consequently, our Funds From Operations (“FFO”), Normalized FFO and Normalized Funds Available for Distribution (“FAD”) may not provide a meaningful measure of our performance as compared to that of other REITs. Since other REITs may not use our definition of these performance measures, caution should be exercised when comparing our FFO, Normalized FFO and Normalized FAD to that of other REITs. These financial performance measures do not represent cash generated from operating activities in accordance with generally accepted accounting principles (“GAAP”) (these measures do not include changes in operating assets and liabilities) and therefore should not be considered an alternative to net earnings as an indication of performance, or to net cash flow from operating activities as determined by GAAP as a measure of liquidity, and are not necessarily indicative of cash available to fund cash needs. Beginning in the first quarter of 2021, the Company is no longer  presenting Adjusted Funds from Operations as a supplemental measure of operating performance.</w:t>
      </w:r>
    </w:p>
    <w:p w14:paraId="3B3B8D61" w14:textId="77777777" w:rsidR="007C1CFF" w:rsidRDefault="007C1CFF">
      <w:pPr>
        <w:spacing w:line="288" w:lineRule="auto"/>
        <w:rPr>
          <w:sz w:val="20"/>
        </w:rPr>
      </w:pPr>
    </w:p>
    <w:p w14:paraId="76AB9E8C" w14:textId="77777777" w:rsidR="007C1CFF" w:rsidRDefault="00000000">
      <w:pPr>
        <w:spacing w:line="288" w:lineRule="auto"/>
        <w:jc w:val="both"/>
        <w:rPr>
          <w:i/>
          <w:sz w:val="20"/>
        </w:rPr>
      </w:pPr>
      <w:r>
        <w:rPr>
          <w:i/>
          <w:sz w:val="20"/>
        </w:rPr>
        <w:t>Funds From Operations - FFO</w:t>
      </w:r>
    </w:p>
    <w:p w14:paraId="30EE58AC" w14:textId="77777777" w:rsidR="007C1CFF" w:rsidRDefault="007C1CFF">
      <w:pPr>
        <w:spacing w:line="288" w:lineRule="auto"/>
        <w:jc w:val="both"/>
        <w:rPr>
          <w:sz w:val="20"/>
        </w:rPr>
      </w:pPr>
    </w:p>
    <w:p w14:paraId="42CC830B" w14:textId="77777777" w:rsidR="007C1CFF" w:rsidRDefault="00000000">
      <w:pPr>
        <w:spacing w:line="288" w:lineRule="auto"/>
        <w:ind w:firstLine="225"/>
        <w:jc w:val="both"/>
        <w:rPr>
          <w:sz w:val="20"/>
        </w:rPr>
      </w:pPr>
      <w:r>
        <w:rPr>
          <w:sz w:val="20"/>
        </w:rPr>
        <w:t>FFO, as defined by NAREIT and applied by us, is net income (computed in accordance with GAAP), excluding gains (or losses) from sales of real estate property, plus real estate depreciation and amortization, and after adjustments for unconsolidated partnerships and joint ventures, if any. The Company’s computation of FFO may not be comparable to FFO reported by other REITs that do not define the term in accordance with the current NAREIT definition or have a different interpretation of the current NAREIT definition from that of the Company; therefore, caution should be exercised when comparing our Company’s FFO to that of other REITs. Diluted FFO assumes the exercise of stock options and other potentially dilutive securities. Normalized FFO excludes from FFO certain items which, due to their infrequent or unpredictable nature, may create some difficulty in comparing FFO for the current period to similar prior periods, and may include, but are not limited to, impairment of non-real estate assets, gains and losses attributable to the acquisition and disposition of assets and liabilities, and recoveries of previous write-downs.</w:t>
      </w:r>
    </w:p>
    <w:p w14:paraId="3ACC1E8E" w14:textId="77777777" w:rsidR="007C1CFF" w:rsidRDefault="007C1CFF">
      <w:pPr>
        <w:spacing w:line="288" w:lineRule="auto"/>
        <w:rPr>
          <w:sz w:val="18"/>
        </w:rPr>
      </w:pPr>
    </w:p>
    <w:p w14:paraId="43BCF418" w14:textId="77777777" w:rsidR="007C1CFF" w:rsidRDefault="00000000">
      <w:pPr>
        <w:spacing w:line="288" w:lineRule="auto"/>
        <w:ind w:firstLine="225"/>
        <w:jc w:val="both"/>
        <w:rPr>
          <w:sz w:val="20"/>
        </w:rPr>
      </w:pPr>
      <w:r>
        <w:rPr>
          <w:sz w:val="20"/>
        </w:rPr>
        <w:t>FFO and Normalized FFO are important supplemental measures of operating performance for a REIT. Because the historical cost accounting convention used for real estate assets requires depreciation (except on land), such accounting presentation implies that the value of real estate assets diminishes predictably over time. Since real estate values instead have historically risen and fallen with market conditions, presentations of operating results for a REIT that uses historical cost accounting for depreciation could be less informative, and should be supplemented with a measure such as FFO. The term FFO was designed by the REIT industry to address this issue.</w:t>
      </w:r>
    </w:p>
    <w:p w14:paraId="42ED13A3" w14:textId="77777777" w:rsidR="007C1CFF" w:rsidRDefault="007C1CFF">
      <w:pPr>
        <w:spacing w:line="288" w:lineRule="auto"/>
        <w:rPr>
          <w:sz w:val="20"/>
        </w:rPr>
      </w:pPr>
    </w:p>
    <w:p w14:paraId="1C1722AB" w14:textId="77777777" w:rsidR="007C1CFF" w:rsidRDefault="00000000">
      <w:pPr>
        <w:spacing w:line="288" w:lineRule="auto"/>
        <w:jc w:val="both"/>
        <w:rPr>
          <w:i/>
          <w:sz w:val="20"/>
        </w:rPr>
      </w:pPr>
      <w:r>
        <w:rPr>
          <w:i/>
          <w:sz w:val="20"/>
        </w:rPr>
        <w:t>Funds Available for Distribution - FAD</w:t>
      </w:r>
    </w:p>
    <w:p w14:paraId="3E99B46A" w14:textId="77777777" w:rsidR="007C1CFF" w:rsidRDefault="007C1CFF">
      <w:pPr>
        <w:spacing w:line="288" w:lineRule="auto"/>
        <w:jc w:val="both"/>
        <w:rPr>
          <w:sz w:val="20"/>
        </w:rPr>
      </w:pPr>
    </w:p>
    <w:p w14:paraId="29AB2C7D" w14:textId="77777777" w:rsidR="007C1CFF" w:rsidRDefault="00000000">
      <w:pPr>
        <w:spacing w:line="288" w:lineRule="auto"/>
        <w:ind w:firstLine="225"/>
        <w:jc w:val="both"/>
        <w:rPr>
          <w:sz w:val="20"/>
          <w:shd w:val="clear" w:color="auto" w:fill="BFE4FF"/>
        </w:rPr>
      </w:pPr>
      <w:r>
        <w:rPr>
          <w:sz w:val="20"/>
        </w:rPr>
        <w:t xml:space="preserve">In addition to the adjustments included in the calculation of Normalized FFO, Normalized FAD excludes the impact of any straight-line rent revenue, amortization of the original issue discount on our senior unsecured notes, amortization of debt issuance costs, non-cash stock based compensation, as well as certain non-cash items related to our equity method investment. </w:t>
      </w:r>
    </w:p>
    <w:p w14:paraId="26D6730E" w14:textId="77777777" w:rsidR="007C1CFF" w:rsidRDefault="007C1CFF">
      <w:pPr>
        <w:spacing w:line="288" w:lineRule="auto"/>
        <w:ind w:firstLine="225"/>
        <w:jc w:val="both"/>
        <w:rPr>
          <w:sz w:val="20"/>
        </w:rPr>
      </w:pPr>
    </w:p>
    <w:p w14:paraId="0C08AA0B" w14:textId="77777777" w:rsidR="007C1CFF" w:rsidRDefault="00000000">
      <w:pPr>
        <w:spacing w:line="288" w:lineRule="auto"/>
        <w:ind w:firstLine="225"/>
        <w:jc w:val="both"/>
        <w:rPr>
          <w:sz w:val="20"/>
        </w:rPr>
      </w:pPr>
      <w:r>
        <w:rPr>
          <w:sz w:val="20"/>
        </w:rPr>
        <w:t>Normalized FAD is an important supplemental performance measure for a REIT. GAAP requires a lessor to recognize contractual lease payments into income on a straight-line basis over the expected term of the lease. This straight-line adjustment has the effect of reporting lease income that is significantly more or less than the contractual cash flows received pursuant to the terms of the lease agreement. GAAP also requires any discount or premium related to indebtedness and debt issuance costs to be amortized as non-cash adjustments to earnings. The Company also adjusts Normalized FAD for the net change in the allowance for expected credit losses, non-cash stock based compensation, senior housing portfolio capital expenditures as well as certain non-cash items related to equity method investments such as straight-line lease expense and amortization of purchase accounting adjustments. Normalized FAD is an important supplemental measure of liquidity for a REIT as a useful indicator of the ability to distribute dividends to stockholders.</w:t>
      </w:r>
    </w:p>
    <w:p w14:paraId="43702630" w14:textId="77777777" w:rsidR="007C1CFF" w:rsidRDefault="007C1CFF">
      <w:pPr>
        <w:spacing w:line="288" w:lineRule="auto"/>
        <w:ind w:firstLine="225"/>
        <w:jc w:val="both"/>
        <w:rPr>
          <w:sz w:val="20"/>
        </w:rPr>
      </w:pPr>
    </w:p>
    <w:p w14:paraId="4075D023" w14:textId="77777777" w:rsidR="007C1CFF" w:rsidRDefault="00000000">
      <w:pPr>
        <w:spacing w:line="288" w:lineRule="auto"/>
        <w:jc w:val="both"/>
        <w:rPr>
          <w:i/>
          <w:sz w:val="20"/>
        </w:rPr>
      </w:pPr>
      <w:r>
        <w:rPr>
          <w:i/>
          <w:sz w:val="20"/>
        </w:rPr>
        <w:t>Net Operating Income</w:t>
      </w:r>
    </w:p>
    <w:p w14:paraId="02BE9A3F" w14:textId="77777777" w:rsidR="007C1CFF" w:rsidRDefault="007C1CFF">
      <w:pPr>
        <w:spacing w:line="288" w:lineRule="auto"/>
        <w:rPr>
          <w:sz w:val="20"/>
          <w:u w:val="single"/>
        </w:rPr>
      </w:pPr>
    </w:p>
    <w:p w14:paraId="653019F5" w14:textId="77777777" w:rsidR="007C1CFF" w:rsidRDefault="00000000">
      <w:pPr>
        <w:spacing w:line="288" w:lineRule="auto"/>
        <w:ind w:firstLine="180"/>
        <w:jc w:val="both"/>
        <w:rPr>
          <w:sz w:val="20"/>
        </w:rPr>
      </w:pPr>
      <w:r>
        <w:rPr>
          <w:sz w:val="20"/>
        </w:rPr>
        <w:t>Net operating income (“NOI”) is a U.S. non-GAAP supplemental financial measure used to evaluate the operating performance of real estate. NOI is defined as total revenues, less tenant reimbursements and property operating expenses. The Company believes NOI provides investors relevant and useful information as it measures the operating performance of our properties at the property level on an unleveraged basis. The Company uses NOI to make decisions about resource allocations and to assess the property level performance of our properties.</w:t>
      </w:r>
    </w:p>
    <w:p w14:paraId="0160B941" w14:textId="77777777" w:rsidR="007C1CFF" w:rsidRDefault="007C1CFF">
      <w:pPr>
        <w:spacing w:line="288" w:lineRule="auto"/>
        <w:ind w:firstLine="180"/>
        <w:jc w:val="both"/>
        <w:rPr>
          <w:sz w:val="20"/>
        </w:rPr>
      </w:pPr>
    </w:p>
    <w:p w14:paraId="76AFB6A5" w14:textId="77777777" w:rsidR="007C1CFF" w:rsidRDefault="007C1CFF">
      <w:pPr>
        <w:spacing w:line="288" w:lineRule="auto"/>
        <w:ind w:firstLine="180"/>
        <w:jc w:val="both"/>
        <w:rPr>
          <w:i/>
          <w:sz w:val="20"/>
        </w:rPr>
        <w:sectPr w:rsidR="007C1CFF">
          <w:headerReference w:type="default" r:id="rId10"/>
          <w:type w:val="continuous"/>
          <w:pgSz w:w="12240" w:h="15840"/>
          <w:pgMar w:top="1260" w:right="900" w:bottom="900" w:left="900" w:header="270" w:footer="270" w:gutter="0"/>
          <w:cols w:space="708"/>
        </w:sectPr>
      </w:pPr>
    </w:p>
    <w:p w14:paraId="4DFED572" w14:textId="77777777" w:rsidR="007C1CFF" w:rsidRDefault="00000000">
      <w:pPr>
        <w:spacing w:line="288" w:lineRule="auto"/>
        <w:rPr>
          <w:sz w:val="20"/>
        </w:rPr>
      </w:pPr>
      <w:bookmarkStart w:id="2" w:name="Section3"/>
      <w:bookmarkEnd w:id="2"/>
      <w:r>
        <w:rPr>
          <w:sz w:val="20"/>
        </w:rPr>
        <w:lastRenderedPageBreak/>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gridCol w:w="1305"/>
        <w:gridCol w:w="75"/>
        <w:gridCol w:w="1305"/>
        <w:gridCol w:w="75"/>
        <w:gridCol w:w="1095"/>
        <w:gridCol w:w="75"/>
        <w:gridCol w:w="1095"/>
      </w:tblGrid>
      <w:tr w:rsidR="007C1CFF" w14:paraId="6EDD887E"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444F6562" w14:textId="77777777" w:rsidR="007C1CFF" w:rsidRDefault="00000000">
            <w:pPr>
              <w:keepNext/>
              <w:spacing w:before="75" w:after="30"/>
            </w:pPr>
            <w:r>
              <w:rPr>
                <w:b/>
                <w:color w:val="000000"/>
                <w:sz w:val="20"/>
              </w:rPr>
              <w:t>Consolidated Statements of Income</w:t>
            </w:r>
          </w:p>
        </w:tc>
        <w:tc>
          <w:tcPr>
            <w:tcW w:w="1305" w:type="dxa"/>
            <w:tcBorders>
              <w:top w:val="nil"/>
              <w:left w:val="nil"/>
              <w:bottom w:val="nil"/>
              <w:right w:val="nil"/>
            </w:tcBorders>
            <w:tcMar>
              <w:top w:w="0" w:type="dxa"/>
              <w:left w:w="0" w:type="dxa"/>
              <w:bottom w:w="0" w:type="dxa"/>
              <w:right w:w="0" w:type="dxa"/>
            </w:tcMar>
            <w:vAlign w:val="bottom"/>
          </w:tcPr>
          <w:p w14:paraId="34F13AD1"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256A3214" w14:textId="77777777" w:rsidR="007C1CFF" w:rsidRDefault="007C1CFF">
            <w:pPr>
              <w:keepNext/>
            </w:pPr>
          </w:p>
        </w:tc>
        <w:tc>
          <w:tcPr>
            <w:tcW w:w="1305" w:type="dxa"/>
            <w:tcBorders>
              <w:top w:val="nil"/>
              <w:left w:val="nil"/>
              <w:bottom w:val="nil"/>
              <w:right w:val="nil"/>
            </w:tcBorders>
            <w:tcMar>
              <w:top w:w="0" w:type="dxa"/>
              <w:left w:w="0" w:type="dxa"/>
              <w:bottom w:w="0" w:type="dxa"/>
              <w:right w:w="0" w:type="dxa"/>
            </w:tcMar>
            <w:vAlign w:val="bottom"/>
          </w:tcPr>
          <w:p w14:paraId="760FEE0C"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5C2C38D2"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278CB0E0"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5B6A3A05"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1540B7F2" w14:textId="77777777" w:rsidR="007C1CFF" w:rsidRDefault="007C1CFF">
            <w:pPr>
              <w:keepNext/>
            </w:pPr>
          </w:p>
        </w:tc>
      </w:tr>
      <w:tr w:rsidR="007C1CFF" w14:paraId="62CEDCAC"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43CA31D9" w14:textId="77777777" w:rsidR="007C1CFF" w:rsidRDefault="00000000">
            <w:pPr>
              <w:keepNext/>
              <w:spacing w:before="75" w:after="30"/>
            </w:pPr>
            <w:r>
              <w:rPr>
                <w:i/>
                <w:color w:val="000000"/>
                <w:sz w:val="20"/>
              </w:rPr>
              <w:t>(in thousands, except share and per share amounts)</w:t>
            </w:r>
          </w:p>
        </w:tc>
        <w:tc>
          <w:tcPr>
            <w:tcW w:w="1305" w:type="dxa"/>
            <w:tcBorders>
              <w:top w:val="nil"/>
              <w:left w:val="nil"/>
              <w:bottom w:val="nil"/>
              <w:right w:val="nil"/>
            </w:tcBorders>
            <w:tcMar>
              <w:top w:w="0" w:type="dxa"/>
              <w:left w:w="0" w:type="dxa"/>
              <w:bottom w:w="0" w:type="dxa"/>
              <w:right w:w="0" w:type="dxa"/>
            </w:tcMar>
            <w:vAlign w:val="bottom"/>
          </w:tcPr>
          <w:p w14:paraId="3EE73736"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473DE33D" w14:textId="77777777" w:rsidR="007C1CFF" w:rsidRDefault="007C1CFF">
            <w:pPr>
              <w:keepNext/>
            </w:pPr>
          </w:p>
        </w:tc>
        <w:tc>
          <w:tcPr>
            <w:tcW w:w="1305" w:type="dxa"/>
            <w:tcBorders>
              <w:top w:val="nil"/>
              <w:left w:val="nil"/>
              <w:bottom w:val="nil"/>
              <w:right w:val="nil"/>
            </w:tcBorders>
            <w:tcMar>
              <w:top w:w="0" w:type="dxa"/>
              <w:left w:w="0" w:type="dxa"/>
              <w:bottom w:w="0" w:type="dxa"/>
              <w:right w:w="0" w:type="dxa"/>
            </w:tcMar>
            <w:vAlign w:val="bottom"/>
          </w:tcPr>
          <w:p w14:paraId="2C438616"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357BB530"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65E2B8F1"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45DDF2D5"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6EB9A3D4" w14:textId="77777777" w:rsidR="007C1CFF" w:rsidRDefault="007C1CFF">
            <w:pPr>
              <w:keepNext/>
            </w:pPr>
          </w:p>
        </w:tc>
      </w:tr>
      <w:tr w:rsidR="007C1CFF" w14:paraId="7B5A3BF9" w14:textId="77777777">
        <w:trPr>
          <w:cantSplit/>
          <w:trHeight w:hRule="exact" w:val="285"/>
        </w:trPr>
        <w:tc>
          <w:tcPr>
            <w:tcW w:w="5415" w:type="dxa"/>
            <w:tcBorders>
              <w:top w:val="nil"/>
              <w:left w:val="nil"/>
              <w:bottom w:val="nil"/>
              <w:right w:val="nil"/>
            </w:tcBorders>
            <w:tcMar>
              <w:top w:w="0" w:type="dxa"/>
              <w:left w:w="0" w:type="dxa"/>
              <w:bottom w:w="0" w:type="dxa"/>
              <w:right w:w="0" w:type="dxa"/>
            </w:tcMar>
            <w:vAlign w:val="bottom"/>
          </w:tcPr>
          <w:p w14:paraId="34F4989D" w14:textId="77777777" w:rsidR="007C1CFF" w:rsidRDefault="007C1CFF">
            <w:pPr>
              <w:keepNext/>
            </w:pPr>
          </w:p>
        </w:tc>
        <w:tc>
          <w:tcPr>
            <w:tcW w:w="2685" w:type="dxa"/>
            <w:gridSpan w:val="3"/>
            <w:tcBorders>
              <w:top w:val="nil"/>
              <w:left w:val="nil"/>
              <w:bottom w:val="nil"/>
              <w:right w:val="nil"/>
            </w:tcBorders>
            <w:tcMar>
              <w:top w:w="0" w:type="dxa"/>
              <w:left w:w="53" w:type="dxa"/>
              <w:bottom w:w="0" w:type="dxa"/>
              <w:right w:w="53" w:type="dxa"/>
            </w:tcMar>
          </w:tcPr>
          <w:p w14:paraId="268F889E" w14:textId="77777777" w:rsidR="007C1CFF" w:rsidRDefault="00000000">
            <w:pPr>
              <w:keepNext/>
              <w:spacing w:before="75" w:after="30"/>
              <w:jc w:val="center"/>
            </w:pPr>
            <w:r>
              <w:rPr>
                <w:b/>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14:paraId="6B78D71C" w14:textId="77777777" w:rsidR="007C1CFF" w:rsidRDefault="007C1CFF">
            <w:pPr>
              <w:keepNext/>
            </w:pPr>
          </w:p>
        </w:tc>
        <w:tc>
          <w:tcPr>
            <w:tcW w:w="2265" w:type="dxa"/>
            <w:gridSpan w:val="3"/>
            <w:tcBorders>
              <w:top w:val="nil"/>
              <w:left w:val="nil"/>
              <w:bottom w:val="nil"/>
              <w:right w:val="nil"/>
            </w:tcBorders>
            <w:tcMar>
              <w:top w:w="0" w:type="dxa"/>
              <w:left w:w="53" w:type="dxa"/>
              <w:bottom w:w="0" w:type="dxa"/>
              <w:right w:w="53" w:type="dxa"/>
            </w:tcMar>
            <w:vAlign w:val="bottom"/>
          </w:tcPr>
          <w:p w14:paraId="15E1327A" w14:textId="77777777" w:rsidR="007C1CFF" w:rsidRDefault="00000000">
            <w:pPr>
              <w:keepNext/>
              <w:spacing w:before="75" w:after="30"/>
              <w:jc w:val="center"/>
            </w:pPr>
            <w:r>
              <w:rPr>
                <w:b/>
                <w:color w:val="000000"/>
                <w:sz w:val="20"/>
              </w:rPr>
              <w:t>Six Months Ended</w:t>
            </w:r>
          </w:p>
        </w:tc>
      </w:tr>
      <w:tr w:rsidR="007C1CFF" w14:paraId="7D167F50" w14:textId="77777777">
        <w:trPr>
          <w:cantSplit/>
          <w:trHeight w:hRule="exact" w:val="285"/>
        </w:trPr>
        <w:tc>
          <w:tcPr>
            <w:tcW w:w="5415" w:type="dxa"/>
            <w:tcBorders>
              <w:top w:val="nil"/>
              <w:left w:val="nil"/>
              <w:bottom w:val="nil"/>
              <w:right w:val="nil"/>
            </w:tcBorders>
            <w:tcMar>
              <w:top w:w="0" w:type="dxa"/>
              <w:left w:w="0" w:type="dxa"/>
              <w:bottom w:w="0" w:type="dxa"/>
              <w:right w:w="0" w:type="dxa"/>
            </w:tcMar>
            <w:vAlign w:val="bottom"/>
          </w:tcPr>
          <w:p w14:paraId="4FBBAE80" w14:textId="77777777" w:rsidR="007C1CFF" w:rsidRDefault="007C1CFF">
            <w:pPr>
              <w:keepNext/>
            </w:pPr>
          </w:p>
        </w:tc>
        <w:tc>
          <w:tcPr>
            <w:tcW w:w="2685" w:type="dxa"/>
            <w:gridSpan w:val="3"/>
            <w:tcBorders>
              <w:top w:val="nil"/>
              <w:left w:val="nil"/>
              <w:bottom w:val="single" w:sz="8" w:space="0" w:color="000000"/>
              <w:right w:val="nil"/>
            </w:tcBorders>
            <w:tcMar>
              <w:top w:w="0" w:type="dxa"/>
              <w:left w:w="53" w:type="dxa"/>
              <w:bottom w:w="0" w:type="dxa"/>
              <w:right w:w="53" w:type="dxa"/>
            </w:tcMar>
          </w:tcPr>
          <w:p w14:paraId="6E2245D4" w14:textId="77777777" w:rsidR="007C1CFF" w:rsidRDefault="00000000">
            <w:pPr>
              <w:keepNext/>
              <w:spacing w:before="75" w:after="30"/>
              <w:jc w:val="center"/>
            </w:pPr>
            <w:r>
              <w:rPr>
                <w:b/>
                <w:color w:val="000000"/>
                <w:sz w:val="20"/>
              </w:rPr>
              <w:t>June 30,</w:t>
            </w:r>
          </w:p>
        </w:tc>
        <w:tc>
          <w:tcPr>
            <w:tcW w:w="75" w:type="dxa"/>
            <w:tcBorders>
              <w:top w:val="nil"/>
              <w:left w:val="nil"/>
              <w:bottom w:val="nil"/>
              <w:right w:val="nil"/>
            </w:tcBorders>
            <w:tcMar>
              <w:top w:w="0" w:type="dxa"/>
              <w:left w:w="0" w:type="dxa"/>
              <w:bottom w:w="0" w:type="dxa"/>
              <w:right w:w="0" w:type="dxa"/>
            </w:tcMar>
            <w:vAlign w:val="bottom"/>
          </w:tcPr>
          <w:p w14:paraId="33DDD459" w14:textId="77777777" w:rsidR="007C1CFF" w:rsidRDefault="007C1CFF">
            <w:pPr>
              <w:keepNext/>
            </w:pPr>
          </w:p>
        </w:tc>
        <w:tc>
          <w:tcPr>
            <w:tcW w:w="2265" w:type="dxa"/>
            <w:gridSpan w:val="3"/>
            <w:tcBorders>
              <w:top w:val="nil"/>
              <w:left w:val="nil"/>
              <w:bottom w:val="single" w:sz="8" w:space="0" w:color="000000"/>
              <w:right w:val="nil"/>
            </w:tcBorders>
            <w:tcMar>
              <w:top w:w="0" w:type="dxa"/>
              <w:left w:w="53" w:type="dxa"/>
              <w:bottom w:w="0" w:type="dxa"/>
              <w:right w:w="53" w:type="dxa"/>
            </w:tcMar>
          </w:tcPr>
          <w:p w14:paraId="60281766" w14:textId="77777777" w:rsidR="007C1CFF" w:rsidRDefault="00000000">
            <w:pPr>
              <w:keepNext/>
              <w:spacing w:before="75" w:after="30"/>
              <w:jc w:val="center"/>
            </w:pPr>
            <w:r>
              <w:rPr>
                <w:b/>
                <w:color w:val="000000"/>
                <w:sz w:val="20"/>
              </w:rPr>
              <w:t>June 30,</w:t>
            </w:r>
          </w:p>
        </w:tc>
      </w:tr>
      <w:tr w:rsidR="007C1CFF" w14:paraId="62D09F72" w14:textId="77777777">
        <w:trPr>
          <w:cantSplit/>
          <w:trHeight w:hRule="exact" w:val="285"/>
        </w:trPr>
        <w:tc>
          <w:tcPr>
            <w:tcW w:w="5415" w:type="dxa"/>
            <w:tcBorders>
              <w:top w:val="nil"/>
              <w:left w:val="nil"/>
              <w:bottom w:val="nil"/>
              <w:right w:val="nil"/>
            </w:tcBorders>
            <w:tcMar>
              <w:top w:w="0" w:type="dxa"/>
              <w:left w:w="0" w:type="dxa"/>
              <w:bottom w:w="0" w:type="dxa"/>
              <w:right w:w="0" w:type="dxa"/>
            </w:tcMar>
            <w:vAlign w:val="bottom"/>
          </w:tcPr>
          <w:p w14:paraId="631F2967" w14:textId="77777777" w:rsidR="007C1CFF" w:rsidRDefault="007C1CFF">
            <w:pPr>
              <w:keepNext/>
            </w:pPr>
          </w:p>
        </w:tc>
        <w:tc>
          <w:tcPr>
            <w:tcW w:w="1305" w:type="dxa"/>
            <w:tcBorders>
              <w:top w:val="nil"/>
              <w:left w:val="nil"/>
              <w:bottom w:val="single" w:sz="8" w:space="0" w:color="000000"/>
              <w:right w:val="nil"/>
            </w:tcBorders>
            <w:tcMar>
              <w:top w:w="0" w:type="dxa"/>
              <w:left w:w="53" w:type="dxa"/>
              <w:bottom w:w="0" w:type="dxa"/>
              <w:right w:w="53" w:type="dxa"/>
            </w:tcMar>
          </w:tcPr>
          <w:p w14:paraId="3D8452AC" w14:textId="77777777" w:rsidR="007C1CFF" w:rsidRDefault="00000000">
            <w:pPr>
              <w:keepNext/>
              <w:spacing w:before="55" w:after="30"/>
              <w:jc w:val="center"/>
            </w:pPr>
            <w:r>
              <w:rPr>
                <w:b/>
                <w:color w:val="000000"/>
                <w:sz w:val="20"/>
              </w:rPr>
              <w:t>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8646CCC" w14:textId="77777777" w:rsidR="007C1CFF" w:rsidRDefault="007C1CFF">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tcPr>
          <w:p w14:paraId="5FAE9F8E" w14:textId="77777777" w:rsidR="007C1CFF" w:rsidRDefault="00000000">
            <w:pPr>
              <w:keepNext/>
              <w:spacing w:before="55" w:after="30"/>
              <w:jc w:val="center"/>
            </w:pPr>
            <w:r>
              <w:rPr>
                <w:b/>
                <w:color w:val="000000"/>
                <w:sz w:val="20"/>
              </w:rPr>
              <w:t>2021</w:t>
            </w:r>
          </w:p>
        </w:tc>
        <w:tc>
          <w:tcPr>
            <w:tcW w:w="75" w:type="dxa"/>
            <w:tcBorders>
              <w:top w:val="nil"/>
              <w:left w:val="nil"/>
              <w:bottom w:val="nil"/>
              <w:right w:val="nil"/>
            </w:tcBorders>
            <w:tcMar>
              <w:top w:w="0" w:type="dxa"/>
              <w:left w:w="0" w:type="dxa"/>
              <w:bottom w:w="0" w:type="dxa"/>
              <w:right w:w="0" w:type="dxa"/>
            </w:tcMar>
            <w:vAlign w:val="bottom"/>
          </w:tcPr>
          <w:p w14:paraId="492BF56F" w14:textId="77777777" w:rsidR="007C1CFF" w:rsidRDefault="007C1CFF">
            <w:pPr>
              <w:keepNext/>
            </w:pPr>
          </w:p>
        </w:tc>
        <w:tc>
          <w:tcPr>
            <w:tcW w:w="1095" w:type="dxa"/>
            <w:tcBorders>
              <w:top w:val="nil"/>
              <w:left w:val="nil"/>
              <w:bottom w:val="single" w:sz="8" w:space="0" w:color="000000"/>
              <w:right w:val="nil"/>
            </w:tcBorders>
            <w:tcMar>
              <w:top w:w="0" w:type="dxa"/>
              <w:left w:w="53" w:type="dxa"/>
              <w:bottom w:w="0" w:type="dxa"/>
              <w:right w:w="53" w:type="dxa"/>
            </w:tcMar>
          </w:tcPr>
          <w:p w14:paraId="36737DEA" w14:textId="77777777" w:rsidR="007C1CFF" w:rsidRDefault="00000000">
            <w:pPr>
              <w:keepNext/>
              <w:spacing w:before="55" w:after="30"/>
              <w:jc w:val="center"/>
            </w:pPr>
            <w:r>
              <w:rPr>
                <w:b/>
                <w:color w:val="000000"/>
                <w:sz w:val="20"/>
              </w:rPr>
              <w:t>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7B244A4" w14:textId="77777777" w:rsidR="007C1CFF" w:rsidRDefault="007C1CFF">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tcPr>
          <w:p w14:paraId="5CFFF7C1" w14:textId="77777777" w:rsidR="007C1CFF" w:rsidRDefault="00000000">
            <w:pPr>
              <w:keepNext/>
              <w:spacing w:before="55" w:after="30"/>
              <w:jc w:val="center"/>
            </w:pPr>
            <w:r>
              <w:rPr>
                <w:b/>
                <w:color w:val="000000"/>
                <w:sz w:val="20"/>
              </w:rPr>
              <w:t>2021</w:t>
            </w:r>
          </w:p>
        </w:tc>
      </w:tr>
      <w:tr w:rsidR="007C1CFF" w14:paraId="2B82E5D1" w14:textId="77777777">
        <w:trPr>
          <w:cantSplit/>
          <w:trHeight w:hRule="exact" w:val="285"/>
        </w:trPr>
        <w:tc>
          <w:tcPr>
            <w:tcW w:w="5415" w:type="dxa"/>
            <w:tcBorders>
              <w:top w:val="nil"/>
              <w:left w:val="nil"/>
              <w:bottom w:val="nil"/>
              <w:right w:val="nil"/>
            </w:tcBorders>
            <w:tcMar>
              <w:top w:w="0" w:type="dxa"/>
              <w:left w:w="0" w:type="dxa"/>
              <w:bottom w:w="0" w:type="dxa"/>
              <w:right w:w="0" w:type="dxa"/>
            </w:tcMar>
            <w:vAlign w:val="bottom"/>
          </w:tcPr>
          <w:p w14:paraId="7881CDAC" w14:textId="77777777" w:rsidR="007C1CFF" w:rsidRDefault="007C1CFF">
            <w:pPr>
              <w:keepNext/>
            </w:pPr>
          </w:p>
        </w:tc>
        <w:tc>
          <w:tcPr>
            <w:tcW w:w="2685" w:type="dxa"/>
            <w:gridSpan w:val="3"/>
            <w:tcBorders>
              <w:top w:val="nil"/>
              <w:left w:val="nil"/>
              <w:bottom w:val="nil"/>
              <w:right w:val="nil"/>
            </w:tcBorders>
            <w:tcMar>
              <w:top w:w="0" w:type="dxa"/>
              <w:left w:w="53" w:type="dxa"/>
              <w:bottom w:w="0" w:type="dxa"/>
              <w:right w:w="53" w:type="dxa"/>
            </w:tcMar>
          </w:tcPr>
          <w:p w14:paraId="26BC49F4" w14:textId="77777777" w:rsidR="007C1CFF" w:rsidRDefault="00000000">
            <w:pPr>
              <w:keepNext/>
              <w:spacing w:before="55" w:after="30"/>
              <w:jc w:val="center"/>
            </w:pPr>
            <w:r>
              <w:rPr>
                <w:i/>
                <w:color w:val="000000"/>
                <w:sz w:val="20"/>
              </w:rPr>
              <w:t>(unaudited)</w:t>
            </w:r>
          </w:p>
        </w:tc>
        <w:tc>
          <w:tcPr>
            <w:tcW w:w="75" w:type="dxa"/>
            <w:tcBorders>
              <w:top w:val="nil"/>
              <w:left w:val="nil"/>
              <w:bottom w:val="nil"/>
              <w:right w:val="nil"/>
            </w:tcBorders>
            <w:tcMar>
              <w:top w:w="0" w:type="dxa"/>
              <w:left w:w="0" w:type="dxa"/>
              <w:bottom w:w="0" w:type="dxa"/>
              <w:right w:w="0" w:type="dxa"/>
            </w:tcMar>
            <w:vAlign w:val="bottom"/>
          </w:tcPr>
          <w:p w14:paraId="206DE2E5" w14:textId="77777777" w:rsidR="007C1CFF" w:rsidRDefault="007C1CFF">
            <w:pPr>
              <w:keepNext/>
            </w:pPr>
          </w:p>
        </w:tc>
        <w:tc>
          <w:tcPr>
            <w:tcW w:w="2265" w:type="dxa"/>
            <w:gridSpan w:val="3"/>
            <w:tcBorders>
              <w:top w:val="nil"/>
              <w:left w:val="nil"/>
              <w:bottom w:val="nil"/>
              <w:right w:val="nil"/>
            </w:tcBorders>
            <w:tcMar>
              <w:top w:w="0" w:type="dxa"/>
              <w:left w:w="53" w:type="dxa"/>
              <w:bottom w:w="0" w:type="dxa"/>
              <w:right w:w="53" w:type="dxa"/>
            </w:tcMar>
          </w:tcPr>
          <w:p w14:paraId="32A62915" w14:textId="77777777" w:rsidR="007C1CFF" w:rsidRDefault="00000000">
            <w:pPr>
              <w:keepNext/>
              <w:spacing w:before="55" w:after="30"/>
              <w:jc w:val="center"/>
            </w:pPr>
            <w:r>
              <w:rPr>
                <w:i/>
                <w:color w:val="000000"/>
                <w:sz w:val="20"/>
              </w:rPr>
              <w:t>(unaudited)</w:t>
            </w:r>
          </w:p>
        </w:tc>
      </w:tr>
      <w:tr w:rsidR="007C1CFF" w14:paraId="0D4B83D5"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57B75EF0" w14:textId="77777777" w:rsidR="007C1CFF" w:rsidRDefault="00000000">
            <w:pPr>
              <w:keepNext/>
              <w:spacing w:before="75" w:after="30"/>
            </w:pPr>
            <w:r>
              <w:rPr>
                <w:color w:val="000000"/>
                <w:sz w:val="20"/>
              </w:rPr>
              <w:t>Revenues:</w:t>
            </w:r>
          </w:p>
        </w:tc>
        <w:tc>
          <w:tcPr>
            <w:tcW w:w="1305" w:type="dxa"/>
            <w:tcBorders>
              <w:top w:val="nil"/>
              <w:left w:val="nil"/>
              <w:bottom w:val="nil"/>
              <w:right w:val="nil"/>
            </w:tcBorders>
            <w:tcMar>
              <w:top w:w="0" w:type="dxa"/>
              <w:left w:w="0" w:type="dxa"/>
              <w:bottom w:w="0" w:type="dxa"/>
              <w:right w:w="0" w:type="dxa"/>
            </w:tcMar>
            <w:vAlign w:val="bottom"/>
          </w:tcPr>
          <w:p w14:paraId="30C1F920"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1C7F1599" w14:textId="77777777" w:rsidR="007C1CFF" w:rsidRDefault="007C1CFF">
            <w:pPr>
              <w:keepNext/>
            </w:pPr>
          </w:p>
        </w:tc>
        <w:tc>
          <w:tcPr>
            <w:tcW w:w="1305" w:type="dxa"/>
            <w:tcBorders>
              <w:top w:val="nil"/>
              <w:left w:val="nil"/>
              <w:bottom w:val="nil"/>
              <w:right w:val="nil"/>
            </w:tcBorders>
            <w:tcMar>
              <w:top w:w="0" w:type="dxa"/>
              <w:left w:w="0" w:type="dxa"/>
              <w:bottom w:w="0" w:type="dxa"/>
              <w:right w:w="0" w:type="dxa"/>
            </w:tcMar>
            <w:vAlign w:val="bottom"/>
          </w:tcPr>
          <w:p w14:paraId="526C414F"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1E124C6B"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3F0A5ABF"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0B481BDE"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6861DC40" w14:textId="77777777" w:rsidR="007C1CFF" w:rsidRDefault="007C1CFF">
            <w:pPr>
              <w:keepNext/>
            </w:pPr>
          </w:p>
        </w:tc>
      </w:tr>
      <w:tr w:rsidR="007C1CFF" w14:paraId="46544290"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250D2A2B" w14:textId="77777777" w:rsidR="007C1CFF" w:rsidRDefault="00000000">
            <w:pPr>
              <w:keepNext/>
              <w:spacing w:before="75" w:after="30"/>
              <w:ind w:left="225"/>
            </w:pPr>
            <w:r>
              <w:rPr>
                <w:color w:val="000000"/>
                <w:sz w:val="20"/>
              </w:rPr>
              <w:t>Rental income</w:t>
            </w:r>
          </w:p>
        </w:tc>
        <w:tc>
          <w:tcPr>
            <w:tcW w:w="1305" w:type="dxa"/>
            <w:tcBorders>
              <w:top w:val="nil"/>
              <w:left w:val="nil"/>
              <w:bottom w:val="nil"/>
              <w:right w:val="nil"/>
            </w:tcBorders>
            <w:tcMar>
              <w:top w:w="0" w:type="dxa"/>
              <w:left w:w="0" w:type="dxa"/>
              <w:bottom w:w="0" w:type="dxa"/>
              <w:right w:w="15" w:type="dxa"/>
            </w:tcMar>
            <w:vAlign w:val="bottom"/>
          </w:tcPr>
          <w:p w14:paraId="05177869" w14:textId="77777777" w:rsidR="007C1CFF" w:rsidRDefault="00000000">
            <w:pPr>
              <w:keepNext/>
              <w:tabs>
                <w:tab w:val="left" w:pos="622"/>
                <w:tab w:val="left" w:pos="1237"/>
              </w:tabs>
              <w:spacing w:before="75" w:after="30"/>
              <w:jc w:val="right"/>
            </w:pPr>
            <w:r>
              <w:rPr>
                <w:color w:val="000000"/>
                <w:sz w:val="20"/>
              </w:rPr>
              <w:t>$</w:t>
            </w:r>
            <w:r>
              <w:rPr>
                <w:color w:val="000000"/>
                <w:sz w:val="20"/>
              </w:rPr>
              <w:tab/>
              <w:t>39,982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072FDE1"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06828140" w14:textId="77777777" w:rsidR="007C1CFF" w:rsidRDefault="00000000">
            <w:pPr>
              <w:keepNext/>
              <w:tabs>
                <w:tab w:val="left" w:pos="622"/>
                <w:tab w:val="left" w:pos="1237"/>
              </w:tabs>
              <w:spacing w:before="75" w:after="30"/>
              <w:jc w:val="right"/>
            </w:pPr>
            <w:r>
              <w:rPr>
                <w:color w:val="000000"/>
                <w:sz w:val="20"/>
              </w:rPr>
              <w:t>$</w:t>
            </w:r>
            <w:r>
              <w:rPr>
                <w:color w:val="000000"/>
                <w:sz w:val="20"/>
              </w:rPr>
              <w:tab/>
              <w:t>68,351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7A525ED"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5ACDF58" w14:textId="77777777" w:rsidR="007C1CFF" w:rsidRDefault="00000000">
            <w:pPr>
              <w:keepNext/>
              <w:tabs>
                <w:tab w:val="left" w:pos="312"/>
                <w:tab w:val="left" w:pos="1027"/>
              </w:tabs>
              <w:spacing w:before="75" w:after="30"/>
              <w:jc w:val="right"/>
            </w:pPr>
            <w:r>
              <w:rPr>
                <w:color w:val="000000"/>
                <w:sz w:val="20"/>
              </w:rPr>
              <w:t>$</w:t>
            </w:r>
            <w:r>
              <w:rPr>
                <w:color w:val="000000"/>
                <w:sz w:val="20"/>
              </w:rPr>
              <w:tab/>
              <w:t>104,541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401228A"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A96CD71" w14:textId="77777777" w:rsidR="007C1CFF" w:rsidRDefault="00000000">
            <w:pPr>
              <w:keepNext/>
              <w:tabs>
                <w:tab w:val="left" w:pos="312"/>
                <w:tab w:val="left" w:pos="1027"/>
              </w:tabs>
              <w:spacing w:before="75" w:after="30"/>
              <w:jc w:val="right"/>
            </w:pPr>
            <w:r>
              <w:rPr>
                <w:color w:val="000000"/>
                <w:sz w:val="20"/>
              </w:rPr>
              <w:t>$</w:t>
            </w:r>
            <w:r>
              <w:rPr>
                <w:color w:val="000000"/>
                <w:sz w:val="20"/>
              </w:rPr>
              <w:tab/>
              <w:t>143,101</w:t>
            </w:r>
            <w:r>
              <w:rPr>
                <w:color w:val="000000"/>
                <w:sz w:val="20"/>
              </w:rPr>
              <w:tab/>
            </w:r>
          </w:p>
        </w:tc>
      </w:tr>
      <w:tr w:rsidR="007C1CFF" w14:paraId="52E81148"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298A7856" w14:textId="77777777" w:rsidR="007C1CFF" w:rsidRDefault="00000000">
            <w:pPr>
              <w:keepNext/>
              <w:spacing w:before="75" w:after="30"/>
              <w:ind w:left="225"/>
            </w:pPr>
            <w:r>
              <w:rPr>
                <w:color w:val="000000"/>
                <w:sz w:val="20"/>
              </w:rPr>
              <w:t>Resident fees and services</w:t>
            </w:r>
          </w:p>
        </w:tc>
        <w:tc>
          <w:tcPr>
            <w:tcW w:w="1305" w:type="dxa"/>
            <w:tcBorders>
              <w:top w:val="nil"/>
              <w:left w:val="nil"/>
              <w:bottom w:val="nil"/>
              <w:right w:val="nil"/>
            </w:tcBorders>
            <w:tcMar>
              <w:top w:w="0" w:type="dxa"/>
              <w:left w:w="0" w:type="dxa"/>
              <w:bottom w:w="0" w:type="dxa"/>
              <w:right w:w="15" w:type="dxa"/>
            </w:tcMar>
            <w:vAlign w:val="bottom"/>
          </w:tcPr>
          <w:p w14:paraId="403755E8" w14:textId="77777777" w:rsidR="007C1CFF" w:rsidRDefault="00000000">
            <w:pPr>
              <w:keepNext/>
              <w:tabs>
                <w:tab w:val="left" w:pos="622"/>
                <w:tab w:val="left" w:pos="1237"/>
              </w:tabs>
              <w:spacing w:before="75" w:after="30"/>
              <w:jc w:val="right"/>
            </w:pPr>
            <w:r>
              <w:rPr>
                <w:color w:val="000000"/>
                <w:sz w:val="20"/>
              </w:rPr>
              <w:tab/>
              <w:t>11,992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5E776E1"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3BC86829" w14:textId="77777777" w:rsidR="007C1CFF" w:rsidRDefault="00000000">
            <w:pPr>
              <w:keepNext/>
              <w:tabs>
                <w:tab w:val="left" w:pos="972"/>
                <w:tab w:val="left" w:pos="123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250BF3E"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EC578E7" w14:textId="77777777" w:rsidR="007C1CFF" w:rsidRDefault="00000000">
            <w:pPr>
              <w:keepNext/>
              <w:tabs>
                <w:tab w:val="left" w:pos="412"/>
                <w:tab w:val="left" w:pos="1027"/>
              </w:tabs>
              <w:spacing w:before="75" w:after="30"/>
              <w:jc w:val="right"/>
            </w:pPr>
            <w:r>
              <w:rPr>
                <w:color w:val="000000"/>
                <w:sz w:val="20"/>
              </w:rPr>
              <w:tab/>
              <w:t>11,992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8BC056B"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028A8FF"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2239322E"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2BEBDE69" w14:textId="77777777" w:rsidR="007C1CFF" w:rsidRDefault="00000000">
            <w:pPr>
              <w:keepNext/>
              <w:spacing w:before="75" w:after="30"/>
              <w:ind w:left="225"/>
            </w:pPr>
            <w:r>
              <w:rPr>
                <w:color w:val="000000"/>
                <w:sz w:val="20"/>
              </w:rPr>
              <w:t>Interest income and other</w:t>
            </w:r>
          </w:p>
        </w:tc>
        <w:tc>
          <w:tcPr>
            <w:tcW w:w="1305" w:type="dxa"/>
            <w:tcBorders>
              <w:top w:val="nil"/>
              <w:left w:val="nil"/>
              <w:bottom w:val="single" w:sz="8" w:space="0" w:color="000000"/>
              <w:right w:val="nil"/>
            </w:tcBorders>
            <w:tcMar>
              <w:top w:w="0" w:type="dxa"/>
              <w:left w:w="0" w:type="dxa"/>
              <w:bottom w:w="0" w:type="dxa"/>
              <w:right w:w="15" w:type="dxa"/>
            </w:tcMar>
            <w:vAlign w:val="bottom"/>
          </w:tcPr>
          <w:p w14:paraId="12C0212A" w14:textId="77777777" w:rsidR="007C1CFF" w:rsidRDefault="00000000">
            <w:pPr>
              <w:keepNext/>
              <w:tabs>
                <w:tab w:val="left" w:pos="722"/>
                <w:tab w:val="left" w:pos="1237"/>
              </w:tabs>
              <w:spacing w:before="75" w:after="30"/>
              <w:jc w:val="right"/>
            </w:pPr>
            <w:r>
              <w:rPr>
                <w:color w:val="000000"/>
                <w:sz w:val="20"/>
              </w:rPr>
              <w:tab/>
              <w:t>7,925</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FC4F284" w14:textId="77777777" w:rsidR="007C1CFF" w:rsidRDefault="007C1CFF">
            <w:pPr>
              <w:keepNext/>
            </w:pPr>
          </w:p>
        </w:tc>
        <w:tc>
          <w:tcPr>
            <w:tcW w:w="1305" w:type="dxa"/>
            <w:tcBorders>
              <w:top w:val="nil"/>
              <w:left w:val="nil"/>
              <w:bottom w:val="single" w:sz="8" w:space="0" w:color="000000"/>
              <w:right w:val="nil"/>
            </w:tcBorders>
            <w:tcMar>
              <w:top w:w="0" w:type="dxa"/>
              <w:left w:w="0" w:type="dxa"/>
              <w:bottom w:w="0" w:type="dxa"/>
              <w:right w:w="15" w:type="dxa"/>
            </w:tcMar>
            <w:vAlign w:val="bottom"/>
          </w:tcPr>
          <w:p w14:paraId="71989CE0" w14:textId="77777777" w:rsidR="007C1CFF" w:rsidRDefault="00000000">
            <w:pPr>
              <w:keepNext/>
              <w:tabs>
                <w:tab w:val="left" w:pos="722"/>
                <w:tab w:val="left" w:pos="1237"/>
              </w:tabs>
              <w:spacing w:before="75" w:after="30"/>
              <w:jc w:val="right"/>
            </w:pPr>
            <w:r>
              <w:rPr>
                <w:color w:val="000000"/>
                <w:sz w:val="20"/>
              </w:rPr>
              <w:tab/>
              <w:t>5,979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6C71F03" w14:textId="77777777" w:rsidR="007C1CFF" w:rsidRDefault="007C1CFF">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1FFD5D48" w14:textId="77777777" w:rsidR="007C1CFF" w:rsidRDefault="00000000">
            <w:pPr>
              <w:keepNext/>
              <w:tabs>
                <w:tab w:val="left" w:pos="412"/>
                <w:tab w:val="left" w:pos="1027"/>
              </w:tabs>
              <w:spacing w:before="75" w:after="30"/>
              <w:jc w:val="right"/>
            </w:pPr>
            <w:r>
              <w:rPr>
                <w:color w:val="000000"/>
                <w:sz w:val="20"/>
              </w:rPr>
              <w:tab/>
              <w:t>14,694</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5F0468E" w14:textId="77777777" w:rsidR="007C1CFF" w:rsidRDefault="007C1CFF">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7DCFA6A6" w14:textId="77777777" w:rsidR="007C1CFF" w:rsidRDefault="00000000">
            <w:pPr>
              <w:keepNext/>
              <w:tabs>
                <w:tab w:val="left" w:pos="412"/>
                <w:tab w:val="left" w:pos="1027"/>
              </w:tabs>
              <w:spacing w:before="75" w:after="30"/>
              <w:jc w:val="right"/>
            </w:pPr>
            <w:r>
              <w:rPr>
                <w:color w:val="000000"/>
                <w:sz w:val="20"/>
              </w:rPr>
              <w:tab/>
              <w:t>12,114</w:t>
            </w:r>
            <w:r>
              <w:rPr>
                <w:color w:val="000000"/>
                <w:sz w:val="20"/>
              </w:rPr>
              <w:tab/>
            </w:r>
          </w:p>
        </w:tc>
      </w:tr>
      <w:tr w:rsidR="007C1CFF" w14:paraId="07CF5D74" w14:textId="77777777">
        <w:trPr>
          <w:cantSplit/>
          <w:trHeight w:hRule="exact" w:val="285"/>
        </w:trPr>
        <w:tc>
          <w:tcPr>
            <w:tcW w:w="5415" w:type="dxa"/>
            <w:tcBorders>
              <w:top w:val="nil"/>
              <w:left w:val="nil"/>
              <w:bottom w:val="nil"/>
              <w:right w:val="nil"/>
            </w:tcBorders>
            <w:tcMar>
              <w:top w:w="0" w:type="dxa"/>
              <w:left w:w="0" w:type="dxa"/>
              <w:bottom w:w="0" w:type="dxa"/>
              <w:right w:w="0" w:type="dxa"/>
            </w:tcMar>
            <w:vAlign w:val="bottom"/>
          </w:tcPr>
          <w:p w14:paraId="0746DC91" w14:textId="77777777" w:rsidR="007C1CFF" w:rsidRDefault="007C1CFF">
            <w:pPr>
              <w:keepNext/>
            </w:pPr>
          </w:p>
        </w:tc>
        <w:tc>
          <w:tcPr>
            <w:tcW w:w="13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44884F96" w14:textId="77777777" w:rsidR="007C1CFF" w:rsidRDefault="00000000">
            <w:pPr>
              <w:keepNext/>
              <w:tabs>
                <w:tab w:val="left" w:pos="622"/>
                <w:tab w:val="left" w:pos="1237"/>
              </w:tabs>
              <w:spacing w:before="55" w:after="30"/>
              <w:jc w:val="right"/>
            </w:pPr>
            <w:r>
              <w:rPr>
                <w:color w:val="000000"/>
                <w:sz w:val="20"/>
              </w:rPr>
              <w:tab/>
              <w:t>59,899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C620E13" w14:textId="77777777" w:rsidR="007C1CFF" w:rsidRDefault="007C1CFF">
            <w:pPr>
              <w:keepNext/>
            </w:pPr>
          </w:p>
        </w:tc>
        <w:tc>
          <w:tcPr>
            <w:tcW w:w="13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18C2CDEA" w14:textId="77777777" w:rsidR="007C1CFF" w:rsidRDefault="00000000">
            <w:pPr>
              <w:keepNext/>
              <w:tabs>
                <w:tab w:val="left" w:pos="622"/>
                <w:tab w:val="left" w:pos="1237"/>
              </w:tabs>
              <w:spacing w:before="55" w:after="30"/>
              <w:jc w:val="right"/>
            </w:pPr>
            <w:r>
              <w:rPr>
                <w:color w:val="000000"/>
                <w:sz w:val="20"/>
              </w:rPr>
              <w:tab/>
              <w:t>74,330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46249C7" w14:textId="77777777" w:rsidR="007C1CFF" w:rsidRDefault="007C1CFF">
            <w:pPr>
              <w:keepNext/>
            </w:pPr>
          </w:p>
        </w:tc>
        <w:tc>
          <w:tcPr>
            <w:tcW w:w="1095" w:type="dxa"/>
            <w:tcBorders>
              <w:top w:val="single" w:sz="8" w:space="0" w:color="000000"/>
              <w:left w:val="nil"/>
              <w:bottom w:val="single" w:sz="8" w:space="0" w:color="000000"/>
              <w:right w:val="nil"/>
            </w:tcBorders>
            <w:tcMar>
              <w:top w:w="0" w:type="dxa"/>
              <w:left w:w="0" w:type="dxa"/>
              <w:bottom w:w="0" w:type="dxa"/>
              <w:right w:w="15" w:type="dxa"/>
            </w:tcMar>
            <w:vAlign w:val="bottom"/>
          </w:tcPr>
          <w:p w14:paraId="49B4FA82" w14:textId="77777777" w:rsidR="007C1CFF" w:rsidRDefault="00000000">
            <w:pPr>
              <w:keepNext/>
              <w:tabs>
                <w:tab w:val="left" w:pos="312"/>
                <w:tab w:val="left" w:pos="1027"/>
              </w:tabs>
              <w:spacing w:before="55" w:after="30"/>
              <w:jc w:val="right"/>
            </w:pPr>
            <w:r>
              <w:rPr>
                <w:color w:val="000000"/>
                <w:sz w:val="20"/>
              </w:rPr>
              <w:tab/>
              <w:t>131,227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EFB354D" w14:textId="77777777" w:rsidR="007C1CFF" w:rsidRDefault="007C1CFF">
            <w:pPr>
              <w:keepNext/>
            </w:pPr>
          </w:p>
        </w:tc>
        <w:tc>
          <w:tcPr>
            <w:tcW w:w="1095" w:type="dxa"/>
            <w:tcBorders>
              <w:top w:val="single" w:sz="8" w:space="0" w:color="000000"/>
              <w:left w:val="nil"/>
              <w:bottom w:val="single" w:sz="8" w:space="0" w:color="000000"/>
              <w:right w:val="nil"/>
            </w:tcBorders>
            <w:tcMar>
              <w:top w:w="0" w:type="dxa"/>
              <w:left w:w="0" w:type="dxa"/>
              <w:bottom w:w="0" w:type="dxa"/>
              <w:right w:w="15" w:type="dxa"/>
            </w:tcMar>
            <w:vAlign w:val="bottom"/>
          </w:tcPr>
          <w:p w14:paraId="4638B047" w14:textId="77777777" w:rsidR="007C1CFF" w:rsidRDefault="00000000">
            <w:pPr>
              <w:keepNext/>
              <w:tabs>
                <w:tab w:val="left" w:pos="312"/>
                <w:tab w:val="left" w:pos="1027"/>
              </w:tabs>
              <w:spacing w:before="55" w:after="30"/>
              <w:jc w:val="right"/>
            </w:pPr>
            <w:r>
              <w:rPr>
                <w:color w:val="000000"/>
                <w:sz w:val="20"/>
              </w:rPr>
              <w:tab/>
              <w:t>155,215</w:t>
            </w:r>
            <w:r>
              <w:rPr>
                <w:color w:val="000000"/>
                <w:sz w:val="20"/>
              </w:rPr>
              <w:tab/>
            </w:r>
          </w:p>
        </w:tc>
      </w:tr>
      <w:tr w:rsidR="007C1CFF" w14:paraId="55C6EFFA"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3940CD75" w14:textId="77777777" w:rsidR="007C1CFF" w:rsidRDefault="00000000">
            <w:pPr>
              <w:keepNext/>
              <w:spacing w:before="55" w:after="30"/>
            </w:pPr>
            <w:r>
              <w:rPr>
                <w:color w:val="000000"/>
                <w:sz w:val="20"/>
              </w:rPr>
              <w:t>Expenses:</w:t>
            </w:r>
          </w:p>
        </w:tc>
        <w:tc>
          <w:tcPr>
            <w:tcW w:w="1305" w:type="dxa"/>
            <w:tcBorders>
              <w:top w:val="single" w:sz="8" w:space="0" w:color="000000"/>
              <w:left w:val="nil"/>
              <w:bottom w:val="nil"/>
              <w:right w:val="nil"/>
            </w:tcBorders>
            <w:tcMar>
              <w:top w:w="0" w:type="dxa"/>
              <w:left w:w="0" w:type="dxa"/>
              <w:bottom w:w="0" w:type="dxa"/>
              <w:right w:w="0" w:type="dxa"/>
            </w:tcMar>
            <w:vAlign w:val="bottom"/>
          </w:tcPr>
          <w:p w14:paraId="0616E2B1"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370343F8" w14:textId="77777777" w:rsidR="007C1CFF" w:rsidRDefault="007C1CFF">
            <w:pPr>
              <w:keepNext/>
            </w:pPr>
          </w:p>
        </w:tc>
        <w:tc>
          <w:tcPr>
            <w:tcW w:w="1305" w:type="dxa"/>
            <w:tcBorders>
              <w:top w:val="single" w:sz="8" w:space="0" w:color="000000"/>
              <w:left w:val="nil"/>
              <w:bottom w:val="nil"/>
              <w:right w:val="nil"/>
            </w:tcBorders>
            <w:tcMar>
              <w:top w:w="0" w:type="dxa"/>
              <w:left w:w="0" w:type="dxa"/>
              <w:bottom w:w="0" w:type="dxa"/>
              <w:right w:w="0" w:type="dxa"/>
            </w:tcMar>
            <w:vAlign w:val="bottom"/>
          </w:tcPr>
          <w:p w14:paraId="13534641"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7CBAF830"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14:paraId="2BD03BB4"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6E8F4261"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14:paraId="08F262DA" w14:textId="77777777" w:rsidR="007C1CFF" w:rsidRDefault="007C1CFF">
            <w:pPr>
              <w:keepNext/>
            </w:pPr>
          </w:p>
        </w:tc>
      </w:tr>
      <w:tr w:rsidR="007C1CFF" w14:paraId="74199FDB"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4BF13F28" w14:textId="77777777" w:rsidR="007C1CFF" w:rsidRDefault="00000000">
            <w:pPr>
              <w:keepNext/>
              <w:spacing w:before="75" w:after="30"/>
              <w:ind w:left="225"/>
            </w:pPr>
            <w:r>
              <w:rPr>
                <w:color w:val="000000"/>
                <w:sz w:val="20"/>
              </w:rPr>
              <w:t>Depreciation</w:t>
            </w:r>
          </w:p>
        </w:tc>
        <w:tc>
          <w:tcPr>
            <w:tcW w:w="1305" w:type="dxa"/>
            <w:tcBorders>
              <w:top w:val="nil"/>
              <w:left w:val="nil"/>
              <w:bottom w:val="nil"/>
              <w:right w:val="nil"/>
            </w:tcBorders>
            <w:tcMar>
              <w:top w:w="0" w:type="dxa"/>
              <w:left w:w="0" w:type="dxa"/>
              <w:bottom w:w="0" w:type="dxa"/>
              <w:right w:w="15" w:type="dxa"/>
            </w:tcMar>
            <w:vAlign w:val="bottom"/>
          </w:tcPr>
          <w:p w14:paraId="0110CC9C" w14:textId="77777777" w:rsidR="007C1CFF" w:rsidRDefault="00000000">
            <w:pPr>
              <w:keepNext/>
              <w:tabs>
                <w:tab w:val="left" w:pos="622"/>
                <w:tab w:val="left" w:pos="1237"/>
              </w:tabs>
              <w:spacing w:before="75" w:after="30"/>
              <w:jc w:val="right"/>
            </w:pPr>
            <w:r>
              <w:rPr>
                <w:color w:val="000000"/>
                <w:sz w:val="20"/>
              </w:rPr>
              <w:tab/>
              <w:t>17,772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C861F6F"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4070F051" w14:textId="77777777" w:rsidR="007C1CFF" w:rsidRDefault="00000000">
            <w:pPr>
              <w:keepNext/>
              <w:tabs>
                <w:tab w:val="left" w:pos="622"/>
                <w:tab w:val="left" w:pos="1237"/>
              </w:tabs>
              <w:spacing w:before="75" w:after="30"/>
              <w:jc w:val="right"/>
            </w:pPr>
            <w:r>
              <w:rPr>
                <w:color w:val="000000"/>
                <w:sz w:val="20"/>
              </w:rPr>
              <w:tab/>
              <w:t>20,658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7C036B5"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3FF8B15" w14:textId="77777777" w:rsidR="007C1CFF" w:rsidRDefault="00000000">
            <w:pPr>
              <w:keepNext/>
              <w:tabs>
                <w:tab w:val="left" w:pos="412"/>
                <w:tab w:val="left" w:pos="1027"/>
              </w:tabs>
              <w:spacing w:before="75" w:after="30"/>
              <w:jc w:val="right"/>
            </w:pPr>
            <w:r>
              <w:rPr>
                <w:color w:val="000000"/>
                <w:sz w:val="20"/>
              </w:rPr>
              <w:tab/>
              <w:t>36,044</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D87697C"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EE6B779" w14:textId="77777777" w:rsidR="007C1CFF" w:rsidRDefault="00000000">
            <w:pPr>
              <w:keepNext/>
              <w:tabs>
                <w:tab w:val="left" w:pos="412"/>
                <w:tab w:val="left" w:pos="1027"/>
              </w:tabs>
              <w:spacing w:before="75" w:after="30"/>
              <w:jc w:val="right"/>
            </w:pPr>
            <w:r>
              <w:rPr>
                <w:color w:val="000000"/>
                <w:sz w:val="20"/>
              </w:rPr>
              <w:tab/>
              <w:t>41,464</w:t>
            </w:r>
            <w:r>
              <w:rPr>
                <w:color w:val="000000"/>
                <w:sz w:val="20"/>
              </w:rPr>
              <w:tab/>
            </w:r>
          </w:p>
        </w:tc>
      </w:tr>
      <w:tr w:rsidR="007C1CFF" w14:paraId="5A361AB6"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16167AFD" w14:textId="77777777" w:rsidR="007C1CFF" w:rsidRDefault="00000000">
            <w:pPr>
              <w:keepNext/>
              <w:spacing w:before="75" w:after="30"/>
              <w:ind w:left="225"/>
            </w:pPr>
            <w:r>
              <w:rPr>
                <w:color w:val="000000"/>
                <w:sz w:val="20"/>
              </w:rPr>
              <w:t>Interest</w:t>
            </w:r>
          </w:p>
        </w:tc>
        <w:tc>
          <w:tcPr>
            <w:tcW w:w="1305" w:type="dxa"/>
            <w:tcBorders>
              <w:top w:val="nil"/>
              <w:left w:val="nil"/>
              <w:bottom w:val="nil"/>
              <w:right w:val="nil"/>
            </w:tcBorders>
            <w:tcMar>
              <w:top w:w="0" w:type="dxa"/>
              <w:left w:w="0" w:type="dxa"/>
              <w:bottom w:w="0" w:type="dxa"/>
              <w:right w:w="15" w:type="dxa"/>
            </w:tcMar>
            <w:vAlign w:val="bottom"/>
          </w:tcPr>
          <w:p w14:paraId="7778FB12" w14:textId="77777777" w:rsidR="007C1CFF" w:rsidRDefault="00000000">
            <w:pPr>
              <w:keepNext/>
              <w:tabs>
                <w:tab w:val="left" w:pos="622"/>
                <w:tab w:val="left" w:pos="1237"/>
              </w:tabs>
              <w:spacing w:before="75" w:after="30"/>
              <w:jc w:val="right"/>
            </w:pPr>
            <w:r>
              <w:rPr>
                <w:color w:val="000000"/>
                <w:sz w:val="20"/>
              </w:rPr>
              <w:tab/>
              <w:t>10,862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744E675"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294A1FB3" w14:textId="77777777" w:rsidR="007C1CFF" w:rsidRDefault="00000000">
            <w:pPr>
              <w:keepNext/>
              <w:tabs>
                <w:tab w:val="left" w:pos="622"/>
                <w:tab w:val="left" w:pos="1237"/>
              </w:tabs>
              <w:spacing w:before="75" w:after="30"/>
              <w:jc w:val="right"/>
            </w:pPr>
            <w:r>
              <w:rPr>
                <w:color w:val="000000"/>
                <w:sz w:val="20"/>
              </w:rPr>
              <w:tab/>
              <w:t>12,840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BAEDFFC"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ED384BD" w14:textId="77777777" w:rsidR="007C1CFF" w:rsidRDefault="00000000">
            <w:pPr>
              <w:keepNext/>
              <w:tabs>
                <w:tab w:val="left" w:pos="412"/>
                <w:tab w:val="left" w:pos="1027"/>
              </w:tabs>
              <w:spacing w:before="75" w:after="30"/>
              <w:jc w:val="right"/>
            </w:pPr>
            <w:r>
              <w:rPr>
                <w:color w:val="000000"/>
                <w:sz w:val="20"/>
              </w:rPr>
              <w:tab/>
              <w:t>21,060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398175C"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CC4EFF2" w14:textId="77777777" w:rsidR="007C1CFF" w:rsidRDefault="00000000">
            <w:pPr>
              <w:keepNext/>
              <w:tabs>
                <w:tab w:val="left" w:pos="412"/>
                <w:tab w:val="left" w:pos="1027"/>
              </w:tabs>
              <w:spacing w:before="75" w:after="30"/>
              <w:jc w:val="right"/>
            </w:pPr>
            <w:r>
              <w:rPr>
                <w:color w:val="000000"/>
                <w:sz w:val="20"/>
              </w:rPr>
              <w:tab/>
              <w:t>25,813</w:t>
            </w:r>
            <w:r>
              <w:rPr>
                <w:color w:val="000000"/>
                <w:sz w:val="20"/>
              </w:rPr>
              <w:tab/>
            </w:r>
          </w:p>
        </w:tc>
      </w:tr>
      <w:tr w:rsidR="007C1CFF" w14:paraId="2C9EAAF1"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68ABA56F" w14:textId="77777777" w:rsidR="007C1CFF" w:rsidRDefault="00000000">
            <w:pPr>
              <w:keepNext/>
              <w:spacing w:before="75" w:after="30"/>
              <w:ind w:left="225"/>
            </w:pPr>
            <w:r>
              <w:rPr>
                <w:color w:val="000000"/>
                <w:sz w:val="20"/>
              </w:rPr>
              <w:t>Senior housing operating expenses</w:t>
            </w:r>
          </w:p>
        </w:tc>
        <w:tc>
          <w:tcPr>
            <w:tcW w:w="1305" w:type="dxa"/>
            <w:tcBorders>
              <w:top w:val="nil"/>
              <w:left w:val="nil"/>
              <w:bottom w:val="nil"/>
              <w:right w:val="nil"/>
            </w:tcBorders>
            <w:tcMar>
              <w:top w:w="0" w:type="dxa"/>
              <w:left w:w="0" w:type="dxa"/>
              <w:bottom w:w="0" w:type="dxa"/>
              <w:right w:w="15" w:type="dxa"/>
            </w:tcMar>
            <w:vAlign w:val="bottom"/>
          </w:tcPr>
          <w:p w14:paraId="1BF6940E" w14:textId="77777777" w:rsidR="007C1CFF" w:rsidRDefault="00000000">
            <w:pPr>
              <w:keepNext/>
              <w:tabs>
                <w:tab w:val="left" w:pos="722"/>
                <w:tab w:val="left" w:pos="1237"/>
              </w:tabs>
              <w:spacing w:before="75" w:after="30"/>
              <w:jc w:val="right"/>
            </w:pPr>
            <w:r>
              <w:rPr>
                <w:color w:val="000000"/>
                <w:sz w:val="20"/>
              </w:rPr>
              <w:tab/>
              <w:t>9,113</w:t>
            </w:r>
            <w:r>
              <w:rPr>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5D9A92CF" w14:textId="77777777" w:rsidR="007C1CFF" w:rsidRDefault="007C1CFF">
            <w:pPr>
              <w:keepNext/>
              <w:spacing w:before="75" w:after="30"/>
              <w:jc w:val="right"/>
            </w:pPr>
          </w:p>
        </w:tc>
        <w:tc>
          <w:tcPr>
            <w:tcW w:w="1305" w:type="dxa"/>
            <w:tcBorders>
              <w:top w:val="nil"/>
              <w:left w:val="nil"/>
              <w:bottom w:val="nil"/>
              <w:right w:val="nil"/>
            </w:tcBorders>
            <w:tcMar>
              <w:top w:w="0" w:type="dxa"/>
              <w:left w:w="0" w:type="dxa"/>
              <w:bottom w:w="0" w:type="dxa"/>
              <w:right w:w="15" w:type="dxa"/>
            </w:tcMar>
            <w:vAlign w:val="bottom"/>
          </w:tcPr>
          <w:p w14:paraId="0DFEF21C" w14:textId="77777777" w:rsidR="007C1CFF" w:rsidRDefault="00000000">
            <w:pPr>
              <w:keepNext/>
              <w:tabs>
                <w:tab w:val="left" w:pos="972"/>
                <w:tab w:val="left" w:pos="123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089AC6A9" w14:textId="77777777" w:rsidR="007C1CFF" w:rsidRDefault="007C1CFF">
            <w:pPr>
              <w:keepNext/>
              <w:spacing w:before="75" w:after="30"/>
              <w:jc w:val="right"/>
            </w:pPr>
          </w:p>
        </w:tc>
        <w:tc>
          <w:tcPr>
            <w:tcW w:w="1095" w:type="dxa"/>
            <w:tcBorders>
              <w:top w:val="nil"/>
              <w:left w:val="nil"/>
              <w:bottom w:val="nil"/>
              <w:right w:val="nil"/>
            </w:tcBorders>
            <w:tcMar>
              <w:top w:w="0" w:type="dxa"/>
              <w:left w:w="0" w:type="dxa"/>
              <w:bottom w:w="0" w:type="dxa"/>
              <w:right w:w="15" w:type="dxa"/>
            </w:tcMar>
            <w:vAlign w:val="bottom"/>
          </w:tcPr>
          <w:p w14:paraId="34C3F47F" w14:textId="77777777" w:rsidR="007C1CFF" w:rsidRDefault="00000000">
            <w:pPr>
              <w:keepNext/>
              <w:tabs>
                <w:tab w:val="left" w:pos="512"/>
                <w:tab w:val="left" w:pos="1027"/>
              </w:tabs>
              <w:spacing w:before="75" w:after="30"/>
              <w:jc w:val="right"/>
            </w:pPr>
            <w:r>
              <w:rPr>
                <w:color w:val="000000"/>
                <w:sz w:val="20"/>
              </w:rPr>
              <w:tab/>
              <w:t>9,113</w:t>
            </w:r>
            <w:r>
              <w:rPr>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5C878154" w14:textId="77777777" w:rsidR="007C1CFF" w:rsidRDefault="007C1CFF">
            <w:pPr>
              <w:keepNext/>
              <w:spacing w:before="75" w:after="30"/>
              <w:jc w:val="right"/>
            </w:pPr>
          </w:p>
        </w:tc>
        <w:tc>
          <w:tcPr>
            <w:tcW w:w="1095" w:type="dxa"/>
            <w:tcBorders>
              <w:top w:val="nil"/>
              <w:left w:val="nil"/>
              <w:bottom w:val="nil"/>
              <w:right w:val="nil"/>
            </w:tcBorders>
            <w:tcMar>
              <w:top w:w="0" w:type="dxa"/>
              <w:left w:w="0" w:type="dxa"/>
              <w:bottom w:w="0" w:type="dxa"/>
              <w:right w:w="15" w:type="dxa"/>
            </w:tcMar>
            <w:vAlign w:val="bottom"/>
          </w:tcPr>
          <w:p w14:paraId="55796182"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3BCDECD0"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5E10BCE9" w14:textId="77777777" w:rsidR="007C1CFF" w:rsidRDefault="00000000">
            <w:pPr>
              <w:keepNext/>
              <w:spacing w:before="75" w:after="30"/>
              <w:ind w:left="225"/>
            </w:pPr>
            <w:r>
              <w:rPr>
                <w:color w:val="000000"/>
                <w:sz w:val="20"/>
              </w:rPr>
              <w:t>Legal</w:t>
            </w:r>
          </w:p>
        </w:tc>
        <w:tc>
          <w:tcPr>
            <w:tcW w:w="1305" w:type="dxa"/>
            <w:tcBorders>
              <w:top w:val="nil"/>
              <w:left w:val="nil"/>
              <w:bottom w:val="nil"/>
              <w:right w:val="nil"/>
            </w:tcBorders>
            <w:tcMar>
              <w:top w:w="0" w:type="dxa"/>
              <w:left w:w="0" w:type="dxa"/>
              <w:bottom w:w="0" w:type="dxa"/>
              <w:right w:w="15" w:type="dxa"/>
            </w:tcMar>
            <w:vAlign w:val="bottom"/>
          </w:tcPr>
          <w:p w14:paraId="432C1CEC" w14:textId="77777777" w:rsidR="007C1CFF" w:rsidRDefault="00000000">
            <w:pPr>
              <w:keepNext/>
              <w:tabs>
                <w:tab w:val="left" w:pos="872"/>
                <w:tab w:val="left" w:pos="1237"/>
              </w:tabs>
              <w:spacing w:before="75" w:after="30"/>
              <w:jc w:val="right"/>
            </w:pPr>
            <w:r>
              <w:rPr>
                <w:color w:val="000000"/>
                <w:sz w:val="20"/>
              </w:rPr>
              <w:tab/>
              <w:t>339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E5E6141"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55C5B415" w14:textId="77777777" w:rsidR="007C1CFF" w:rsidRDefault="00000000">
            <w:pPr>
              <w:keepNext/>
              <w:tabs>
                <w:tab w:val="left" w:pos="906"/>
              </w:tabs>
              <w:spacing w:before="75" w:after="30"/>
              <w:jc w:val="right"/>
            </w:pPr>
            <w:r>
              <w:rPr>
                <w:color w:val="000000"/>
                <w:sz w:val="20"/>
              </w:rPr>
              <w:tab/>
              <w:t>(40)</w:t>
            </w:r>
          </w:p>
        </w:tc>
        <w:tc>
          <w:tcPr>
            <w:tcW w:w="75" w:type="dxa"/>
            <w:tcBorders>
              <w:top w:val="nil"/>
              <w:left w:val="nil"/>
              <w:bottom w:val="nil"/>
              <w:right w:val="nil"/>
            </w:tcBorders>
            <w:tcMar>
              <w:top w:w="0" w:type="dxa"/>
              <w:left w:w="0" w:type="dxa"/>
              <w:bottom w:w="0" w:type="dxa"/>
              <w:right w:w="0" w:type="dxa"/>
            </w:tcMar>
            <w:vAlign w:val="bottom"/>
          </w:tcPr>
          <w:p w14:paraId="1C9A6FAF"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BBB4F2F" w14:textId="77777777" w:rsidR="007C1CFF" w:rsidRDefault="00000000">
            <w:pPr>
              <w:keepNext/>
              <w:tabs>
                <w:tab w:val="left" w:pos="512"/>
                <w:tab w:val="left" w:pos="1027"/>
              </w:tabs>
              <w:spacing w:before="75" w:after="30"/>
              <w:jc w:val="right"/>
            </w:pPr>
            <w:r>
              <w:rPr>
                <w:color w:val="000000"/>
                <w:sz w:val="20"/>
              </w:rPr>
              <w:tab/>
              <w:t>2,166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BD9AA46"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865FDFF" w14:textId="77777777" w:rsidR="007C1CFF" w:rsidRDefault="00000000">
            <w:pPr>
              <w:keepNext/>
              <w:tabs>
                <w:tab w:val="left" w:pos="762"/>
                <w:tab w:val="left" w:pos="1027"/>
              </w:tabs>
              <w:spacing w:before="75" w:after="30"/>
              <w:jc w:val="right"/>
            </w:pPr>
            <w:r>
              <w:rPr>
                <w:color w:val="000000"/>
                <w:sz w:val="20"/>
              </w:rPr>
              <w:tab/>
              <w:t>90</w:t>
            </w:r>
            <w:r>
              <w:rPr>
                <w:color w:val="000000"/>
                <w:sz w:val="20"/>
              </w:rPr>
              <w:tab/>
            </w:r>
          </w:p>
        </w:tc>
      </w:tr>
      <w:tr w:rsidR="007C1CFF" w14:paraId="7F7878C5"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6602C4D9" w14:textId="77777777" w:rsidR="007C1CFF" w:rsidRDefault="00000000">
            <w:pPr>
              <w:keepNext/>
              <w:spacing w:before="75" w:after="30"/>
              <w:ind w:left="225"/>
            </w:pPr>
            <w:r>
              <w:rPr>
                <w:color w:val="000000"/>
                <w:sz w:val="20"/>
              </w:rPr>
              <w:t>Franchise, excise and other taxes</w:t>
            </w:r>
          </w:p>
        </w:tc>
        <w:tc>
          <w:tcPr>
            <w:tcW w:w="1305" w:type="dxa"/>
            <w:tcBorders>
              <w:top w:val="nil"/>
              <w:left w:val="nil"/>
              <w:bottom w:val="nil"/>
              <w:right w:val="nil"/>
            </w:tcBorders>
            <w:tcMar>
              <w:top w:w="0" w:type="dxa"/>
              <w:left w:w="0" w:type="dxa"/>
              <w:bottom w:w="0" w:type="dxa"/>
              <w:right w:w="15" w:type="dxa"/>
            </w:tcMar>
            <w:vAlign w:val="bottom"/>
          </w:tcPr>
          <w:p w14:paraId="13469825" w14:textId="77777777" w:rsidR="007C1CFF" w:rsidRDefault="00000000">
            <w:pPr>
              <w:keepNext/>
              <w:tabs>
                <w:tab w:val="left" w:pos="872"/>
                <w:tab w:val="left" w:pos="1237"/>
              </w:tabs>
              <w:spacing w:before="75" w:after="30"/>
              <w:jc w:val="right"/>
            </w:pPr>
            <w:r>
              <w:rPr>
                <w:color w:val="000000"/>
                <w:sz w:val="20"/>
              </w:rPr>
              <w:tab/>
              <w:t>225</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64778B8"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4EEEE3F0" w14:textId="77777777" w:rsidR="007C1CFF" w:rsidRDefault="00000000">
            <w:pPr>
              <w:keepNext/>
              <w:tabs>
                <w:tab w:val="left" w:pos="872"/>
                <w:tab w:val="left" w:pos="1237"/>
              </w:tabs>
              <w:spacing w:before="75" w:after="30"/>
              <w:jc w:val="right"/>
            </w:pPr>
            <w:r>
              <w:rPr>
                <w:color w:val="000000"/>
                <w:sz w:val="20"/>
              </w:rPr>
              <w:tab/>
              <w:t>232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DAB57C3"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152AB0E" w14:textId="77777777" w:rsidR="007C1CFF" w:rsidRDefault="00000000">
            <w:pPr>
              <w:keepNext/>
              <w:tabs>
                <w:tab w:val="left" w:pos="662"/>
                <w:tab w:val="left" w:pos="1027"/>
              </w:tabs>
              <w:spacing w:before="75" w:after="30"/>
              <w:jc w:val="right"/>
            </w:pPr>
            <w:r>
              <w:rPr>
                <w:color w:val="000000"/>
                <w:sz w:val="20"/>
              </w:rPr>
              <w:tab/>
              <w:t>469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B79226A"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129E665" w14:textId="77777777" w:rsidR="007C1CFF" w:rsidRDefault="00000000">
            <w:pPr>
              <w:keepNext/>
              <w:tabs>
                <w:tab w:val="left" w:pos="662"/>
                <w:tab w:val="left" w:pos="1027"/>
              </w:tabs>
              <w:spacing w:before="75" w:after="30"/>
              <w:jc w:val="right"/>
            </w:pPr>
            <w:r>
              <w:rPr>
                <w:color w:val="000000"/>
                <w:sz w:val="20"/>
              </w:rPr>
              <w:tab/>
              <w:t>465</w:t>
            </w:r>
            <w:r>
              <w:rPr>
                <w:color w:val="000000"/>
                <w:sz w:val="20"/>
              </w:rPr>
              <w:tab/>
            </w:r>
          </w:p>
        </w:tc>
      </w:tr>
      <w:tr w:rsidR="007C1CFF" w14:paraId="31E24044"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4BBE13BA" w14:textId="77777777" w:rsidR="007C1CFF" w:rsidRDefault="00000000">
            <w:pPr>
              <w:keepNext/>
              <w:spacing w:before="75" w:after="30"/>
              <w:ind w:left="225"/>
            </w:pPr>
            <w:r>
              <w:rPr>
                <w:color w:val="000000"/>
                <w:sz w:val="20"/>
              </w:rPr>
              <w:t>General and administrative</w:t>
            </w:r>
          </w:p>
        </w:tc>
        <w:tc>
          <w:tcPr>
            <w:tcW w:w="1305" w:type="dxa"/>
            <w:tcBorders>
              <w:top w:val="nil"/>
              <w:left w:val="nil"/>
              <w:bottom w:val="nil"/>
              <w:right w:val="nil"/>
            </w:tcBorders>
            <w:tcMar>
              <w:top w:w="0" w:type="dxa"/>
              <w:left w:w="0" w:type="dxa"/>
              <w:bottom w:w="0" w:type="dxa"/>
              <w:right w:w="15" w:type="dxa"/>
            </w:tcMar>
            <w:vAlign w:val="bottom"/>
          </w:tcPr>
          <w:p w14:paraId="5607B1A4" w14:textId="77777777" w:rsidR="007C1CFF" w:rsidRDefault="00000000">
            <w:pPr>
              <w:keepNext/>
              <w:tabs>
                <w:tab w:val="left" w:pos="722"/>
                <w:tab w:val="left" w:pos="1237"/>
              </w:tabs>
              <w:spacing w:before="75" w:after="30"/>
              <w:jc w:val="right"/>
            </w:pPr>
            <w:r>
              <w:rPr>
                <w:color w:val="000000"/>
                <w:sz w:val="20"/>
              </w:rPr>
              <w:tab/>
              <w:t>5,049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036D013"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51D9272B" w14:textId="77777777" w:rsidR="007C1CFF" w:rsidRDefault="00000000">
            <w:pPr>
              <w:keepNext/>
              <w:tabs>
                <w:tab w:val="left" w:pos="722"/>
                <w:tab w:val="left" w:pos="1237"/>
              </w:tabs>
              <w:spacing w:before="75" w:after="30"/>
              <w:jc w:val="right"/>
            </w:pPr>
            <w:r>
              <w:rPr>
                <w:color w:val="000000"/>
                <w:sz w:val="20"/>
              </w:rPr>
              <w:tab/>
              <w:t>3,588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2C0744B"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C3A10AC" w14:textId="77777777" w:rsidR="007C1CFF" w:rsidRDefault="00000000">
            <w:pPr>
              <w:keepNext/>
              <w:tabs>
                <w:tab w:val="left" w:pos="412"/>
                <w:tab w:val="left" w:pos="1027"/>
              </w:tabs>
              <w:spacing w:before="75" w:after="30"/>
              <w:jc w:val="right"/>
            </w:pPr>
            <w:r>
              <w:rPr>
                <w:color w:val="000000"/>
                <w:sz w:val="20"/>
              </w:rPr>
              <w:tab/>
              <w:t>13,150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A9E95DC"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0E81109" w14:textId="77777777" w:rsidR="007C1CFF" w:rsidRDefault="00000000">
            <w:pPr>
              <w:keepNext/>
              <w:tabs>
                <w:tab w:val="left" w:pos="412"/>
                <w:tab w:val="left" w:pos="1027"/>
              </w:tabs>
              <w:spacing w:before="75" w:after="30"/>
              <w:jc w:val="right"/>
            </w:pPr>
            <w:r>
              <w:rPr>
                <w:color w:val="000000"/>
                <w:sz w:val="20"/>
              </w:rPr>
              <w:tab/>
              <w:t>11,577</w:t>
            </w:r>
            <w:r>
              <w:rPr>
                <w:color w:val="000000"/>
                <w:sz w:val="20"/>
              </w:rPr>
              <w:tab/>
            </w:r>
          </w:p>
        </w:tc>
      </w:tr>
      <w:tr w:rsidR="007C1CFF" w14:paraId="5D056C4C"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4FC83ACE" w14:textId="77777777" w:rsidR="007C1CFF" w:rsidRDefault="00000000">
            <w:pPr>
              <w:keepNext/>
              <w:spacing w:before="75" w:after="30"/>
              <w:ind w:left="225"/>
            </w:pPr>
            <w:r>
              <w:rPr>
                <w:color w:val="000000"/>
                <w:sz w:val="20"/>
              </w:rPr>
              <w:t>Taxes and insurance on leased properties</w:t>
            </w:r>
          </w:p>
        </w:tc>
        <w:tc>
          <w:tcPr>
            <w:tcW w:w="1305" w:type="dxa"/>
            <w:tcBorders>
              <w:top w:val="nil"/>
              <w:left w:val="nil"/>
              <w:bottom w:val="nil"/>
              <w:right w:val="nil"/>
            </w:tcBorders>
            <w:tcMar>
              <w:top w:w="0" w:type="dxa"/>
              <w:left w:w="0" w:type="dxa"/>
              <w:bottom w:w="0" w:type="dxa"/>
              <w:right w:w="15" w:type="dxa"/>
            </w:tcMar>
            <w:vAlign w:val="bottom"/>
          </w:tcPr>
          <w:p w14:paraId="4F84E353" w14:textId="77777777" w:rsidR="007C1CFF" w:rsidRDefault="00000000">
            <w:pPr>
              <w:keepNext/>
              <w:tabs>
                <w:tab w:val="left" w:pos="722"/>
                <w:tab w:val="left" w:pos="1237"/>
              </w:tabs>
              <w:spacing w:before="75" w:after="30"/>
              <w:jc w:val="right"/>
            </w:pPr>
            <w:r>
              <w:rPr>
                <w:color w:val="000000"/>
                <w:sz w:val="20"/>
              </w:rPr>
              <w:tab/>
              <w:t>2,157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811D5F9"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1F4A7DBD" w14:textId="77777777" w:rsidR="007C1CFF" w:rsidRDefault="00000000">
            <w:pPr>
              <w:keepNext/>
              <w:tabs>
                <w:tab w:val="left" w:pos="722"/>
                <w:tab w:val="left" w:pos="1237"/>
              </w:tabs>
              <w:spacing w:before="75" w:after="30"/>
              <w:jc w:val="right"/>
            </w:pPr>
            <w:r>
              <w:rPr>
                <w:color w:val="000000"/>
                <w:sz w:val="20"/>
              </w:rPr>
              <w:tab/>
              <w:t>2,175</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7C66BB1"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21E2955" w14:textId="77777777" w:rsidR="007C1CFF" w:rsidRDefault="00000000">
            <w:pPr>
              <w:keepNext/>
              <w:tabs>
                <w:tab w:val="left" w:pos="512"/>
                <w:tab w:val="left" w:pos="1027"/>
              </w:tabs>
              <w:spacing w:before="75" w:after="30"/>
              <w:jc w:val="right"/>
            </w:pPr>
            <w:r>
              <w:rPr>
                <w:color w:val="000000"/>
                <w:sz w:val="20"/>
              </w:rPr>
              <w:tab/>
              <w:t>5,195</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A249F62"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A0355F5" w14:textId="77777777" w:rsidR="007C1CFF" w:rsidRDefault="00000000">
            <w:pPr>
              <w:keepNext/>
              <w:tabs>
                <w:tab w:val="left" w:pos="512"/>
                <w:tab w:val="left" w:pos="1027"/>
              </w:tabs>
              <w:spacing w:before="75" w:after="30"/>
              <w:jc w:val="right"/>
            </w:pPr>
            <w:r>
              <w:rPr>
                <w:color w:val="000000"/>
                <w:sz w:val="20"/>
              </w:rPr>
              <w:tab/>
              <w:t>4,337</w:t>
            </w:r>
            <w:r>
              <w:rPr>
                <w:color w:val="000000"/>
                <w:sz w:val="20"/>
              </w:rPr>
              <w:tab/>
            </w:r>
          </w:p>
        </w:tc>
      </w:tr>
      <w:tr w:rsidR="007C1CFF" w14:paraId="561E100A"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341886B6" w14:textId="77777777" w:rsidR="007C1CFF" w:rsidRDefault="00000000">
            <w:pPr>
              <w:keepNext/>
              <w:spacing w:before="75" w:after="30"/>
              <w:ind w:left="225"/>
            </w:pPr>
            <w:r>
              <w:rPr>
                <w:color w:val="000000"/>
                <w:sz w:val="20"/>
              </w:rPr>
              <w:t>Loan and realty losses</w:t>
            </w:r>
          </w:p>
        </w:tc>
        <w:tc>
          <w:tcPr>
            <w:tcW w:w="1305" w:type="dxa"/>
            <w:tcBorders>
              <w:top w:val="nil"/>
              <w:left w:val="nil"/>
              <w:bottom w:val="single" w:sz="8" w:space="0" w:color="000000"/>
              <w:right w:val="nil"/>
            </w:tcBorders>
            <w:tcMar>
              <w:top w:w="0" w:type="dxa"/>
              <w:left w:w="0" w:type="dxa"/>
              <w:bottom w:w="0" w:type="dxa"/>
              <w:right w:w="15" w:type="dxa"/>
            </w:tcMar>
            <w:vAlign w:val="bottom"/>
          </w:tcPr>
          <w:p w14:paraId="2BF4CB8F" w14:textId="77777777" w:rsidR="007C1CFF" w:rsidRDefault="00000000">
            <w:pPr>
              <w:keepNext/>
              <w:tabs>
                <w:tab w:val="left" w:pos="722"/>
                <w:tab w:val="left" w:pos="1237"/>
              </w:tabs>
              <w:spacing w:before="75" w:after="30"/>
              <w:jc w:val="right"/>
            </w:pPr>
            <w:r>
              <w:rPr>
                <w:color w:val="000000"/>
                <w:sz w:val="20"/>
              </w:rPr>
              <w:tab/>
              <w:t>4,094</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93205D0" w14:textId="77777777" w:rsidR="007C1CFF" w:rsidRDefault="007C1CFF">
            <w:pPr>
              <w:keepNext/>
            </w:pPr>
          </w:p>
        </w:tc>
        <w:tc>
          <w:tcPr>
            <w:tcW w:w="1305" w:type="dxa"/>
            <w:tcBorders>
              <w:top w:val="nil"/>
              <w:left w:val="nil"/>
              <w:bottom w:val="single" w:sz="8" w:space="0" w:color="000000"/>
              <w:right w:val="nil"/>
            </w:tcBorders>
            <w:tcMar>
              <w:top w:w="0" w:type="dxa"/>
              <w:left w:w="0" w:type="dxa"/>
              <w:bottom w:w="0" w:type="dxa"/>
              <w:right w:w="15" w:type="dxa"/>
            </w:tcMar>
            <w:vAlign w:val="bottom"/>
          </w:tcPr>
          <w:p w14:paraId="3F15E6BC" w14:textId="77777777" w:rsidR="007C1CFF" w:rsidRDefault="00000000">
            <w:pPr>
              <w:keepNext/>
              <w:tabs>
                <w:tab w:val="left" w:pos="722"/>
                <w:tab w:val="left" w:pos="1237"/>
              </w:tabs>
              <w:spacing w:before="75" w:after="30"/>
              <w:jc w:val="right"/>
            </w:pPr>
            <w:r>
              <w:rPr>
                <w:color w:val="000000"/>
                <w:sz w:val="20"/>
              </w:rPr>
              <w:tab/>
              <w:t>1,221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641A2E6" w14:textId="77777777" w:rsidR="007C1CFF" w:rsidRDefault="007C1CFF">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5F131AE8" w14:textId="77777777" w:rsidR="007C1CFF" w:rsidRDefault="00000000">
            <w:pPr>
              <w:keepNext/>
              <w:tabs>
                <w:tab w:val="left" w:pos="412"/>
                <w:tab w:val="left" w:pos="1027"/>
              </w:tabs>
              <w:spacing w:before="75" w:after="30"/>
              <w:jc w:val="right"/>
            </w:pPr>
            <w:r>
              <w:rPr>
                <w:color w:val="000000"/>
                <w:sz w:val="20"/>
              </w:rPr>
              <w:tab/>
              <w:t>28,622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AFC2FD0" w14:textId="77777777" w:rsidR="007C1CFF" w:rsidRDefault="007C1CFF">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37C3303B" w14:textId="77777777" w:rsidR="007C1CFF" w:rsidRDefault="00000000">
            <w:pPr>
              <w:keepNext/>
              <w:tabs>
                <w:tab w:val="left" w:pos="512"/>
                <w:tab w:val="left" w:pos="1027"/>
              </w:tabs>
              <w:spacing w:before="75" w:after="30"/>
              <w:jc w:val="right"/>
            </w:pPr>
            <w:r>
              <w:rPr>
                <w:color w:val="000000"/>
                <w:sz w:val="20"/>
              </w:rPr>
              <w:tab/>
              <w:t>1,171</w:t>
            </w:r>
            <w:r>
              <w:rPr>
                <w:color w:val="000000"/>
                <w:sz w:val="20"/>
              </w:rPr>
              <w:tab/>
            </w:r>
          </w:p>
        </w:tc>
      </w:tr>
      <w:tr w:rsidR="007C1CFF" w14:paraId="5F9E6E82" w14:textId="77777777">
        <w:trPr>
          <w:cantSplit/>
          <w:trHeight w:hRule="exact" w:val="285"/>
        </w:trPr>
        <w:tc>
          <w:tcPr>
            <w:tcW w:w="5415" w:type="dxa"/>
            <w:tcBorders>
              <w:top w:val="nil"/>
              <w:left w:val="nil"/>
              <w:bottom w:val="nil"/>
              <w:right w:val="nil"/>
            </w:tcBorders>
            <w:tcMar>
              <w:top w:w="0" w:type="dxa"/>
              <w:left w:w="0" w:type="dxa"/>
              <w:bottom w:w="0" w:type="dxa"/>
              <w:right w:w="0" w:type="dxa"/>
            </w:tcMar>
            <w:vAlign w:val="bottom"/>
          </w:tcPr>
          <w:p w14:paraId="5A5A29D8" w14:textId="77777777" w:rsidR="007C1CFF" w:rsidRDefault="007C1CFF">
            <w:pPr>
              <w:keepNext/>
            </w:pPr>
          </w:p>
        </w:tc>
        <w:tc>
          <w:tcPr>
            <w:tcW w:w="1305" w:type="dxa"/>
            <w:tcBorders>
              <w:top w:val="single" w:sz="8" w:space="0" w:color="000000"/>
              <w:left w:val="nil"/>
              <w:bottom w:val="nil"/>
              <w:right w:val="nil"/>
            </w:tcBorders>
            <w:tcMar>
              <w:top w:w="0" w:type="dxa"/>
              <w:left w:w="0" w:type="dxa"/>
              <w:bottom w:w="0" w:type="dxa"/>
              <w:right w:w="15" w:type="dxa"/>
            </w:tcMar>
            <w:vAlign w:val="bottom"/>
          </w:tcPr>
          <w:p w14:paraId="500437FB" w14:textId="77777777" w:rsidR="007C1CFF" w:rsidRDefault="00000000">
            <w:pPr>
              <w:keepNext/>
              <w:tabs>
                <w:tab w:val="left" w:pos="622"/>
                <w:tab w:val="left" w:pos="1237"/>
              </w:tabs>
              <w:spacing w:before="55" w:after="30"/>
              <w:jc w:val="right"/>
            </w:pPr>
            <w:r>
              <w:rPr>
                <w:color w:val="000000"/>
                <w:sz w:val="20"/>
              </w:rPr>
              <w:tab/>
              <w:t>49,611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CE48355" w14:textId="77777777" w:rsidR="007C1CFF" w:rsidRDefault="007C1CFF">
            <w:pPr>
              <w:keepNext/>
            </w:pPr>
          </w:p>
        </w:tc>
        <w:tc>
          <w:tcPr>
            <w:tcW w:w="1305" w:type="dxa"/>
            <w:tcBorders>
              <w:top w:val="single" w:sz="8" w:space="0" w:color="000000"/>
              <w:left w:val="nil"/>
              <w:bottom w:val="nil"/>
              <w:right w:val="nil"/>
            </w:tcBorders>
            <w:tcMar>
              <w:top w:w="0" w:type="dxa"/>
              <w:left w:w="0" w:type="dxa"/>
              <w:bottom w:w="0" w:type="dxa"/>
              <w:right w:w="15" w:type="dxa"/>
            </w:tcMar>
            <w:vAlign w:val="bottom"/>
          </w:tcPr>
          <w:p w14:paraId="758F23F9" w14:textId="77777777" w:rsidR="007C1CFF" w:rsidRDefault="00000000">
            <w:pPr>
              <w:keepNext/>
              <w:tabs>
                <w:tab w:val="left" w:pos="622"/>
                <w:tab w:val="left" w:pos="1237"/>
              </w:tabs>
              <w:spacing w:before="55" w:after="30"/>
              <w:jc w:val="right"/>
            </w:pPr>
            <w:r>
              <w:rPr>
                <w:color w:val="000000"/>
                <w:sz w:val="20"/>
              </w:rPr>
              <w:tab/>
              <w:t>40,674</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F640E55"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0C86848F" w14:textId="77777777" w:rsidR="007C1CFF" w:rsidRDefault="00000000">
            <w:pPr>
              <w:keepNext/>
              <w:tabs>
                <w:tab w:val="left" w:pos="312"/>
                <w:tab w:val="left" w:pos="1027"/>
              </w:tabs>
              <w:spacing w:before="55" w:after="30"/>
              <w:jc w:val="right"/>
            </w:pPr>
            <w:r>
              <w:rPr>
                <w:color w:val="000000"/>
                <w:sz w:val="20"/>
              </w:rPr>
              <w:tab/>
              <w:t>115,819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F9825D6"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2AF04BF3" w14:textId="77777777" w:rsidR="007C1CFF" w:rsidRDefault="00000000">
            <w:pPr>
              <w:keepNext/>
              <w:tabs>
                <w:tab w:val="left" w:pos="412"/>
                <w:tab w:val="left" w:pos="1027"/>
              </w:tabs>
              <w:spacing w:before="55" w:after="30"/>
              <w:jc w:val="right"/>
            </w:pPr>
            <w:r>
              <w:rPr>
                <w:color w:val="000000"/>
                <w:sz w:val="20"/>
              </w:rPr>
              <w:tab/>
              <w:t>84,917</w:t>
            </w:r>
            <w:r>
              <w:rPr>
                <w:color w:val="000000"/>
                <w:sz w:val="20"/>
              </w:rPr>
              <w:tab/>
            </w:r>
          </w:p>
        </w:tc>
      </w:tr>
      <w:tr w:rsidR="007C1CFF" w14:paraId="1E0B8397"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5C026B22" w14:textId="77777777" w:rsidR="007C1CFF" w:rsidRDefault="00000000">
            <w:pPr>
              <w:keepNext/>
              <w:spacing w:before="75" w:after="30"/>
              <w:ind w:left="225"/>
            </w:pPr>
            <w:r>
              <w:rPr>
                <w:color w:val="000000"/>
                <w:sz w:val="20"/>
              </w:rPr>
              <w:t>Gains (losses) from equity method investment</w:t>
            </w:r>
          </w:p>
        </w:tc>
        <w:tc>
          <w:tcPr>
            <w:tcW w:w="1305" w:type="dxa"/>
            <w:tcBorders>
              <w:top w:val="nil"/>
              <w:left w:val="nil"/>
              <w:bottom w:val="nil"/>
              <w:right w:val="nil"/>
            </w:tcBorders>
            <w:tcMar>
              <w:top w:w="0" w:type="dxa"/>
              <w:left w:w="0" w:type="dxa"/>
              <w:bottom w:w="0" w:type="dxa"/>
              <w:right w:w="15" w:type="dxa"/>
            </w:tcMar>
            <w:vAlign w:val="bottom"/>
          </w:tcPr>
          <w:p w14:paraId="63D4E57F" w14:textId="77777777" w:rsidR="007C1CFF" w:rsidRDefault="00000000">
            <w:pPr>
              <w:keepNext/>
              <w:tabs>
                <w:tab w:val="left" w:pos="872"/>
                <w:tab w:val="left" w:pos="1237"/>
              </w:tabs>
              <w:spacing w:before="75" w:after="30"/>
              <w:jc w:val="right"/>
            </w:pPr>
            <w:r>
              <w:rPr>
                <w:color w:val="000000"/>
                <w:sz w:val="20"/>
              </w:rPr>
              <w:tab/>
              <w:t>273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975136C"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1B7711B8" w14:textId="77777777" w:rsidR="007C1CFF" w:rsidRDefault="00000000">
            <w:pPr>
              <w:keepNext/>
              <w:tabs>
                <w:tab w:val="left" w:pos="806"/>
              </w:tabs>
              <w:spacing w:before="75" w:after="30"/>
              <w:jc w:val="right"/>
            </w:pPr>
            <w:r>
              <w:rPr>
                <w:color w:val="000000"/>
                <w:sz w:val="20"/>
              </w:rPr>
              <w:tab/>
              <w:t>(909)</w:t>
            </w:r>
          </w:p>
        </w:tc>
        <w:tc>
          <w:tcPr>
            <w:tcW w:w="75" w:type="dxa"/>
            <w:tcBorders>
              <w:top w:val="nil"/>
              <w:left w:val="nil"/>
              <w:bottom w:val="nil"/>
              <w:right w:val="nil"/>
            </w:tcBorders>
            <w:tcMar>
              <w:top w:w="0" w:type="dxa"/>
              <w:left w:w="0" w:type="dxa"/>
              <w:bottom w:w="0" w:type="dxa"/>
              <w:right w:w="0" w:type="dxa"/>
            </w:tcMar>
            <w:vAlign w:val="bottom"/>
          </w:tcPr>
          <w:p w14:paraId="41EF8082"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C21CBB4" w14:textId="77777777" w:rsidR="007C1CFF" w:rsidRDefault="00000000">
            <w:pPr>
              <w:keepNext/>
              <w:tabs>
                <w:tab w:val="left" w:pos="662"/>
                <w:tab w:val="left" w:pos="1027"/>
              </w:tabs>
              <w:spacing w:before="75" w:after="30"/>
              <w:jc w:val="right"/>
            </w:pPr>
            <w:r>
              <w:rPr>
                <w:color w:val="000000"/>
                <w:sz w:val="20"/>
              </w:rPr>
              <w:tab/>
              <w:t>569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7906F03"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AFFAFE3" w14:textId="77777777" w:rsidR="007C1CFF" w:rsidRDefault="00000000">
            <w:pPr>
              <w:keepNext/>
              <w:tabs>
                <w:tab w:val="left" w:pos="446"/>
              </w:tabs>
              <w:spacing w:before="75" w:after="30"/>
              <w:jc w:val="right"/>
            </w:pPr>
            <w:r>
              <w:rPr>
                <w:color w:val="000000"/>
                <w:sz w:val="20"/>
              </w:rPr>
              <w:tab/>
              <w:t>(1,718)</w:t>
            </w:r>
          </w:p>
        </w:tc>
      </w:tr>
      <w:tr w:rsidR="007C1CFF" w14:paraId="0953DBC4"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3AC3EF74" w14:textId="77777777" w:rsidR="007C1CFF" w:rsidRDefault="00000000">
            <w:pPr>
              <w:keepNext/>
              <w:spacing w:before="75" w:after="30"/>
              <w:ind w:left="225"/>
            </w:pPr>
            <w:r>
              <w:rPr>
                <w:color w:val="000000"/>
                <w:sz w:val="20"/>
              </w:rPr>
              <w:t>Loss on operations transfer, net</w:t>
            </w:r>
          </w:p>
        </w:tc>
        <w:tc>
          <w:tcPr>
            <w:tcW w:w="1305" w:type="dxa"/>
            <w:tcBorders>
              <w:top w:val="nil"/>
              <w:left w:val="nil"/>
              <w:bottom w:val="nil"/>
              <w:right w:val="nil"/>
            </w:tcBorders>
            <w:tcMar>
              <w:top w:w="0" w:type="dxa"/>
              <w:left w:w="0" w:type="dxa"/>
              <w:bottom w:w="0" w:type="dxa"/>
              <w:right w:w="15" w:type="dxa"/>
            </w:tcMar>
            <w:vAlign w:val="bottom"/>
          </w:tcPr>
          <w:p w14:paraId="09C60671" w14:textId="77777777" w:rsidR="007C1CFF" w:rsidRDefault="00000000">
            <w:pPr>
              <w:keepNext/>
              <w:tabs>
                <w:tab w:val="left" w:pos="806"/>
              </w:tabs>
              <w:spacing w:before="75" w:after="30"/>
              <w:jc w:val="right"/>
            </w:pPr>
            <w:r>
              <w:rPr>
                <w:color w:val="000000"/>
                <w:sz w:val="20"/>
              </w:rPr>
              <w:tab/>
              <w:t>(729)</w:t>
            </w:r>
          </w:p>
        </w:tc>
        <w:tc>
          <w:tcPr>
            <w:tcW w:w="75" w:type="dxa"/>
            <w:tcBorders>
              <w:top w:val="nil"/>
              <w:left w:val="nil"/>
              <w:bottom w:val="nil"/>
              <w:right w:val="nil"/>
            </w:tcBorders>
            <w:tcMar>
              <w:top w:w="0" w:type="dxa"/>
              <w:left w:w="0" w:type="dxa"/>
              <w:bottom w:w="0" w:type="dxa"/>
              <w:right w:w="0" w:type="dxa"/>
            </w:tcMar>
            <w:vAlign w:val="bottom"/>
          </w:tcPr>
          <w:p w14:paraId="0CF1D39A"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344F776A" w14:textId="77777777" w:rsidR="007C1CFF" w:rsidRDefault="00000000">
            <w:pPr>
              <w:keepNext/>
              <w:tabs>
                <w:tab w:val="left" w:pos="972"/>
                <w:tab w:val="left" w:pos="123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7A4E763"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3C4D9E8D" w14:textId="77777777" w:rsidR="007C1CFF" w:rsidRDefault="00000000">
            <w:pPr>
              <w:keepNext/>
              <w:tabs>
                <w:tab w:val="left" w:pos="596"/>
              </w:tabs>
              <w:spacing w:before="75" w:after="30"/>
              <w:jc w:val="right"/>
            </w:pPr>
            <w:r>
              <w:rPr>
                <w:color w:val="000000"/>
                <w:sz w:val="20"/>
              </w:rPr>
              <w:tab/>
              <w:t>(729)</w:t>
            </w:r>
          </w:p>
        </w:tc>
        <w:tc>
          <w:tcPr>
            <w:tcW w:w="75" w:type="dxa"/>
            <w:tcBorders>
              <w:top w:val="nil"/>
              <w:left w:val="nil"/>
              <w:bottom w:val="nil"/>
              <w:right w:val="nil"/>
            </w:tcBorders>
            <w:tcMar>
              <w:top w:w="0" w:type="dxa"/>
              <w:left w:w="0" w:type="dxa"/>
              <w:bottom w:w="0" w:type="dxa"/>
              <w:right w:w="0" w:type="dxa"/>
            </w:tcMar>
            <w:vAlign w:val="bottom"/>
          </w:tcPr>
          <w:p w14:paraId="08C85C0C"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097FDD27"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2CB70268"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7122A353" w14:textId="77777777" w:rsidR="007C1CFF" w:rsidRDefault="00000000">
            <w:pPr>
              <w:keepNext/>
              <w:spacing w:before="75" w:after="30"/>
              <w:ind w:left="225"/>
            </w:pPr>
            <w:r>
              <w:rPr>
                <w:color w:val="000000"/>
                <w:sz w:val="20"/>
              </w:rPr>
              <w:t>Gain on note payoff</w:t>
            </w:r>
          </w:p>
        </w:tc>
        <w:tc>
          <w:tcPr>
            <w:tcW w:w="1305" w:type="dxa"/>
            <w:tcBorders>
              <w:top w:val="nil"/>
              <w:left w:val="nil"/>
              <w:bottom w:val="nil"/>
              <w:right w:val="nil"/>
            </w:tcBorders>
            <w:tcMar>
              <w:top w:w="0" w:type="dxa"/>
              <w:left w:w="0" w:type="dxa"/>
              <w:bottom w:w="0" w:type="dxa"/>
              <w:right w:w="15" w:type="dxa"/>
            </w:tcMar>
            <w:vAlign w:val="bottom"/>
          </w:tcPr>
          <w:p w14:paraId="58E09F09" w14:textId="77777777" w:rsidR="007C1CFF" w:rsidRDefault="00000000">
            <w:pPr>
              <w:keepNext/>
              <w:tabs>
                <w:tab w:val="left" w:pos="722"/>
                <w:tab w:val="left" w:pos="1237"/>
              </w:tabs>
              <w:spacing w:before="75" w:after="30"/>
              <w:jc w:val="right"/>
            </w:pPr>
            <w:r>
              <w:rPr>
                <w:color w:val="000000"/>
                <w:sz w:val="20"/>
              </w:rPr>
              <w:tab/>
              <w:t>1,113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C420E16"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4D233875" w14:textId="77777777" w:rsidR="007C1CFF" w:rsidRDefault="00000000">
            <w:pPr>
              <w:keepNext/>
              <w:tabs>
                <w:tab w:val="left" w:pos="972"/>
                <w:tab w:val="left" w:pos="123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B39D1DE"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4352B08" w14:textId="77777777" w:rsidR="007C1CFF" w:rsidRDefault="00000000">
            <w:pPr>
              <w:keepNext/>
              <w:tabs>
                <w:tab w:val="left" w:pos="512"/>
                <w:tab w:val="left" w:pos="1027"/>
              </w:tabs>
              <w:spacing w:before="75" w:after="30"/>
              <w:jc w:val="right"/>
            </w:pPr>
            <w:r>
              <w:rPr>
                <w:color w:val="000000"/>
                <w:sz w:val="20"/>
              </w:rPr>
              <w:tab/>
              <w:t>1,113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6C0B5A3"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A04FEFC" w14:textId="77777777" w:rsidR="007C1CFF" w:rsidRDefault="00000000">
            <w:pPr>
              <w:keepNext/>
              <w:tabs>
                <w:tab w:val="left" w:pos="762"/>
                <w:tab w:val="left" w:pos="1027"/>
              </w:tabs>
              <w:spacing w:before="75" w:after="30"/>
              <w:jc w:val="right"/>
            </w:pPr>
            <w:r>
              <w:rPr>
                <w:color w:val="000000"/>
                <w:sz w:val="20"/>
              </w:rPr>
              <w:tab/>
              <w:t>—</w:t>
            </w:r>
            <w:r>
              <w:rPr>
                <w:color w:val="000000"/>
                <w:sz w:val="20"/>
              </w:rPr>
              <w:tab/>
            </w:r>
          </w:p>
        </w:tc>
      </w:tr>
      <w:tr w:rsidR="007C1CFF" w14:paraId="0AC39682"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03E4292D" w14:textId="77777777" w:rsidR="007C1CFF" w:rsidRDefault="00000000">
            <w:pPr>
              <w:keepNext/>
              <w:spacing w:before="75" w:after="30"/>
              <w:ind w:left="225"/>
            </w:pPr>
            <w:r>
              <w:rPr>
                <w:color w:val="000000"/>
                <w:sz w:val="20"/>
              </w:rPr>
              <w:t>Loss on early retirement of debt</w:t>
            </w:r>
          </w:p>
        </w:tc>
        <w:tc>
          <w:tcPr>
            <w:tcW w:w="1305" w:type="dxa"/>
            <w:tcBorders>
              <w:top w:val="nil"/>
              <w:left w:val="nil"/>
              <w:bottom w:val="nil"/>
              <w:right w:val="nil"/>
            </w:tcBorders>
            <w:tcMar>
              <w:top w:w="0" w:type="dxa"/>
              <w:left w:w="0" w:type="dxa"/>
              <w:bottom w:w="0" w:type="dxa"/>
              <w:right w:w="15" w:type="dxa"/>
            </w:tcMar>
            <w:vAlign w:val="bottom"/>
          </w:tcPr>
          <w:p w14:paraId="630C4B35" w14:textId="77777777" w:rsidR="007C1CFF" w:rsidRDefault="00000000">
            <w:pPr>
              <w:keepNext/>
              <w:tabs>
                <w:tab w:val="left" w:pos="972"/>
                <w:tab w:val="left" w:pos="123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9AE225E"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5869627D" w14:textId="77777777" w:rsidR="007C1CFF" w:rsidRDefault="00000000">
            <w:pPr>
              <w:keepNext/>
              <w:tabs>
                <w:tab w:val="left" w:pos="972"/>
                <w:tab w:val="left" w:pos="123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DF4364A"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CD3AFC3" w14:textId="77777777" w:rsidR="007C1CFF" w:rsidRDefault="00000000">
            <w:pPr>
              <w:keepNext/>
              <w:tabs>
                <w:tab w:val="left" w:pos="596"/>
              </w:tabs>
              <w:spacing w:before="75" w:after="30"/>
              <w:jc w:val="right"/>
            </w:pPr>
            <w:r>
              <w:rPr>
                <w:color w:val="000000"/>
                <w:sz w:val="20"/>
              </w:rPr>
              <w:tab/>
              <w:t>(151)</w:t>
            </w:r>
          </w:p>
        </w:tc>
        <w:tc>
          <w:tcPr>
            <w:tcW w:w="75" w:type="dxa"/>
            <w:tcBorders>
              <w:top w:val="nil"/>
              <w:left w:val="nil"/>
              <w:bottom w:val="nil"/>
              <w:right w:val="nil"/>
            </w:tcBorders>
            <w:tcMar>
              <w:top w:w="0" w:type="dxa"/>
              <w:left w:w="0" w:type="dxa"/>
              <w:bottom w:w="0" w:type="dxa"/>
              <w:right w:w="0" w:type="dxa"/>
            </w:tcMar>
            <w:vAlign w:val="bottom"/>
          </w:tcPr>
          <w:p w14:paraId="600AC7D8"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8A19AFD" w14:textId="77777777" w:rsidR="007C1CFF" w:rsidRDefault="00000000">
            <w:pPr>
              <w:keepNext/>
              <w:tabs>
                <w:tab w:val="left" w:pos="596"/>
              </w:tabs>
              <w:spacing w:before="75" w:after="30"/>
              <w:jc w:val="right"/>
            </w:pPr>
            <w:r>
              <w:rPr>
                <w:color w:val="000000"/>
                <w:sz w:val="20"/>
              </w:rPr>
              <w:tab/>
              <w:t>(451)</w:t>
            </w:r>
          </w:p>
        </w:tc>
      </w:tr>
      <w:tr w:rsidR="007C1CFF" w14:paraId="15BDD83C"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0C71AE5B" w14:textId="77777777" w:rsidR="007C1CFF" w:rsidRDefault="00000000">
            <w:pPr>
              <w:keepNext/>
              <w:spacing w:before="75" w:after="30"/>
              <w:ind w:left="225"/>
            </w:pPr>
            <w:r>
              <w:rPr>
                <w:color w:val="000000"/>
                <w:sz w:val="20"/>
              </w:rPr>
              <w:t>Gains on sales of real estate, net</w:t>
            </w:r>
          </w:p>
        </w:tc>
        <w:tc>
          <w:tcPr>
            <w:tcW w:w="1305" w:type="dxa"/>
            <w:tcBorders>
              <w:top w:val="nil"/>
              <w:left w:val="nil"/>
              <w:bottom w:val="nil"/>
              <w:right w:val="nil"/>
            </w:tcBorders>
            <w:tcMar>
              <w:top w:w="0" w:type="dxa"/>
              <w:left w:w="0" w:type="dxa"/>
              <w:bottom w:w="0" w:type="dxa"/>
              <w:right w:w="15" w:type="dxa"/>
            </w:tcMar>
            <w:vAlign w:val="bottom"/>
          </w:tcPr>
          <w:p w14:paraId="003A8439" w14:textId="77777777" w:rsidR="007C1CFF" w:rsidRDefault="00000000">
            <w:pPr>
              <w:keepNext/>
              <w:tabs>
                <w:tab w:val="left" w:pos="622"/>
                <w:tab w:val="left" w:pos="1237"/>
              </w:tabs>
              <w:spacing w:before="75" w:after="30"/>
              <w:jc w:val="right"/>
            </w:pPr>
            <w:r>
              <w:rPr>
                <w:color w:val="000000"/>
                <w:sz w:val="20"/>
              </w:rPr>
              <w:tab/>
              <w:t>10,521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FEF23CB"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743D1F93" w14:textId="77777777" w:rsidR="007C1CFF" w:rsidRDefault="00000000">
            <w:pPr>
              <w:keepNext/>
              <w:tabs>
                <w:tab w:val="left" w:pos="722"/>
                <w:tab w:val="left" w:pos="1237"/>
              </w:tabs>
              <w:spacing w:before="75" w:after="30"/>
              <w:jc w:val="right"/>
            </w:pPr>
            <w:r>
              <w:rPr>
                <w:color w:val="000000"/>
                <w:sz w:val="20"/>
              </w:rPr>
              <w:tab/>
              <w:t>6,484</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7F14A27"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EB6AED5" w14:textId="77777777" w:rsidR="007C1CFF" w:rsidRDefault="00000000">
            <w:pPr>
              <w:keepNext/>
              <w:tabs>
                <w:tab w:val="left" w:pos="412"/>
                <w:tab w:val="left" w:pos="1027"/>
              </w:tabs>
              <w:spacing w:before="75" w:after="30"/>
              <w:jc w:val="right"/>
            </w:pPr>
            <w:r>
              <w:rPr>
                <w:color w:val="000000"/>
                <w:sz w:val="20"/>
              </w:rPr>
              <w:tab/>
              <w:t>13,502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15DF41A"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7C6A514C" w14:textId="77777777" w:rsidR="007C1CFF" w:rsidRDefault="00000000">
            <w:pPr>
              <w:keepNext/>
              <w:tabs>
                <w:tab w:val="left" w:pos="512"/>
                <w:tab w:val="left" w:pos="1027"/>
              </w:tabs>
              <w:spacing w:before="75" w:after="30"/>
              <w:jc w:val="right"/>
            </w:pPr>
            <w:r>
              <w:rPr>
                <w:color w:val="000000"/>
                <w:sz w:val="20"/>
              </w:rPr>
              <w:tab/>
              <w:t>6,484</w:t>
            </w:r>
            <w:r>
              <w:rPr>
                <w:color w:val="000000"/>
                <w:sz w:val="20"/>
              </w:rPr>
              <w:tab/>
            </w:r>
          </w:p>
        </w:tc>
      </w:tr>
      <w:tr w:rsidR="007C1CFF" w14:paraId="737588D8"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2F1D2095" w14:textId="77777777" w:rsidR="007C1CFF" w:rsidRDefault="00000000">
            <w:pPr>
              <w:keepNext/>
              <w:spacing w:before="55" w:after="30"/>
            </w:pPr>
            <w:r>
              <w:rPr>
                <w:color w:val="000000"/>
                <w:sz w:val="20"/>
              </w:rPr>
              <w:t>Net income</w:t>
            </w:r>
          </w:p>
        </w:tc>
        <w:tc>
          <w:tcPr>
            <w:tcW w:w="1305" w:type="dxa"/>
            <w:tcBorders>
              <w:top w:val="single" w:sz="8" w:space="0" w:color="000000"/>
              <w:left w:val="nil"/>
              <w:bottom w:val="nil"/>
              <w:right w:val="nil"/>
            </w:tcBorders>
            <w:tcMar>
              <w:top w:w="0" w:type="dxa"/>
              <w:left w:w="0" w:type="dxa"/>
              <w:bottom w:w="0" w:type="dxa"/>
              <w:right w:w="15" w:type="dxa"/>
            </w:tcMar>
            <w:vAlign w:val="bottom"/>
          </w:tcPr>
          <w:p w14:paraId="0B77C31B" w14:textId="77777777" w:rsidR="007C1CFF" w:rsidRDefault="00000000">
            <w:pPr>
              <w:keepNext/>
              <w:tabs>
                <w:tab w:val="left" w:pos="622"/>
                <w:tab w:val="left" w:pos="1237"/>
              </w:tabs>
              <w:spacing w:before="55" w:after="30"/>
              <w:jc w:val="right"/>
            </w:pPr>
            <w:r>
              <w:rPr>
                <w:color w:val="000000"/>
                <w:sz w:val="20"/>
              </w:rPr>
              <w:tab/>
              <w:t>21,466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C84A785" w14:textId="77777777" w:rsidR="007C1CFF" w:rsidRDefault="007C1CFF">
            <w:pPr>
              <w:keepNext/>
            </w:pPr>
          </w:p>
        </w:tc>
        <w:tc>
          <w:tcPr>
            <w:tcW w:w="1305" w:type="dxa"/>
            <w:tcBorders>
              <w:top w:val="single" w:sz="8" w:space="0" w:color="000000"/>
              <w:left w:val="nil"/>
              <w:bottom w:val="nil"/>
              <w:right w:val="nil"/>
            </w:tcBorders>
            <w:tcMar>
              <w:top w:w="0" w:type="dxa"/>
              <w:left w:w="0" w:type="dxa"/>
              <w:bottom w:w="0" w:type="dxa"/>
              <w:right w:w="15" w:type="dxa"/>
            </w:tcMar>
            <w:vAlign w:val="bottom"/>
          </w:tcPr>
          <w:p w14:paraId="581B6272" w14:textId="77777777" w:rsidR="007C1CFF" w:rsidRDefault="00000000">
            <w:pPr>
              <w:keepNext/>
              <w:tabs>
                <w:tab w:val="left" w:pos="622"/>
                <w:tab w:val="left" w:pos="1237"/>
              </w:tabs>
              <w:spacing w:before="55" w:after="30"/>
              <w:jc w:val="right"/>
            </w:pPr>
            <w:r>
              <w:rPr>
                <w:color w:val="000000"/>
                <w:sz w:val="20"/>
              </w:rPr>
              <w:tab/>
              <w:t>39,231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D9C940B"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6AE841A9" w14:textId="77777777" w:rsidR="007C1CFF" w:rsidRDefault="00000000">
            <w:pPr>
              <w:keepNext/>
              <w:tabs>
                <w:tab w:val="left" w:pos="412"/>
                <w:tab w:val="left" w:pos="1027"/>
              </w:tabs>
              <w:spacing w:before="55" w:after="30"/>
              <w:jc w:val="right"/>
            </w:pPr>
            <w:r>
              <w:rPr>
                <w:color w:val="000000"/>
                <w:sz w:val="20"/>
              </w:rPr>
              <w:tab/>
              <w:t>29,712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B2BDE2A" w14:textId="77777777" w:rsidR="007C1CFF" w:rsidRDefault="007C1CFF">
            <w:pPr>
              <w:keepNext/>
            </w:pPr>
          </w:p>
        </w:tc>
        <w:tc>
          <w:tcPr>
            <w:tcW w:w="1095" w:type="dxa"/>
            <w:tcBorders>
              <w:top w:val="single" w:sz="8" w:space="0" w:color="000000"/>
              <w:left w:val="nil"/>
              <w:bottom w:val="nil"/>
              <w:right w:val="nil"/>
            </w:tcBorders>
            <w:tcMar>
              <w:top w:w="0" w:type="dxa"/>
              <w:left w:w="0" w:type="dxa"/>
              <w:bottom w:w="0" w:type="dxa"/>
              <w:right w:w="15" w:type="dxa"/>
            </w:tcMar>
            <w:vAlign w:val="bottom"/>
          </w:tcPr>
          <w:p w14:paraId="0CF6CF25" w14:textId="77777777" w:rsidR="007C1CFF" w:rsidRDefault="00000000">
            <w:pPr>
              <w:keepNext/>
              <w:tabs>
                <w:tab w:val="left" w:pos="412"/>
                <w:tab w:val="left" w:pos="1027"/>
              </w:tabs>
              <w:spacing w:before="55" w:after="30"/>
              <w:jc w:val="right"/>
            </w:pPr>
            <w:r>
              <w:rPr>
                <w:color w:val="000000"/>
                <w:sz w:val="20"/>
              </w:rPr>
              <w:tab/>
              <w:t>74,613</w:t>
            </w:r>
            <w:r>
              <w:rPr>
                <w:color w:val="000000"/>
                <w:sz w:val="20"/>
              </w:rPr>
              <w:tab/>
            </w:r>
          </w:p>
        </w:tc>
      </w:tr>
      <w:tr w:rsidR="007C1CFF" w14:paraId="4A4585EC"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7F0FAE77" w14:textId="77777777" w:rsidR="007C1CFF" w:rsidRDefault="00000000">
            <w:pPr>
              <w:keepNext/>
              <w:spacing w:before="75" w:after="30"/>
              <w:ind w:left="225"/>
            </w:pPr>
            <w:r>
              <w:rPr>
                <w:color w:val="000000"/>
                <w:sz w:val="20"/>
              </w:rPr>
              <w:t>Less: net loss (income) attributable to noncontrolling interests</w:t>
            </w:r>
          </w:p>
        </w:tc>
        <w:tc>
          <w:tcPr>
            <w:tcW w:w="1305" w:type="dxa"/>
            <w:tcBorders>
              <w:top w:val="nil"/>
              <w:left w:val="nil"/>
              <w:bottom w:val="single" w:sz="8" w:space="0" w:color="000000"/>
              <w:right w:val="nil"/>
            </w:tcBorders>
            <w:tcMar>
              <w:top w:w="0" w:type="dxa"/>
              <w:left w:w="0" w:type="dxa"/>
              <w:bottom w:w="0" w:type="dxa"/>
              <w:right w:w="15" w:type="dxa"/>
            </w:tcMar>
            <w:vAlign w:val="bottom"/>
          </w:tcPr>
          <w:p w14:paraId="17A50FEE" w14:textId="77777777" w:rsidR="007C1CFF" w:rsidRDefault="00000000">
            <w:pPr>
              <w:keepNext/>
              <w:tabs>
                <w:tab w:val="left" w:pos="872"/>
                <w:tab w:val="left" w:pos="1237"/>
              </w:tabs>
              <w:spacing w:before="75" w:after="30"/>
              <w:jc w:val="right"/>
            </w:pPr>
            <w:r>
              <w:rPr>
                <w:color w:val="000000"/>
                <w:sz w:val="20"/>
              </w:rPr>
              <w:tab/>
              <w:t>207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260EB50" w14:textId="77777777" w:rsidR="007C1CFF" w:rsidRDefault="007C1CFF">
            <w:pPr>
              <w:keepNext/>
            </w:pPr>
          </w:p>
        </w:tc>
        <w:tc>
          <w:tcPr>
            <w:tcW w:w="1305" w:type="dxa"/>
            <w:tcBorders>
              <w:top w:val="nil"/>
              <w:left w:val="nil"/>
              <w:bottom w:val="single" w:sz="8" w:space="0" w:color="000000"/>
              <w:right w:val="nil"/>
            </w:tcBorders>
            <w:tcMar>
              <w:top w:w="0" w:type="dxa"/>
              <w:left w:w="0" w:type="dxa"/>
              <w:bottom w:w="0" w:type="dxa"/>
              <w:right w:w="15" w:type="dxa"/>
            </w:tcMar>
            <w:vAlign w:val="bottom"/>
          </w:tcPr>
          <w:p w14:paraId="4B302B56" w14:textId="77777777" w:rsidR="007C1CFF" w:rsidRDefault="00000000">
            <w:pPr>
              <w:keepNext/>
              <w:tabs>
                <w:tab w:val="left" w:pos="906"/>
              </w:tabs>
              <w:spacing w:before="75" w:after="30"/>
              <w:jc w:val="right"/>
            </w:pPr>
            <w:r>
              <w:rPr>
                <w:color w:val="000000"/>
                <w:sz w:val="20"/>
              </w:rPr>
              <w:tab/>
              <w:t>(48)</w:t>
            </w:r>
          </w:p>
        </w:tc>
        <w:tc>
          <w:tcPr>
            <w:tcW w:w="75" w:type="dxa"/>
            <w:tcBorders>
              <w:top w:val="nil"/>
              <w:left w:val="nil"/>
              <w:bottom w:val="nil"/>
              <w:right w:val="nil"/>
            </w:tcBorders>
            <w:tcMar>
              <w:top w:w="0" w:type="dxa"/>
              <w:left w:w="0" w:type="dxa"/>
              <w:bottom w:w="0" w:type="dxa"/>
              <w:right w:w="0" w:type="dxa"/>
            </w:tcMar>
            <w:vAlign w:val="bottom"/>
          </w:tcPr>
          <w:p w14:paraId="11FB62D4" w14:textId="77777777" w:rsidR="007C1CFF" w:rsidRDefault="007C1CFF">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740B17A9" w14:textId="77777777" w:rsidR="007C1CFF" w:rsidRDefault="00000000">
            <w:pPr>
              <w:keepNext/>
              <w:tabs>
                <w:tab w:val="left" w:pos="662"/>
                <w:tab w:val="left" w:pos="1027"/>
              </w:tabs>
              <w:spacing w:before="75" w:after="30"/>
              <w:jc w:val="right"/>
            </w:pPr>
            <w:r>
              <w:rPr>
                <w:color w:val="000000"/>
                <w:sz w:val="20"/>
              </w:rPr>
              <w:tab/>
              <w:t>361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8979485" w14:textId="77777777" w:rsidR="007C1CFF" w:rsidRDefault="007C1CFF">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14:paraId="1A29A256" w14:textId="77777777" w:rsidR="007C1CFF" w:rsidRDefault="00000000">
            <w:pPr>
              <w:keepNext/>
              <w:tabs>
                <w:tab w:val="left" w:pos="596"/>
              </w:tabs>
              <w:spacing w:before="75" w:after="30"/>
              <w:jc w:val="right"/>
            </w:pPr>
            <w:r>
              <w:rPr>
                <w:color w:val="000000"/>
                <w:sz w:val="20"/>
              </w:rPr>
              <w:tab/>
              <w:t>(100)</w:t>
            </w:r>
          </w:p>
        </w:tc>
      </w:tr>
      <w:tr w:rsidR="007C1CFF" w14:paraId="2AD6A910"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682F8FEA" w14:textId="77777777" w:rsidR="007C1CFF" w:rsidRDefault="00000000">
            <w:pPr>
              <w:keepNext/>
              <w:spacing w:before="55" w:after="30"/>
            </w:pPr>
            <w:r>
              <w:rPr>
                <w:color w:val="000000"/>
                <w:sz w:val="20"/>
              </w:rPr>
              <w:t>Net income attributable to common stockholders</w:t>
            </w:r>
          </w:p>
        </w:tc>
        <w:tc>
          <w:tcPr>
            <w:tcW w:w="1305" w:type="dxa"/>
            <w:tcBorders>
              <w:top w:val="single" w:sz="8" w:space="0" w:color="000000"/>
              <w:left w:val="nil"/>
              <w:bottom w:val="double" w:sz="8" w:space="0" w:color="000000"/>
              <w:right w:val="nil"/>
            </w:tcBorders>
            <w:tcMar>
              <w:top w:w="0" w:type="dxa"/>
              <w:left w:w="0" w:type="dxa"/>
              <w:bottom w:w="0" w:type="dxa"/>
              <w:right w:w="15" w:type="dxa"/>
            </w:tcMar>
            <w:vAlign w:val="bottom"/>
          </w:tcPr>
          <w:p w14:paraId="03B0F467" w14:textId="77777777" w:rsidR="007C1CFF" w:rsidRDefault="00000000">
            <w:pPr>
              <w:keepNext/>
              <w:tabs>
                <w:tab w:val="left" w:pos="622"/>
                <w:tab w:val="left" w:pos="1237"/>
              </w:tabs>
              <w:spacing w:before="55" w:after="30"/>
              <w:jc w:val="right"/>
            </w:pPr>
            <w:r>
              <w:rPr>
                <w:color w:val="000000"/>
                <w:sz w:val="20"/>
              </w:rPr>
              <w:t>$</w:t>
            </w:r>
            <w:r>
              <w:rPr>
                <w:color w:val="000000"/>
                <w:sz w:val="20"/>
              </w:rPr>
              <w:tab/>
              <w:t>21,673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69CD894" w14:textId="77777777" w:rsidR="007C1CFF" w:rsidRDefault="007C1CFF">
            <w:pPr>
              <w:keepNext/>
            </w:pPr>
          </w:p>
        </w:tc>
        <w:tc>
          <w:tcPr>
            <w:tcW w:w="1305" w:type="dxa"/>
            <w:tcBorders>
              <w:top w:val="single" w:sz="8" w:space="0" w:color="000000"/>
              <w:left w:val="nil"/>
              <w:bottom w:val="double" w:sz="8" w:space="0" w:color="000000"/>
              <w:right w:val="nil"/>
            </w:tcBorders>
            <w:tcMar>
              <w:top w:w="0" w:type="dxa"/>
              <w:left w:w="0" w:type="dxa"/>
              <w:bottom w:w="0" w:type="dxa"/>
              <w:right w:w="15" w:type="dxa"/>
            </w:tcMar>
            <w:vAlign w:val="bottom"/>
          </w:tcPr>
          <w:p w14:paraId="3A2D7258" w14:textId="77777777" w:rsidR="007C1CFF" w:rsidRDefault="00000000">
            <w:pPr>
              <w:keepNext/>
              <w:tabs>
                <w:tab w:val="left" w:pos="622"/>
                <w:tab w:val="left" w:pos="1237"/>
              </w:tabs>
              <w:spacing w:before="55" w:after="30"/>
              <w:jc w:val="right"/>
            </w:pPr>
            <w:r>
              <w:rPr>
                <w:color w:val="000000"/>
                <w:sz w:val="20"/>
              </w:rPr>
              <w:t>$</w:t>
            </w:r>
            <w:r>
              <w:rPr>
                <w:color w:val="000000"/>
                <w:sz w:val="20"/>
              </w:rPr>
              <w:tab/>
              <w:t>39,183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C8865DE" w14:textId="77777777" w:rsidR="007C1CFF" w:rsidRDefault="007C1CFF">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7B8F5EE" w14:textId="77777777" w:rsidR="007C1CFF" w:rsidRDefault="00000000">
            <w:pPr>
              <w:keepNext/>
              <w:tabs>
                <w:tab w:val="left" w:pos="412"/>
                <w:tab w:val="left" w:pos="1027"/>
              </w:tabs>
              <w:spacing w:before="55" w:after="30"/>
              <w:jc w:val="right"/>
            </w:pPr>
            <w:r>
              <w:rPr>
                <w:color w:val="000000"/>
                <w:sz w:val="20"/>
              </w:rPr>
              <w:t>$</w:t>
            </w:r>
            <w:r>
              <w:rPr>
                <w:color w:val="000000"/>
                <w:sz w:val="20"/>
              </w:rPr>
              <w:tab/>
              <w:t>30,073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DBF5DBD" w14:textId="77777777" w:rsidR="007C1CFF" w:rsidRDefault="007C1CFF">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14:paraId="217BF0EE" w14:textId="77777777" w:rsidR="007C1CFF" w:rsidRDefault="00000000">
            <w:pPr>
              <w:keepNext/>
              <w:tabs>
                <w:tab w:val="left" w:pos="412"/>
                <w:tab w:val="left" w:pos="1027"/>
              </w:tabs>
              <w:spacing w:before="55" w:after="30"/>
              <w:jc w:val="right"/>
            </w:pPr>
            <w:r>
              <w:rPr>
                <w:color w:val="000000"/>
                <w:sz w:val="20"/>
              </w:rPr>
              <w:t>$</w:t>
            </w:r>
            <w:r>
              <w:rPr>
                <w:color w:val="000000"/>
                <w:sz w:val="20"/>
              </w:rPr>
              <w:tab/>
              <w:t>74,513</w:t>
            </w:r>
            <w:r>
              <w:rPr>
                <w:color w:val="000000"/>
                <w:sz w:val="20"/>
              </w:rPr>
              <w:tab/>
            </w:r>
          </w:p>
        </w:tc>
      </w:tr>
      <w:tr w:rsidR="007C1CFF" w14:paraId="6DB84365" w14:textId="77777777">
        <w:trPr>
          <w:cantSplit/>
          <w:trHeight w:hRule="exact" w:val="285"/>
        </w:trPr>
        <w:tc>
          <w:tcPr>
            <w:tcW w:w="5415" w:type="dxa"/>
            <w:tcBorders>
              <w:top w:val="nil"/>
              <w:left w:val="nil"/>
              <w:bottom w:val="nil"/>
              <w:right w:val="nil"/>
            </w:tcBorders>
            <w:tcMar>
              <w:top w:w="0" w:type="dxa"/>
              <w:left w:w="0" w:type="dxa"/>
              <w:bottom w:w="0" w:type="dxa"/>
              <w:right w:w="0" w:type="dxa"/>
            </w:tcMar>
            <w:vAlign w:val="bottom"/>
          </w:tcPr>
          <w:p w14:paraId="0820930C" w14:textId="77777777" w:rsidR="007C1CFF" w:rsidRDefault="007C1CFF">
            <w:pPr>
              <w:keepNext/>
            </w:pPr>
          </w:p>
        </w:tc>
        <w:tc>
          <w:tcPr>
            <w:tcW w:w="1305" w:type="dxa"/>
            <w:tcBorders>
              <w:top w:val="double" w:sz="8" w:space="0" w:color="000000"/>
              <w:left w:val="nil"/>
              <w:bottom w:val="nil"/>
              <w:right w:val="nil"/>
            </w:tcBorders>
            <w:tcMar>
              <w:top w:w="0" w:type="dxa"/>
              <w:left w:w="0" w:type="dxa"/>
              <w:bottom w:w="0" w:type="dxa"/>
              <w:right w:w="0" w:type="dxa"/>
            </w:tcMar>
            <w:vAlign w:val="bottom"/>
          </w:tcPr>
          <w:p w14:paraId="64B5EABB"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31FAEAB1" w14:textId="77777777" w:rsidR="007C1CFF" w:rsidRDefault="007C1CFF">
            <w:pPr>
              <w:keepNext/>
            </w:pPr>
          </w:p>
        </w:tc>
        <w:tc>
          <w:tcPr>
            <w:tcW w:w="1305" w:type="dxa"/>
            <w:tcBorders>
              <w:top w:val="double" w:sz="8" w:space="0" w:color="000000"/>
              <w:left w:val="nil"/>
              <w:bottom w:val="nil"/>
              <w:right w:val="nil"/>
            </w:tcBorders>
            <w:tcMar>
              <w:top w:w="0" w:type="dxa"/>
              <w:left w:w="0" w:type="dxa"/>
              <w:bottom w:w="0" w:type="dxa"/>
              <w:right w:w="0" w:type="dxa"/>
            </w:tcMar>
            <w:vAlign w:val="bottom"/>
          </w:tcPr>
          <w:p w14:paraId="020A4B37"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5FF43852" w14:textId="77777777" w:rsidR="007C1CFF" w:rsidRDefault="007C1CFF">
            <w:pPr>
              <w:keepNext/>
            </w:pPr>
          </w:p>
        </w:tc>
        <w:tc>
          <w:tcPr>
            <w:tcW w:w="1095" w:type="dxa"/>
            <w:tcBorders>
              <w:top w:val="double" w:sz="8" w:space="0" w:color="000000"/>
              <w:left w:val="nil"/>
              <w:bottom w:val="nil"/>
              <w:right w:val="nil"/>
            </w:tcBorders>
            <w:tcMar>
              <w:top w:w="0" w:type="dxa"/>
              <w:left w:w="0" w:type="dxa"/>
              <w:bottom w:w="0" w:type="dxa"/>
              <w:right w:w="0" w:type="dxa"/>
            </w:tcMar>
            <w:vAlign w:val="bottom"/>
          </w:tcPr>
          <w:p w14:paraId="37219C9A"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1F817F43" w14:textId="77777777" w:rsidR="007C1CFF" w:rsidRDefault="007C1CFF">
            <w:pPr>
              <w:keepNext/>
            </w:pPr>
          </w:p>
        </w:tc>
        <w:tc>
          <w:tcPr>
            <w:tcW w:w="1095" w:type="dxa"/>
            <w:tcBorders>
              <w:top w:val="double" w:sz="8" w:space="0" w:color="000000"/>
              <w:left w:val="nil"/>
              <w:bottom w:val="nil"/>
              <w:right w:val="nil"/>
            </w:tcBorders>
            <w:tcMar>
              <w:top w:w="0" w:type="dxa"/>
              <w:left w:w="0" w:type="dxa"/>
              <w:bottom w:w="0" w:type="dxa"/>
              <w:right w:w="0" w:type="dxa"/>
            </w:tcMar>
            <w:vAlign w:val="bottom"/>
          </w:tcPr>
          <w:p w14:paraId="45FBF379" w14:textId="77777777" w:rsidR="007C1CFF" w:rsidRDefault="007C1CFF">
            <w:pPr>
              <w:keepNext/>
            </w:pPr>
          </w:p>
        </w:tc>
      </w:tr>
      <w:tr w:rsidR="007C1CFF" w14:paraId="4181CFEF"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50FE5CBF" w14:textId="77777777" w:rsidR="007C1CFF" w:rsidRDefault="00000000">
            <w:pPr>
              <w:keepNext/>
              <w:spacing w:before="75" w:after="30"/>
            </w:pPr>
            <w:r>
              <w:rPr>
                <w:color w:val="000000"/>
                <w:sz w:val="20"/>
              </w:rPr>
              <w:t>Weighted average common shares outstanding:</w:t>
            </w:r>
          </w:p>
        </w:tc>
        <w:tc>
          <w:tcPr>
            <w:tcW w:w="1305" w:type="dxa"/>
            <w:tcBorders>
              <w:top w:val="nil"/>
              <w:left w:val="nil"/>
              <w:bottom w:val="nil"/>
              <w:right w:val="nil"/>
            </w:tcBorders>
            <w:tcMar>
              <w:top w:w="0" w:type="dxa"/>
              <w:left w:w="0" w:type="dxa"/>
              <w:bottom w:w="0" w:type="dxa"/>
              <w:right w:w="0" w:type="dxa"/>
            </w:tcMar>
            <w:vAlign w:val="bottom"/>
          </w:tcPr>
          <w:p w14:paraId="4938EA52"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27822AF3" w14:textId="77777777" w:rsidR="007C1CFF" w:rsidRDefault="007C1CFF">
            <w:pPr>
              <w:keepNext/>
            </w:pPr>
          </w:p>
        </w:tc>
        <w:tc>
          <w:tcPr>
            <w:tcW w:w="1305" w:type="dxa"/>
            <w:tcBorders>
              <w:top w:val="nil"/>
              <w:left w:val="nil"/>
              <w:bottom w:val="nil"/>
              <w:right w:val="nil"/>
            </w:tcBorders>
            <w:tcMar>
              <w:top w:w="0" w:type="dxa"/>
              <w:left w:w="0" w:type="dxa"/>
              <w:bottom w:w="0" w:type="dxa"/>
              <w:right w:w="0" w:type="dxa"/>
            </w:tcMar>
            <w:vAlign w:val="bottom"/>
          </w:tcPr>
          <w:p w14:paraId="47B679FA"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3E725386"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42FAFE24"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31F48957"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0D45956B" w14:textId="77777777" w:rsidR="007C1CFF" w:rsidRDefault="007C1CFF">
            <w:pPr>
              <w:keepNext/>
            </w:pPr>
          </w:p>
        </w:tc>
      </w:tr>
      <w:tr w:rsidR="007C1CFF" w14:paraId="523D8AF1"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2C12E828" w14:textId="77777777" w:rsidR="007C1CFF" w:rsidRDefault="00000000">
            <w:pPr>
              <w:keepNext/>
              <w:spacing w:before="75" w:after="30"/>
              <w:ind w:left="135"/>
            </w:pPr>
            <w:r>
              <w:rPr>
                <w:color w:val="000000"/>
                <w:sz w:val="20"/>
              </w:rPr>
              <w:t>Basic</w:t>
            </w:r>
          </w:p>
        </w:tc>
        <w:tc>
          <w:tcPr>
            <w:tcW w:w="1305" w:type="dxa"/>
            <w:tcBorders>
              <w:top w:val="nil"/>
              <w:left w:val="nil"/>
              <w:bottom w:val="nil"/>
              <w:right w:val="nil"/>
            </w:tcBorders>
            <w:tcMar>
              <w:top w:w="0" w:type="dxa"/>
              <w:left w:w="0" w:type="dxa"/>
              <w:bottom w:w="0" w:type="dxa"/>
              <w:right w:w="15" w:type="dxa"/>
            </w:tcMar>
            <w:vAlign w:val="bottom"/>
          </w:tcPr>
          <w:p w14:paraId="6C610252" w14:textId="77777777" w:rsidR="007C1CFF" w:rsidRDefault="00000000">
            <w:pPr>
              <w:keepNext/>
              <w:tabs>
                <w:tab w:val="left" w:pos="272"/>
                <w:tab w:val="left" w:pos="1237"/>
              </w:tabs>
              <w:spacing w:before="75" w:after="30"/>
              <w:jc w:val="right"/>
            </w:pPr>
            <w:r>
              <w:rPr>
                <w:color w:val="000000"/>
                <w:sz w:val="20"/>
              </w:rPr>
              <w:tab/>
              <w:t>45,708,238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0A3020B"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68923C61" w14:textId="77777777" w:rsidR="007C1CFF" w:rsidRDefault="00000000">
            <w:pPr>
              <w:keepNext/>
              <w:tabs>
                <w:tab w:val="left" w:pos="272"/>
                <w:tab w:val="left" w:pos="1237"/>
              </w:tabs>
              <w:spacing w:before="75" w:after="30"/>
              <w:jc w:val="right"/>
            </w:pPr>
            <w:r>
              <w:rPr>
                <w:color w:val="000000"/>
                <w:sz w:val="20"/>
              </w:rPr>
              <w:tab/>
              <w:t>45,850,599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D235404"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5F5B042E" w14:textId="77777777" w:rsidR="007C1CFF" w:rsidRDefault="00000000">
            <w:pPr>
              <w:keepNext/>
              <w:tabs>
                <w:tab w:val="left" w:pos="62"/>
                <w:tab w:val="left" w:pos="1027"/>
              </w:tabs>
              <w:spacing w:before="75" w:after="30"/>
              <w:jc w:val="right"/>
            </w:pPr>
            <w:r>
              <w:rPr>
                <w:color w:val="000000"/>
                <w:sz w:val="20"/>
              </w:rPr>
              <w:tab/>
              <w:t>45,779,433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1BC33AD"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6C173AF4" w14:textId="77777777" w:rsidR="007C1CFF" w:rsidRDefault="00000000">
            <w:pPr>
              <w:keepNext/>
              <w:tabs>
                <w:tab w:val="left" w:pos="62"/>
                <w:tab w:val="left" w:pos="1027"/>
              </w:tabs>
              <w:spacing w:before="75" w:after="30"/>
              <w:jc w:val="right"/>
            </w:pPr>
            <w:r>
              <w:rPr>
                <w:color w:val="000000"/>
                <w:sz w:val="20"/>
              </w:rPr>
              <w:tab/>
              <w:t>45,577,843</w:t>
            </w:r>
            <w:r>
              <w:rPr>
                <w:color w:val="000000"/>
                <w:sz w:val="20"/>
              </w:rPr>
              <w:tab/>
            </w:r>
          </w:p>
        </w:tc>
      </w:tr>
      <w:tr w:rsidR="007C1CFF" w14:paraId="794B4C7C"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1E081366" w14:textId="77777777" w:rsidR="007C1CFF" w:rsidRDefault="00000000">
            <w:pPr>
              <w:keepNext/>
              <w:spacing w:before="75" w:after="30"/>
              <w:ind w:left="135"/>
            </w:pPr>
            <w:r>
              <w:rPr>
                <w:color w:val="000000"/>
                <w:sz w:val="20"/>
              </w:rPr>
              <w:t>Diluted</w:t>
            </w:r>
          </w:p>
        </w:tc>
        <w:tc>
          <w:tcPr>
            <w:tcW w:w="1305" w:type="dxa"/>
            <w:tcBorders>
              <w:top w:val="nil"/>
              <w:left w:val="nil"/>
              <w:bottom w:val="nil"/>
              <w:right w:val="nil"/>
            </w:tcBorders>
            <w:tcMar>
              <w:top w:w="0" w:type="dxa"/>
              <w:left w:w="0" w:type="dxa"/>
              <w:bottom w:w="0" w:type="dxa"/>
              <w:right w:w="15" w:type="dxa"/>
            </w:tcMar>
            <w:vAlign w:val="bottom"/>
          </w:tcPr>
          <w:p w14:paraId="36DCED59" w14:textId="77777777" w:rsidR="007C1CFF" w:rsidRDefault="00000000">
            <w:pPr>
              <w:keepNext/>
              <w:tabs>
                <w:tab w:val="left" w:pos="272"/>
                <w:tab w:val="left" w:pos="1237"/>
              </w:tabs>
              <w:spacing w:before="75" w:after="30"/>
              <w:jc w:val="right"/>
            </w:pPr>
            <w:r>
              <w:rPr>
                <w:color w:val="000000"/>
                <w:sz w:val="20"/>
              </w:rPr>
              <w:tab/>
              <w:t>45,718,538</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48A3923"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vAlign w:val="bottom"/>
          </w:tcPr>
          <w:p w14:paraId="55BECA55" w14:textId="77777777" w:rsidR="007C1CFF" w:rsidRDefault="00000000">
            <w:pPr>
              <w:keepNext/>
              <w:tabs>
                <w:tab w:val="left" w:pos="272"/>
                <w:tab w:val="left" w:pos="1237"/>
              </w:tabs>
              <w:spacing w:before="75" w:after="30"/>
              <w:jc w:val="right"/>
            </w:pPr>
            <w:r>
              <w:rPr>
                <w:color w:val="000000"/>
                <w:sz w:val="20"/>
              </w:rPr>
              <w:tab/>
              <w:t>45,858,074</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364F7D2"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2383FE12" w14:textId="77777777" w:rsidR="007C1CFF" w:rsidRDefault="00000000">
            <w:pPr>
              <w:keepNext/>
              <w:tabs>
                <w:tab w:val="left" w:pos="62"/>
                <w:tab w:val="left" w:pos="1027"/>
              </w:tabs>
              <w:spacing w:before="75" w:after="30"/>
              <w:jc w:val="right"/>
            </w:pPr>
            <w:r>
              <w:rPr>
                <w:color w:val="000000"/>
                <w:sz w:val="20"/>
              </w:rPr>
              <w:tab/>
              <w:t>45,784,771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9B6B6A8"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118A14C4" w14:textId="77777777" w:rsidR="007C1CFF" w:rsidRDefault="00000000">
            <w:pPr>
              <w:keepNext/>
              <w:tabs>
                <w:tab w:val="left" w:pos="62"/>
                <w:tab w:val="left" w:pos="1027"/>
              </w:tabs>
              <w:spacing w:before="75" w:after="30"/>
              <w:jc w:val="right"/>
            </w:pPr>
            <w:r>
              <w:rPr>
                <w:color w:val="000000"/>
                <w:sz w:val="20"/>
              </w:rPr>
              <w:tab/>
              <w:t>45,607,924</w:t>
            </w:r>
            <w:r>
              <w:rPr>
                <w:color w:val="000000"/>
                <w:sz w:val="20"/>
              </w:rPr>
              <w:tab/>
            </w:r>
          </w:p>
        </w:tc>
      </w:tr>
      <w:tr w:rsidR="007C1CFF" w14:paraId="26B3B0E7" w14:textId="77777777">
        <w:trPr>
          <w:cantSplit/>
          <w:trHeight w:hRule="exact" w:val="285"/>
        </w:trPr>
        <w:tc>
          <w:tcPr>
            <w:tcW w:w="5415" w:type="dxa"/>
            <w:tcBorders>
              <w:top w:val="nil"/>
              <w:left w:val="nil"/>
              <w:bottom w:val="nil"/>
              <w:right w:val="nil"/>
            </w:tcBorders>
            <w:tcMar>
              <w:top w:w="0" w:type="dxa"/>
              <w:left w:w="0" w:type="dxa"/>
              <w:bottom w:w="0" w:type="dxa"/>
              <w:right w:w="0" w:type="dxa"/>
            </w:tcMar>
            <w:vAlign w:val="bottom"/>
          </w:tcPr>
          <w:p w14:paraId="58C23478" w14:textId="77777777" w:rsidR="007C1CFF" w:rsidRDefault="007C1CFF">
            <w:pPr>
              <w:keepNext/>
            </w:pPr>
          </w:p>
        </w:tc>
        <w:tc>
          <w:tcPr>
            <w:tcW w:w="1305" w:type="dxa"/>
            <w:tcBorders>
              <w:top w:val="nil"/>
              <w:left w:val="nil"/>
              <w:bottom w:val="nil"/>
              <w:right w:val="nil"/>
            </w:tcBorders>
            <w:tcMar>
              <w:top w:w="0" w:type="dxa"/>
              <w:left w:w="0" w:type="dxa"/>
              <w:bottom w:w="0" w:type="dxa"/>
              <w:right w:w="0" w:type="dxa"/>
            </w:tcMar>
            <w:vAlign w:val="bottom"/>
          </w:tcPr>
          <w:p w14:paraId="2D63D083"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69430129" w14:textId="77777777" w:rsidR="007C1CFF" w:rsidRDefault="007C1CFF">
            <w:pPr>
              <w:keepNext/>
            </w:pPr>
          </w:p>
        </w:tc>
        <w:tc>
          <w:tcPr>
            <w:tcW w:w="1305" w:type="dxa"/>
            <w:tcBorders>
              <w:top w:val="nil"/>
              <w:left w:val="nil"/>
              <w:bottom w:val="nil"/>
              <w:right w:val="nil"/>
            </w:tcBorders>
            <w:tcMar>
              <w:top w:w="0" w:type="dxa"/>
              <w:left w:w="0" w:type="dxa"/>
              <w:bottom w:w="0" w:type="dxa"/>
              <w:right w:w="0" w:type="dxa"/>
            </w:tcMar>
            <w:vAlign w:val="bottom"/>
          </w:tcPr>
          <w:p w14:paraId="4A907E5A"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244C1139"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153D78F9"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7256A3F3"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00DC83AA" w14:textId="77777777" w:rsidR="007C1CFF" w:rsidRDefault="007C1CFF">
            <w:pPr>
              <w:keepNext/>
            </w:pPr>
          </w:p>
        </w:tc>
      </w:tr>
      <w:tr w:rsidR="007C1CFF" w14:paraId="23EF02D6"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569664D6" w14:textId="77777777" w:rsidR="007C1CFF" w:rsidRDefault="00000000">
            <w:pPr>
              <w:keepNext/>
              <w:spacing w:before="75" w:after="30"/>
            </w:pPr>
            <w:r>
              <w:rPr>
                <w:color w:val="000000"/>
                <w:sz w:val="20"/>
              </w:rPr>
              <w:t>Earnings per common share:</w:t>
            </w:r>
          </w:p>
        </w:tc>
        <w:tc>
          <w:tcPr>
            <w:tcW w:w="1305" w:type="dxa"/>
            <w:tcBorders>
              <w:top w:val="nil"/>
              <w:left w:val="nil"/>
              <w:bottom w:val="nil"/>
              <w:right w:val="nil"/>
            </w:tcBorders>
            <w:tcMar>
              <w:top w:w="0" w:type="dxa"/>
              <w:left w:w="0" w:type="dxa"/>
              <w:bottom w:w="0" w:type="dxa"/>
              <w:right w:w="0" w:type="dxa"/>
            </w:tcMar>
            <w:vAlign w:val="bottom"/>
          </w:tcPr>
          <w:p w14:paraId="62A73FB1"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454358A5" w14:textId="77777777" w:rsidR="007C1CFF" w:rsidRDefault="007C1CFF">
            <w:pPr>
              <w:keepNext/>
            </w:pPr>
          </w:p>
        </w:tc>
        <w:tc>
          <w:tcPr>
            <w:tcW w:w="1305" w:type="dxa"/>
            <w:tcBorders>
              <w:top w:val="nil"/>
              <w:left w:val="nil"/>
              <w:bottom w:val="nil"/>
              <w:right w:val="nil"/>
            </w:tcBorders>
            <w:tcMar>
              <w:top w:w="0" w:type="dxa"/>
              <w:left w:w="0" w:type="dxa"/>
              <w:bottom w:w="0" w:type="dxa"/>
              <w:right w:w="0" w:type="dxa"/>
            </w:tcMar>
            <w:vAlign w:val="bottom"/>
          </w:tcPr>
          <w:p w14:paraId="43AC88A2"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4D028EC2"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762B957F" w14:textId="77777777" w:rsidR="007C1CFF" w:rsidRDefault="007C1CFF">
            <w:pPr>
              <w:keepNext/>
            </w:pPr>
          </w:p>
        </w:tc>
        <w:tc>
          <w:tcPr>
            <w:tcW w:w="75" w:type="dxa"/>
            <w:tcBorders>
              <w:top w:val="nil"/>
              <w:left w:val="nil"/>
              <w:bottom w:val="nil"/>
              <w:right w:val="nil"/>
            </w:tcBorders>
            <w:tcMar>
              <w:top w:w="0" w:type="dxa"/>
              <w:left w:w="0" w:type="dxa"/>
              <w:bottom w:w="0" w:type="dxa"/>
              <w:right w:w="0" w:type="dxa"/>
            </w:tcMar>
            <w:vAlign w:val="bottom"/>
          </w:tcPr>
          <w:p w14:paraId="01130DFF" w14:textId="77777777" w:rsidR="007C1CFF" w:rsidRDefault="007C1CFF">
            <w:pPr>
              <w:keepNext/>
            </w:pPr>
          </w:p>
        </w:tc>
        <w:tc>
          <w:tcPr>
            <w:tcW w:w="1095" w:type="dxa"/>
            <w:tcBorders>
              <w:top w:val="nil"/>
              <w:left w:val="nil"/>
              <w:bottom w:val="nil"/>
              <w:right w:val="nil"/>
            </w:tcBorders>
            <w:tcMar>
              <w:top w:w="0" w:type="dxa"/>
              <w:left w:w="0" w:type="dxa"/>
              <w:bottom w:w="0" w:type="dxa"/>
              <w:right w:w="0" w:type="dxa"/>
            </w:tcMar>
            <w:vAlign w:val="bottom"/>
          </w:tcPr>
          <w:p w14:paraId="530C8FA1" w14:textId="77777777" w:rsidR="007C1CFF" w:rsidRDefault="007C1CFF">
            <w:pPr>
              <w:keepNext/>
            </w:pPr>
          </w:p>
        </w:tc>
      </w:tr>
      <w:tr w:rsidR="007C1CFF" w14:paraId="3F3DAA34"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234C8789" w14:textId="77777777" w:rsidR="007C1CFF" w:rsidRDefault="00000000">
            <w:pPr>
              <w:keepNext/>
              <w:spacing w:before="75" w:after="30"/>
              <w:ind w:left="135"/>
            </w:pPr>
            <w:r>
              <w:rPr>
                <w:color w:val="000000"/>
                <w:sz w:val="20"/>
              </w:rPr>
              <w:t>Net income attributable to common stockholders - basic</w:t>
            </w:r>
          </w:p>
        </w:tc>
        <w:tc>
          <w:tcPr>
            <w:tcW w:w="1305" w:type="dxa"/>
            <w:tcBorders>
              <w:top w:val="nil"/>
              <w:left w:val="nil"/>
              <w:bottom w:val="nil"/>
              <w:right w:val="nil"/>
            </w:tcBorders>
            <w:tcMar>
              <w:top w:w="0" w:type="dxa"/>
              <w:left w:w="0" w:type="dxa"/>
              <w:bottom w:w="0" w:type="dxa"/>
              <w:right w:w="15" w:type="dxa"/>
            </w:tcMar>
          </w:tcPr>
          <w:p w14:paraId="49F86AA9" w14:textId="77777777" w:rsidR="007C1CFF" w:rsidRDefault="00000000">
            <w:pPr>
              <w:keepNext/>
              <w:tabs>
                <w:tab w:val="left" w:pos="822"/>
                <w:tab w:val="left" w:pos="1237"/>
              </w:tabs>
              <w:spacing w:before="75" w:after="30"/>
              <w:jc w:val="right"/>
            </w:pPr>
            <w:r>
              <w:rPr>
                <w:color w:val="000000"/>
                <w:sz w:val="20"/>
              </w:rPr>
              <w:t>$</w:t>
            </w:r>
            <w:r>
              <w:rPr>
                <w:color w:val="000000"/>
                <w:sz w:val="20"/>
              </w:rPr>
              <w:tab/>
              <w:t>0.47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A20B1B4" w14:textId="77777777" w:rsidR="007C1CFF" w:rsidRDefault="007C1CFF">
            <w:pPr>
              <w:keepNext/>
            </w:pPr>
          </w:p>
        </w:tc>
        <w:tc>
          <w:tcPr>
            <w:tcW w:w="1305" w:type="dxa"/>
            <w:tcBorders>
              <w:top w:val="nil"/>
              <w:left w:val="nil"/>
              <w:bottom w:val="nil"/>
              <w:right w:val="nil"/>
            </w:tcBorders>
            <w:tcMar>
              <w:top w:w="0" w:type="dxa"/>
              <w:left w:w="0" w:type="dxa"/>
              <w:bottom w:w="0" w:type="dxa"/>
              <w:right w:w="15" w:type="dxa"/>
            </w:tcMar>
          </w:tcPr>
          <w:p w14:paraId="334E3E34" w14:textId="77777777" w:rsidR="007C1CFF" w:rsidRDefault="00000000">
            <w:pPr>
              <w:keepNext/>
              <w:tabs>
                <w:tab w:val="left" w:pos="822"/>
                <w:tab w:val="left" w:pos="1237"/>
              </w:tabs>
              <w:spacing w:before="75" w:after="30"/>
              <w:jc w:val="right"/>
            </w:pPr>
            <w:r>
              <w:rPr>
                <w:color w:val="000000"/>
                <w:sz w:val="20"/>
              </w:rPr>
              <w:t>$</w:t>
            </w:r>
            <w:r>
              <w:rPr>
                <w:color w:val="000000"/>
                <w:sz w:val="20"/>
              </w:rPr>
              <w:tab/>
              <w:t>0.85</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BB51560"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vAlign w:val="bottom"/>
          </w:tcPr>
          <w:p w14:paraId="4D01DE76" w14:textId="77777777" w:rsidR="007C1CFF" w:rsidRDefault="00000000">
            <w:pPr>
              <w:keepNext/>
              <w:tabs>
                <w:tab w:val="left" w:pos="612"/>
                <w:tab w:val="left" w:pos="1027"/>
              </w:tabs>
              <w:spacing w:before="75" w:after="30"/>
              <w:jc w:val="right"/>
            </w:pPr>
            <w:r>
              <w:rPr>
                <w:color w:val="000000"/>
                <w:sz w:val="20"/>
              </w:rPr>
              <w:t>$</w:t>
            </w:r>
            <w:r>
              <w:rPr>
                <w:color w:val="000000"/>
                <w:sz w:val="20"/>
              </w:rPr>
              <w:tab/>
              <w:t>0.66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BC045DC" w14:textId="77777777" w:rsidR="007C1CFF" w:rsidRDefault="007C1CFF">
            <w:pPr>
              <w:keepNext/>
            </w:pPr>
          </w:p>
        </w:tc>
        <w:tc>
          <w:tcPr>
            <w:tcW w:w="1095" w:type="dxa"/>
            <w:tcBorders>
              <w:top w:val="nil"/>
              <w:left w:val="nil"/>
              <w:bottom w:val="nil"/>
              <w:right w:val="nil"/>
            </w:tcBorders>
            <w:tcMar>
              <w:top w:w="0" w:type="dxa"/>
              <w:left w:w="0" w:type="dxa"/>
              <w:bottom w:w="0" w:type="dxa"/>
              <w:right w:w="15" w:type="dxa"/>
            </w:tcMar>
          </w:tcPr>
          <w:p w14:paraId="7A44DF76" w14:textId="77777777" w:rsidR="007C1CFF" w:rsidRDefault="00000000">
            <w:pPr>
              <w:keepNext/>
              <w:tabs>
                <w:tab w:val="left" w:pos="612"/>
                <w:tab w:val="left" w:pos="1027"/>
              </w:tabs>
              <w:spacing w:before="75" w:after="30"/>
              <w:jc w:val="right"/>
            </w:pPr>
            <w:r>
              <w:rPr>
                <w:color w:val="000000"/>
                <w:sz w:val="20"/>
              </w:rPr>
              <w:t>$</w:t>
            </w:r>
            <w:r>
              <w:rPr>
                <w:color w:val="000000"/>
                <w:sz w:val="20"/>
              </w:rPr>
              <w:tab/>
              <w:t>1.63</w:t>
            </w:r>
            <w:r>
              <w:rPr>
                <w:color w:val="000000"/>
                <w:sz w:val="20"/>
              </w:rPr>
              <w:tab/>
            </w:r>
          </w:p>
        </w:tc>
      </w:tr>
      <w:tr w:rsidR="007C1CFF" w14:paraId="62D1E524" w14:textId="77777777">
        <w:trPr>
          <w:cantSplit/>
          <w:trHeight w:hRule="exact" w:val="285"/>
        </w:trPr>
        <w:tc>
          <w:tcPr>
            <w:tcW w:w="5415" w:type="dxa"/>
            <w:tcBorders>
              <w:top w:val="nil"/>
              <w:left w:val="nil"/>
              <w:bottom w:val="nil"/>
              <w:right w:val="nil"/>
            </w:tcBorders>
            <w:tcMar>
              <w:top w:w="0" w:type="dxa"/>
              <w:left w:w="53" w:type="dxa"/>
              <w:bottom w:w="0" w:type="dxa"/>
              <w:right w:w="53" w:type="dxa"/>
            </w:tcMar>
            <w:vAlign w:val="bottom"/>
          </w:tcPr>
          <w:p w14:paraId="3BB75BF1" w14:textId="77777777" w:rsidR="007C1CFF" w:rsidRDefault="00000000">
            <w:pPr>
              <w:spacing w:before="75" w:after="30"/>
              <w:ind w:left="135"/>
            </w:pPr>
            <w:r>
              <w:rPr>
                <w:color w:val="000000"/>
                <w:sz w:val="20"/>
              </w:rPr>
              <w:t>Net income attributable to common stockholders - diluted</w:t>
            </w:r>
          </w:p>
        </w:tc>
        <w:tc>
          <w:tcPr>
            <w:tcW w:w="1305" w:type="dxa"/>
            <w:tcBorders>
              <w:top w:val="nil"/>
              <w:left w:val="nil"/>
              <w:bottom w:val="nil"/>
              <w:right w:val="nil"/>
            </w:tcBorders>
            <w:tcMar>
              <w:top w:w="0" w:type="dxa"/>
              <w:left w:w="0" w:type="dxa"/>
              <w:bottom w:w="0" w:type="dxa"/>
              <w:right w:w="15" w:type="dxa"/>
            </w:tcMar>
          </w:tcPr>
          <w:p w14:paraId="044EF83B" w14:textId="77777777" w:rsidR="007C1CFF" w:rsidRDefault="00000000">
            <w:pPr>
              <w:tabs>
                <w:tab w:val="left" w:pos="822"/>
                <w:tab w:val="left" w:pos="1237"/>
              </w:tabs>
              <w:spacing w:before="75" w:after="30"/>
              <w:jc w:val="right"/>
            </w:pPr>
            <w:r>
              <w:rPr>
                <w:color w:val="000000"/>
                <w:sz w:val="20"/>
              </w:rPr>
              <w:t>$</w:t>
            </w:r>
            <w:r>
              <w:rPr>
                <w:color w:val="000000"/>
                <w:sz w:val="20"/>
              </w:rPr>
              <w:tab/>
              <w:t>0.47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495B471" w14:textId="77777777" w:rsidR="007C1CFF" w:rsidRDefault="007C1CFF"/>
        </w:tc>
        <w:tc>
          <w:tcPr>
            <w:tcW w:w="1305" w:type="dxa"/>
            <w:tcBorders>
              <w:top w:val="nil"/>
              <w:left w:val="nil"/>
              <w:bottom w:val="nil"/>
              <w:right w:val="nil"/>
            </w:tcBorders>
            <w:tcMar>
              <w:top w:w="0" w:type="dxa"/>
              <w:left w:w="0" w:type="dxa"/>
              <w:bottom w:w="0" w:type="dxa"/>
              <w:right w:w="15" w:type="dxa"/>
            </w:tcMar>
          </w:tcPr>
          <w:p w14:paraId="5E38380D" w14:textId="77777777" w:rsidR="007C1CFF" w:rsidRDefault="00000000">
            <w:pPr>
              <w:tabs>
                <w:tab w:val="left" w:pos="822"/>
                <w:tab w:val="left" w:pos="1237"/>
              </w:tabs>
              <w:spacing w:before="75" w:after="30"/>
              <w:jc w:val="right"/>
            </w:pPr>
            <w:r>
              <w:rPr>
                <w:color w:val="000000"/>
                <w:sz w:val="20"/>
              </w:rPr>
              <w:t>$</w:t>
            </w:r>
            <w:r>
              <w:rPr>
                <w:color w:val="000000"/>
                <w:sz w:val="20"/>
              </w:rPr>
              <w:tab/>
              <w:t>0.85</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DCB453B" w14:textId="77777777" w:rsidR="007C1CFF" w:rsidRDefault="007C1CFF"/>
        </w:tc>
        <w:tc>
          <w:tcPr>
            <w:tcW w:w="1095" w:type="dxa"/>
            <w:tcBorders>
              <w:top w:val="nil"/>
              <w:left w:val="nil"/>
              <w:bottom w:val="nil"/>
              <w:right w:val="nil"/>
            </w:tcBorders>
            <w:tcMar>
              <w:top w:w="0" w:type="dxa"/>
              <w:left w:w="0" w:type="dxa"/>
              <w:bottom w:w="0" w:type="dxa"/>
              <w:right w:w="15" w:type="dxa"/>
            </w:tcMar>
            <w:vAlign w:val="bottom"/>
          </w:tcPr>
          <w:p w14:paraId="6A2BC199" w14:textId="77777777" w:rsidR="007C1CFF" w:rsidRDefault="00000000">
            <w:pPr>
              <w:tabs>
                <w:tab w:val="left" w:pos="612"/>
                <w:tab w:val="left" w:pos="1027"/>
              </w:tabs>
              <w:spacing w:before="75" w:after="30"/>
              <w:jc w:val="right"/>
            </w:pPr>
            <w:r>
              <w:rPr>
                <w:color w:val="000000"/>
                <w:sz w:val="20"/>
              </w:rPr>
              <w:t>$</w:t>
            </w:r>
            <w:r>
              <w:rPr>
                <w:color w:val="000000"/>
                <w:sz w:val="20"/>
              </w:rPr>
              <w:tab/>
              <w:t>0.66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BAEEA44" w14:textId="77777777" w:rsidR="007C1CFF" w:rsidRDefault="007C1CFF"/>
        </w:tc>
        <w:tc>
          <w:tcPr>
            <w:tcW w:w="1095" w:type="dxa"/>
            <w:tcBorders>
              <w:top w:val="nil"/>
              <w:left w:val="nil"/>
              <w:bottom w:val="nil"/>
              <w:right w:val="nil"/>
            </w:tcBorders>
            <w:tcMar>
              <w:top w:w="0" w:type="dxa"/>
              <w:left w:w="0" w:type="dxa"/>
              <w:bottom w:w="0" w:type="dxa"/>
              <w:right w:w="15" w:type="dxa"/>
            </w:tcMar>
          </w:tcPr>
          <w:p w14:paraId="705E0AD1" w14:textId="77777777" w:rsidR="007C1CFF" w:rsidRDefault="00000000">
            <w:pPr>
              <w:tabs>
                <w:tab w:val="left" w:pos="612"/>
                <w:tab w:val="left" w:pos="1027"/>
              </w:tabs>
              <w:spacing w:before="75" w:after="30"/>
              <w:jc w:val="right"/>
            </w:pPr>
            <w:r>
              <w:rPr>
                <w:color w:val="000000"/>
                <w:sz w:val="20"/>
              </w:rPr>
              <w:t>$</w:t>
            </w:r>
            <w:r>
              <w:rPr>
                <w:color w:val="000000"/>
                <w:sz w:val="20"/>
              </w:rPr>
              <w:tab/>
              <w:t>1.63</w:t>
            </w:r>
            <w:r>
              <w:rPr>
                <w:color w:val="000000"/>
                <w:sz w:val="20"/>
              </w:rPr>
              <w:tab/>
            </w:r>
          </w:p>
        </w:tc>
      </w:tr>
    </w:tbl>
    <w:p w14:paraId="2950819A" w14:textId="77777777" w:rsidR="007C1CFF" w:rsidRDefault="00000000">
      <w:pPr>
        <w:spacing w:line="288" w:lineRule="auto"/>
        <w:rPr>
          <w:sz w:val="20"/>
        </w:rPr>
      </w:pPr>
      <w:r>
        <w:rPr>
          <w:sz w:val="20"/>
        </w:rPr>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5"/>
        <w:gridCol w:w="1737"/>
        <w:gridCol w:w="126"/>
        <w:gridCol w:w="1692"/>
      </w:tblGrid>
      <w:tr w:rsidR="007C1CFF" w14:paraId="2A03D37C"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1088BD86" w14:textId="77777777" w:rsidR="007C1CFF" w:rsidRDefault="00000000">
            <w:pPr>
              <w:keepNext/>
              <w:spacing w:before="75" w:after="30"/>
            </w:pPr>
            <w:r>
              <w:rPr>
                <w:b/>
                <w:color w:val="000000"/>
                <w:sz w:val="20"/>
              </w:rPr>
              <w:lastRenderedPageBreak/>
              <w:t>Selected Balance Sheet Data</w:t>
            </w:r>
          </w:p>
        </w:tc>
        <w:tc>
          <w:tcPr>
            <w:tcW w:w="1740" w:type="dxa"/>
            <w:tcBorders>
              <w:top w:val="nil"/>
              <w:left w:val="nil"/>
              <w:bottom w:val="nil"/>
              <w:right w:val="nil"/>
            </w:tcBorders>
            <w:tcMar>
              <w:top w:w="0" w:type="dxa"/>
              <w:left w:w="0" w:type="dxa"/>
              <w:bottom w:w="0" w:type="dxa"/>
              <w:right w:w="0" w:type="dxa"/>
            </w:tcMar>
            <w:vAlign w:val="bottom"/>
          </w:tcPr>
          <w:p w14:paraId="68DB8994" w14:textId="77777777" w:rsidR="007C1CFF" w:rsidRDefault="007C1CFF">
            <w:pPr>
              <w:keepNext/>
            </w:pPr>
          </w:p>
        </w:tc>
        <w:tc>
          <w:tcPr>
            <w:tcW w:w="105" w:type="dxa"/>
            <w:tcBorders>
              <w:top w:val="nil"/>
              <w:left w:val="nil"/>
              <w:bottom w:val="nil"/>
              <w:right w:val="nil"/>
            </w:tcBorders>
            <w:tcMar>
              <w:top w:w="0" w:type="dxa"/>
              <w:left w:w="0" w:type="dxa"/>
              <w:bottom w:w="0" w:type="dxa"/>
              <w:right w:w="0" w:type="dxa"/>
            </w:tcMar>
            <w:vAlign w:val="bottom"/>
          </w:tcPr>
          <w:p w14:paraId="4939F30B" w14:textId="77777777" w:rsidR="007C1CFF" w:rsidRDefault="007C1CFF">
            <w:pPr>
              <w:keepNext/>
            </w:pPr>
          </w:p>
        </w:tc>
        <w:tc>
          <w:tcPr>
            <w:tcW w:w="1695" w:type="dxa"/>
            <w:tcBorders>
              <w:top w:val="nil"/>
              <w:left w:val="nil"/>
              <w:bottom w:val="nil"/>
              <w:right w:val="nil"/>
            </w:tcBorders>
            <w:tcMar>
              <w:top w:w="0" w:type="dxa"/>
              <w:left w:w="0" w:type="dxa"/>
              <w:bottom w:w="0" w:type="dxa"/>
              <w:right w:w="0" w:type="dxa"/>
            </w:tcMar>
            <w:vAlign w:val="bottom"/>
          </w:tcPr>
          <w:p w14:paraId="4F2DC5A3" w14:textId="77777777" w:rsidR="007C1CFF" w:rsidRDefault="007C1CFF">
            <w:pPr>
              <w:keepNext/>
            </w:pPr>
          </w:p>
        </w:tc>
      </w:tr>
      <w:tr w:rsidR="007C1CFF" w14:paraId="3CBB50AC"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6FD50AA5" w14:textId="77777777" w:rsidR="007C1CFF" w:rsidRDefault="00000000">
            <w:pPr>
              <w:keepNext/>
              <w:spacing w:before="75" w:after="30"/>
            </w:pPr>
            <w:r>
              <w:rPr>
                <w:i/>
                <w:color w:val="000000"/>
                <w:sz w:val="20"/>
              </w:rPr>
              <w:t>($ in thousands)</w:t>
            </w:r>
          </w:p>
        </w:tc>
        <w:tc>
          <w:tcPr>
            <w:tcW w:w="1740" w:type="dxa"/>
            <w:tcBorders>
              <w:top w:val="nil"/>
              <w:left w:val="nil"/>
              <w:bottom w:val="nil"/>
              <w:right w:val="nil"/>
            </w:tcBorders>
            <w:tcMar>
              <w:top w:w="0" w:type="dxa"/>
              <w:left w:w="0" w:type="dxa"/>
              <w:bottom w:w="0" w:type="dxa"/>
              <w:right w:w="0" w:type="dxa"/>
            </w:tcMar>
            <w:vAlign w:val="bottom"/>
          </w:tcPr>
          <w:p w14:paraId="5B064A89" w14:textId="77777777" w:rsidR="007C1CFF" w:rsidRDefault="007C1CFF">
            <w:pPr>
              <w:keepNext/>
            </w:pPr>
          </w:p>
        </w:tc>
        <w:tc>
          <w:tcPr>
            <w:tcW w:w="105" w:type="dxa"/>
            <w:tcBorders>
              <w:top w:val="nil"/>
              <w:left w:val="nil"/>
              <w:bottom w:val="nil"/>
              <w:right w:val="nil"/>
            </w:tcBorders>
            <w:tcMar>
              <w:top w:w="0" w:type="dxa"/>
              <w:left w:w="0" w:type="dxa"/>
              <w:bottom w:w="0" w:type="dxa"/>
              <w:right w:w="0" w:type="dxa"/>
            </w:tcMar>
            <w:vAlign w:val="bottom"/>
          </w:tcPr>
          <w:p w14:paraId="1B664782" w14:textId="77777777" w:rsidR="007C1CFF" w:rsidRDefault="007C1CFF">
            <w:pPr>
              <w:keepNext/>
            </w:pPr>
          </w:p>
        </w:tc>
        <w:tc>
          <w:tcPr>
            <w:tcW w:w="1695" w:type="dxa"/>
            <w:tcBorders>
              <w:top w:val="nil"/>
              <w:left w:val="nil"/>
              <w:bottom w:val="nil"/>
              <w:right w:val="nil"/>
            </w:tcBorders>
            <w:tcMar>
              <w:top w:w="0" w:type="dxa"/>
              <w:left w:w="0" w:type="dxa"/>
              <w:bottom w:w="0" w:type="dxa"/>
              <w:right w:w="0" w:type="dxa"/>
            </w:tcMar>
            <w:vAlign w:val="bottom"/>
          </w:tcPr>
          <w:p w14:paraId="3DD2029F" w14:textId="77777777" w:rsidR="007C1CFF" w:rsidRDefault="007C1CFF">
            <w:pPr>
              <w:keepNext/>
            </w:pPr>
          </w:p>
        </w:tc>
      </w:tr>
      <w:tr w:rsidR="007C1CFF" w14:paraId="1FA66719" w14:textId="77777777">
        <w:trPr>
          <w:cantSplit/>
          <w:trHeight w:hRule="exact" w:val="300"/>
        </w:trPr>
        <w:tc>
          <w:tcPr>
            <w:tcW w:w="7260" w:type="dxa"/>
            <w:tcBorders>
              <w:top w:val="nil"/>
              <w:left w:val="nil"/>
              <w:bottom w:val="nil"/>
              <w:right w:val="nil"/>
            </w:tcBorders>
            <w:tcMar>
              <w:top w:w="0" w:type="dxa"/>
              <w:left w:w="0" w:type="dxa"/>
              <w:bottom w:w="0" w:type="dxa"/>
              <w:right w:w="0" w:type="dxa"/>
            </w:tcMar>
            <w:vAlign w:val="bottom"/>
          </w:tcPr>
          <w:p w14:paraId="7912B830" w14:textId="77777777" w:rsidR="007C1CFF" w:rsidRDefault="007C1CFF">
            <w:pPr>
              <w:keepNext/>
            </w:pPr>
          </w:p>
        </w:tc>
        <w:tc>
          <w:tcPr>
            <w:tcW w:w="1740" w:type="dxa"/>
            <w:tcBorders>
              <w:top w:val="nil"/>
              <w:left w:val="nil"/>
              <w:bottom w:val="nil"/>
              <w:right w:val="nil"/>
            </w:tcBorders>
            <w:tcMar>
              <w:top w:w="0" w:type="dxa"/>
              <w:left w:w="53" w:type="dxa"/>
              <w:bottom w:w="0" w:type="dxa"/>
              <w:right w:w="53" w:type="dxa"/>
            </w:tcMar>
            <w:vAlign w:val="bottom"/>
          </w:tcPr>
          <w:p w14:paraId="5E31043E" w14:textId="77777777" w:rsidR="007C1CFF" w:rsidRDefault="00000000">
            <w:pPr>
              <w:keepNext/>
              <w:spacing w:before="75" w:after="30"/>
              <w:jc w:val="center"/>
            </w:pPr>
            <w:r>
              <w:rPr>
                <w:color w:val="000000"/>
                <w:sz w:val="20"/>
              </w:rPr>
              <w:t>June 30, 2022</w:t>
            </w:r>
          </w:p>
        </w:tc>
        <w:tc>
          <w:tcPr>
            <w:tcW w:w="105" w:type="dxa"/>
            <w:tcBorders>
              <w:top w:val="nil"/>
              <w:left w:val="nil"/>
              <w:bottom w:val="nil"/>
              <w:right w:val="nil"/>
            </w:tcBorders>
            <w:tcMar>
              <w:top w:w="0" w:type="dxa"/>
              <w:left w:w="0" w:type="dxa"/>
              <w:bottom w:w="0" w:type="dxa"/>
              <w:right w:w="0" w:type="dxa"/>
            </w:tcMar>
            <w:vAlign w:val="bottom"/>
          </w:tcPr>
          <w:p w14:paraId="197CB3A4" w14:textId="77777777" w:rsidR="007C1CFF" w:rsidRDefault="007C1CFF">
            <w:pPr>
              <w:keepNext/>
            </w:pPr>
          </w:p>
        </w:tc>
        <w:tc>
          <w:tcPr>
            <w:tcW w:w="1695" w:type="dxa"/>
            <w:tcBorders>
              <w:top w:val="nil"/>
              <w:left w:val="nil"/>
              <w:bottom w:val="nil"/>
              <w:right w:val="nil"/>
            </w:tcBorders>
            <w:tcMar>
              <w:top w:w="0" w:type="dxa"/>
              <w:left w:w="53" w:type="dxa"/>
              <w:bottom w:w="0" w:type="dxa"/>
              <w:right w:w="53" w:type="dxa"/>
            </w:tcMar>
            <w:vAlign w:val="bottom"/>
          </w:tcPr>
          <w:p w14:paraId="60044A61" w14:textId="77777777" w:rsidR="007C1CFF" w:rsidRDefault="00000000">
            <w:pPr>
              <w:keepNext/>
              <w:spacing w:before="75" w:after="30"/>
              <w:jc w:val="center"/>
            </w:pPr>
            <w:r>
              <w:rPr>
                <w:color w:val="000000"/>
                <w:sz w:val="20"/>
              </w:rPr>
              <w:t>December 31, 2021</w:t>
            </w:r>
          </w:p>
        </w:tc>
      </w:tr>
      <w:tr w:rsidR="007C1CFF" w14:paraId="31FCFFC9" w14:textId="77777777">
        <w:trPr>
          <w:cantSplit/>
          <w:trHeight w:hRule="exact" w:val="300"/>
        </w:trPr>
        <w:tc>
          <w:tcPr>
            <w:tcW w:w="7260" w:type="dxa"/>
            <w:tcBorders>
              <w:top w:val="nil"/>
              <w:left w:val="nil"/>
              <w:bottom w:val="nil"/>
              <w:right w:val="nil"/>
            </w:tcBorders>
            <w:tcMar>
              <w:top w:w="0" w:type="dxa"/>
              <w:left w:w="0" w:type="dxa"/>
              <w:bottom w:w="0" w:type="dxa"/>
              <w:right w:w="0" w:type="dxa"/>
            </w:tcMar>
            <w:vAlign w:val="bottom"/>
          </w:tcPr>
          <w:p w14:paraId="4DCDE739" w14:textId="77777777" w:rsidR="007C1CFF" w:rsidRDefault="007C1CFF">
            <w:pPr>
              <w:keepNext/>
            </w:pPr>
          </w:p>
        </w:tc>
        <w:tc>
          <w:tcPr>
            <w:tcW w:w="1740" w:type="dxa"/>
            <w:tcBorders>
              <w:top w:val="nil"/>
              <w:left w:val="nil"/>
              <w:bottom w:val="nil"/>
              <w:right w:val="nil"/>
            </w:tcBorders>
            <w:tcMar>
              <w:top w:w="0" w:type="dxa"/>
              <w:left w:w="53" w:type="dxa"/>
              <w:bottom w:w="0" w:type="dxa"/>
              <w:right w:w="53" w:type="dxa"/>
            </w:tcMar>
          </w:tcPr>
          <w:p w14:paraId="6F2C57EF" w14:textId="77777777" w:rsidR="007C1CFF" w:rsidRDefault="00000000">
            <w:pPr>
              <w:keepNext/>
              <w:spacing w:before="75" w:after="30"/>
              <w:jc w:val="center"/>
            </w:pPr>
            <w:r>
              <w:rPr>
                <w:i/>
                <w:color w:val="000000"/>
                <w:sz w:val="20"/>
              </w:rPr>
              <w:t>(unaudited)</w:t>
            </w:r>
          </w:p>
        </w:tc>
        <w:tc>
          <w:tcPr>
            <w:tcW w:w="105" w:type="dxa"/>
            <w:tcBorders>
              <w:top w:val="nil"/>
              <w:left w:val="nil"/>
              <w:bottom w:val="nil"/>
              <w:right w:val="nil"/>
            </w:tcBorders>
            <w:tcMar>
              <w:top w:w="0" w:type="dxa"/>
              <w:left w:w="53" w:type="dxa"/>
              <w:bottom w:w="0" w:type="dxa"/>
              <w:right w:w="53" w:type="dxa"/>
            </w:tcMar>
          </w:tcPr>
          <w:p w14:paraId="1336710D" w14:textId="77777777" w:rsidR="007C1CFF" w:rsidRDefault="007C1CFF">
            <w:pPr>
              <w:keepNext/>
              <w:spacing w:before="75" w:after="30"/>
              <w:jc w:val="center"/>
            </w:pPr>
          </w:p>
        </w:tc>
        <w:tc>
          <w:tcPr>
            <w:tcW w:w="1695" w:type="dxa"/>
            <w:tcBorders>
              <w:top w:val="nil"/>
              <w:left w:val="nil"/>
              <w:bottom w:val="nil"/>
              <w:right w:val="nil"/>
            </w:tcBorders>
            <w:tcMar>
              <w:top w:w="0" w:type="dxa"/>
              <w:left w:w="53" w:type="dxa"/>
              <w:bottom w:w="0" w:type="dxa"/>
              <w:right w:w="53" w:type="dxa"/>
            </w:tcMar>
          </w:tcPr>
          <w:p w14:paraId="2A9BB1B4" w14:textId="77777777" w:rsidR="007C1CFF" w:rsidRDefault="007C1CFF">
            <w:pPr>
              <w:keepNext/>
              <w:spacing w:before="75" w:after="30"/>
              <w:jc w:val="center"/>
            </w:pPr>
          </w:p>
        </w:tc>
      </w:tr>
      <w:tr w:rsidR="007C1CFF" w14:paraId="7680F522"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51EDA11A" w14:textId="77777777" w:rsidR="007C1CFF" w:rsidRDefault="00000000">
            <w:pPr>
              <w:keepNext/>
              <w:spacing w:before="75" w:after="30"/>
            </w:pPr>
            <w:r>
              <w:rPr>
                <w:color w:val="000000"/>
                <w:sz w:val="20"/>
              </w:rPr>
              <w:t>Real estate properties, net</w:t>
            </w:r>
          </w:p>
        </w:tc>
        <w:tc>
          <w:tcPr>
            <w:tcW w:w="1740" w:type="dxa"/>
            <w:tcBorders>
              <w:top w:val="nil"/>
              <w:left w:val="nil"/>
              <w:bottom w:val="nil"/>
              <w:right w:val="nil"/>
            </w:tcBorders>
            <w:tcMar>
              <w:top w:w="0" w:type="dxa"/>
              <w:left w:w="0" w:type="dxa"/>
              <w:bottom w:w="0" w:type="dxa"/>
              <w:right w:w="15" w:type="dxa"/>
            </w:tcMar>
            <w:vAlign w:val="bottom"/>
          </w:tcPr>
          <w:p w14:paraId="244A4F8B" w14:textId="77777777" w:rsidR="007C1CFF" w:rsidRDefault="00000000">
            <w:pPr>
              <w:keepNext/>
              <w:tabs>
                <w:tab w:val="left" w:pos="807"/>
                <w:tab w:val="left" w:pos="1672"/>
              </w:tabs>
              <w:spacing w:before="75" w:after="30"/>
              <w:jc w:val="right"/>
            </w:pPr>
            <w:r>
              <w:rPr>
                <w:color w:val="000000"/>
                <w:sz w:val="20"/>
              </w:rPr>
              <w:t>$</w:t>
            </w:r>
            <w:r>
              <w:rPr>
                <w:color w:val="000000"/>
                <w:sz w:val="20"/>
              </w:rPr>
              <w:tab/>
              <w:t>2,187,266</w:t>
            </w:r>
            <w:r>
              <w:rPr>
                <w:color w:val="000000"/>
                <w:sz w:val="20"/>
              </w:rPr>
              <w:tab/>
            </w:r>
          </w:p>
        </w:tc>
        <w:tc>
          <w:tcPr>
            <w:tcW w:w="105" w:type="dxa"/>
            <w:tcBorders>
              <w:top w:val="nil"/>
              <w:left w:val="nil"/>
              <w:bottom w:val="nil"/>
              <w:right w:val="nil"/>
            </w:tcBorders>
            <w:tcMar>
              <w:top w:w="0" w:type="dxa"/>
              <w:left w:w="0" w:type="dxa"/>
              <w:bottom w:w="0" w:type="dxa"/>
              <w:right w:w="0" w:type="dxa"/>
            </w:tcMar>
            <w:vAlign w:val="bottom"/>
          </w:tcPr>
          <w:p w14:paraId="51DA4CF4" w14:textId="77777777" w:rsidR="007C1CFF" w:rsidRDefault="007C1CFF">
            <w:pPr>
              <w:keepNext/>
            </w:pPr>
          </w:p>
        </w:tc>
        <w:tc>
          <w:tcPr>
            <w:tcW w:w="1695" w:type="dxa"/>
            <w:tcBorders>
              <w:top w:val="nil"/>
              <w:left w:val="nil"/>
              <w:bottom w:val="nil"/>
              <w:right w:val="nil"/>
            </w:tcBorders>
            <w:tcMar>
              <w:top w:w="0" w:type="dxa"/>
              <w:left w:w="0" w:type="dxa"/>
              <w:bottom w:w="0" w:type="dxa"/>
              <w:right w:w="15" w:type="dxa"/>
            </w:tcMar>
            <w:vAlign w:val="bottom"/>
          </w:tcPr>
          <w:p w14:paraId="3EC71517" w14:textId="77777777" w:rsidR="007C1CFF" w:rsidRDefault="00000000">
            <w:pPr>
              <w:keepNext/>
              <w:tabs>
                <w:tab w:val="left" w:pos="762"/>
                <w:tab w:val="left" w:pos="1627"/>
              </w:tabs>
              <w:spacing w:before="75" w:after="30"/>
              <w:jc w:val="right"/>
            </w:pPr>
            <w:r>
              <w:rPr>
                <w:color w:val="000000"/>
                <w:sz w:val="20"/>
              </w:rPr>
              <w:t>$</w:t>
            </w:r>
            <w:r>
              <w:rPr>
                <w:color w:val="000000"/>
                <w:sz w:val="20"/>
              </w:rPr>
              <w:tab/>
              <w:t>2,317,880</w:t>
            </w:r>
            <w:r>
              <w:rPr>
                <w:color w:val="000000"/>
                <w:sz w:val="20"/>
              </w:rPr>
              <w:tab/>
            </w:r>
          </w:p>
        </w:tc>
      </w:tr>
      <w:tr w:rsidR="007C1CFF" w14:paraId="253BF861"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4C491B20" w14:textId="77777777" w:rsidR="007C1CFF" w:rsidRDefault="00000000">
            <w:pPr>
              <w:keepNext/>
              <w:spacing w:before="75" w:after="30"/>
            </w:pPr>
            <w:r>
              <w:rPr>
                <w:color w:val="000000"/>
                <w:sz w:val="20"/>
              </w:rPr>
              <w:t>Mortgage and other notes receivable, net</w:t>
            </w:r>
          </w:p>
        </w:tc>
        <w:tc>
          <w:tcPr>
            <w:tcW w:w="1740" w:type="dxa"/>
            <w:tcBorders>
              <w:top w:val="nil"/>
              <w:left w:val="nil"/>
              <w:bottom w:val="nil"/>
              <w:right w:val="nil"/>
            </w:tcBorders>
            <w:tcMar>
              <w:top w:w="0" w:type="dxa"/>
              <w:left w:w="0" w:type="dxa"/>
              <w:bottom w:w="0" w:type="dxa"/>
              <w:right w:w="15" w:type="dxa"/>
            </w:tcMar>
            <w:vAlign w:val="bottom"/>
          </w:tcPr>
          <w:p w14:paraId="2BA28B8B" w14:textId="77777777" w:rsidR="007C1CFF" w:rsidRDefault="00000000">
            <w:pPr>
              <w:keepNext/>
              <w:tabs>
                <w:tab w:val="left" w:pos="957"/>
                <w:tab w:val="left" w:pos="1672"/>
              </w:tabs>
              <w:spacing w:before="75" w:after="30"/>
              <w:jc w:val="right"/>
            </w:pPr>
            <w:r>
              <w:rPr>
                <w:color w:val="000000"/>
                <w:sz w:val="20"/>
              </w:rPr>
              <w:t>$</w:t>
            </w:r>
            <w:r>
              <w:rPr>
                <w:color w:val="000000"/>
                <w:sz w:val="20"/>
              </w:rPr>
              <w:tab/>
              <w:t>204,277</w:t>
            </w:r>
            <w:r>
              <w:rPr>
                <w:color w:val="000000"/>
                <w:sz w:val="20"/>
              </w:rPr>
              <w:tab/>
            </w:r>
          </w:p>
        </w:tc>
        <w:tc>
          <w:tcPr>
            <w:tcW w:w="105" w:type="dxa"/>
            <w:tcBorders>
              <w:top w:val="nil"/>
              <w:left w:val="nil"/>
              <w:bottom w:val="nil"/>
              <w:right w:val="nil"/>
            </w:tcBorders>
            <w:tcMar>
              <w:top w:w="0" w:type="dxa"/>
              <w:left w:w="0" w:type="dxa"/>
              <w:bottom w:w="0" w:type="dxa"/>
              <w:right w:w="0" w:type="dxa"/>
            </w:tcMar>
            <w:vAlign w:val="bottom"/>
          </w:tcPr>
          <w:p w14:paraId="15D02313" w14:textId="77777777" w:rsidR="007C1CFF" w:rsidRDefault="007C1CFF">
            <w:pPr>
              <w:keepNext/>
            </w:pPr>
          </w:p>
        </w:tc>
        <w:tc>
          <w:tcPr>
            <w:tcW w:w="1695" w:type="dxa"/>
            <w:tcBorders>
              <w:top w:val="nil"/>
              <w:left w:val="nil"/>
              <w:bottom w:val="nil"/>
              <w:right w:val="nil"/>
            </w:tcBorders>
            <w:tcMar>
              <w:top w:w="0" w:type="dxa"/>
              <w:left w:w="0" w:type="dxa"/>
              <w:bottom w:w="0" w:type="dxa"/>
              <w:right w:w="15" w:type="dxa"/>
            </w:tcMar>
            <w:vAlign w:val="bottom"/>
          </w:tcPr>
          <w:p w14:paraId="6CDE3FA1" w14:textId="77777777" w:rsidR="007C1CFF" w:rsidRDefault="00000000">
            <w:pPr>
              <w:keepNext/>
              <w:tabs>
                <w:tab w:val="left" w:pos="912"/>
                <w:tab w:val="left" w:pos="1627"/>
              </w:tabs>
              <w:spacing w:before="75" w:after="30"/>
              <w:jc w:val="right"/>
            </w:pPr>
            <w:r>
              <w:rPr>
                <w:color w:val="000000"/>
                <w:sz w:val="20"/>
              </w:rPr>
              <w:t>$</w:t>
            </w:r>
            <w:r>
              <w:rPr>
                <w:color w:val="000000"/>
                <w:sz w:val="20"/>
              </w:rPr>
              <w:tab/>
              <w:t>299,952</w:t>
            </w:r>
            <w:r>
              <w:rPr>
                <w:color w:val="000000"/>
                <w:sz w:val="20"/>
              </w:rPr>
              <w:tab/>
            </w:r>
          </w:p>
        </w:tc>
      </w:tr>
      <w:tr w:rsidR="007C1CFF" w14:paraId="279DE4FF"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08B46281" w14:textId="77777777" w:rsidR="007C1CFF" w:rsidRDefault="00000000">
            <w:pPr>
              <w:keepNext/>
              <w:spacing w:before="75" w:after="30"/>
            </w:pPr>
            <w:r>
              <w:rPr>
                <w:color w:val="000000"/>
                <w:sz w:val="20"/>
              </w:rPr>
              <w:t>Cash and cash equivalents</w:t>
            </w:r>
          </w:p>
        </w:tc>
        <w:tc>
          <w:tcPr>
            <w:tcW w:w="1740" w:type="dxa"/>
            <w:tcBorders>
              <w:top w:val="nil"/>
              <w:left w:val="nil"/>
              <w:bottom w:val="nil"/>
              <w:right w:val="nil"/>
            </w:tcBorders>
            <w:tcMar>
              <w:top w:w="0" w:type="dxa"/>
              <w:left w:w="0" w:type="dxa"/>
              <w:bottom w:w="0" w:type="dxa"/>
              <w:right w:w="15" w:type="dxa"/>
            </w:tcMar>
            <w:vAlign w:val="bottom"/>
          </w:tcPr>
          <w:p w14:paraId="0B33AA5C" w14:textId="77777777" w:rsidR="007C1CFF" w:rsidRDefault="00000000">
            <w:pPr>
              <w:keepNext/>
              <w:tabs>
                <w:tab w:val="left" w:pos="1057"/>
                <w:tab w:val="left" w:pos="1672"/>
              </w:tabs>
              <w:spacing w:before="75" w:after="30"/>
              <w:jc w:val="right"/>
            </w:pPr>
            <w:r>
              <w:rPr>
                <w:color w:val="000000"/>
                <w:sz w:val="20"/>
              </w:rPr>
              <w:t>$</w:t>
            </w:r>
            <w:r>
              <w:rPr>
                <w:color w:val="000000"/>
                <w:sz w:val="20"/>
              </w:rPr>
              <w:tab/>
              <w:t>43,435</w:t>
            </w:r>
            <w:r>
              <w:rPr>
                <w:color w:val="000000"/>
                <w:sz w:val="20"/>
              </w:rPr>
              <w:tab/>
            </w:r>
          </w:p>
        </w:tc>
        <w:tc>
          <w:tcPr>
            <w:tcW w:w="105" w:type="dxa"/>
            <w:tcBorders>
              <w:top w:val="nil"/>
              <w:left w:val="nil"/>
              <w:bottom w:val="nil"/>
              <w:right w:val="nil"/>
            </w:tcBorders>
            <w:tcMar>
              <w:top w:w="0" w:type="dxa"/>
              <w:left w:w="0" w:type="dxa"/>
              <w:bottom w:w="0" w:type="dxa"/>
              <w:right w:w="0" w:type="dxa"/>
            </w:tcMar>
            <w:vAlign w:val="bottom"/>
          </w:tcPr>
          <w:p w14:paraId="581B4770" w14:textId="77777777" w:rsidR="007C1CFF" w:rsidRDefault="007C1CFF">
            <w:pPr>
              <w:keepNext/>
            </w:pPr>
          </w:p>
        </w:tc>
        <w:tc>
          <w:tcPr>
            <w:tcW w:w="1695" w:type="dxa"/>
            <w:tcBorders>
              <w:top w:val="nil"/>
              <w:left w:val="nil"/>
              <w:bottom w:val="nil"/>
              <w:right w:val="nil"/>
            </w:tcBorders>
            <w:tcMar>
              <w:top w:w="0" w:type="dxa"/>
              <w:left w:w="0" w:type="dxa"/>
              <w:bottom w:w="0" w:type="dxa"/>
              <w:right w:w="15" w:type="dxa"/>
            </w:tcMar>
            <w:vAlign w:val="bottom"/>
          </w:tcPr>
          <w:p w14:paraId="2990807C" w14:textId="77777777" w:rsidR="007C1CFF" w:rsidRDefault="00000000">
            <w:pPr>
              <w:keepNext/>
              <w:tabs>
                <w:tab w:val="left" w:pos="1012"/>
                <w:tab w:val="left" w:pos="1627"/>
              </w:tabs>
              <w:spacing w:before="75" w:after="30"/>
              <w:jc w:val="right"/>
            </w:pPr>
            <w:r>
              <w:rPr>
                <w:color w:val="000000"/>
                <w:sz w:val="20"/>
              </w:rPr>
              <w:t>$</w:t>
            </w:r>
            <w:r>
              <w:rPr>
                <w:color w:val="000000"/>
                <w:sz w:val="20"/>
              </w:rPr>
              <w:tab/>
              <w:t>37,412</w:t>
            </w:r>
            <w:r>
              <w:rPr>
                <w:color w:val="000000"/>
                <w:sz w:val="20"/>
              </w:rPr>
              <w:tab/>
            </w:r>
          </w:p>
        </w:tc>
      </w:tr>
      <w:tr w:rsidR="007C1CFF" w14:paraId="20D6BB66"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6F66DD35" w14:textId="77777777" w:rsidR="007C1CFF" w:rsidRDefault="00000000">
            <w:pPr>
              <w:keepNext/>
              <w:spacing w:before="75" w:after="30"/>
            </w:pPr>
            <w:r>
              <w:rPr>
                <w:color w:val="000000"/>
                <w:sz w:val="20"/>
              </w:rPr>
              <w:t>Straight-line rent receivable</w:t>
            </w:r>
          </w:p>
        </w:tc>
        <w:tc>
          <w:tcPr>
            <w:tcW w:w="1740" w:type="dxa"/>
            <w:tcBorders>
              <w:top w:val="nil"/>
              <w:left w:val="nil"/>
              <w:bottom w:val="nil"/>
              <w:right w:val="nil"/>
            </w:tcBorders>
            <w:tcMar>
              <w:top w:w="0" w:type="dxa"/>
              <w:left w:w="0" w:type="dxa"/>
              <w:bottom w:w="0" w:type="dxa"/>
              <w:right w:w="15" w:type="dxa"/>
            </w:tcMar>
            <w:vAlign w:val="bottom"/>
          </w:tcPr>
          <w:p w14:paraId="58411A89" w14:textId="77777777" w:rsidR="007C1CFF" w:rsidRDefault="00000000">
            <w:pPr>
              <w:keepNext/>
              <w:tabs>
                <w:tab w:val="left" w:pos="1057"/>
                <w:tab w:val="left" w:pos="1672"/>
              </w:tabs>
              <w:spacing w:before="75" w:after="30"/>
              <w:jc w:val="right"/>
            </w:pPr>
            <w:r>
              <w:rPr>
                <w:color w:val="000000"/>
                <w:sz w:val="20"/>
              </w:rPr>
              <w:t>$</w:t>
            </w:r>
            <w:r>
              <w:rPr>
                <w:color w:val="000000"/>
                <w:sz w:val="20"/>
              </w:rPr>
              <w:tab/>
              <w:t>79,697</w:t>
            </w:r>
            <w:r>
              <w:rPr>
                <w:color w:val="000000"/>
                <w:sz w:val="20"/>
              </w:rPr>
              <w:tab/>
            </w:r>
          </w:p>
        </w:tc>
        <w:tc>
          <w:tcPr>
            <w:tcW w:w="105" w:type="dxa"/>
            <w:tcBorders>
              <w:top w:val="nil"/>
              <w:left w:val="nil"/>
              <w:bottom w:val="nil"/>
              <w:right w:val="nil"/>
            </w:tcBorders>
            <w:tcMar>
              <w:top w:w="0" w:type="dxa"/>
              <w:left w:w="0" w:type="dxa"/>
              <w:bottom w:w="0" w:type="dxa"/>
              <w:right w:w="0" w:type="dxa"/>
            </w:tcMar>
            <w:vAlign w:val="bottom"/>
          </w:tcPr>
          <w:p w14:paraId="54A3E358" w14:textId="77777777" w:rsidR="007C1CFF" w:rsidRDefault="007C1CFF">
            <w:pPr>
              <w:keepNext/>
            </w:pPr>
          </w:p>
        </w:tc>
        <w:tc>
          <w:tcPr>
            <w:tcW w:w="1695" w:type="dxa"/>
            <w:tcBorders>
              <w:top w:val="nil"/>
              <w:left w:val="nil"/>
              <w:bottom w:val="nil"/>
              <w:right w:val="nil"/>
            </w:tcBorders>
            <w:tcMar>
              <w:top w:w="0" w:type="dxa"/>
              <w:left w:w="0" w:type="dxa"/>
              <w:bottom w:w="0" w:type="dxa"/>
              <w:right w:w="15" w:type="dxa"/>
            </w:tcMar>
            <w:vAlign w:val="bottom"/>
          </w:tcPr>
          <w:p w14:paraId="2E557E30" w14:textId="77777777" w:rsidR="007C1CFF" w:rsidRDefault="00000000">
            <w:pPr>
              <w:keepNext/>
              <w:tabs>
                <w:tab w:val="left" w:pos="1012"/>
                <w:tab w:val="left" w:pos="1627"/>
              </w:tabs>
              <w:spacing w:before="75" w:after="30"/>
              <w:jc w:val="right"/>
            </w:pPr>
            <w:r>
              <w:rPr>
                <w:color w:val="000000"/>
                <w:sz w:val="20"/>
              </w:rPr>
              <w:t>$</w:t>
            </w:r>
            <w:r>
              <w:rPr>
                <w:color w:val="000000"/>
                <w:sz w:val="20"/>
              </w:rPr>
              <w:tab/>
              <w:t>96,198</w:t>
            </w:r>
            <w:r>
              <w:rPr>
                <w:color w:val="000000"/>
                <w:sz w:val="20"/>
              </w:rPr>
              <w:tab/>
            </w:r>
          </w:p>
        </w:tc>
      </w:tr>
      <w:tr w:rsidR="007C1CFF" w14:paraId="3689870E"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68E0083A" w14:textId="77777777" w:rsidR="007C1CFF" w:rsidRDefault="00000000">
            <w:pPr>
              <w:keepNext/>
              <w:spacing w:before="75" w:after="30"/>
            </w:pPr>
            <w:r>
              <w:rPr>
                <w:color w:val="000000"/>
                <w:sz w:val="20"/>
              </w:rPr>
              <w:t>Assets held for sale, net</w:t>
            </w:r>
          </w:p>
        </w:tc>
        <w:tc>
          <w:tcPr>
            <w:tcW w:w="1740" w:type="dxa"/>
            <w:tcBorders>
              <w:top w:val="nil"/>
              <w:left w:val="nil"/>
              <w:bottom w:val="nil"/>
              <w:right w:val="nil"/>
            </w:tcBorders>
            <w:tcMar>
              <w:top w:w="0" w:type="dxa"/>
              <w:left w:w="0" w:type="dxa"/>
              <w:bottom w:w="0" w:type="dxa"/>
              <w:right w:w="15" w:type="dxa"/>
            </w:tcMar>
            <w:vAlign w:val="bottom"/>
          </w:tcPr>
          <w:p w14:paraId="75A8808B" w14:textId="77777777" w:rsidR="007C1CFF" w:rsidRDefault="00000000">
            <w:pPr>
              <w:keepNext/>
              <w:tabs>
                <w:tab w:val="left" w:pos="1057"/>
                <w:tab w:val="left" w:pos="1672"/>
              </w:tabs>
              <w:spacing w:before="75" w:after="30"/>
              <w:jc w:val="right"/>
            </w:pPr>
            <w:r>
              <w:rPr>
                <w:color w:val="000000"/>
                <w:sz w:val="20"/>
              </w:rPr>
              <w:t>$</w:t>
            </w:r>
            <w:r>
              <w:rPr>
                <w:color w:val="000000"/>
                <w:sz w:val="20"/>
              </w:rPr>
              <w:tab/>
              <w:t>56,669</w:t>
            </w:r>
            <w:r>
              <w:rPr>
                <w:color w:val="000000"/>
                <w:sz w:val="20"/>
              </w:rPr>
              <w:tab/>
            </w:r>
          </w:p>
        </w:tc>
        <w:tc>
          <w:tcPr>
            <w:tcW w:w="105" w:type="dxa"/>
            <w:tcBorders>
              <w:top w:val="nil"/>
              <w:left w:val="nil"/>
              <w:bottom w:val="nil"/>
              <w:right w:val="nil"/>
            </w:tcBorders>
            <w:tcMar>
              <w:top w:w="0" w:type="dxa"/>
              <w:left w:w="0" w:type="dxa"/>
              <w:bottom w:w="0" w:type="dxa"/>
              <w:right w:w="0" w:type="dxa"/>
            </w:tcMar>
            <w:vAlign w:val="bottom"/>
          </w:tcPr>
          <w:p w14:paraId="5C584EC7" w14:textId="77777777" w:rsidR="007C1CFF" w:rsidRDefault="007C1CFF">
            <w:pPr>
              <w:keepNext/>
            </w:pPr>
          </w:p>
        </w:tc>
        <w:tc>
          <w:tcPr>
            <w:tcW w:w="1695" w:type="dxa"/>
            <w:tcBorders>
              <w:top w:val="nil"/>
              <w:left w:val="nil"/>
              <w:bottom w:val="nil"/>
              <w:right w:val="nil"/>
            </w:tcBorders>
            <w:tcMar>
              <w:top w:w="0" w:type="dxa"/>
              <w:left w:w="0" w:type="dxa"/>
              <w:bottom w:w="0" w:type="dxa"/>
              <w:right w:w="15" w:type="dxa"/>
            </w:tcMar>
            <w:vAlign w:val="bottom"/>
          </w:tcPr>
          <w:p w14:paraId="42D312EB" w14:textId="77777777" w:rsidR="007C1CFF" w:rsidRDefault="00000000">
            <w:pPr>
              <w:keepNext/>
              <w:tabs>
                <w:tab w:val="left" w:pos="1012"/>
                <w:tab w:val="left" w:pos="1627"/>
              </w:tabs>
              <w:spacing w:before="75" w:after="30"/>
              <w:jc w:val="right"/>
            </w:pPr>
            <w:r>
              <w:rPr>
                <w:color w:val="000000"/>
                <w:sz w:val="20"/>
              </w:rPr>
              <w:t>$</w:t>
            </w:r>
            <w:r>
              <w:rPr>
                <w:color w:val="000000"/>
                <w:sz w:val="20"/>
              </w:rPr>
              <w:tab/>
              <w:t>66,398</w:t>
            </w:r>
            <w:r>
              <w:rPr>
                <w:color w:val="000000"/>
                <w:sz w:val="20"/>
              </w:rPr>
              <w:tab/>
            </w:r>
          </w:p>
        </w:tc>
      </w:tr>
      <w:tr w:rsidR="007C1CFF" w14:paraId="09FC002B"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550EFB14" w14:textId="77777777" w:rsidR="007C1CFF" w:rsidRDefault="00000000">
            <w:pPr>
              <w:keepNext/>
              <w:spacing w:before="75" w:after="30"/>
            </w:pPr>
            <w:r>
              <w:rPr>
                <w:color w:val="000000"/>
                <w:sz w:val="20"/>
              </w:rPr>
              <w:t>Other assets</w:t>
            </w:r>
          </w:p>
        </w:tc>
        <w:tc>
          <w:tcPr>
            <w:tcW w:w="1740" w:type="dxa"/>
            <w:tcBorders>
              <w:top w:val="nil"/>
              <w:left w:val="nil"/>
              <w:bottom w:val="nil"/>
              <w:right w:val="nil"/>
            </w:tcBorders>
            <w:tcMar>
              <w:top w:w="0" w:type="dxa"/>
              <w:left w:w="0" w:type="dxa"/>
              <w:bottom w:w="0" w:type="dxa"/>
              <w:right w:w="15" w:type="dxa"/>
            </w:tcMar>
            <w:vAlign w:val="bottom"/>
          </w:tcPr>
          <w:p w14:paraId="3AC303AF" w14:textId="77777777" w:rsidR="007C1CFF" w:rsidRDefault="00000000">
            <w:pPr>
              <w:keepNext/>
              <w:tabs>
                <w:tab w:val="left" w:pos="1057"/>
                <w:tab w:val="left" w:pos="1672"/>
              </w:tabs>
              <w:spacing w:before="75" w:after="30"/>
              <w:jc w:val="right"/>
            </w:pPr>
            <w:r>
              <w:rPr>
                <w:color w:val="000000"/>
                <w:sz w:val="20"/>
              </w:rPr>
              <w:t>$</w:t>
            </w:r>
            <w:r>
              <w:rPr>
                <w:color w:val="000000"/>
                <w:sz w:val="20"/>
              </w:rPr>
              <w:tab/>
              <w:t>15,947</w:t>
            </w:r>
            <w:r>
              <w:rPr>
                <w:color w:val="000000"/>
                <w:sz w:val="20"/>
              </w:rPr>
              <w:tab/>
            </w:r>
          </w:p>
        </w:tc>
        <w:tc>
          <w:tcPr>
            <w:tcW w:w="105" w:type="dxa"/>
            <w:tcBorders>
              <w:top w:val="nil"/>
              <w:left w:val="nil"/>
              <w:bottom w:val="nil"/>
              <w:right w:val="nil"/>
            </w:tcBorders>
            <w:tcMar>
              <w:top w:w="0" w:type="dxa"/>
              <w:left w:w="0" w:type="dxa"/>
              <w:bottom w:w="0" w:type="dxa"/>
              <w:right w:w="0" w:type="dxa"/>
            </w:tcMar>
            <w:vAlign w:val="bottom"/>
          </w:tcPr>
          <w:p w14:paraId="66712D1C" w14:textId="77777777" w:rsidR="007C1CFF" w:rsidRDefault="007C1CFF">
            <w:pPr>
              <w:keepNext/>
            </w:pPr>
          </w:p>
        </w:tc>
        <w:tc>
          <w:tcPr>
            <w:tcW w:w="1695" w:type="dxa"/>
            <w:tcBorders>
              <w:top w:val="nil"/>
              <w:left w:val="nil"/>
              <w:bottom w:val="nil"/>
              <w:right w:val="nil"/>
            </w:tcBorders>
            <w:tcMar>
              <w:top w:w="0" w:type="dxa"/>
              <w:left w:w="0" w:type="dxa"/>
              <w:bottom w:w="0" w:type="dxa"/>
              <w:right w:w="15" w:type="dxa"/>
            </w:tcMar>
            <w:vAlign w:val="bottom"/>
          </w:tcPr>
          <w:p w14:paraId="1EDC7187" w14:textId="77777777" w:rsidR="007C1CFF" w:rsidRDefault="00000000">
            <w:pPr>
              <w:keepNext/>
              <w:tabs>
                <w:tab w:val="left" w:pos="1012"/>
                <w:tab w:val="left" w:pos="1627"/>
              </w:tabs>
              <w:spacing w:before="75" w:after="30"/>
              <w:jc w:val="right"/>
            </w:pPr>
            <w:r>
              <w:rPr>
                <w:color w:val="000000"/>
                <w:sz w:val="20"/>
              </w:rPr>
              <w:t>$</w:t>
            </w:r>
            <w:r>
              <w:rPr>
                <w:color w:val="000000"/>
                <w:sz w:val="20"/>
              </w:rPr>
              <w:tab/>
              <w:t>21,036</w:t>
            </w:r>
            <w:r>
              <w:rPr>
                <w:color w:val="000000"/>
                <w:sz w:val="20"/>
              </w:rPr>
              <w:tab/>
            </w:r>
          </w:p>
        </w:tc>
      </w:tr>
      <w:tr w:rsidR="007C1CFF" w14:paraId="6A83AF55"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239F26F9" w14:textId="77777777" w:rsidR="007C1CFF" w:rsidRDefault="00000000">
            <w:pPr>
              <w:keepNext/>
              <w:spacing w:before="75" w:after="30"/>
            </w:pPr>
            <w:r>
              <w:rPr>
                <w:color w:val="000000"/>
                <w:sz w:val="20"/>
              </w:rPr>
              <w:t>Debt</w:t>
            </w:r>
          </w:p>
        </w:tc>
        <w:tc>
          <w:tcPr>
            <w:tcW w:w="1740" w:type="dxa"/>
            <w:tcBorders>
              <w:top w:val="nil"/>
              <w:left w:val="nil"/>
              <w:bottom w:val="nil"/>
              <w:right w:val="nil"/>
            </w:tcBorders>
            <w:tcMar>
              <w:top w:w="0" w:type="dxa"/>
              <w:left w:w="0" w:type="dxa"/>
              <w:bottom w:w="0" w:type="dxa"/>
              <w:right w:w="15" w:type="dxa"/>
            </w:tcMar>
            <w:vAlign w:val="bottom"/>
          </w:tcPr>
          <w:p w14:paraId="2BA6DE86" w14:textId="77777777" w:rsidR="007C1CFF" w:rsidRDefault="00000000">
            <w:pPr>
              <w:keepNext/>
              <w:tabs>
                <w:tab w:val="left" w:pos="807"/>
                <w:tab w:val="left" w:pos="1672"/>
              </w:tabs>
              <w:spacing w:before="75" w:after="30"/>
              <w:jc w:val="right"/>
            </w:pPr>
            <w:r>
              <w:rPr>
                <w:color w:val="000000"/>
                <w:sz w:val="20"/>
              </w:rPr>
              <w:t>$</w:t>
            </w:r>
            <w:r>
              <w:rPr>
                <w:color w:val="000000"/>
                <w:sz w:val="20"/>
              </w:rPr>
              <w:tab/>
              <w:t>1,104,495</w:t>
            </w:r>
            <w:r>
              <w:rPr>
                <w:color w:val="000000"/>
                <w:sz w:val="20"/>
              </w:rPr>
              <w:tab/>
            </w:r>
          </w:p>
        </w:tc>
        <w:tc>
          <w:tcPr>
            <w:tcW w:w="105" w:type="dxa"/>
            <w:tcBorders>
              <w:top w:val="nil"/>
              <w:left w:val="nil"/>
              <w:bottom w:val="nil"/>
              <w:right w:val="nil"/>
            </w:tcBorders>
            <w:tcMar>
              <w:top w:w="0" w:type="dxa"/>
              <w:left w:w="0" w:type="dxa"/>
              <w:bottom w:w="0" w:type="dxa"/>
              <w:right w:w="0" w:type="dxa"/>
            </w:tcMar>
            <w:vAlign w:val="bottom"/>
          </w:tcPr>
          <w:p w14:paraId="3BB379C5" w14:textId="77777777" w:rsidR="007C1CFF" w:rsidRDefault="007C1CFF">
            <w:pPr>
              <w:keepNext/>
            </w:pPr>
          </w:p>
        </w:tc>
        <w:tc>
          <w:tcPr>
            <w:tcW w:w="1695" w:type="dxa"/>
            <w:tcBorders>
              <w:top w:val="nil"/>
              <w:left w:val="nil"/>
              <w:bottom w:val="nil"/>
              <w:right w:val="nil"/>
            </w:tcBorders>
            <w:tcMar>
              <w:top w:w="0" w:type="dxa"/>
              <w:left w:w="0" w:type="dxa"/>
              <w:bottom w:w="0" w:type="dxa"/>
              <w:right w:w="15" w:type="dxa"/>
            </w:tcMar>
            <w:vAlign w:val="bottom"/>
          </w:tcPr>
          <w:p w14:paraId="6F535228" w14:textId="77777777" w:rsidR="007C1CFF" w:rsidRDefault="00000000">
            <w:pPr>
              <w:keepNext/>
              <w:tabs>
                <w:tab w:val="left" w:pos="762"/>
                <w:tab w:val="left" w:pos="1627"/>
              </w:tabs>
              <w:spacing w:before="75" w:after="30"/>
              <w:jc w:val="right"/>
            </w:pPr>
            <w:r>
              <w:rPr>
                <w:color w:val="000000"/>
                <w:sz w:val="20"/>
              </w:rPr>
              <w:t>$</w:t>
            </w:r>
            <w:r>
              <w:rPr>
                <w:color w:val="000000"/>
                <w:sz w:val="20"/>
              </w:rPr>
              <w:tab/>
              <w:t>1,242,883</w:t>
            </w:r>
            <w:r>
              <w:rPr>
                <w:color w:val="000000"/>
                <w:sz w:val="20"/>
              </w:rPr>
              <w:tab/>
            </w:r>
          </w:p>
        </w:tc>
      </w:tr>
      <w:tr w:rsidR="007C1CFF" w14:paraId="0D2441C6" w14:textId="77777777">
        <w:trPr>
          <w:cantSplit/>
          <w:trHeight w:hRule="exact" w:val="300"/>
        </w:trPr>
        <w:tc>
          <w:tcPr>
            <w:tcW w:w="7260" w:type="dxa"/>
            <w:tcBorders>
              <w:top w:val="nil"/>
              <w:left w:val="nil"/>
              <w:bottom w:val="nil"/>
              <w:right w:val="nil"/>
            </w:tcBorders>
            <w:tcMar>
              <w:top w:w="0" w:type="dxa"/>
              <w:left w:w="53" w:type="dxa"/>
              <w:bottom w:w="0" w:type="dxa"/>
              <w:right w:w="53" w:type="dxa"/>
            </w:tcMar>
            <w:vAlign w:val="bottom"/>
          </w:tcPr>
          <w:p w14:paraId="58EA31CF" w14:textId="77777777" w:rsidR="007C1CFF" w:rsidRDefault="00000000">
            <w:pPr>
              <w:spacing w:before="75" w:after="30"/>
            </w:pPr>
            <w:r>
              <w:rPr>
                <w:color w:val="000000"/>
                <w:sz w:val="20"/>
              </w:rPr>
              <w:t>National Health Investors Stockholders' Equity</w:t>
            </w:r>
          </w:p>
        </w:tc>
        <w:tc>
          <w:tcPr>
            <w:tcW w:w="1740" w:type="dxa"/>
            <w:tcBorders>
              <w:top w:val="nil"/>
              <w:left w:val="nil"/>
              <w:bottom w:val="nil"/>
              <w:right w:val="nil"/>
            </w:tcBorders>
            <w:tcMar>
              <w:top w:w="0" w:type="dxa"/>
              <w:left w:w="0" w:type="dxa"/>
              <w:bottom w:w="0" w:type="dxa"/>
              <w:right w:w="15" w:type="dxa"/>
            </w:tcMar>
            <w:vAlign w:val="bottom"/>
          </w:tcPr>
          <w:p w14:paraId="2B85BB8D" w14:textId="77777777" w:rsidR="007C1CFF" w:rsidRDefault="00000000">
            <w:pPr>
              <w:tabs>
                <w:tab w:val="left" w:pos="807"/>
                <w:tab w:val="left" w:pos="1672"/>
              </w:tabs>
              <w:spacing w:before="75" w:after="30"/>
              <w:jc w:val="right"/>
            </w:pPr>
            <w:r>
              <w:rPr>
                <w:color w:val="000000"/>
                <w:sz w:val="20"/>
              </w:rPr>
              <w:t>$</w:t>
            </w:r>
            <w:r>
              <w:rPr>
                <w:color w:val="000000"/>
                <w:sz w:val="20"/>
              </w:rPr>
              <w:tab/>
              <w:t>1,392,220</w:t>
            </w:r>
            <w:r>
              <w:rPr>
                <w:color w:val="000000"/>
                <w:sz w:val="20"/>
              </w:rPr>
              <w:tab/>
            </w:r>
          </w:p>
        </w:tc>
        <w:tc>
          <w:tcPr>
            <w:tcW w:w="105" w:type="dxa"/>
            <w:tcBorders>
              <w:top w:val="nil"/>
              <w:left w:val="nil"/>
              <w:bottom w:val="nil"/>
              <w:right w:val="nil"/>
            </w:tcBorders>
            <w:tcMar>
              <w:top w:w="0" w:type="dxa"/>
              <w:left w:w="0" w:type="dxa"/>
              <w:bottom w:w="0" w:type="dxa"/>
              <w:right w:w="0" w:type="dxa"/>
            </w:tcMar>
            <w:vAlign w:val="bottom"/>
          </w:tcPr>
          <w:p w14:paraId="4478D289" w14:textId="77777777" w:rsidR="007C1CFF" w:rsidRDefault="007C1CFF"/>
        </w:tc>
        <w:tc>
          <w:tcPr>
            <w:tcW w:w="1695" w:type="dxa"/>
            <w:tcBorders>
              <w:top w:val="nil"/>
              <w:left w:val="nil"/>
              <w:bottom w:val="nil"/>
              <w:right w:val="nil"/>
            </w:tcBorders>
            <w:tcMar>
              <w:top w:w="0" w:type="dxa"/>
              <w:left w:w="0" w:type="dxa"/>
              <w:bottom w:w="0" w:type="dxa"/>
              <w:right w:w="15" w:type="dxa"/>
            </w:tcMar>
            <w:vAlign w:val="bottom"/>
          </w:tcPr>
          <w:p w14:paraId="6A31A217" w14:textId="77777777" w:rsidR="007C1CFF" w:rsidRDefault="00000000">
            <w:pPr>
              <w:tabs>
                <w:tab w:val="left" w:pos="762"/>
                <w:tab w:val="left" w:pos="1627"/>
              </w:tabs>
              <w:spacing w:before="75" w:after="30"/>
              <w:jc w:val="right"/>
            </w:pPr>
            <w:r>
              <w:rPr>
                <w:color w:val="000000"/>
                <w:sz w:val="20"/>
              </w:rPr>
              <w:t>$</w:t>
            </w:r>
            <w:r>
              <w:rPr>
                <w:color w:val="000000"/>
                <w:sz w:val="20"/>
              </w:rPr>
              <w:tab/>
              <w:t>1,507,083</w:t>
            </w:r>
            <w:r>
              <w:rPr>
                <w:color w:val="000000"/>
                <w:sz w:val="20"/>
              </w:rPr>
              <w:tab/>
            </w:r>
          </w:p>
        </w:tc>
      </w:tr>
    </w:tbl>
    <w:p w14:paraId="42FBEE3E" w14:textId="77777777" w:rsidR="007C1CFF" w:rsidRDefault="007C1CFF">
      <w:pPr>
        <w:spacing w:line="288" w:lineRule="auto"/>
        <w:rPr>
          <w:sz w:val="20"/>
        </w:rPr>
      </w:pPr>
    </w:p>
    <w:p w14:paraId="4006E020" w14:textId="77777777" w:rsidR="007C1CFF" w:rsidRDefault="007C1CFF">
      <w:pPr>
        <w:spacing w:line="276" w:lineRule="auto"/>
        <w:jc w:val="both"/>
        <w:rPr>
          <w:rFonts w:ascii="Calibri" w:eastAsia="Calibri" w:hAnsi="Calibri" w:cs="Calibri"/>
          <w:sz w:val="22"/>
        </w:rPr>
      </w:pPr>
    </w:p>
    <w:p w14:paraId="62D0F98C" w14:textId="48C83FF2" w:rsidR="007C1CFF" w:rsidRDefault="00000000">
      <w:pPr>
        <w:spacing w:line="276" w:lineRule="auto"/>
        <w:outlineLvl w:val="0"/>
        <w:rPr>
          <w:rFonts w:ascii="Arial" w:eastAsia="Arial" w:hAnsi="Arial" w:cs="Arial"/>
        </w:rPr>
      </w:pPr>
      <w:r>
        <w:rPr>
          <w:i/>
          <w:sz w:val="18"/>
        </w:rPr>
        <w:t>This press release includes forward-looking statements within the meaning of Section 27A of the Securities Act of 1933, as amended, and Section 21E of the Securities Exchange Act of 1934, as amended.  All statements regarding the Company’s, tenants’, operators’, borrowers’ or managers’ expected future financial position, results of operations, cash flows, funds from operations, dividend and dividend plans, financing opportunities and plans, capital market transactions, business strategy, budgets, projected costs, operating metrics, capital expenditures, competitive positions, acquisitions, investment opportunities, dispositions, acquisition integration, growth opportunities, expected lease income, continued qualification as a real estate investment trust (“REIT”), plans and objectives of management for future operations, continued performance improvements, ability to service and refinance our debt obligations, ability to finance growth opportunities, and similar statements including, without limitation, those containing words such as “may”, “will”, “believes”, “anticipates”, “expects”, “intends”, “estimates”, “plans”, and other similar expressions are forward-looking statements.  Forward-looking statements involve known and unknown risks and uncertainties that may cause our actual results in future periods to differ materially from those projected or contemplated in the forward-looking statements. Such risks and uncertainties include, among other things; the impact of COVID-19 on our tenants, borrowers, economy and the Company; our ability to retain our management team and other personnel and attract suitable replacements should any such personnel leave; the operating success of our tenants and borrowers for collection of our lease and interest income; the success of property development and construction activities, which may fail to achieve the operating results we expect; the risk that our tenants and borrowers may become subject to bankruptcy or insolvency proceedings; risks related to the concentration of a significant percentage of our portfolio to a small number of tenants</w:t>
      </w:r>
      <w:r>
        <w:rPr>
          <w:sz w:val="18"/>
        </w:rPr>
        <w:t xml:space="preserve">; </w:t>
      </w:r>
      <w:r>
        <w:rPr>
          <w:i/>
          <w:sz w:val="18"/>
        </w:rPr>
        <w:t xml:space="preserve">risks related to governmental regulations and payors, principally Medicare and Medicaid, and the effect that lower reimbursement rates would have on our tenants’ and borrowers’ business; the risk that the cash flows of our tenants and borrowers would be adversely affected by increased liability claims and liability insurance costs; risks related to environmental laws and the costs associated with liabilities related to hazardous </w:t>
      </w:r>
      <w:r w:rsidR="00B22693">
        <w:rPr>
          <w:i/>
          <w:sz w:val="18"/>
        </w:rPr>
        <w:t>substances; the</w:t>
      </w:r>
      <w:r>
        <w:rPr>
          <w:i/>
          <w:sz w:val="18"/>
        </w:rPr>
        <w:t xml:space="preserve"> risk of damage from catastrophic weather and other natural or man-made disasters and the physical effects of climate change; the risk that we may not be fully indemnified by our lessees and borrowers against future litigation; the success of our future acquisitions and investments; our ability to reinvest cash in real estate investments in a timely manner and on acceptable terms; the potential need to incur more debt in the future, which may not be available on terms acceptable to us; our ability to meet covenants related to our indebtedness which impose certain operational limitations and a breach of those covenants could materially adversely affect our financial condition and results of operations; the risk that the illiquidity of real estate investments could impede our ability to respond to adverse changes in the performance of our properties; risks associated with our investments in unconsolidated entities, including our lack of sole decision-making authority and our reliance on the financial condition of other </w:t>
      </w:r>
      <w:r w:rsidR="00B22693">
        <w:rPr>
          <w:i/>
          <w:sz w:val="18"/>
        </w:rPr>
        <w:t>interests; operational</w:t>
      </w:r>
      <w:r>
        <w:rPr>
          <w:i/>
          <w:sz w:val="18"/>
        </w:rPr>
        <w:t xml:space="preserve"> risks with respect to our proposed senior housing operating portfolio (“SHOP”) structured </w:t>
      </w:r>
      <w:r w:rsidR="00B22693">
        <w:rPr>
          <w:i/>
          <w:sz w:val="18"/>
        </w:rPr>
        <w:t>communities; our</w:t>
      </w:r>
      <w:r>
        <w:rPr>
          <w:i/>
          <w:sz w:val="18"/>
        </w:rPr>
        <w:t xml:space="preserve"> dependence on revenues derived mainly from fixed rate investments in real estate assets, while a portion of our debt bears interest at variable rates; the risk that our assets may be subject to impairment charges; risks related to our ability to maintain the privacy and security of Company information; and our dependence on the ability to continue to qualify for taxation as a real estate investment trust. Many of these factors are beyond the control of the Company and its management. The Company assumes no obligation to update any of the foregoing or any other forward looking statements, except as required by law, and these statements speak only as of the date on which they are made. Investors are urged to carefully review and consider the various disclosures made by NHI in its periodic reports filed with the Securities and Exchange Commission, including the risk factors and other information disclosed in NHI’s Annual Report on Form 10-K for the most recently ended fiscal year and quarterly report on Form 10-Q for the most recently ended quarter. Copies of these filings are available at no cost on the SEC’s web site at </w:t>
      </w:r>
      <w:r>
        <w:rPr>
          <w:i/>
          <w:color w:val="0563C1"/>
          <w:sz w:val="18"/>
          <w:u w:val="single"/>
        </w:rPr>
        <w:t>https://www.sec.gov</w:t>
      </w:r>
      <w:r>
        <w:rPr>
          <w:i/>
          <w:sz w:val="18"/>
        </w:rPr>
        <w:t xml:space="preserve"> or on NHI’s web site at </w:t>
      </w:r>
      <w:r>
        <w:rPr>
          <w:i/>
          <w:color w:val="0563C1"/>
          <w:sz w:val="18"/>
          <w:u w:val="single"/>
        </w:rPr>
        <w:t>https://www.nhireit.com.</w:t>
      </w:r>
    </w:p>
    <w:sectPr w:rsidR="007C1CFF">
      <w:pgSz w:w="12240" w:h="15840"/>
      <w:pgMar w:top="1260" w:right="900" w:bottom="900" w:left="90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39C9" w14:textId="77777777" w:rsidR="00A50571" w:rsidRDefault="00A50571">
      <w:r>
        <w:separator/>
      </w:r>
    </w:p>
  </w:endnote>
  <w:endnote w:type="continuationSeparator" w:id="0">
    <w:p w14:paraId="0A406CA1" w14:textId="77777777" w:rsidR="00A50571" w:rsidRDefault="00A5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E10E" w14:textId="77777777" w:rsidR="007C1CFF" w:rsidRDefault="007C1CFF">
    <w:pPr>
      <w:spacing w:line="288" w:lineRule="auto"/>
      <w:ind w:left="90" w:right="9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1C13" w14:textId="77777777" w:rsidR="00A50571" w:rsidRDefault="00A50571">
      <w:r>
        <w:separator/>
      </w:r>
    </w:p>
  </w:footnote>
  <w:footnote w:type="continuationSeparator" w:id="0">
    <w:p w14:paraId="0DB4959D" w14:textId="77777777" w:rsidR="00A50571" w:rsidRDefault="00A5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C11B" w14:textId="77777777" w:rsidR="007C1CFF" w:rsidRDefault="00000000">
    <w:pPr>
      <w:spacing w:line="288" w:lineRule="auto"/>
      <w:ind w:left="90" w:right="90"/>
      <w:jc w:val="right"/>
      <w:outlineLvl w:val="0"/>
      <w:rPr>
        <w:sz w:val="20"/>
      </w:rPr>
    </w:pPr>
    <w:r>
      <w:rPr>
        <w:sz w:val="20"/>
        <w:u w:val="single"/>
      </w:rPr>
      <w:t>Exhibit 99.1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E7CA" w14:textId="77777777" w:rsidR="007C1CFF" w:rsidRDefault="00000000">
    <w:pPr>
      <w:spacing w:line="288" w:lineRule="auto"/>
      <w:ind w:left="90" w:right="90"/>
      <w:outlineLvl w:val="0"/>
      <w:rPr>
        <w:sz w:val="20"/>
      </w:rPr>
    </w:pPr>
    <w:r>
      <w:rPr>
        <w:sz w:val="20"/>
      </w:rPr>
      <w:t>NHI Reports Second Quarter 2022 Results</w:t>
    </w:r>
  </w:p>
  <w:p w14:paraId="34982113" w14:textId="77777777" w:rsidR="007C1CFF" w:rsidRDefault="00000000">
    <w:pPr>
      <w:spacing w:line="288" w:lineRule="auto"/>
      <w:ind w:left="90" w:right="90"/>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11</w:t>
    </w:r>
    <w:r>
      <w:rPr>
        <w:sz w:val="20"/>
      </w:rPr>
      <w:fldChar w:fldCharType="end"/>
    </w:r>
  </w:p>
  <w:p w14:paraId="4B39B6EF" w14:textId="77777777" w:rsidR="007C1CFF" w:rsidRDefault="00000000">
    <w:pPr>
      <w:spacing w:line="288" w:lineRule="auto"/>
      <w:ind w:left="90" w:right="90"/>
      <w:jc w:val="both"/>
      <w:rPr>
        <w:sz w:val="20"/>
      </w:rPr>
    </w:pPr>
    <w:r>
      <w:rPr>
        <w:sz w:val="20"/>
      </w:rPr>
      <w:t>August 8, 2022</w:t>
    </w:r>
  </w:p>
  <w:p w14:paraId="002BD149" w14:textId="77777777" w:rsidR="007C1CFF" w:rsidRDefault="007C1CFF">
    <w:pPr>
      <w:spacing w:line="288" w:lineRule="auto"/>
      <w:ind w:left="90" w:right="90"/>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hybridMultilevel"/>
    <w:tmpl w:val="0000000D"/>
    <w:lvl w:ilvl="0" w:tplc="E718416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66D685E4">
      <w:start w:val="1"/>
      <w:numFmt w:val="bullet"/>
      <w:lvlText w:val="o"/>
      <w:lvlJc w:val="left"/>
      <w:pPr>
        <w:tabs>
          <w:tab w:val="num" w:pos="1440"/>
        </w:tabs>
        <w:ind w:left="1440" w:hanging="360"/>
      </w:pPr>
      <w:rPr>
        <w:rFonts w:ascii="Courier New" w:hAnsi="Courier New"/>
      </w:rPr>
    </w:lvl>
    <w:lvl w:ilvl="2" w:tplc="F176E03C">
      <w:start w:val="1"/>
      <w:numFmt w:val="bullet"/>
      <w:lvlText w:val=""/>
      <w:lvlJc w:val="left"/>
      <w:pPr>
        <w:tabs>
          <w:tab w:val="num" w:pos="2160"/>
        </w:tabs>
        <w:ind w:left="2160" w:hanging="360"/>
      </w:pPr>
      <w:rPr>
        <w:rFonts w:ascii="Wingdings" w:hAnsi="Wingdings"/>
      </w:rPr>
    </w:lvl>
    <w:lvl w:ilvl="3" w:tplc="0DC00550">
      <w:start w:val="1"/>
      <w:numFmt w:val="bullet"/>
      <w:lvlText w:val=""/>
      <w:lvlJc w:val="left"/>
      <w:pPr>
        <w:tabs>
          <w:tab w:val="num" w:pos="2880"/>
        </w:tabs>
        <w:ind w:left="2880" w:hanging="360"/>
      </w:pPr>
      <w:rPr>
        <w:rFonts w:ascii="Symbol" w:hAnsi="Symbol"/>
      </w:rPr>
    </w:lvl>
    <w:lvl w:ilvl="4" w:tplc="2702C516">
      <w:start w:val="1"/>
      <w:numFmt w:val="bullet"/>
      <w:lvlText w:val="o"/>
      <w:lvlJc w:val="left"/>
      <w:pPr>
        <w:tabs>
          <w:tab w:val="num" w:pos="3600"/>
        </w:tabs>
        <w:ind w:left="3600" w:hanging="360"/>
      </w:pPr>
      <w:rPr>
        <w:rFonts w:ascii="Courier New" w:hAnsi="Courier New"/>
      </w:rPr>
    </w:lvl>
    <w:lvl w:ilvl="5" w:tplc="74F2C190">
      <w:start w:val="1"/>
      <w:numFmt w:val="bullet"/>
      <w:lvlText w:val=""/>
      <w:lvlJc w:val="left"/>
      <w:pPr>
        <w:tabs>
          <w:tab w:val="num" w:pos="4320"/>
        </w:tabs>
        <w:ind w:left="4320" w:hanging="360"/>
      </w:pPr>
      <w:rPr>
        <w:rFonts w:ascii="Wingdings" w:hAnsi="Wingdings"/>
      </w:rPr>
    </w:lvl>
    <w:lvl w:ilvl="6" w:tplc="452613CC">
      <w:start w:val="1"/>
      <w:numFmt w:val="bullet"/>
      <w:lvlText w:val=""/>
      <w:lvlJc w:val="left"/>
      <w:pPr>
        <w:tabs>
          <w:tab w:val="num" w:pos="5040"/>
        </w:tabs>
        <w:ind w:left="5040" w:hanging="360"/>
      </w:pPr>
      <w:rPr>
        <w:rFonts w:ascii="Symbol" w:hAnsi="Symbol"/>
      </w:rPr>
    </w:lvl>
    <w:lvl w:ilvl="7" w:tplc="E9FAB4E0">
      <w:start w:val="1"/>
      <w:numFmt w:val="bullet"/>
      <w:lvlText w:val="o"/>
      <w:lvlJc w:val="left"/>
      <w:pPr>
        <w:tabs>
          <w:tab w:val="num" w:pos="5760"/>
        </w:tabs>
        <w:ind w:left="5760" w:hanging="360"/>
      </w:pPr>
      <w:rPr>
        <w:rFonts w:ascii="Courier New" w:hAnsi="Courier New"/>
      </w:rPr>
    </w:lvl>
    <w:lvl w:ilvl="8" w:tplc="9AB6D05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1B04A91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4EC68F8">
      <w:start w:val="1"/>
      <w:numFmt w:val="bullet"/>
      <w:lvlText w:val="o"/>
      <w:lvlJc w:val="left"/>
      <w:pPr>
        <w:tabs>
          <w:tab w:val="num" w:pos="1440"/>
        </w:tabs>
        <w:ind w:left="1440" w:hanging="360"/>
      </w:pPr>
      <w:rPr>
        <w:rFonts w:ascii="Courier New" w:hAnsi="Courier New"/>
      </w:rPr>
    </w:lvl>
    <w:lvl w:ilvl="2" w:tplc="6DFCE1A2">
      <w:start w:val="1"/>
      <w:numFmt w:val="bullet"/>
      <w:lvlText w:val=""/>
      <w:lvlJc w:val="left"/>
      <w:pPr>
        <w:tabs>
          <w:tab w:val="num" w:pos="2160"/>
        </w:tabs>
        <w:ind w:left="2160" w:hanging="360"/>
      </w:pPr>
      <w:rPr>
        <w:rFonts w:ascii="Wingdings" w:hAnsi="Wingdings"/>
      </w:rPr>
    </w:lvl>
    <w:lvl w:ilvl="3" w:tplc="C1B8624E">
      <w:start w:val="1"/>
      <w:numFmt w:val="bullet"/>
      <w:lvlText w:val=""/>
      <w:lvlJc w:val="left"/>
      <w:pPr>
        <w:tabs>
          <w:tab w:val="num" w:pos="2880"/>
        </w:tabs>
        <w:ind w:left="2880" w:hanging="360"/>
      </w:pPr>
      <w:rPr>
        <w:rFonts w:ascii="Symbol" w:hAnsi="Symbol"/>
      </w:rPr>
    </w:lvl>
    <w:lvl w:ilvl="4" w:tplc="A46AF26C">
      <w:start w:val="1"/>
      <w:numFmt w:val="bullet"/>
      <w:lvlText w:val="o"/>
      <w:lvlJc w:val="left"/>
      <w:pPr>
        <w:tabs>
          <w:tab w:val="num" w:pos="3600"/>
        </w:tabs>
        <w:ind w:left="3600" w:hanging="360"/>
      </w:pPr>
      <w:rPr>
        <w:rFonts w:ascii="Courier New" w:hAnsi="Courier New"/>
      </w:rPr>
    </w:lvl>
    <w:lvl w:ilvl="5" w:tplc="98E61C6C">
      <w:start w:val="1"/>
      <w:numFmt w:val="bullet"/>
      <w:lvlText w:val=""/>
      <w:lvlJc w:val="left"/>
      <w:pPr>
        <w:tabs>
          <w:tab w:val="num" w:pos="4320"/>
        </w:tabs>
        <w:ind w:left="4320" w:hanging="360"/>
      </w:pPr>
      <w:rPr>
        <w:rFonts w:ascii="Wingdings" w:hAnsi="Wingdings"/>
      </w:rPr>
    </w:lvl>
    <w:lvl w:ilvl="6" w:tplc="A71EA4B4">
      <w:start w:val="1"/>
      <w:numFmt w:val="bullet"/>
      <w:lvlText w:val=""/>
      <w:lvlJc w:val="left"/>
      <w:pPr>
        <w:tabs>
          <w:tab w:val="num" w:pos="5040"/>
        </w:tabs>
        <w:ind w:left="5040" w:hanging="360"/>
      </w:pPr>
      <w:rPr>
        <w:rFonts w:ascii="Symbol" w:hAnsi="Symbol"/>
      </w:rPr>
    </w:lvl>
    <w:lvl w:ilvl="7" w:tplc="3F900718">
      <w:start w:val="1"/>
      <w:numFmt w:val="bullet"/>
      <w:lvlText w:val="o"/>
      <w:lvlJc w:val="left"/>
      <w:pPr>
        <w:tabs>
          <w:tab w:val="num" w:pos="5760"/>
        </w:tabs>
        <w:ind w:left="5760" w:hanging="360"/>
      </w:pPr>
      <w:rPr>
        <w:rFonts w:ascii="Courier New" w:hAnsi="Courier New"/>
      </w:rPr>
    </w:lvl>
    <w:lvl w:ilvl="8" w:tplc="7B7CAC6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D665BE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E1CC0E62">
      <w:start w:val="1"/>
      <w:numFmt w:val="bullet"/>
      <w:lvlText w:val="o"/>
      <w:lvlJc w:val="left"/>
      <w:pPr>
        <w:tabs>
          <w:tab w:val="num" w:pos="1440"/>
        </w:tabs>
        <w:ind w:left="1440" w:hanging="360"/>
      </w:pPr>
      <w:rPr>
        <w:rFonts w:ascii="Courier New" w:hAnsi="Courier New"/>
      </w:rPr>
    </w:lvl>
    <w:lvl w:ilvl="2" w:tplc="33C4654C">
      <w:start w:val="1"/>
      <w:numFmt w:val="bullet"/>
      <w:lvlText w:val=""/>
      <w:lvlJc w:val="left"/>
      <w:pPr>
        <w:tabs>
          <w:tab w:val="num" w:pos="2160"/>
        </w:tabs>
        <w:ind w:left="2160" w:hanging="360"/>
      </w:pPr>
      <w:rPr>
        <w:rFonts w:ascii="Wingdings" w:hAnsi="Wingdings"/>
      </w:rPr>
    </w:lvl>
    <w:lvl w:ilvl="3" w:tplc="82965E2C">
      <w:start w:val="1"/>
      <w:numFmt w:val="bullet"/>
      <w:lvlText w:val=""/>
      <w:lvlJc w:val="left"/>
      <w:pPr>
        <w:tabs>
          <w:tab w:val="num" w:pos="2880"/>
        </w:tabs>
        <w:ind w:left="2880" w:hanging="360"/>
      </w:pPr>
      <w:rPr>
        <w:rFonts w:ascii="Symbol" w:hAnsi="Symbol"/>
      </w:rPr>
    </w:lvl>
    <w:lvl w:ilvl="4" w:tplc="3C888898">
      <w:start w:val="1"/>
      <w:numFmt w:val="bullet"/>
      <w:lvlText w:val="o"/>
      <w:lvlJc w:val="left"/>
      <w:pPr>
        <w:tabs>
          <w:tab w:val="num" w:pos="3600"/>
        </w:tabs>
        <w:ind w:left="3600" w:hanging="360"/>
      </w:pPr>
      <w:rPr>
        <w:rFonts w:ascii="Courier New" w:hAnsi="Courier New"/>
      </w:rPr>
    </w:lvl>
    <w:lvl w:ilvl="5" w:tplc="9530CA9A">
      <w:start w:val="1"/>
      <w:numFmt w:val="bullet"/>
      <w:lvlText w:val=""/>
      <w:lvlJc w:val="left"/>
      <w:pPr>
        <w:tabs>
          <w:tab w:val="num" w:pos="4320"/>
        </w:tabs>
        <w:ind w:left="4320" w:hanging="360"/>
      </w:pPr>
      <w:rPr>
        <w:rFonts w:ascii="Wingdings" w:hAnsi="Wingdings"/>
      </w:rPr>
    </w:lvl>
    <w:lvl w:ilvl="6" w:tplc="2EB8CE1A">
      <w:start w:val="1"/>
      <w:numFmt w:val="bullet"/>
      <w:lvlText w:val=""/>
      <w:lvlJc w:val="left"/>
      <w:pPr>
        <w:tabs>
          <w:tab w:val="num" w:pos="5040"/>
        </w:tabs>
        <w:ind w:left="5040" w:hanging="360"/>
      </w:pPr>
      <w:rPr>
        <w:rFonts w:ascii="Symbol" w:hAnsi="Symbol"/>
      </w:rPr>
    </w:lvl>
    <w:lvl w:ilvl="7" w:tplc="57EC60B8">
      <w:start w:val="1"/>
      <w:numFmt w:val="bullet"/>
      <w:lvlText w:val="o"/>
      <w:lvlJc w:val="left"/>
      <w:pPr>
        <w:tabs>
          <w:tab w:val="num" w:pos="5760"/>
        </w:tabs>
        <w:ind w:left="5760" w:hanging="360"/>
      </w:pPr>
      <w:rPr>
        <w:rFonts w:ascii="Courier New" w:hAnsi="Courier New"/>
      </w:rPr>
    </w:lvl>
    <w:lvl w:ilvl="8" w:tplc="0C86E1A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97E8319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1D386C58">
      <w:start w:val="1"/>
      <w:numFmt w:val="bullet"/>
      <w:lvlText w:val="o"/>
      <w:lvlJc w:val="left"/>
      <w:pPr>
        <w:tabs>
          <w:tab w:val="num" w:pos="1440"/>
        </w:tabs>
        <w:ind w:left="1440" w:hanging="360"/>
      </w:pPr>
      <w:rPr>
        <w:rFonts w:ascii="Courier New" w:hAnsi="Courier New"/>
      </w:rPr>
    </w:lvl>
    <w:lvl w:ilvl="2" w:tplc="D6BEBCF4">
      <w:start w:val="1"/>
      <w:numFmt w:val="bullet"/>
      <w:lvlText w:val=""/>
      <w:lvlJc w:val="left"/>
      <w:pPr>
        <w:tabs>
          <w:tab w:val="num" w:pos="2160"/>
        </w:tabs>
        <w:ind w:left="2160" w:hanging="360"/>
      </w:pPr>
      <w:rPr>
        <w:rFonts w:ascii="Wingdings" w:hAnsi="Wingdings"/>
      </w:rPr>
    </w:lvl>
    <w:lvl w:ilvl="3" w:tplc="6B785F1E">
      <w:start w:val="1"/>
      <w:numFmt w:val="bullet"/>
      <w:lvlText w:val=""/>
      <w:lvlJc w:val="left"/>
      <w:pPr>
        <w:tabs>
          <w:tab w:val="num" w:pos="2880"/>
        </w:tabs>
        <w:ind w:left="2880" w:hanging="360"/>
      </w:pPr>
      <w:rPr>
        <w:rFonts w:ascii="Symbol" w:hAnsi="Symbol"/>
      </w:rPr>
    </w:lvl>
    <w:lvl w:ilvl="4" w:tplc="9594D89E">
      <w:start w:val="1"/>
      <w:numFmt w:val="bullet"/>
      <w:lvlText w:val="o"/>
      <w:lvlJc w:val="left"/>
      <w:pPr>
        <w:tabs>
          <w:tab w:val="num" w:pos="3600"/>
        </w:tabs>
        <w:ind w:left="3600" w:hanging="360"/>
      </w:pPr>
      <w:rPr>
        <w:rFonts w:ascii="Courier New" w:hAnsi="Courier New"/>
      </w:rPr>
    </w:lvl>
    <w:lvl w:ilvl="5" w:tplc="A8BE0A02">
      <w:start w:val="1"/>
      <w:numFmt w:val="bullet"/>
      <w:lvlText w:val=""/>
      <w:lvlJc w:val="left"/>
      <w:pPr>
        <w:tabs>
          <w:tab w:val="num" w:pos="4320"/>
        </w:tabs>
        <w:ind w:left="4320" w:hanging="360"/>
      </w:pPr>
      <w:rPr>
        <w:rFonts w:ascii="Wingdings" w:hAnsi="Wingdings"/>
      </w:rPr>
    </w:lvl>
    <w:lvl w:ilvl="6" w:tplc="64BA9704">
      <w:start w:val="1"/>
      <w:numFmt w:val="bullet"/>
      <w:lvlText w:val=""/>
      <w:lvlJc w:val="left"/>
      <w:pPr>
        <w:tabs>
          <w:tab w:val="num" w:pos="5040"/>
        </w:tabs>
        <w:ind w:left="5040" w:hanging="360"/>
      </w:pPr>
      <w:rPr>
        <w:rFonts w:ascii="Symbol" w:hAnsi="Symbol"/>
      </w:rPr>
    </w:lvl>
    <w:lvl w:ilvl="7" w:tplc="E814079C">
      <w:start w:val="1"/>
      <w:numFmt w:val="bullet"/>
      <w:lvlText w:val="o"/>
      <w:lvlJc w:val="left"/>
      <w:pPr>
        <w:tabs>
          <w:tab w:val="num" w:pos="5760"/>
        </w:tabs>
        <w:ind w:left="5760" w:hanging="360"/>
      </w:pPr>
      <w:rPr>
        <w:rFonts w:ascii="Courier New" w:hAnsi="Courier New"/>
      </w:rPr>
    </w:lvl>
    <w:lvl w:ilvl="8" w:tplc="2E6C5BE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CE1EF97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16680F02">
      <w:start w:val="1"/>
      <w:numFmt w:val="bullet"/>
      <w:lvlText w:val="o"/>
      <w:lvlJc w:val="left"/>
      <w:pPr>
        <w:tabs>
          <w:tab w:val="num" w:pos="1440"/>
        </w:tabs>
        <w:ind w:left="1440" w:hanging="360"/>
      </w:pPr>
      <w:rPr>
        <w:rFonts w:ascii="Courier New" w:hAnsi="Courier New"/>
      </w:rPr>
    </w:lvl>
    <w:lvl w:ilvl="2" w:tplc="201A0C82">
      <w:start w:val="1"/>
      <w:numFmt w:val="bullet"/>
      <w:lvlText w:val=""/>
      <w:lvlJc w:val="left"/>
      <w:pPr>
        <w:tabs>
          <w:tab w:val="num" w:pos="2160"/>
        </w:tabs>
        <w:ind w:left="2160" w:hanging="360"/>
      </w:pPr>
      <w:rPr>
        <w:rFonts w:ascii="Wingdings" w:hAnsi="Wingdings"/>
      </w:rPr>
    </w:lvl>
    <w:lvl w:ilvl="3" w:tplc="119E4C18">
      <w:start w:val="1"/>
      <w:numFmt w:val="bullet"/>
      <w:lvlText w:val=""/>
      <w:lvlJc w:val="left"/>
      <w:pPr>
        <w:tabs>
          <w:tab w:val="num" w:pos="2880"/>
        </w:tabs>
        <w:ind w:left="2880" w:hanging="360"/>
      </w:pPr>
      <w:rPr>
        <w:rFonts w:ascii="Symbol" w:hAnsi="Symbol"/>
      </w:rPr>
    </w:lvl>
    <w:lvl w:ilvl="4" w:tplc="BD5877B8">
      <w:start w:val="1"/>
      <w:numFmt w:val="bullet"/>
      <w:lvlText w:val="o"/>
      <w:lvlJc w:val="left"/>
      <w:pPr>
        <w:tabs>
          <w:tab w:val="num" w:pos="3600"/>
        </w:tabs>
        <w:ind w:left="3600" w:hanging="360"/>
      </w:pPr>
      <w:rPr>
        <w:rFonts w:ascii="Courier New" w:hAnsi="Courier New"/>
      </w:rPr>
    </w:lvl>
    <w:lvl w:ilvl="5" w:tplc="3946B1DC">
      <w:start w:val="1"/>
      <w:numFmt w:val="bullet"/>
      <w:lvlText w:val=""/>
      <w:lvlJc w:val="left"/>
      <w:pPr>
        <w:tabs>
          <w:tab w:val="num" w:pos="4320"/>
        </w:tabs>
        <w:ind w:left="4320" w:hanging="360"/>
      </w:pPr>
      <w:rPr>
        <w:rFonts w:ascii="Wingdings" w:hAnsi="Wingdings"/>
      </w:rPr>
    </w:lvl>
    <w:lvl w:ilvl="6" w:tplc="D6A2A348">
      <w:start w:val="1"/>
      <w:numFmt w:val="bullet"/>
      <w:lvlText w:val=""/>
      <w:lvlJc w:val="left"/>
      <w:pPr>
        <w:tabs>
          <w:tab w:val="num" w:pos="5040"/>
        </w:tabs>
        <w:ind w:left="5040" w:hanging="360"/>
      </w:pPr>
      <w:rPr>
        <w:rFonts w:ascii="Symbol" w:hAnsi="Symbol"/>
      </w:rPr>
    </w:lvl>
    <w:lvl w:ilvl="7" w:tplc="79FC3546">
      <w:start w:val="1"/>
      <w:numFmt w:val="bullet"/>
      <w:lvlText w:val="o"/>
      <w:lvlJc w:val="left"/>
      <w:pPr>
        <w:tabs>
          <w:tab w:val="num" w:pos="5760"/>
        </w:tabs>
        <w:ind w:left="5760" w:hanging="360"/>
      </w:pPr>
      <w:rPr>
        <w:rFonts w:ascii="Courier New" w:hAnsi="Courier New"/>
      </w:rPr>
    </w:lvl>
    <w:lvl w:ilvl="8" w:tplc="1E94739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0D66717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E07EC128">
      <w:start w:val="1"/>
      <w:numFmt w:val="bullet"/>
      <w:lvlText w:val="o"/>
      <w:lvlJc w:val="left"/>
      <w:pPr>
        <w:tabs>
          <w:tab w:val="num" w:pos="1440"/>
        </w:tabs>
        <w:ind w:left="1440" w:hanging="360"/>
      </w:pPr>
      <w:rPr>
        <w:rFonts w:ascii="Courier New" w:hAnsi="Courier New"/>
      </w:rPr>
    </w:lvl>
    <w:lvl w:ilvl="2" w:tplc="B2BC7CF8">
      <w:start w:val="1"/>
      <w:numFmt w:val="bullet"/>
      <w:lvlText w:val=""/>
      <w:lvlJc w:val="left"/>
      <w:pPr>
        <w:tabs>
          <w:tab w:val="num" w:pos="2160"/>
        </w:tabs>
        <w:ind w:left="2160" w:hanging="360"/>
      </w:pPr>
      <w:rPr>
        <w:rFonts w:ascii="Wingdings" w:hAnsi="Wingdings"/>
      </w:rPr>
    </w:lvl>
    <w:lvl w:ilvl="3" w:tplc="A0B84438">
      <w:start w:val="1"/>
      <w:numFmt w:val="bullet"/>
      <w:lvlText w:val=""/>
      <w:lvlJc w:val="left"/>
      <w:pPr>
        <w:tabs>
          <w:tab w:val="num" w:pos="2880"/>
        </w:tabs>
        <w:ind w:left="2880" w:hanging="360"/>
      </w:pPr>
      <w:rPr>
        <w:rFonts w:ascii="Symbol" w:hAnsi="Symbol"/>
      </w:rPr>
    </w:lvl>
    <w:lvl w:ilvl="4" w:tplc="706ECEFE">
      <w:start w:val="1"/>
      <w:numFmt w:val="bullet"/>
      <w:lvlText w:val="o"/>
      <w:lvlJc w:val="left"/>
      <w:pPr>
        <w:tabs>
          <w:tab w:val="num" w:pos="3600"/>
        </w:tabs>
        <w:ind w:left="3600" w:hanging="360"/>
      </w:pPr>
      <w:rPr>
        <w:rFonts w:ascii="Courier New" w:hAnsi="Courier New"/>
      </w:rPr>
    </w:lvl>
    <w:lvl w:ilvl="5" w:tplc="95CA0C04">
      <w:start w:val="1"/>
      <w:numFmt w:val="bullet"/>
      <w:lvlText w:val=""/>
      <w:lvlJc w:val="left"/>
      <w:pPr>
        <w:tabs>
          <w:tab w:val="num" w:pos="4320"/>
        </w:tabs>
        <w:ind w:left="4320" w:hanging="360"/>
      </w:pPr>
      <w:rPr>
        <w:rFonts w:ascii="Wingdings" w:hAnsi="Wingdings"/>
      </w:rPr>
    </w:lvl>
    <w:lvl w:ilvl="6" w:tplc="5E3CA992">
      <w:start w:val="1"/>
      <w:numFmt w:val="bullet"/>
      <w:lvlText w:val=""/>
      <w:lvlJc w:val="left"/>
      <w:pPr>
        <w:tabs>
          <w:tab w:val="num" w:pos="5040"/>
        </w:tabs>
        <w:ind w:left="5040" w:hanging="360"/>
      </w:pPr>
      <w:rPr>
        <w:rFonts w:ascii="Symbol" w:hAnsi="Symbol"/>
      </w:rPr>
    </w:lvl>
    <w:lvl w:ilvl="7" w:tplc="DF04374E">
      <w:start w:val="1"/>
      <w:numFmt w:val="bullet"/>
      <w:lvlText w:val="o"/>
      <w:lvlJc w:val="left"/>
      <w:pPr>
        <w:tabs>
          <w:tab w:val="num" w:pos="5760"/>
        </w:tabs>
        <w:ind w:left="5760" w:hanging="360"/>
      </w:pPr>
      <w:rPr>
        <w:rFonts w:ascii="Courier New" w:hAnsi="Courier New"/>
      </w:rPr>
    </w:lvl>
    <w:lvl w:ilvl="8" w:tplc="2674B2E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AB4EBC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F58EDA6">
      <w:start w:val="1"/>
      <w:numFmt w:val="bullet"/>
      <w:lvlText w:val="o"/>
      <w:lvlJc w:val="left"/>
      <w:pPr>
        <w:tabs>
          <w:tab w:val="num" w:pos="1440"/>
        </w:tabs>
        <w:ind w:left="1440" w:hanging="360"/>
      </w:pPr>
      <w:rPr>
        <w:rFonts w:ascii="Courier New" w:hAnsi="Courier New"/>
      </w:rPr>
    </w:lvl>
    <w:lvl w:ilvl="2" w:tplc="812036E4">
      <w:start w:val="1"/>
      <w:numFmt w:val="bullet"/>
      <w:lvlText w:val=""/>
      <w:lvlJc w:val="left"/>
      <w:pPr>
        <w:tabs>
          <w:tab w:val="num" w:pos="2160"/>
        </w:tabs>
        <w:ind w:left="2160" w:hanging="360"/>
      </w:pPr>
      <w:rPr>
        <w:rFonts w:ascii="Wingdings" w:hAnsi="Wingdings"/>
      </w:rPr>
    </w:lvl>
    <w:lvl w:ilvl="3" w:tplc="19541464">
      <w:start w:val="1"/>
      <w:numFmt w:val="bullet"/>
      <w:lvlText w:val=""/>
      <w:lvlJc w:val="left"/>
      <w:pPr>
        <w:tabs>
          <w:tab w:val="num" w:pos="2880"/>
        </w:tabs>
        <w:ind w:left="2880" w:hanging="360"/>
      </w:pPr>
      <w:rPr>
        <w:rFonts w:ascii="Symbol" w:hAnsi="Symbol"/>
      </w:rPr>
    </w:lvl>
    <w:lvl w:ilvl="4" w:tplc="99861F70">
      <w:start w:val="1"/>
      <w:numFmt w:val="bullet"/>
      <w:lvlText w:val="o"/>
      <w:lvlJc w:val="left"/>
      <w:pPr>
        <w:tabs>
          <w:tab w:val="num" w:pos="3600"/>
        </w:tabs>
        <w:ind w:left="3600" w:hanging="360"/>
      </w:pPr>
      <w:rPr>
        <w:rFonts w:ascii="Courier New" w:hAnsi="Courier New"/>
      </w:rPr>
    </w:lvl>
    <w:lvl w:ilvl="5" w:tplc="85AC8170">
      <w:start w:val="1"/>
      <w:numFmt w:val="bullet"/>
      <w:lvlText w:val=""/>
      <w:lvlJc w:val="left"/>
      <w:pPr>
        <w:tabs>
          <w:tab w:val="num" w:pos="4320"/>
        </w:tabs>
        <w:ind w:left="4320" w:hanging="360"/>
      </w:pPr>
      <w:rPr>
        <w:rFonts w:ascii="Wingdings" w:hAnsi="Wingdings"/>
      </w:rPr>
    </w:lvl>
    <w:lvl w:ilvl="6" w:tplc="20B05358">
      <w:start w:val="1"/>
      <w:numFmt w:val="bullet"/>
      <w:lvlText w:val=""/>
      <w:lvlJc w:val="left"/>
      <w:pPr>
        <w:tabs>
          <w:tab w:val="num" w:pos="5040"/>
        </w:tabs>
        <w:ind w:left="5040" w:hanging="360"/>
      </w:pPr>
      <w:rPr>
        <w:rFonts w:ascii="Symbol" w:hAnsi="Symbol"/>
      </w:rPr>
    </w:lvl>
    <w:lvl w:ilvl="7" w:tplc="C896D0B0">
      <w:start w:val="1"/>
      <w:numFmt w:val="bullet"/>
      <w:lvlText w:val="o"/>
      <w:lvlJc w:val="left"/>
      <w:pPr>
        <w:tabs>
          <w:tab w:val="num" w:pos="5760"/>
        </w:tabs>
        <w:ind w:left="5760" w:hanging="360"/>
      </w:pPr>
      <w:rPr>
        <w:rFonts w:ascii="Courier New" w:hAnsi="Courier New"/>
      </w:rPr>
    </w:lvl>
    <w:lvl w:ilvl="8" w:tplc="91BC7DE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2EDC031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FA36AFE8">
      <w:start w:val="1"/>
      <w:numFmt w:val="bullet"/>
      <w:lvlText w:val="o"/>
      <w:lvlJc w:val="left"/>
      <w:pPr>
        <w:tabs>
          <w:tab w:val="num" w:pos="1440"/>
        </w:tabs>
        <w:ind w:left="1440" w:hanging="360"/>
      </w:pPr>
      <w:rPr>
        <w:rFonts w:ascii="Courier New" w:hAnsi="Courier New"/>
      </w:rPr>
    </w:lvl>
    <w:lvl w:ilvl="2" w:tplc="CB981F38">
      <w:start w:val="1"/>
      <w:numFmt w:val="bullet"/>
      <w:lvlText w:val=""/>
      <w:lvlJc w:val="left"/>
      <w:pPr>
        <w:tabs>
          <w:tab w:val="num" w:pos="2160"/>
        </w:tabs>
        <w:ind w:left="2160" w:hanging="360"/>
      </w:pPr>
      <w:rPr>
        <w:rFonts w:ascii="Wingdings" w:hAnsi="Wingdings"/>
      </w:rPr>
    </w:lvl>
    <w:lvl w:ilvl="3" w:tplc="06AC38D4">
      <w:start w:val="1"/>
      <w:numFmt w:val="bullet"/>
      <w:lvlText w:val=""/>
      <w:lvlJc w:val="left"/>
      <w:pPr>
        <w:tabs>
          <w:tab w:val="num" w:pos="2880"/>
        </w:tabs>
        <w:ind w:left="2880" w:hanging="360"/>
      </w:pPr>
      <w:rPr>
        <w:rFonts w:ascii="Symbol" w:hAnsi="Symbol"/>
      </w:rPr>
    </w:lvl>
    <w:lvl w:ilvl="4" w:tplc="B0543B50">
      <w:start w:val="1"/>
      <w:numFmt w:val="bullet"/>
      <w:lvlText w:val="o"/>
      <w:lvlJc w:val="left"/>
      <w:pPr>
        <w:tabs>
          <w:tab w:val="num" w:pos="3600"/>
        </w:tabs>
        <w:ind w:left="3600" w:hanging="360"/>
      </w:pPr>
      <w:rPr>
        <w:rFonts w:ascii="Courier New" w:hAnsi="Courier New"/>
      </w:rPr>
    </w:lvl>
    <w:lvl w:ilvl="5" w:tplc="D4FEB41C">
      <w:start w:val="1"/>
      <w:numFmt w:val="bullet"/>
      <w:lvlText w:val=""/>
      <w:lvlJc w:val="left"/>
      <w:pPr>
        <w:tabs>
          <w:tab w:val="num" w:pos="4320"/>
        </w:tabs>
        <w:ind w:left="4320" w:hanging="360"/>
      </w:pPr>
      <w:rPr>
        <w:rFonts w:ascii="Wingdings" w:hAnsi="Wingdings"/>
      </w:rPr>
    </w:lvl>
    <w:lvl w:ilvl="6" w:tplc="3858F2B4">
      <w:start w:val="1"/>
      <w:numFmt w:val="bullet"/>
      <w:lvlText w:val=""/>
      <w:lvlJc w:val="left"/>
      <w:pPr>
        <w:tabs>
          <w:tab w:val="num" w:pos="5040"/>
        </w:tabs>
        <w:ind w:left="5040" w:hanging="360"/>
      </w:pPr>
      <w:rPr>
        <w:rFonts w:ascii="Symbol" w:hAnsi="Symbol"/>
      </w:rPr>
    </w:lvl>
    <w:lvl w:ilvl="7" w:tplc="651A0696">
      <w:start w:val="1"/>
      <w:numFmt w:val="bullet"/>
      <w:lvlText w:val="o"/>
      <w:lvlJc w:val="left"/>
      <w:pPr>
        <w:tabs>
          <w:tab w:val="num" w:pos="5760"/>
        </w:tabs>
        <w:ind w:left="5760" w:hanging="360"/>
      </w:pPr>
      <w:rPr>
        <w:rFonts w:ascii="Courier New" w:hAnsi="Courier New"/>
      </w:rPr>
    </w:lvl>
    <w:lvl w:ilvl="8" w:tplc="E82A3AC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0BD68CE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CDCBA26">
      <w:start w:val="1"/>
      <w:numFmt w:val="bullet"/>
      <w:lvlText w:val="o"/>
      <w:lvlJc w:val="left"/>
      <w:pPr>
        <w:tabs>
          <w:tab w:val="num" w:pos="1440"/>
        </w:tabs>
        <w:ind w:left="1440" w:hanging="360"/>
      </w:pPr>
      <w:rPr>
        <w:rFonts w:ascii="Courier New" w:hAnsi="Courier New"/>
      </w:rPr>
    </w:lvl>
    <w:lvl w:ilvl="2" w:tplc="ECBEC606">
      <w:start w:val="1"/>
      <w:numFmt w:val="bullet"/>
      <w:lvlText w:val=""/>
      <w:lvlJc w:val="left"/>
      <w:pPr>
        <w:tabs>
          <w:tab w:val="num" w:pos="2160"/>
        </w:tabs>
        <w:ind w:left="2160" w:hanging="360"/>
      </w:pPr>
      <w:rPr>
        <w:rFonts w:ascii="Wingdings" w:hAnsi="Wingdings"/>
      </w:rPr>
    </w:lvl>
    <w:lvl w:ilvl="3" w:tplc="76AAE1CC">
      <w:start w:val="1"/>
      <w:numFmt w:val="bullet"/>
      <w:lvlText w:val=""/>
      <w:lvlJc w:val="left"/>
      <w:pPr>
        <w:tabs>
          <w:tab w:val="num" w:pos="2880"/>
        </w:tabs>
        <w:ind w:left="2880" w:hanging="360"/>
      </w:pPr>
      <w:rPr>
        <w:rFonts w:ascii="Symbol" w:hAnsi="Symbol"/>
      </w:rPr>
    </w:lvl>
    <w:lvl w:ilvl="4" w:tplc="D1460E78">
      <w:start w:val="1"/>
      <w:numFmt w:val="bullet"/>
      <w:lvlText w:val="o"/>
      <w:lvlJc w:val="left"/>
      <w:pPr>
        <w:tabs>
          <w:tab w:val="num" w:pos="3600"/>
        </w:tabs>
        <w:ind w:left="3600" w:hanging="360"/>
      </w:pPr>
      <w:rPr>
        <w:rFonts w:ascii="Courier New" w:hAnsi="Courier New"/>
      </w:rPr>
    </w:lvl>
    <w:lvl w:ilvl="5" w:tplc="75B2937A">
      <w:start w:val="1"/>
      <w:numFmt w:val="bullet"/>
      <w:lvlText w:val=""/>
      <w:lvlJc w:val="left"/>
      <w:pPr>
        <w:tabs>
          <w:tab w:val="num" w:pos="4320"/>
        </w:tabs>
        <w:ind w:left="4320" w:hanging="360"/>
      </w:pPr>
      <w:rPr>
        <w:rFonts w:ascii="Wingdings" w:hAnsi="Wingdings"/>
      </w:rPr>
    </w:lvl>
    <w:lvl w:ilvl="6" w:tplc="1F462902">
      <w:start w:val="1"/>
      <w:numFmt w:val="bullet"/>
      <w:lvlText w:val=""/>
      <w:lvlJc w:val="left"/>
      <w:pPr>
        <w:tabs>
          <w:tab w:val="num" w:pos="5040"/>
        </w:tabs>
        <w:ind w:left="5040" w:hanging="360"/>
      </w:pPr>
      <w:rPr>
        <w:rFonts w:ascii="Symbol" w:hAnsi="Symbol"/>
      </w:rPr>
    </w:lvl>
    <w:lvl w:ilvl="7" w:tplc="BCC084F8">
      <w:start w:val="1"/>
      <w:numFmt w:val="bullet"/>
      <w:lvlText w:val="o"/>
      <w:lvlJc w:val="left"/>
      <w:pPr>
        <w:tabs>
          <w:tab w:val="num" w:pos="5760"/>
        </w:tabs>
        <w:ind w:left="5760" w:hanging="360"/>
      </w:pPr>
      <w:rPr>
        <w:rFonts w:ascii="Courier New" w:hAnsi="Courier New"/>
      </w:rPr>
    </w:lvl>
    <w:lvl w:ilvl="8" w:tplc="A44688B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D3866FD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507E8124">
      <w:start w:val="1"/>
      <w:numFmt w:val="bullet"/>
      <w:lvlText w:val="o"/>
      <w:lvlJc w:val="left"/>
      <w:pPr>
        <w:tabs>
          <w:tab w:val="num" w:pos="1440"/>
        </w:tabs>
        <w:ind w:left="1440" w:hanging="360"/>
      </w:pPr>
      <w:rPr>
        <w:rFonts w:ascii="Courier New" w:hAnsi="Courier New"/>
      </w:rPr>
    </w:lvl>
    <w:lvl w:ilvl="2" w:tplc="A09E61E8">
      <w:start w:val="1"/>
      <w:numFmt w:val="bullet"/>
      <w:lvlText w:val=""/>
      <w:lvlJc w:val="left"/>
      <w:pPr>
        <w:tabs>
          <w:tab w:val="num" w:pos="2160"/>
        </w:tabs>
        <w:ind w:left="2160" w:hanging="360"/>
      </w:pPr>
      <w:rPr>
        <w:rFonts w:ascii="Wingdings" w:hAnsi="Wingdings"/>
      </w:rPr>
    </w:lvl>
    <w:lvl w:ilvl="3" w:tplc="8CB6B954">
      <w:start w:val="1"/>
      <w:numFmt w:val="bullet"/>
      <w:lvlText w:val=""/>
      <w:lvlJc w:val="left"/>
      <w:pPr>
        <w:tabs>
          <w:tab w:val="num" w:pos="2880"/>
        </w:tabs>
        <w:ind w:left="2880" w:hanging="360"/>
      </w:pPr>
      <w:rPr>
        <w:rFonts w:ascii="Symbol" w:hAnsi="Symbol"/>
      </w:rPr>
    </w:lvl>
    <w:lvl w:ilvl="4" w:tplc="602A9078">
      <w:start w:val="1"/>
      <w:numFmt w:val="bullet"/>
      <w:lvlText w:val="o"/>
      <w:lvlJc w:val="left"/>
      <w:pPr>
        <w:tabs>
          <w:tab w:val="num" w:pos="3600"/>
        </w:tabs>
        <w:ind w:left="3600" w:hanging="360"/>
      </w:pPr>
      <w:rPr>
        <w:rFonts w:ascii="Courier New" w:hAnsi="Courier New"/>
      </w:rPr>
    </w:lvl>
    <w:lvl w:ilvl="5" w:tplc="EF9A8794">
      <w:start w:val="1"/>
      <w:numFmt w:val="bullet"/>
      <w:lvlText w:val=""/>
      <w:lvlJc w:val="left"/>
      <w:pPr>
        <w:tabs>
          <w:tab w:val="num" w:pos="4320"/>
        </w:tabs>
        <w:ind w:left="4320" w:hanging="360"/>
      </w:pPr>
      <w:rPr>
        <w:rFonts w:ascii="Wingdings" w:hAnsi="Wingdings"/>
      </w:rPr>
    </w:lvl>
    <w:lvl w:ilvl="6" w:tplc="983CA63A">
      <w:start w:val="1"/>
      <w:numFmt w:val="bullet"/>
      <w:lvlText w:val=""/>
      <w:lvlJc w:val="left"/>
      <w:pPr>
        <w:tabs>
          <w:tab w:val="num" w:pos="5040"/>
        </w:tabs>
        <w:ind w:left="5040" w:hanging="360"/>
      </w:pPr>
      <w:rPr>
        <w:rFonts w:ascii="Symbol" w:hAnsi="Symbol"/>
      </w:rPr>
    </w:lvl>
    <w:lvl w:ilvl="7" w:tplc="A0FEA250">
      <w:start w:val="1"/>
      <w:numFmt w:val="bullet"/>
      <w:lvlText w:val="o"/>
      <w:lvlJc w:val="left"/>
      <w:pPr>
        <w:tabs>
          <w:tab w:val="num" w:pos="5760"/>
        </w:tabs>
        <w:ind w:left="5760" w:hanging="360"/>
      </w:pPr>
      <w:rPr>
        <w:rFonts w:ascii="Courier New" w:hAnsi="Courier New"/>
      </w:rPr>
    </w:lvl>
    <w:lvl w:ilvl="8" w:tplc="4AC611F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776136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A1E8E0C0">
      <w:start w:val="1"/>
      <w:numFmt w:val="bullet"/>
      <w:lvlText w:val="o"/>
      <w:lvlJc w:val="left"/>
      <w:pPr>
        <w:tabs>
          <w:tab w:val="num" w:pos="1440"/>
        </w:tabs>
        <w:ind w:left="1440" w:hanging="360"/>
      </w:pPr>
      <w:rPr>
        <w:rFonts w:ascii="Courier New" w:hAnsi="Courier New"/>
      </w:rPr>
    </w:lvl>
    <w:lvl w:ilvl="2" w:tplc="B1C2F036">
      <w:start w:val="1"/>
      <w:numFmt w:val="bullet"/>
      <w:lvlText w:val=""/>
      <w:lvlJc w:val="left"/>
      <w:pPr>
        <w:tabs>
          <w:tab w:val="num" w:pos="2160"/>
        </w:tabs>
        <w:ind w:left="2160" w:hanging="360"/>
      </w:pPr>
      <w:rPr>
        <w:rFonts w:ascii="Wingdings" w:hAnsi="Wingdings"/>
      </w:rPr>
    </w:lvl>
    <w:lvl w:ilvl="3" w:tplc="D654CBA8">
      <w:start w:val="1"/>
      <w:numFmt w:val="bullet"/>
      <w:lvlText w:val=""/>
      <w:lvlJc w:val="left"/>
      <w:pPr>
        <w:tabs>
          <w:tab w:val="num" w:pos="2880"/>
        </w:tabs>
        <w:ind w:left="2880" w:hanging="360"/>
      </w:pPr>
      <w:rPr>
        <w:rFonts w:ascii="Symbol" w:hAnsi="Symbol"/>
      </w:rPr>
    </w:lvl>
    <w:lvl w:ilvl="4" w:tplc="71A41CC2">
      <w:start w:val="1"/>
      <w:numFmt w:val="bullet"/>
      <w:lvlText w:val="o"/>
      <w:lvlJc w:val="left"/>
      <w:pPr>
        <w:tabs>
          <w:tab w:val="num" w:pos="3600"/>
        </w:tabs>
        <w:ind w:left="3600" w:hanging="360"/>
      </w:pPr>
      <w:rPr>
        <w:rFonts w:ascii="Courier New" w:hAnsi="Courier New"/>
      </w:rPr>
    </w:lvl>
    <w:lvl w:ilvl="5" w:tplc="C79430B8">
      <w:start w:val="1"/>
      <w:numFmt w:val="bullet"/>
      <w:lvlText w:val=""/>
      <w:lvlJc w:val="left"/>
      <w:pPr>
        <w:tabs>
          <w:tab w:val="num" w:pos="4320"/>
        </w:tabs>
        <w:ind w:left="4320" w:hanging="360"/>
      </w:pPr>
      <w:rPr>
        <w:rFonts w:ascii="Wingdings" w:hAnsi="Wingdings"/>
      </w:rPr>
    </w:lvl>
    <w:lvl w:ilvl="6" w:tplc="832A68EA">
      <w:start w:val="1"/>
      <w:numFmt w:val="bullet"/>
      <w:lvlText w:val=""/>
      <w:lvlJc w:val="left"/>
      <w:pPr>
        <w:tabs>
          <w:tab w:val="num" w:pos="5040"/>
        </w:tabs>
        <w:ind w:left="5040" w:hanging="360"/>
      </w:pPr>
      <w:rPr>
        <w:rFonts w:ascii="Symbol" w:hAnsi="Symbol"/>
      </w:rPr>
    </w:lvl>
    <w:lvl w:ilvl="7" w:tplc="4FF27CEC">
      <w:start w:val="1"/>
      <w:numFmt w:val="bullet"/>
      <w:lvlText w:val="o"/>
      <w:lvlJc w:val="left"/>
      <w:pPr>
        <w:tabs>
          <w:tab w:val="num" w:pos="5760"/>
        </w:tabs>
        <w:ind w:left="5760" w:hanging="360"/>
      </w:pPr>
      <w:rPr>
        <w:rFonts w:ascii="Courier New" w:hAnsi="Courier New"/>
      </w:rPr>
    </w:lvl>
    <w:lvl w:ilvl="8" w:tplc="C88086C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202447E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80B2A6C6">
      <w:start w:val="1"/>
      <w:numFmt w:val="bullet"/>
      <w:lvlText w:val="o"/>
      <w:lvlJc w:val="left"/>
      <w:pPr>
        <w:tabs>
          <w:tab w:val="num" w:pos="1440"/>
        </w:tabs>
        <w:ind w:left="1440" w:hanging="360"/>
      </w:pPr>
      <w:rPr>
        <w:rFonts w:ascii="Courier New" w:hAnsi="Courier New"/>
      </w:rPr>
    </w:lvl>
    <w:lvl w:ilvl="2" w:tplc="A5B0EAE8">
      <w:start w:val="1"/>
      <w:numFmt w:val="bullet"/>
      <w:lvlText w:val=""/>
      <w:lvlJc w:val="left"/>
      <w:pPr>
        <w:tabs>
          <w:tab w:val="num" w:pos="2160"/>
        </w:tabs>
        <w:ind w:left="2160" w:hanging="360"/>
      </w:pPr>
      <w:rPr>
        <w:rFonts w:ascii="Wingdings" w:hAnsi="Wingdings"/>
      </w:rPr>
    </w:lvl>
    <w:lvl w:ilvl="3" w:tplc="52D2D03E">
      <w:start w:val="1"/>
      <w:numFmt w:val="bullet"/>
      <w:lvlText w:val=""/>
      <w:lvlJc w:val="left"/>
      <w:pPr>
        <w:tabs>
          <w:tab w:val="num" w:pos="2880"/>
        </w:tabs>
        <w:ind w:left="2880" w:hanging="360"/>
      </w:pPr>
      <w:rPr>
        <w:rFonts w:ascii="Symbol" w:hAnsi="Symbol"/>
      </w:rPr>
    </w:lvl>
    <w:lvl w:ilvl="4" w:tplc="6E9267D4">
      <w:start w:val="1"/>
      <w:numFmt w:val="bullet"/>
      <w:lvlText w:val="o"/>
      <w:lvlJc w:val="left"/>
      <w:pPr>
        <w:tabs>
          <w:tab w:val="num" w:pos="3600"/>
        </w:tabs>
        <w:ind w:left="3600" w:hanging="360"/>
      </w:pPr>
      <w:rPr>
        <w:rFonts w:ascii="Courier New" w:hAnsi="Courier New"/>
      </w:rPr>
    </w:lvl>
    <w:lvl w:ilvl="5" w:tplc="9474CCC4">
      <w:start w:val="1"/>
      <w:numFmt w:val="bullet"/>
      <w:lvlText w:val=""/>
      <w:lvlJc w:val="left"/>
      <w:pPr>
        <w:tabs>
          <w:tab w:val="num" w:pos="4320"/>
        </w:tabs>
        <w:ind w:left="4320" w:hanging="360"/>
      </w:pPr>
      <w:rPr>
        <w:rFonts w:ascii="Wingdings" w:hAnsi="Wingdings"/>
      </w:rPr>
    </w:lvl>
    <w:lvl w:ilvl="6" w:tplc="0408EF84">
      <w:start w:val="1"/>
      <w:numFmt w:val="bullet"/>
      <w:lvlText w:val=""/>
      <w:lvlJc w:val="left"/>
      <w:pPr>
        <w:tabs>
          <w:tab w:val="num" w:pos="5040"/>
        </w:tabs>
        <w:ind w:left="5040" w:hanging="360"/>
      </w:pPr>
      <w:rPr>
        <w:rFonts w:ascii="Symbol" w:hAnsi="Symbol"/>
      </w:rPr>
    </w:lvl>
    <w:lvl w:ilvl="7" w:tplc="317EFCB0">
      <w:start w:val="1"/>
      <w:numFmt w:val="bullet"/>
      <w:lvlText w:val="o"/>
      <w:lvlJc w:val="left"/>
      <w:pPr>
        <w:tabs>
          <w:tab w:val="num" w:pos="5760"/>
        </w:tabs>
        <w:ind w:left="5760" w:hanging="360"/>
      </w:pPr>
      <w:rPr>
        <w:rFonts w:ascii="Courier New" w:hAnsi="Courier New"/>
      </w:rPr>
    </w:lvl>
    <w:lvl w:ilvl="8" w:tplc="B06CCE3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CABC299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1CAE867C">
      <w:start w:val="1"/>
      <w:numFmt w:val="bullet"/>
      <w:lvlText w:val="o"/>
      <w:lvlJc w:val="left"/>
      <w:pPr>
        <w:tabs>
          <w:tab w:val="num" w:pos="1440"/>
        </w:tabs>
        <w:ind w:left="1440" w:hanging="360"/>
      </w:pPr>
      <w:rPr>
        <w:rFonts w:ascii="Courier New" w:hAnsi="Courier New"/>
      </w:rPr>
    </w:lvl>
    <w:lvl w:ilvl="2" w:tplc="B2D63152">
      <w:start w:val="1"/>
      <w:numFmt w:val="bullet"/>
      <w:lvlText w:val=""/>
      <w:lvlJc w:val="left"/>
      <w:pPr>
        <w:tabs>
          <w:tab w:val="num" w:pos="2160"/>
        </w:tabs>
        <w:ind w:left="2160" w:hanging="360"/>
      </w:pPr>
      <w:rPr>
        <w:rFonts w:ascii="Wingdings" w:hAnsi="Wingdings"/>
      </w:rPr>
    </w:lvl>
    <w:lvl w:ilvl="3" w:tplc="64B4EC38">
      <w:start w:val="1"/>
      <w:numFmt w:val="bullet"/>
      <w:lvlText w:val=""/>
      <w:lvlJc w:val="left"/>
      <w:pPr>
        <w:tabs>
          <w:tab w:val="num" w:pos="2880"/>
        </w:tabs>
        <w:ind w:left="2880" w:hanging="360"/>
      </w:pPr>
      <w:rPr>
        <w:rFonts w:ascii="Symbol" w:hAnsi="Symbol"/>
      </w:rPr>
    </w:lvl>
    <w:lvl w:ilvl="4" w:tplc="A6DAA906">
      <w:start w:val="1"/>
      <w:numFmt w:val="bullet"/>
      <w:lvlText w:val="o"/>
      <w:lvlJc w:val="left"/>
      <w:pPr>
        <w:tabs>
          <w:tab w:val="num" w:pos="3600"/>
        </w:tabs>
        <w:ind w:left="3600" w:hanging="360"/>
      </w:pPr>
      <w:rPr>
        <w:rFonts w:ascii="Courier New" w:hAnsi="Courier New"/>
      </w:rPr>
    </w:lvl>
    <w:lvl w:ilvl="5" w:tplc="E572D2EE">
      <w:start w:val="1"/>
      <w:numFmt w:val="bullet"/>
      <w:lvlText w:val=""/>
      <w:lvlJc w:val="left"/>
      <w:pPr>
        <w:tabs>
          <w:tab w:val="num" w:pos="4320"/>
        </w:tabs>
        <w:ind w:left="4320" w:hanging="360"/>
      </w:pPr>
      <w:rPr>
        <w:rFonts w:ascii="Wingdings" w:hAnsi="Wingdings"/>
      </w:rPr>
    </w:lvl>
    <w:lvl w:ilvl="6" w:tplc="B540021E">
      <w:start w:val="1"/>
      <w:numFmt w:val="bullet"/>
      <w:lvlText w:val=""/>
      <w:lvlJc w:val="left"/>
      <w:pPr>
        <w:tabs>
          <w:tab w:val="num" w:pos="5040"/>
        </w:tabs>
        <w:ind w:left="5040" w:hanging="360"/>
      </w:pPr>
      <w:rPr>
        <w:rFonts w:ascii="Symbol" w:hAnsi="Symbol"/>
      </w:rPr>
    </w:lvl>
    <w:lvl w:ilvl="7" w:tplc="B340533A">
      <w:start w:val="1"/>
      <w:numFmt w:val="bullet"/>
      <w:lvlText w:val="o"/>
      <w:lvlJc w:val="left"/>
      <w:pPr>
        <w:tabs>
          <w:tab w:val="num" w:pos="5760"/>
        </w:tabs>
        <w:ind w:left="5760" w:hanging="360"/>
      </w:pPr>
      <w:rPr>
        <w:rFonts w:ascii="Courier New" w:hAnsi="Courier New"/>
      </w:rPr>
    </w:lvl>
    <w:lvl w:ilvl="8" w:tplc="58181024">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8EC8362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93AEF90A">
      <w:start w:val="1"/>
      <w:numFmt w:val="bullet"/>
      <w:lvlText w:val="o"/>
      <w:lvlJc w:val="left"/>
      <w:pPr>
        <w:tabs>
          <w:tab w:val="num" w:pos="1440"/>
        </w:tabs>
        <w:ind w:left="1440" w:hanging="360"/>
      </w:pPr>
      <w:rPr>
        <w:rFonts w:ascii="Courier New" w:hAnsi="Courier New"/>
      </w:rPr>
    </w:lvl>
    <w:lvl w:ilvl="2" w:tplc="B18E40CC">
      <w:start w:val="1"/>
      <w:numFmt w:val="bullet"/>
      <w:lvlText w:val=""/>
      <w:lvlJc w:val="left"/>
      <w:pPr>
        <w:tabs>
          <w:tab w:val="num" w:pos="2160"/>
        </w:tabs>
        <w:ind w:left="2160" w:hanging="360"/>
      </w:pPr>
      <w:rPr>
        <w:rFonts w:ascii="Wingdings" w:hAnsi="Wingdings"/>
      </w:rPr>
    </w:lvl>
    <w:lvl w:ilvl="3" w:tplc="2182D094">
      <w:start w:val="1"/>
      <w:numFmt w:val="bullet"/>
      <w:lvlText w:val=""/>
      <w:lvlJc w:val="left"/>
      <w:pPr>
        <w:tabs>
          <w:tab w:val="num" w:pos="2880"/>
        </w:tabs>
        <w:ind w:left="2880" w:hanging="360"/>
      </w:pPr>
      <w:rPr>
        <w:rFonts w:ascii="Symbol" w:hAnsi="Symbol"/>
      </w:rPr>
    </w:lvl>
    <w:lvl w:ilvl="4" w:tplc="75DCE2D0">
      <w:start w:val="1"/>
      <w:numFmt w:val="bullet"/>
      <w:lvlText w:val="o"/>
      <w:lvlJc w:val="left"/>
      <w:pPr>
        <w:tabs>
          <w:tab w:val="num" w:pos="3600"/>
        </w:tabs>
        <w:ind w:left="3600" w:hanging="360"/>
      </w:pPr>
      <w:rPr>
        <w:rFonts w:ascii="Courier New" w:hAnsi="Courier New"/>
      </w:rPr>
    </w:lvl>
    <w:lvl w:ilvl="5" w:tplc="C75C86E6">
      <w:start w:val="1"/>
      <w:numFmt w:val="bullet"/>
      <w:lvlText w:val=""/>
      <w:lvlJc w:val="left"/>
      <w:pPr>
        <w:tabs>
          <w:tab w:val="num" w:pos="4320"/>
        </w:tabs>
        <w:ind w:left="4320" w:hanging="360"/>
      </w:pPr>
      <w:rPr>
        <w:rFonts w:ascii="Wingdings" w:hAnsi="Wingdings"/>
      </w:rPr>
    </w:lvl>
    <w:lvl w:ilvl="6" w:tplc="B89A7112">
      <w:start w:val="1"/>
      <w:numFmt w:val="bullet"/>
      <w:lvlText w:val=""/>
      <w:lvlJc w:val="left"/>
      <w:pPr>
        <w:tabs>
          <w:tab w:val="num" w:pos="5040"/>
        </w:tabs>
        <w:ind w:left="5040" w:hanging="360"/>
      </w:pPr>
      <w:rPr>
        <w:rFonts w:ascii="Symbol" w:hAnsi="Symbol"/>
      </w:rPr>
    </w:lvl>
    <w:lvl w:ilvl="7" w:tplc="58E6DA62">
      <w:start w:val="1"/>
      <w:numFmt w:val="bullet"/>
      <w:lvlText w:val="o"/>
      <w:lvlJc w:val="left"/>
      <w:pPr>
        <w:tabs>
          <w:tab w:val="num" w:pos="5760"/>
        </w:tabs>
        <w:ind w:left="5760" w:hanging="360"/>
      </w:pPr>
      <w:rPr>
        <w:rFonts w:ascii="Courier New" w:hAnsi="Courier New"/>
      </w:rPr>
    </w:lvl>
    <w:lvl w:ilvl="8" w:tplc="66D09CFC">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94422C28">
      <w:start w:val="1"/>
      <w:numFmt w:val="bullet"/>
      <w:lvlText w:val="•"/>
      <w:lvlJc w:val="left"/>
      <w:pPr>
        <w:tabs>
          <w:tab w:val="num" w:pos="720"/>
        </w:tabs>
        <w:ind w:left="720" w:hanging="360"/>
      </w:pPr>
      <w:rPr>
        <w:rFonts w:ascii="Times New Roman" w:eastAsia="Times New Roman" w:hAnsi="Times New Roman" w:cs="Times New Roman"/>
        <w:b w:val="0"/>
        <w:i w:val="0"/>
        <w:strike w:val="0"/>
        <w:sz w:val="20"/>
        <w:u w:val="none"/>
      </w:rPr>
    </w:lvl>
    <w:lvl w:ilvl="1" w:tplc="87C6512C">
      <w:start w:val="1"/>
      <w:numFmt w:val="bullet"/>
      <w:lvlText w:val="o"/>
      <w:lvlJc w:val="left"/>
      <w:pPr>
        <w:tabs>
          <w:tab w:val="num" w:pos="1440"/>
        </w:tabs>
        <w:ind w:left="1440" w:hanging="360"/>
      </w:pPr>
      <w:rPr>
        <w:rFonts w:ascii="Courier New" w:hAnsi="Courier New"/>
      </w:rPr>
    </w:lvl>
    <w:lvl w:ilvl="2" w:tplc="602AABD4">
      <w:start w:val="1"/>
      <w:numFmt w:val="bullet"/>
      <w:lvlText w:val=""/>
      <w:lvlJc w:val="left"/>
      <w:pPr>
        <w:tabs>
          <w:tab w:val="num" w:pos="2160"/>
        </w:tabs>
        <w:ind w:left="2160" w:hanging="360"/>
      </w:pPr>
      <w:rPr>
        <w:rFonts w:ascii="Wingdings" w:hAnsi="Wingdings"/>
      </w:rPr>
    </w:lvl>
    <w:lvl w:ilvl="3" w:tplc="65FA81E6">
      <w:start w:val="1"/>
      <w:numFmt w:val="bullet"/>
      <w:lvlText w:val=""/>
      <w:lvlJc w:val="left"/>
      <w:pPr>
        <w:tabs>
          <w:tab w:val="num" w:pos="2880"/>
        </w:tabs>
        <w:ind w:left="2880" w:hanging="360"/>
      </w:pPr>
      <w:rPr>
        <w:rFonts w:ascii="Symbol" w:hAnsi="Symbol"/>
      </w:rPr>
    </w:lvl>
    <w:lvl w:ilvl="4" w:tplc="C54224C2">
      <w:start w:val="1"/>
      <w:numFmt w:val="bullet"/>
      <w:lvlText w:val="o"/>
      <w:lvlJc w:val="left"/>
      <w:pPr>
        <w:tabs>
          <w:tab w:val="num" w:pos="3600"/>
        </w:tabs>
        <w:ind w:left="3600" w:hanging="360"/>
      </w:pPr>
      <w:rPr>
        <w:rFonts w:ascii="Courier New" w:hAnsi="Courier New"/>
      </w:rPr>
    </w:lvl>
    <w:lvl w:ilvl="5" w:tplc="74568652">
      <w:start w:val="1"/>
      <w:numFmt w:val="bullet"/>
      <w:lvlText w:val=""/>
      <w:lvlJc w:val="left"/>
      <w:pPr>
        <w:tabs>
          <w:tab w:val="num" w:pos="4320"/>
        </w:tabs>
        <w:ind w:left="4320" w:hanging="360"/>
      </w:pPr>
      <w:rPr>
        <w:rFonts w:ascii="Wingdings" w:hAnsi="Wingdings"/>
      </w:rPr>
    </w:lvl>
    <w:lvl w:ilvl="6" w:tplc="81D8CDC6">
      <w:start w:val="1"/>
      <w:numFmt w:val="bullet"/>
      <w:lvlText w:val=""/>
      <w:lvlJc w:val="left"/>
      <w:pPr>
        <w:tabs>
          <w:tab w:val="num" w:pos="5040"/>
        </w:tabs>
        <w:ind w:left="5040" w:hanging="360"/>
      </w:pPr>
      <w:rPr>
        <w:rFonts w:ascii="Symbol" w:hAnsi="Symbol"/>
      </w:rPr>
    </w:lvl>
    <w:lvl w:ilvl="7" w:tplc="D7266C50">
      <w:start w:val="1"/>
      <w:numFmt w:val="bullet"/>
      <w:lvlText w:val="o"/>
      <w:lvlJc w:val="left"/>
      <w:pPr>
        <w:tabs>
          <w:tab w:val="num" w:pos="5760"/>
        </w:tabs>
        <w:ind w:left="5760" w:hanging="360"/>
      </w:pPr>
      <w:rPr>
        <w:rFonts w:ascii="Courier New" w:hAnsi="Courier New"/>
      </w:rPr>
    </w:lvl>
    <w:lvl w:ilvl="8" w:tplc="A718B186">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5EF8EDF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C3542364">
      <w:start w:val="1"/>
      <w:numFmt w:val="bullet"/>
      <w:lvlText w:val="o"/>
      <w:lvlJc w:val="left"/>
      <w:pPr>
        <w:tabs>
          <w:tab w:val="num" w:pos="1440"/>
        </w:tabs>
        <w:ind w:left="1440" w:hanging="360"/>
      </w:pPr>
      <w:rPr>
        <w:rFonts w:ascii="Courier New" w:hAnsi="Courier New"/>
      </w:rPr>
    </w:lvl>
    <w:lvl w:ilvl="2" w:tplc="04A47EAE">
      <w:start w:val="1"/>
      <w:numFmt w:val="bullet"/>
      <w:lvlText w:val=""/>
      <w:lvlJc w:val="left"/>
      <w:pPr>
        <w:tabs>
          <w:tab w:val="num" w:pos="2160"/>
        </w:tabs>
        <w:ind w:left="2160" w:hanging="360"/>
      </w:pPr>
      <w:rPr>
        <w:rFonts w:ascii="Wingdings" w:hAnsi="Wingdings"/>
      </w:rPr>
    </w:lvl>
    <w:lvl w:ilvl="3" w:tplc="3FF2826E">
      <w:start w:val="1"/>
      <w:numFmt w:val="bullet"/>
      <w:lvlText w:val=""/>
      <w:lvlJc w:val="left"/>
      <w:pPr>
        <w:tabs>
          <w:tab w:val="num" w:pos="2880"/>
        </w:tabs>
        <w:ind w:left="2880" w:hanging="360"/>
      </w:pPr>
      <w:rPr>
        <w:rFonts w:ascii="Symbol" w:hAnsi="Symbol"/>
      </w:rPr>
    </w:lvl>
    <w:lvl w:ilvl="4" w:tplc="58A07540">
      <w:start w:val="1"/>
      <w:numFmt w:val="bullet"/>
      <w:lvlText w:val="o"/>
      <w:lvlJc w:val="left"/>
      <w:pPr>
        <w:tabs>
          <w:tab w:val="num" w:pos="3600"/>
        </w:tabs>
        <w:ind w:left="3600" w:hanging="360"/>
      </w:pPr>
      <w:rPr>
        <w:rFonts w:ascii="Courier New" w:hAnsi="Courier New"/>
      </w:rPr>
    </w:lvl>
    <w:lvl w:ilvl="5" w:tplc="AA588E24">
      <w:start w:val="1"/>
      <w:numFmt w:val="bullet"/>
      <w:lvlText w:val=""/>
      <w:lvlJc w:val="left"/>
      <w:pPr>
        <w:tabs>
          <w:tab w:val="num" w:pos="4320"/>
        </w:tabs>
        <w:ind w:left="4320" w:hanging="360"/>
      </w:pPr>
      <w:rPr>
        <w:rFonts w:ascii="Wingdings" w:hAnsi="Wingdings"/>
      </w:rPr>
    </w:lvl>
    <w:lvl w:ilvl="6" w:tplc="8EE80380">
      <w:start w:val="1"/>
      <w:numFmt w:val="bullet"/>
      <w:lvlText w:val=""/>
      <w:lvlJc w:val="left"/>
      <w:pPr>
        <w:tabs>
          <w:tab w:val="num" w:pos="5040"/>
        </w:tabs>
        <w:ind w:left="5040" w:hanging="360"/>
      </w:pPr>
      <w:rPr>
        <w:rFonts w:ascii="Symbol" w:hAnsi="Symbol"/>
      </w:rPr>
    </w:lvl>
    <w:lvl w:ilvl="7" w:tplc="A28676F6">
      <w:start w:val="1"/>
      <w:numFmt w:val="bullet"/>
      <w:lvlText w:val="o"/>
      <w:lvlJc w:val="left"/>
      <w:pPr>
        <w:tabs>
          <w:tab w:val="num" w:pos="5760"/>
        </w:tabs>
        <w:ind w:left="5760" w:hanging="360"/>
      </w:pPr>
      <w:rPr>
        <w:rFonts w:ascii="Courier New" w:hAnsi="Courier New"/>
      </w:rPr>
    </w:lvl>
    <w:lvl w:ilvl="8" w:tplc="3318AAB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7D3CF00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9930536A">
      <w:start w:val="1"/>
      <w:numFmt w:val="bullet"/>
      <w:lvlText w:val="o"/>
      <w:lvlJc w:val="left"/>
      <w:pPr>
        <w:tabs>
          <w:tab w:val="num" w:pos="1440"/>
        </w:tabs>
        <w:ind w:left="1440" w:hanging="360"/>
      </w:pPr>
      <w:rPr>
        <w:rFonts w:ascii="Courier New" w:hAnsi="Courier New"/>
      </w:rPr>
    </w:lvl>
    <w:lvl w:ilvl="2" w:tplc="8952AF44">
      <w:start w:val="1"/>
      <w:numFmt w:val="bullet"/>
      <w:lvlText w:val=""/>
      <w:lvlJc w:val="left"/>
      <w:pPr>
        <w:tabs>
          <w:tab w:val="num" w:pos="2160"/>
        </w:tabs>
        <w:ind w:left="2160" w:hanging="360"/>
      </w:pPr>
      <w:rPr>
        <w:rFonts w:ascii="Wingdings" w:hAnsi="Wingdings"/>
      </w:rPr>
    </w:lvl>
    <w:lvl w:ilvl="3" w:tplc="72F0E2E6">
      <w:start w:val="1"/>
      <w:numFmt w:val="bullet"/>
      <w:lvlText w:val=""/>
      <w:lvlJc w:val="left"/>
      <w:pPr>
        <w:tabs>
          <w:tab w:val="num" w:pos="2880"/>
        </w:tabs>
        <w:ind w:left="2880" w:hanging="360"/>
      </w:pPr>
      <w:rPr>
        <w:rFonts w:ascii="Symbol" w:hAnsi="Symbol"/>
      </w:rPr>
    </w:lvl>
    <w:lvl w:ilvl="4" w:tplc="25FC824A">
      <w:start w:val="1"/>
      <w:numFmt w:val="bullet"/>
      <w:lvlText w:val="o"/>
      <w:lvlJc w:val="left"/>
      <w:pPr>
        <w:tabs>
          <w:tab w:val="num" w:pos="3600"/>
        </w:tabs>
        <w:ind w:left="3600" w:hanging="360"/>
      </w:pPr>
      <w:rPr>
        <w:rFonts w:ascii="Courier New" w:hAnsi="Courier New"/>
      </w:rPr>
    </w:lvl>
    <w:lvl w:ilvl="5" w:tplc="D6B2109A">
      <w:start w:val="1"/>
      <w:numFmt w:val="bullet"/>
      <w:lvlText w:val=""/>
      <w:lvlJc w:val="left"/>
      <w:pPr>
        <w:tabs>
          <w:tab w:val="num" w:pos="4320"/>
        </w:tabs>
        <w:ind w:left="4320" w:hanging="360"/>
      </w:pPr>
      <w:rPr>
        <w:rFonts w:ascii="Wingdings" w:hAnsi="Wingdings"/>
      </w:rPr>
    </w:lvl>
    <w:lvl w:ilvl="6" w:tplc="5E7640C2">
      <w:start w:val="1"/>
      <w:numFmt w:val="bullet"/>
      <w:lvlText w:val=""/>
      <w:lvlJc w:val="left"/>
      <w:pPr>
        <w:tabs>
          <w:tab w:val="num" w:pos="5040"/>
        </w:tabs>
        <w:ind w:left="5040" w:hanging="360"/>
      </w:pPr>
      <w:rPr>
        <w:rFonts w:ascii="Symbol" w:hAnsi="Symbol"/>
      </w:rPr>
    </w:lvl>
    <w:lvl w:ilvl="7" w:tplc="B7829BE4">
      <w:start w:val="1"/>
      <w:numFmt w:val="bullet"/>
      <w:lvlText w:val="o"/>
      <w:lvlJc w:val="left"/>
      <w:pPr>
        <w:tabs>
          <w:tab w:val="num" w:pos="5760"/>
        </w:tabs>
        <w:ind w:left="5760" w:hanging="360"/>
      </w:pPr>
      <w:rPr>
        <w:rFonts w:ascii="Courier New" w:hAnsi="Courier New"/>
      </w:rPr>
    </w:lvl>
    <w:lvl w:ilvl="8" w:tplc="26C83E0C">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99302BFA">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8E7CAD9E">
      <w:start w:val="1"/>
      <w:numFmt w:val="bullet"/>
      <w:lvlText w:val="o"/>
      <w:lvlJc w:val="left"/>
      <w:pPr>
        <w:tabs>
          <w:tab w:val="num" w:pos="1440"/>
        </w:tabs>
        <w:ind w:left="1440" w:hanging="360"/>
      </w:pPr>
      <w:rPr>
        <w:rFonts w:ascii="Courier New" w:hAnsi="Courier New"/>
      </w:rPr>
    </w:lvl>
    <w:lvl w:ilvl="2" w:tplc="3C0AADF8">
      <w:start w:val="1"/>
      <w:numFmt w:val="bullet"/>
      <w:lvlText w:val=""/>
      <w:lvlJc w:val="left"/>
      <w:pPr>
        <w:tabs>
          <w:tab w:val="num" w:pos="2160"/>
        </w:tabs>
        <w:ind w:left="2160" w:hanging="360"/>
      </w:pPr>
      <w:rPr>
        <w:rFonts w:ascii="Wingdings" w:hAnsi="Wingdings"/>
      </w:rPr>
    </w:lvl>
    <w:lvl w:ilvl="3" w:tplc="7248D336">
      <w:start w:val="1"/>
      <w:numFmt w:val="bullet"/>
      <w:lvlText w:val=""/>
      <w:lvlJc w:val="left"/>
      <w:pPr>
        <w:tabs>
          <w:tab w:val="num" w:pos="2880"/>
        </w:tabs>
        <w:ind w:left="2880" w:hanging="360"/>
      </w:pPr>
      <w:rPr>
        <w:rFonts w:ascii="Symbol" w:hAnsi="Symbol"/>
      </w:rPr>
    </w:lvl>
    <w:lvl w:ilvl="4" w:tplc="4D40112A">
      <w:start w:val="1"/>
      <w:numFmt w:val="bullet"/>
      <w:lvlText w:val="o"/>
      <w:lvlJc w:val="left"/>
      <w:pPr>
        <w:tabs>
          <w:tab w:val="num" w:pos="3600"/>
        </w:tabs>
        <w:ind w:left="3600" w:hanging="360"/>
      </w:pPr>
      <w:rPr>
        <w:rFonts w:ascii="Courier New" w:hAnsi="Courier New"/>
      </w:rPr>
    </w:lvl>
    <w:lvl w:ilvl="5" w:tplc="D0F4964C">
      <w:start w:val="1"/>
      <w:numFmt w:val="bullet"/>
      <w:lvlText w:val=""/>
      <w:lvlJc w:val="left"/>
      <w:pPr>
        <w:tabs>
          <w:tab w:val="num" w:pos="4320"/>
        </w:tabs>
        <w:ind w:left="4320" w:hanging="360"/>
      </w:pPr>
      <w:rPr>
        <w:rFonts w:ascii="Wingdings" w:hAnsi="Wingdings"/>
      </w:rPr>
    </w:lvl>
    <w:lvl w:ilvl="6" w:tplc="4F644658">
      <w:start w:val="1"/>
      <w:numFmt w:val="bullet"/>
      <w:lvlText w:val=""/>
      <w:lvlJc w:val="left"/>
      <w:pPr>
        <w:tabs>
          <w:tab w:val="num" w:pos="5040"/>
        </w:tabs>
        <w:ind w:left="5040" w:hanging="360"/>
      </w:pPr>
      <w:rPr>
        <w:rFonts w:ascii="Symbol" w:hAnsi="Symbol"/>
      </w:rPr>
    </w:lvl>
    <w:lvl w:ilvl="7" w:tplc="350A49F0">
      <w:start w:val="1"/>
      <w:numFmt w:val="bullet"/>
      <w:lvlText w:val="o"/>
      <w:lvlJc w:val="left"/>
      <w:pPr>
        <w:tabs>
          <w:tab w:val="num" w:pos="5760"/>
        </w:tabs>
        <w:ind w:left="5760" w:hanging="360"/>
      </w:pPr>
      <w:rPr>
        <w:rFonts w:ascii="Courier New" w:hAnsi="Courier New"/>
      </w:rPr>
    </w:lvl>
    <w:lvl w:ilvl="8" w:tplc="D3D40C3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E79C071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3A703D92">
      <w:start w:val="1"/>
      <w:numFmt w:val="bullet"/>
      <w:lvlText w:val="o"/>
      <w:lvlJc w:val="left"/>
      <w:pPr>
        <w:tabs>
          <w:tab w:val="num" w:pos="1440"/>
        </w:tabs>
        <w:ind w:left="1440" w:hanging="360"/>
      </w:pPr>
      <w:rPr>
        <w:rFonts w:ascii="Courier New" w:hAnsi="Courier New"/>
      </w:rPr>
    </w:lvl>
    <w:lvl w:ilvl="2" w:tplc="610686C4">
      <w:start w:val="1"/>
      <w:numFmt w:val="bullet"/>
      <w:lvlText w:val=""/>
      <w:lvlJc w:val="left"/>
      <w:pPr>
        <w:tabs>
          <w:tab w:val="num" w:pos="2160"/>
        </w:tabs>
        <w:ind w:left="2160" w:hanging="360"/>
      </w:pPr>
      <w:rPr>
        <w:rFonts w:ascii="Wingdings" w:hAnsi="Wingdings"/>
      </w:rPr>
    </w:lvl>
    <w:lvl w:ilvl="3" w:tplc="99A24F68">
      <w:start w:val="1"/>
      <w:numFmt w:val="bullet"/>
      <w:lvlText w:val=""/>
      <w:lvlJc w:val="left"/>
      <w:pPr>
        <w:tabs>
          <w:tab w:val="num" w:pos="2880"/>
        </w:tabs>
        <w:ind w:left="2880" w:hanging="360"/>
      </w:pPr>
      <w:rPr>
        <w:rFonts w:ascii="Symbol" w:hAnsi="Symbol"/>
      </w:rPr>
    </w:lvl>
    <w:lvl w:ilvl="4" w:tplc="CA3A8B6E">
      <w:start w:val="1"/>
      <w:numFmt w:val="bullet"/>
      <w:lvlText w:val="o"/>
      <w:lvlJc w:val="left"/>
      <w:pPr>
        <w:tabs>
          <w:tab w:val="num" w:pos="3600"/>
        </w:tabs>
        <w:ind w:left="3600" w:hanging="360"/>
      </w:pPr>
      <w:rPr>
        <w:rFonts w:ascii="Courier New" w:hAnsi="Courier New"/>
      </w:rPr>
    </w:lvl>
    <w:lvl w:ilvl="5" w:tplc="9A6CC6AE">
      <w:start w:val="1"/>
      <w:numFmt w:val="bullet"/>
      <w:lvlText w:val=""/>
      <w:lvlJc w:val="left"/>
      <w:pPr>
        <w:tabs>
          <w:tab w:val="num" w:pos="4320"/>
        </w:tabs>
        <w:ind w:left="4320" w:hanging="360"/>
      </w:pPr>
      <w:rPr>
        <w:rFonts w:ascii="Wingdings" w:hAnsi="Wingdings"/>
      </w:rPr>
    </w:lvl>
    <w:lvl w:ilvl="6" w:tplc="77628CF6">
      <w:start w:val="1"/>
      <w:numFmt w:val="bullet"/>
      <w:lvlText w:val=""/>
      <w:lvlJc w:val="left"/>
      <w:pPr>
        <w:tabs>
          <w:tab w:val="num" w:pos="5040"/>
        </w:tabs>
        <w:ind w:left="5040" w:hanging="360"/>
      </w:pPr>
      <w:rPr>
        <w:rFonts w:ascii="Symbol" w:hAnsi="Symbol"/>
      </w:rPr>
    </w:lvl>
    <w:lvl w:ilvl="7" w:tplc="659A31C4">
      <w:start w:val="1"/>
      <w:numFmt w:val="bullet"/>
      <w:lvlText w:val="o"/>
      <w:lvlJc w:val="left"/>
      <w:pPr>
        <w:tabs>
          <w:tab w:val="num" w:pos="5760"/>
        </w:tabs>
        <w:ind w:left="5760" w:hanging="360"/>
      </w:pPr>
      <w:rPr>
        <w:rFonts w:ascii="Courier New" w:hAnsi="Courier New"/>
      </w:rPr>
    </w:lvl>
    <w:lvl w:ilvl="8" w:tplc="90D849D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E3A8480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ABBE4524">
      <w:start w:val="1"/>
      <w:numFmt w:val="bullet"/>
      <w:lvlText w:val="o"/>
      <w:lvlJc w:val="left"/>
      <w:pPr>
        <w:tabs>
          <w:tab w:val="num" w:pos="1440"/>
        </w:tabs>
        <w:ind w:left="1440" w:hanging="360"/>
      </w:pPr>
      <w:rPr>
        <w:rFonts w:ascii="Courier New" w:hAnsi="Courier New"/>
      </w:rPr>
    </w:lvl>
    <w:lvl w:ilvl="2" w:tplc="058E6E7E">
      <w:start w:val="1"/>
      <w:numFmt w:val="bullet"/>
      <w:lvlText w:val=""/>
      <w:lvlJc w:val="left"/>
      <w:pPr>
        <w:tabs>
          <w:tab w:val="num" w:pos="2160"/>
        </w:tabs>
        <w:ind w:left="2160" w:hanging="360"/>
      </w:pPr>
      <w:rPr>
        <w:rFonts w:ascii="Wingdings" w:hAnsi="Wingdings"/>
      </w:rPr>
    </w:lvl>
    <w:lvl w:ilvl="3" w:tplc="6E9AA29E">
      <w:start w:val="1"/>
      <w:numFmt w:val="bullet"/>
      <w:lvlText w:val=""/>
      <w:lvlJc w:val="left"/>
      <w:pPr>
        <w:tabs>
          <w:tab w:val="num" w:pos="2880"/>
        </w:tabs>
        <w:ind w:left="2880" w:hanging="360"/>
      </w:pPr>
      <w:rPr>
        <w:rFonts w:ascii="Symbol" w:hAnsi="Symbol"/>
      </w:rPr>
    </w:lvl>
    <w:lvl w:ilvl="4" w:tplc="2BC23444">
      <w:start w:val="1"/>
      <w:numFmt w:val="bullet"/>
      <w:lvlText w:val="o"/>
      <w:lvlJc w:val="left"/>
      <w:pPr>
        <w:tabs>
          <w:tab w:val="num" w:pos="3600"/>
        </w:tabs>
        <w:ind w:left="3600" w:hanging="360"/>
      </w:pPr>
      <w:rPr>
        <w:rFonts w:ascii="Courier New" w:hAnsi="Courier New"/>
      </w:rPr>
    </w:lvl>
    <w:lvl w:ilvl="5" w:tplc="611C047A">
      <w:start w:val="1"/>
      <w:numFmt w:val="bullet"/>
      <w:lvlText w:val=""/>
      <w:lvlJc w:val="left"/>
      <w:pPr>
        <w:tabs>
          <w:tab w:val="num" w:pos="4320"/>
        </w:tabs>
        <w:ind w:left="4320" w:hanging="360"/>
      </w:pPr>
      <w:rPr>
        <w:rFonts w:ascii="Wingdings" w:hAnsi="Wingdings"/>
      </w:rPr>
    </w:lvl>
    <w:lvl w:ilvl="6" w:tplc="35E60ABC">
      <w:start w:val="1"/>
      <w:numFmt w:val="bullet"/>
      <w:lvlText w:val=""/>
      <w:lvlJc w:val="left"/>
      <w:pPr>
        <w:tabs>
          <w:tab w:val="num" w:pos="5040"/>
        </w:tabs>
        <w:ind w:left="5040" w:hanging="360"/>
      </w:pPr>
      <w:rPr>
        <w:rFonts w:ascii="Symbol" w:hAnsi="Symbol"/>
      </w:rPr>
    </w:lvl>
    <w:lvl w:ilvl="7" w:tplc="25BE57C6">
      <w:start w:val="1"/>
      <w:numFmt w:val="bullet"/>
      <w:lvlText w:val="o"/>
      <w:lvlJc w:val="left"/>
      <w:pPr>
        <w:tabs>
          <w:tab w:val="num" w:pos="5760"/>
        </w:tabs>
        <w:ind w:left="5760" w:hanging="360"/>
      </w:pPr>
      <w:rPr>
        <w:rFonts w:ascii="Courier New" w:hAnsi="Courier New"/>
      </w:rPr>
    </w:lvl>
    <w:lvl w:ilvl="8" w:tplc="CE9257B0">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5838DE0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C090F106">
      <w:start w:val="1"/>
      <w:numFmt w:val="bullet"/>
      <w:lvlText w:val="o"/>
      <w:lvlJc w:val="left"/>
      <w:pPr>
        <w:tabs>
          <w:tab w:val="num" w:pos="1440"/>
        </w:tabs>
        <w:ind w:left="1440" w:hanging="360"/>
      </w:pPr>
      <w:rPr>
        <w:rFonts w:ascii="Courier New" w:hAnsi="Courier New"/>
      </w:rPr>
    </w:lvl>
    <w:lvl w:ilvl="2" w:tplc="27CAF69A">
      <w:start w:val="1"/>
      <w:numFmt w:val="bullet"/>
      <w:lvlText w:val=""/>
      <w:lvlJc w:val="left"/>
      <w:pPr>
        <w:tabs>
          <w:tab w:val="num" w:pos="2160"/>
        </w:tabs>
        <w:ind w:left="2160" w:hanging="360"/>
      </w:pPr>
      <w:rPr>
        <w:rFonts w:ascii="Wingdings" w:hAnsi="Wingdings"/>
      </w:rPr>
    </w:lvl>
    <w:lvl w:ilvl="3" w:tplc="39582F32">
      <w:start w:val="1"/>
      <w:numFmt w:val="bullet"/>
      <w:lvlText w:val=""/>
      <w:lvlJc w:val="left"/>
      <w:pPr>
        <w:tabs>
          <w:tab w:val="num" w:pos="2880"/>
        </w:tabs>
        <w:ind w:left="2880" w:hanging="360"/>
      </w:pPr>
      <w:rPr>
        <w:rFonts w:ascii="Symbol" w:hAnsi="Symbol"/>
      </w:rPr>
    </w:lvl>
    <w:lvl w:ilvl="4" w:tplc="FEDCF64C">
      <w:start w:val="1"/>
      <w:numFmt w:val="bullet"/>
      <w:lvlText w:val="o"/>
      <w:lvlJc w:val="left"/>
      <w:pPr>
        <w:tabs>
          <w:tab w:val="num" w:pos="3600"/>
        </w:tabs>
        <w:ind w:left="3600" w:hanging="360"/>
      </w:pPr>
      <w:rPr>
        <w:rFonts w:ascii="Courier New" w:hAnsi="Courier New"/>
      </w:rPr>
    </w:lvl>
    <w:lvl w:ilvl="5" w:tplc="745690C8">
      <w:start w:val="1"/>
      <w:numFmt w:val="bullet"/>
      <w:lvlText w:val=""/>
      <w:lvlJc w:val="left"/>
      <w:pPr>
        <w:tabs>
          <w:tab w:val="num" w:pos="4320"/>
        </w:tabs>
        <w:ind w:left="4320" w:hanging="360"/>
      </w:pPr>
      <w:rPr>
        <w:rFonts w:ascii="Wingdings" w:hAnsi="Wingdings"/>
      </w:rPr>
    </w:lvl>
    <w:lvl w:ilvl="6" w:tplc="EAD48756">
      <w:start w:val="1"/>
      <w:numFmt w:val="bullet"/>
      <w:lvlText w:val=""/>
      <w:lvlJc w:val="left"/>
      <w:pPr>
        <w:tabs>
          <w:tab w:val="num" w:pos="5040"/>
        </w:tabs>
        <w:ind w:left="5040" w:hanging="360"/>
      </w:pPr>
      <w:rPr>
        <w:rFonts w:ascii="Symbol" w:hAnsi="Symbol"/>
      </w:rPr>
    </w:lvl>
    <w:lvl w:ilvl="7" w:tplc="58EA9522">
      <w:start w:val="1"/>
      <w:numFmt w:val="bullet"/>
      <w:lvlText w:val="o"/>
      <w:lvlJc w:val="left"/>
      <w:pPr>
        <w:tabs>
          <w:tab w:val="num" w:pos="5760"/>
        </w:tabs>
        <w:ind w:left="5760" w:hanging="360"/>
      </w:pPr>
      <w:rPr>
        <w:rFonts w:ascii="Courier New" w:hAnsi="Courier New"/>
      </w:rPr>
    </w:lvl>
    <w:lvl w:ilvl="8" w:tplc="B8BA464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133A1E2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4DD2FACE">
      <w:start w:val="1"/>
      <w:numFmt w:val="bullet"/>
      <w:lvlText w:val="o"/>
      <w:lvlJc w:val="left"/>
      <w:pPr>
        <w:tabs>
          <w:tab w:val="num" w:pos="1440"/>
        </w:tabs>
        <w:ind w:left="1440" w:hanging="360"/>
      </w:pPr>
      <w:rPr>
        <w:rFonts w:ascii="Courier New" w:hAnsi="Courier New"/>
      </w:rPr>
    </w:lvl>
    <w:lvl w:ilvl="2" w:tplc="74E61248">
      <w:start w:val="1"/>
      <w:numFmt w:val="bullet"/>
      <w:lvlText w:val=""/>
      <w:lvlJc w:val="left"/>
      <w:pPr>
        <w:tabs>
          <w:tab w:val="num" w:pos="2160"/>
        </w:tabs>
        <w:ind w:left="2160" w:hanging="360"/>
      </w:pPr>
      <w:rPr>
        <w:rFonts w:ascii="Wingdings" w:hAnsi="Wingdings"/>
      </w:rPr>
    </w:lvl>
    <w:lvl w:ilvl="3" w:tplc="91CE35C2">
      <w:start w:val="1"/>
      <w:numFmt w:val="bullet"/>
      <w:lvlText w:val=""/>
      <w:lvlJc w:val="left"/>
      <w:pPr>
        <w:tabs>
          <w:tab w:val="num" w:pos="2880"/>
        </w:tabs>
        <w:ind w:left="2880" w:hanging="360"/>
      </w:pPr>
      <w:rPr>
        <w:rFonts w:ascii="Symbol" w:hAnsi="Symbol"/>
      </w:rPr>
    </w:lvl>
    <w:lvl w:ilvl="4" w:tplc="C88C5112">
      <w:start w:val="1"/>
      <w:numFmt w:val="bullet"/>
      <w:lvlText w:val="o"/>
      <w:lvlJc w:val="left"/>
      <w:pPr>
        <w:tabs>
          <w:tab w:val="num" w:pos="3600"/>
        </w:tabs>
        <w:ind w:left="3600" w:hanging="360"/>
      </w:pPr>
      <w:rPr>
        <w:rFonts w:ascii="Courier New" w:hAnsi="Courier New"/>
      </w:rPr>
    </w:lvl>
    <w:lvl w:ilvl="5" w:tplc="B694CD0E">
      <w:start w:val="1"/>
      <w:numFmt w:val="bullet"/>
      <w:lvlText w:val=""/>
      <w:lvlJc w:val="left"/>
      <w:pPr>
        <w:tabs>
          <w:tab w:val="num" w:pos="4320"/>
        </w:tabs>
        <w:ind w:left="4320" w:hanging="360"/>
      </w:pPr>
      <w:rPr>
        <w:rFonts w:ascii="Wingdings" w:hAnsi="Wingdings"/>
      </w:rPr>
    </w:lvl>
    <w:lvl w:ilvl="6" w:tplc="3352519A">
      <w:start w:val="1"/>
      <w:numFmt w:val="bullet"/>
      <w:lvlText w:val=""/>
      <w:lvlJc w:val="left"/>
      <w:pPr>
        <w:tabs>
          <w:tab w:val="num" w:pos="5040"/>
        </w:tabs>
        <w:ind w:left="5040" w:hanging="360"/>
      </w:pPr>
      <w:rPr>
        <w:rFonts w:ascii="Symbol" w:hAnsi="Symbol"/>
      </w:rPr>
    </w:lvl>
    <w:lvl w:ilvl="7" w:tplc="EF4E11F8">
      <w:start w:val="1"/>
      <w:numFmt w:val="bullet"/>
      <w:lvlText w:val="o"/>
      <w:lvlJc w:val="left"/>
      <w:pPr>
        <w:tabs>
          <w:tab w:val="num" w:pos="5760"/>
        </w:tabs>
        <w:ind w:left="5760" w:hanging="360"/>
      </w:pPr>
      <w:rPr>
        <w:rFonts w:ascii="Courier New" w:hAnsi="Courier New"/>
      </w:rPr>
    </w:lvl>
    <w:lvl w:ilvl="8" w:tplc="CEB471B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647E953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8FE26722">
      <w:start w:val="1"/>
      <w:numFmt w:val="bullet"/>
      <w:lvlText w:val="o"/>
      <w:lvlJc w:val="left"/>
      <w:pPr>
        <w:tabs>
          <w:tab w:val="num" w:pos="1440"/>
        </w:tabs>
        <w:ind w:left="1440" w:hanging="360"/>
      </w:pPr>
      <w:rPr>
        <w:rFonts w:ascii="Courier New" w:hAnsi="Courier New"/>
      </w:rPr>
    </w:lvl>
    <w:lvl w:ilvl="2" w:tplc="2162EE78">
      <w:start w:val="1"/>
      <w:numFmt w:val="bullet"/>
      <w:lvlText w:val=""/>
      <w:lvlJc w:val="left"/>
      <w:pPr>
        <w:tabs>
          <w:tab w:val="num" w:pos="2160"/>
        </w:tabs>
        <w:ind w:left="2160" w:hanging="360"/>
      </w:pPr>
      <w:rPr>
        <w:rFonts w:ascii="Wingdings" w:hAnsi="Wingdings"/>
      </w:rPr>
    </w:lvl>
    <w:lvl w:ilvl="3" w:tplc="EF38F5FC">
      <w:start w:val="1"/>
      <w:numFmt w:val="bullet"/>
      <w:lvlText w:val=""/>
      <w:lvlJc w:val="left"/>
      <w:pPr>
        <w:tabs>
          <w:tab w:val="num" w:pos="2880"/>
        </w:tabs>
        <w:ind w:left="2880" w:hanging="360"/>
      </w:pPr>
      <w:rPr>
        <w:rFonts w:ascii="Symbol" w:hAnsi="Symbol"/>
      </w:rPr>
    </w:lvl>
    <w:lvl w:ilvl="4" w:tplc="5EB8335C">
      <w:start w:val="1"/>
      <w:numFmt w:val="bullet"/>
      <w:lvlText w:val="o"/>
      <w:lvlJc w:val="left"/>
      <w:pPr>
        <w:tabs>
          <w:tab w:val="num" w:pos="3600"/>
        </w:tabs>
        <w:ind w:left="3600" w:hanging="360"/>
      </w:pPr>
      <w:rPr>
        <w:rFonts w:ascii="Courier New" w:hAnsi="Courier New"/>
      </w:rPr>
    </w:lvl>
    <w:lvl w:ilvl="5" w:tplc="D7149DD2">
      <w:start w:val="1"/>
      <w:numFmt w:val="bullet"/>
      <w:lvlText w:val=""/>
      <w:lvlJc w:val="left"/>
      <w:pPr>
        <w:tabs>
          <w:tab w:val="num" w:pos="4320"/>
        </w:tabs>
        <w:ind w:left="4320" w:hanging="360"/>
      </w:pPr>
      <w:rPr>
        <w:rFonts w:ascii="Wingdings" w:hAnsi="Wingdings"/>
      </w:rPr>
    </w:lvl>
    <w:lvl w:ilvl="6" w:tplc="2B0E3A6A">
      <w:start w:val="1"/>
      <w:numFmt w:val="bullet"/>
      <w:lvlText w:val=""/>
      <w:lvlJc w:val="left"/>
      <w:pPr>
        <w:tabs>
          <w:tab w:val="num" w:pos="5040"/>
        </w:tabs>
        <w:ind w:left="5040" w:hanging="360"/>
      </w:pPr>
      <w:rPr>
        <w:rFonts w:ascii="Symbol" w:hAnsi="Symbol"/>
      </w:rPr>
    </w:lvl>
    <w:lvl w:ilvl="7" w:tplc="53D6AA3A">
      <w:start w:val="1"/>
      <w:numFmt w:val="bullet"/>
      <w:lvlText w:val="o"/>
      <w:lvlJc w:val="left"/>
      <w:pPr>
        <w:tabs>
          <w:tab w:val="num" w:pos="5760"/>
        </w:tabs>
        <w:ind w:left="5760" w:hanging="360"/>
      </w:pPr>
      <w:rPr>
        <w:rFonts w:ascii="Courier New" w:hAnsi="Courier New"/>
      </w:rPr>
    </w:lvl>
    <w:lvl w:ilvl="8" w:tplc="F206577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09D6B9C2">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F19C8418">
      <w:start w:val="1"/>
      <w:numFmt w:val="bullet"/>
      <w:lvlText w:val="o"/>
      <w:lvlJc w:val="left"/>
      <w:pPr>
        <w:tabs>
          <w:tab w:val="num" w:pos="1440"/>
        </w:tabs>
        <w:ind w:left="1440" w:hanging="360"/>
      </w:pPr>
      <w:rPr>
        <w:rFonts w:ascii="Courier New" w:hAnsi="Courier New"/>
      </w:rPr>
    </w:lvl>
    <w:lvl w:ilvl="2" w:tplc="EFF8AA30">
      <w:start w:val="1"/>
      <w:numFmt w:val="bullet"/>
      <w:lvlText w:val=""/>
      <w:lvlJc w:val="left"/>
      <w:pPr>
        <w:tabs>
          <w:tab w:val="num" w:pos="2160"/>
        </w:tabs>
        <w:ind w:left="2160" w:hanging="360"/>
      </w:pPr>
      <w:rPr>
        <w:rFonts w:ascii="Wingdings" w:hAnsi="Wingdings"/>
      </w:rPr>
    </w:lvl>
    <w:lvl w:ilvl="3" w:tplc="A8D0B59E">
      <w:start w:val="1"/>
      <w:numFmt w:val="bullet"/>
      <w:lvlText w:val=""/>
      <w:lvlJc w:val="left"/>
      <w:pPr>
        <w:tabs>
          <w:tab w:val="num" w:pos="2880"/>
        </w:tabs>
        <w:ind w:left="2880" w:hanging="360"/>
      </w:pPr>
      <w:rPr>
        <w:rFonts w:ascii="Symbol" w:hAnsi="Symbol"/>
      </w:rPr>
    </w:lvl>
    <w:lvl w:ilvl="4" w:tplc="DB50058C">
      <w:start w:val="1"/>
      <w:numFmt w:val="bullet"/>
      <w:lvlText w:val="o"/>
      <w:lvlJc w:val="left"/>
      <w:pPr>
        <w:tabs>
          <w:tab w:val="num" w:pos="3600"/>
        </w:tabs>
        <w:ind w:left="3600" w:hanging="360"/>
      </w:pPr>
      <w:rPr>
        <w:rFonts w:ascii="Courier New" w:hAnsi="Courier New"/>
      </w:rPr>
    </w:lvl>
    <w:lvl w:ilvl="5" w:tplc="16343E1E">
      <w:start w:val="1"/>
      <w:numFmt w:val="bullet"/>
      <w:lvlText w:val=""/>
      <w:lvlJc w:val="left"/>
      <w:pPr>
        <w:tabs>
          <w:tab w:val="num" w:pos="4320"/>
        </w:tabs>
        <w:ind w:left="4320" w:hanging="360"/>
      </w:pPr>
      <w:rPr>
        <w:rFonts w:ascii="Wingdings" w:hAnsi="Wingdings"/>
      </w:rPr>
    </w:lvl>
    <w:lvl w:ilvl="6" w:tplc="6C043FF0">
      <w:start w:val="1"/>
      <w:numFmt w:val="bullet"/>
      <w:lvlText w:val=""/>
      <w:lvlJc w:val="left"/>
      <w:pPr>
        <w:tabs>
          <w:tab w:val="num" w:pos="5040"/>
        </w:tabs>
        <w:ind w:left="5040" w:hanging="360"/>
      </w:pPr>
      <w:rPr>
        <w:rFonts w:ascii="Symbol" w:hAnsi="Symbol"/>
      </w:rPr>
    </w:lvl>
    <w:lvl w:ilvl="7" w:tplc="61429E6E">
      <w:start w:val="1"/>
      <w:numFmt w:val="bullet"/>
      <w:lvlText w:val="o"/>
      <w:lvlJc w:val="left"/>
      <w:pPr>
        <w:tabs>
          <w:tab w:val="num" w:pos="5760"/>
        </w:tabs>
        <w:ind w:left="5760" w:hanging="360"/>
      </w:pPr>
      <w:rPr>
        <w:rFonts w:ascii="Courier New" w:hAnsi="Courier New"/>
      </w:rPr>
    </w:lvl>
    <w:lvl w:ilvl="8" w:tplc="719CD08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F5E028F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50F6499A">
      <w:start w:val="1"/>
      <w:numFmt w:val="bullet"/>
      <w:lvlText w:val="o"/>
      <w:lvlJc w:val="left"/>
      <w:pPr>
        <w:tabs>
          <w:tab w:val="num" w:pos="1440"/>
        </w:tabs>
        <w:ind w:left="1440" w:hanging="360"/>
      </w:pPr>
      <w:rPr>
        <w:rFonts w:ascii="Courier New" w:hAnsi="Courier New"/>
      </w:rPr>
    </w:lvl>
    <w:lvl w:ilvl="2" w:tplc="E7C40E1E">
      <w:start w:val="1"/>
      <w:numFmt w:val="bullet"/>
      <w:lvlText w:val=""/>
      <w:lvlJc w:val="left"/>
      <w:pPr>
        <w:tabs>
          <w:tab w:val="num" w:pos="2160"/>
        </w:tabs>
        <w:ind w:left="2160" w:hanging="360"/>
      </w:pPr>
      <w:rPr>
        <w:rFonts w:ascii="Wingdings" w:hAnsi="Wingdings"/>
      </w:rPr>
    </w:lvl>
    <w:lvl w:ilvl="3" w:tplc="0E02E2C8">
      <w:start w:val="1"/>
      <w:numFmt w:val="bullet"/>
      <w:lvlText w:val=""/>
      <w:lvlJc w:val="left"/>
      <w:pPr>
        <w:tabs>
          <w:tab w:val="num" w:pos="2880"/>
        </w:tabs>
        <w:ind w:left="2880" w:hanging="360"/>
      </w:pPr>
      <w:rPr>
        <w:rFonts w:ascii="Symbol" w:hAnsi="Symbol"/>
      </w:rPr>
    </w:lvl>
    <w:lvl w:ilvl="4" w:tplc="9C2CCDAE">
      <w:start w:val="1"/>
      <w:numFmt w:val="bullet"/>
      <w:lvlText w:val="o"/>
      <w:lvlJc w:val="left"/>
      <w:pPr>
        <w:tabs>
          <w:tab w:val="num" w:pos="3600"/>
        </w:tabs>
        <w:ind w:left="3600" w:hanging="360"/>
      </w:pPr>
      <w:rPr>
        <w:rFonts w:ascii="Courier New" w:hAnsi="Courier New"/>
      </w:rPr>
    </w:lvl>
    <w:lvl w:ilvl="5" w:tplc="11600DA8">
      <w:start w:val="1"/>
      <w:numFmt w:val="bullet"/>
      <w:lvlText w:val=""/>
      <w:lvlJc w:val="left"/>
      <w:pPr>
        <w:tabs>
          <w:tab w:val="num" w:pos="4320"/>
        </w:tabs>
        <w:ind w:left="4320" w:hanging="360"/>
      </w:pPr>
      <w:rPr>
        <w:rFonts w:ascii="Wingdings" w:hAnsi="Wingdings"/>
      </w:rPr>
    </w:lvl>
    <w:lvl w:ilvl="6" w:tplc="59B62EDA">
      <w:start w:val="1"/>
      <w:numFmt w:val="bullet"/>
      <w:lvlText w:val=""/>
      <w:lvlJc w:val="left"/>
      <w:pPr>
        <w:tabs>
          <w:tab w:val="num" w:pos="5040"/>
        </w:tabs>
        <w:ind w:left="5040" w:hanging="360"/>
      </w:pPr>
      <w:rPr>
        <w:rFonts w:ascii="Symbol" w:hAnsi="Symbol"/>
      </w:rPr>
    </w:lvl>
    <w:lvl w:ilvl="7" w:tplc="D776425E">
      <w:start w:val="1"/>
      <w:numFmt w:val="bullet"/>
      <w:lvlText w:val="o"/>
      <w:lvlJc w:val="left"/>
      <w:pPr>
        <w:tabs>
          <w:tab w:val="num" w:pos="5760"/>
        </w:tabs>
        <w:ind w:left="5760" w:hanging="360"/>
      </w:pPr>
      <w:rPr>
        <w:rFonts w:ascii="Courier New" w:hAnsi="Courier New"/>
      </w:rPr>
    </w:lvl>
    <w:lvl w:ilvl="8" w:tplc="8AE04FE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16DAFC9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E7D45A34">
      <w:start w:val="1"/>
      <w:numFmt w:val="bullet"/>
      <w:lvlText w:val="o"/>
      <w:lvlJc w:val="left"/>
      <w:pPr>
        <w:tabs>
          <w:tab w:val="num" w:pos="1440"/>
        </w:tabs>
        <w:ind w:left="1440" w:hanging="360"/>
      </w:pPr>
      <w:rPr>
        <w:rFonts w:ascii="Courier New" w:hAnsi="Courier New"/>
      </w:rPr>
    </w:lvl>
    <w:lvl w:ilvl="2" w:tplc="D3A2AF24">
      <w:start w:val="1"/>
      <w:numFmt w:val="bullet"/>
      <w:lvlText w:val=""/>
      <w:lvlJc w:val="left"/>
      <w:pPr>
        <w:tabs>
          <w:tab w:val="num" w:pos="2160"/>
        </w:tabs>
        <w:ind w:left="2160" w:hanging="360"/>
      </w:pPr>
      <w:rPr>
        <w:rFonts w:ascii="Wingdings" w:hAnsi="Wingdings"/>
      </w:rPr>
    </w:lvl>
    <w:lvl w:ilvl="3" w:tplc="8FDC5754">
      <w:start w:val="1"/>
      <w:numFmt w:val="bullet"/>
      <w:lvlText w:val=""/>
      <w:lvlJc w:val="left"/>
      <w:pPr>
        <w:tabs>
          <w:tab w:val="num" w:pos="2880"/>
        </w:tabs>
        <w:ind w:left="2880" w:hanging="360"/>
      </w:pPr>
      <w:rPr>
        <w:rFonts w:ascii="Symbol" w:hAnsi="Symbol"/>
      </w:rPr>
    </w:lvl>
    <w:lvl w:ilvl="4" w:tplc="B60093DC">
      <w:start w:val="1"/>
      <w:numFmt w:val="bullet"/>
      <w:lvlText w:val="o"/>
      <w:lvlJc w:val="left"/>
      <w:pPr>
        <w:tabs>
          <w:tab w:val="num" w:pos="3600"/>
        </w:tabs>
        <w:ind w:left="3600" w:hanging="360"/>
      </w:pPr>
      <w:rPr>
        <w:rFonts w:ascii="Courier New" w:hAnsi="Courier New"/>
      </w:rPr>
    </w:lvl>
    <w:lvl w:ilvl="5" w:tplc="CFE658C2">
      <w:start w:val="1"/>
      <w:numFmt w:val="bullet"/>
      <w:lvlText w:val=""/>
      <w:lvlJc w:val="left"/>
      <w:pPr>
        <w:tabs>
          <w:tab w:val="num" w:pos="4320"/>
        </w:tabs>
        <w:ind w:left="4320" w:hanging="360"/>
      </w:pPr>
      <w:rPr>
        <w:rFonts w:ascii="Wingdings" w:hAnsi="Wingdings"/>
      </w:rPr>
    </w:lvl>
    <w:lvl w:ilvl="6" w:tplc="91EC8854">
      <w:start w:val="1"/>
      <w:numFmt w:val="bullet"/>
      <w:lvlText w:val=""/>
      <w:lvlJc w:val="left"/>
      <w:pPr>
        <w:tabs>
          <w:tab w:val="num" w:pos="5040"/>
        </w:tabs>
        <w:ind w:left="5040" w:hanging="360"/>
      </w:pPr>
      <w:rPr>
        <w:rFonts w:ascii="Symbol" w:hAnsi="Symbol"/>
      </w:rPr>
    </w:lvl>
    <w:lvl w:ilvl="7" w:tplc="7CD45626">
      <w:start w:val="1"/>
      <w:numFmt w:val="bullet"/>
      <w:lvlText w:val="o"/>
      <w:lvlJc w:val="left"/>
      <w:pPr>
        <w:tabs>
          <w:tab w:val="num" w:pos="5760"/>
        </w:tabs>
        <w:ind w:left="5760" w:hanging="360"/>
      </w:pPr>
      <w:rPr>
        <w:rFonts w:ascii="Courier New" w:hAnsi="Courier New"/>
      </w:rPr>
    </w:lvl>
    <w:lvl w:ilvl="8" w:tplc="82C06DE6">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F88823F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5D620F06">
      <w:start w:val="1"/>
      <w:numFmt w:val="bullet"/>
      <w:lvlText w:val="o"/>
      <w:lvlJc w:val="left"/>
      <w:pPr>
        <w:tabs>
          <w:tab w:val="num" w:pos="1440"/>
        </w:tabs>
        <w:ind w:left="1440" w:hanging="360"/>
      </w:pPr>
      <w:rPr>
        <w:rFonts w:ascii="Courier New" w:hAnsi="Courier New"/>
      </w:rPr>
    </w:lvl>
    <w:lvl w:ilvl="2" w:tplc="B7108D90">
      <w:start w:val="1"/>
      <w:numFmt w:val="bullet"/>
      <w:lvlText w:val=""/>
      <w:lvlJc w:val="left"/>
      <w:pPr>
        <w:tabs>
          <w:tab w:val="num" w:pos="2160"/>
        </w:tabs>
        <w:ind w:left="2160" w:hanging="360"/>
      </w:pPr>
      <w:rPr>
        <w:rFonts w:ascii="Wingdings" w:hAnsi="Wingdings"/>
      </w:rPr>
    </w:lvl>
    <w:lvl w:ilvl="3" w:tplc="4A6C7D00">
      <w:start w:val="1"/>
      <w:numFmt w:val="bullet"/>
      <w:lvlText w:val=""/>
      <w:lvlJc w:val="left"/>
      <w:pPr>
        <w:tabs>
          <w:tab w:val="num" w:pos="2880"/>
        </w:tabs>
        <w:ind w:left="2880" w:hanging="360"/>
      </w:pPr>
      <w:rPr>
        <w:rFonts w:ascii="Symbol" w:hAnsi="Symbol"/>
      </w:rPr>
    </w:lvl>
    <w:lvl w:ilvl="4" w:tplc="0574953E">
      <w:start w:val="1"/>
      <w:numFmt w:val="bullet"/>
      <w:lvlText w:val="o"/>
      <w:lvlJc w:val="left"/>
      <w:pPr>
        <w:tabs>
          <w:tab w:val="num" w:pos="3600"/>
        </w:tabs>
        <w:ind w:left="3600" w:hanging="360"/>
      </w:pPr>
      <w:rPr>
        <w:rFonts w:ascii="Courier New" w:hAnsi="Courier New"/>
      </w:rPr>
    </w:lvl>
    <w:lvl w:ilvl="5" w:tplc="D04A5A38">
      <w:start w:val="1"/>
      <w:numFmt w:val="bullet"/>
      <w:lvlText w:val=""/>
      <w:lvlJc w:val="left"/>
      <w:pPr>
        <w:tabs>
          <w:tab w:val="num" w:pos="4320"/>
        </w:tabs>
        <w:ind w:left="4320" w:hanging="360"/>
      </w:pPr>
      <w:rPr>
        <w:rFonts w:ascii="Wingdings" w:hAnsi="Wingdings"/>
      </w:rPr>
    </w:lvl>
    <w:lvl w:ilvl="6" w:tplc="73FC21F4">
      <w:start w:val="1"/>
      <w:numFmt w:val="bullet"/>
      <w:lvlText w:val=""/>
      <w:lvlJc w:val="left"/>
      <w:pPr>
        <w:tabs>
          <w:tab w:val="num" w:pos="5040"/>
        </w:tabs>
        <w:ind w:left="5040" w:hanging="360"/>
      </w:pPr>
      <w:rPr>
        <w:rFonts w:ascii="Symbol" w:hAnsi="Symbol"/>
      </w:rPr>
    </w:lvl>
    <w:lvl w:ilvl="7" w:tplc="1344782A">
      <w:start w:val="1"/>
      <w:numFmt w:val="bullet"/>
      <w:lvlText w:val="o"/>
      <w:lvlJc w:val="left"/>
      <w:pPr>
        <w:tabs>
          <w:tab w:val="num" w:pos="5760"/>
        </w:tabs>
        <w:ind w:left="5760" w:hanging="360"/>
      </w:pPr>
      <w:rPr>
        <w:rFonts w:ascii="Courier New" w:hAnsi="Courier New"/>
      </w:rPr>
    </w:lvl>
    <w:lvl w:ilvl="8" w:tplc="831E7CE0">
      <w:start w:val="1"/>
      <w:numFmt w:val="bullet"/>
      <w:lvlText w:val=""/>
      <w:lvlJc w:val="left"/>
      <w:pPr>
        <w:tabs>
          <w:tab w:val="num" w:pos="6480"/>
        </w:tabs>
        <w:ind w:left="6480" w:hanging="360"/>
      </w:pPr>
      <w:rPr>
        <w:rFonts w:ascii="Wingdings" w:hAnsi="Wingdings"/>
      </w:rPr>
    </w:lvl>
  </w:abstractNum>
  <w:num w:numId="1" w16cid:durableId="1458380083">
    <w:abstractNumId w:val="0"/>
  </w:num>
  <w:num w:numId="2" w16cid:durableId="23558010">
    <w:abstractNumId w:val="1"/>
  </w:num>
  <w:num w:numId="3" w16cid:durableId="1485319116">
    <w:abstractNumId w:val="2"/>
  </w:num>
  <w:num w:numId="4" w16cid:durableId="1918859699">
    <w:abstractNumId w:val="3"/>
  </w:num>
  <w:num w:numId="5" w16cid:durableId="504828079">
    <w:abstractNumId w:val="4"/>
  </w:num>
  <w:num w:numId="6" w16cid:durableId="2070689327">
    <w:abstractNumId w:val="5"/>
  </w:num>
  <w:num w:numId="7" w16cid:durableId="1312056246">
    <w:abstractNumId w:val="6"/>
  </w:num>
  <w:num w:numId="8" w16cid:durableId="1959993054">
    <w:abstractNumId w:val="7"/>
  </w:num>
  <w:num w:numId="9" w16cid:durableId="73548338">
    <w:abstractNumId w:val="8"/>
  </w:num>
  <w:num w:numId="10" w16cid:durableId="1236473984">
    <w:abstractNumId w:val="9"/>
  </w:num>
  <w:num w:numId="11" w16cid:durableId="1978486439">
    <w:abstractNumId w:val="10"/>
  </w:num>
  <w:num w:numId="12" w16cid:durableId="76249802">
    <w:abstractNumId w:val="11"/>
  </w:num>
  <w:num w:numId="13" w16cid:durableId="1679426705">
    <w:abstractNumId w:val="12"/>
  </w:num>
  <w:num w:numId="14" w16cid:durableId="1781603091">
    <w:abstractNumId w:val="13"/>
  </w:num>
  <w:num w:numId="15" w16cid:durableId="1200819939">
    <w:abstractNumId w:val="14"/>
  </w:num>
  <w:num w:numId="16" w16cid:durableId="704869946">
    <w:abstractNumId w:val="15"/>
  </w:num>
  <w:num w:numId="17" w16cid:durableId="1741757715">
    <w:abstractNumId w:val="16"/>
  </w:num>
  <w:num w:numId="18" w16cid:durableId="324475496">
    <w:abstractNumId w:val="17"/>
  </w:num>
  <w:num w:numId="19" w16cid:durableId="1895312316">
    <w:abstractNumId w:val="18"/>
  </w:num>
  <w:num w:numId="20" w16cid:durableId="66341205">
    <w:abstractNumId w:val="19"/>
  </w:num>
  <w:num w:numId="21" w16cid:durableId="419447868">
    <w:abstractNumId w:val="20"/>
  </w:num>
  <w:num w:numId="22" w16cid:durableId="574631332">
    <w:abstractNumId w:val="21"/>
  </w:num>
  <w:num w:numId="23" w16cid:durableId="286785979">
    <w:abstractNumId w:val="22"/>
  </w:num>
  <w:num w:numId="24" w16cid:durableId="549154566">
    <w:abstractNumId w:val="23"/>
  </w:num>
  <w:num w:numId="25" w16cid:durableId="1408965282">
    <w:abstractNumId w:val="24"/>
  </w:num>
  <w:num w:numId="26" w16cid:durableId="1201897410">
    <w:abstractNumId w:val="25"/>
  </w:num>
  <w:num w:numId="27" w16cid:durableId="555706672">
    <w:abstractNumId w:val="26"/>
  </w:num>
  <w:num w:numId="28" w16cid:durableId="812410760">
    <w:abstractNumId w:val="27"/>
  </w:num>
  <w:num w:numId="29" w16cid:durableId="2094013974">
    <w:abstractNumId w:val="28"/>
  </w:num>
  <w:num w:numId="30" w16cid:durableId="1365209955">
    <w:abstractNumId w:val="29"/>
  </w:num>
  <w:num w:numId="31" w16cid:durableId="844438135">
    <w:abstractNumId w:val="30"/>
  </w:num>
  <w:num w:numId="32" w16cid:durableId="32732398">
    <w:abstractNumId w:val="31"/>
  </w:num>
  <w:num w:numId="33" w16cid:durableId="1396274133">
    <w:abstractNumId w:val="32"/>
  </w:num>
  <w:num w:numId="34" w16cid:durableId="1244991822">
    <w:abstractNumId w:val="33"/>
  </w:num>
  <w:num w:numId="35" w16cid:durableId="663700188">
    <w:abstractNumId w:val="34"/>
  </w:num>
  <w:num w:numId="36" w16cid:durableId="282276896">
    <w:abstractNumId w:val="35"/>
  </w:num>
  <w:num w:numId="37" w16cid:durableId="1438021468">
    <w:abstractNumId w:val="36"/>
  </w:num>
  <w:num w:numId="38" w16cid:durableId="1405760363">
    <w:abstractNumId w:val="37"/>
  </w:num>
  <w:num w:numId="39" w16cid:durableId="23351305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227ACE"/>
    <w:rsid w:val="007C1CFF"/>
    <w:rsid w:val="00A50571"/>
    <w:rsid w:val="00A77B3E"/>
    <w:rsid w:val="00B22693"/>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82E17"/>
  <w15:docId w15:val="{92ED3579-AA0A-4695-B5FC-FC417B52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Item 99.1 - Q2 2022 Earnings Release</vt:lpstr>
    </vt:vector>
  </TitlesOfParts>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99.1 - Q2 2022 Earnings Release</dc:title>
  <cp:lastModifiedBy>Dana Hambly</cp:lastModifiedBy>
  <cp:revision>2</cp:revision>
  <dcterms:created xsi:type="dcterms:W3CDTF">2022-08-08T20:19:00Z</dcterms:created>
  <dcterms:modified xsi:type="dcterms:W3CDTF">2022-08-08T20:19:00Z</dcterms:modified>
</cp:coreProperties>
</file>