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05CD4" w14:textId="77777777" w:rsidR="001C0997" w:rsidRDefault="001C0997" w:rsidP="001C0997">
      <w:pPr>
        <w:spacing w:line="240" w:lineRule="auto"/>
        <w:jc w:val="center"/>
        <w:rPr>
          <w:rFonts w:ascii="Calibri" w:hAnsi="Calibri" w:cs="Calibri"/>
          <w:b/>
          <w:sz w:val="48"/>
          <w:szCs w:val="48"/>
        </w:rPr>
      </w:pPr>
      <w:r w:rsidRPr="003E0CD5">
        <w:rPr>
          <w:noProof/>
        </w:rPr>
        <w:drawing>
          <wp:inline distT="0" distB="0" distL="0" distR="0" wp14:anchorId="1E95D966" wp14:editId="75C1F139">
            <wp:extent cx="1150620" cy="1323214"/>
            <wp:effectExtent l="0" t="0" r="0" b="0"/>
            <wp:docPr id="7" name="Picture 2" descr="Logo, company name&#10;&#10;Description automatically generated">
              <a:extLst xmlns:a="http://schemas.openxmlformats.org/drawingml/2006/main">
                <a:ext uri="{FF2B5EF4-FFF2-40B4-BE49-F238E27FC236}">
                  <a16:creationId xmlns:a16="http://schemas.microsoft.com/office/drawing/2014/main" id="{4A032A14-9716-44EC-8679-0D05C66696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Logo, company name&#10;&#10;Description automatically generated">
                      <a:extLst>
                        <a:ext uri="{FF2B5EF4-FFF2-40B4-BE49-F238E27FC236}">
                          <a16:creationId xmlns:a16="http://schemas.microsoft.com/office/drawing/2014/main" id="{4A032A14-9716-44EC-8679-0D05C66696CD}"/>
                        </a:ext>
                      </a:extLst>
                    </pic:cNvPr>
                    <pic:cNvPicPr>
                      <a:picLocks noChangeAspect="1" noChangeArrowheads="1"/>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a:ext>
                      </a:extLst>
                    </a:blip>
                    <a:srcRect/>
                    <a:stretch>
                      <a:fillRect/>
                    </a:stretch>
                  </pic:blipFill>
                  <pic:spPr bwMode="auto">
                    <a:xfrm>
                      <a:off x="0" y="0"/>
                      <a:ext cx="1154352" cy="1327506"/>
                    </a:xfrm>
                    <a:prstGeom prst="rect">
                      <a:avLst/>
                    </a:prstGeom>
                    <a:noFill/>
                  </pic:spPr>
                </pic:pic>
              </a:graphicData>
            </a:graphic>
          </wp:inline>
        </w:drawing>
      </w:r>
    </w:p>
    <w:p w14:paraId="73C5EEAE" w14:textId="77777777" w:rsidR="001C0997" w:rsidRDefault="001C0997" w:rsidP="001C0997">
      <w:pPr>
        <w:spacing w:line="240" w:lineRule="auto"/>
        <w:jc w:val="center"/>
        <w:rPr>
          <w:rFonts w:eastAsia="Times New Roman"/>
          <w:b/>
          <w:sz w:val="24"/>
          <w:szCs w:val="24"/>
        </w:rPr>
      </w:pPr>
    </w:p>
    <w:p w14:paraId="008EAC3C" w14:textId="6ECE5CF2" w:rsidR="00462959" w:rsidRDefault="001C0997" w:rsidP="000644B6">
      <w:pPr>
        <w:spacing w:line="240" w:lineRule="auto"/>
        <w:jc w:val="center"/>
        <w:rPr>
          <w:rFonts w:eastAsia="Times New Roman"/>
          <w:b/>
        </w:rPr>
      </w:pPr>
      <w:r w:rsidRPr="009A188E">
        <w:rPr>
          <w:rFonts w:eastAsia="Times New Roman"/>
          <w:b/>
        </w:rPr>
        <w:t xml:space="preserve">1847 </w:t>
      </w:r>
      <w:r w:rsidR="005E30AF">
        <w:rPr>
          <w:rFonts w:eastAsia="Times New Roman"/>
          <w:b/>
        </w:rPr>
        <w:t xml:space="preserve">Holdings </w:t>
      </w:r>
      <w:r w:rsidR="005E30AF" w:rsidRPr="000A6433">
        <w:rPr>
          <w:rFonts w:eastAsia="Times New Roman"/>
          <w:b/>
        </w:rPr>
        <w:t xml:space="preserve">Projects Revenue </w:t>
      </w:r>
      <w:r w:rsidR="00462959" w:rsidRPr="000A6433">
        <w:rPr>
          <w:rFonts w:eastAsia="Times New Roman"/>
          <w:b/>
        </w:rPr>
        <w:t xml:space="preserve">in </w:t>
      </w:r>
      <w:r w:rsidR="005E30AF" w:rsidRPr="000A6433">
        <w:rPr>
          <w:rFonts w:eastAsia="Times New Roman"/>
          <w:b/>
        </w:rPr>
        <w:t xml:space="preserve">Excess </w:t>
      </w:r>
      <w:r w:rsidR="00462959" w:rsidRPr="000A6433">
        <w:rPr>
          <w:rFonts w:eastAsia="Times New Roman"/>
          <w:b/>
        </w:rPr>
        <w:t xml:space="preserve">of $60 </w:t>
      </w:r>
      <w:r w:rsidR="005E30AF" w:rsidRPr="000A6433">
        <w:rPr>
          <w:rFonts w:eastAsia="Times New Roman"/>
          <w:b/>
        </w:rPr>
        <w:t xml:space="preserve">Million </w:t>
      </w:r>
      <w:r w:rsidR="000644B6" w:rsidRPr="000A6433">
        <w:rPr>
          <w:rFonts w:eastAsia="Times New Roman"/>
          <w:b/>
        </w:rPr>
        <w:t xml:space="preserve">and </w:t>
      </w:r>
      <w:r w:rsidR="005E30AF">
        <w:rPr>
          <w:rFonts w:eastAsia="Times New Roman"/>
          <w:b/>
        </w:rPr>
        <w:t>over</w:t>
      </w:r>
      <w:r w:rsidR="000644B6" w:rsidRPr="000A6433">
        <w:rPr>
          <w:rFonts w:eastAsia="Times New Roman"/>
          <w:b/>
        </w:rPr>
        <w:t xml:space="preserve"> $7 </w:t>
      </w:r>
      <w:r w:rsidR="005E30AF">
        <w:rPr>
          <w:rFonts w:eastAsia="Times New Roman"/>
          <w:b/>
        </w:rPr>
        <w:t>M</w:t>
      </w:r>
      <w:r w:rsidR="000644B6" w:rsidRPr="000A6433">
        <w:rPr>
          <w:rFonts w:eastAsia="Times New Roman"/>
          <w:b/>
        </w:rPr>
        <w:t xml:space="preserve">illion of </w:t>
      </w:r>
      <w:r w:rsidR="005E30AF">
        <w:rPr>
          <w:rFonts w:eastAsia="Times New Roman"/>
          <w:b/>
        </w:rPr>
        <w:t>C</w:t>
      </w:r>
      <w:r w:rsidR="000644B6" w:rsidRPr="000A6433">
        <w:rPr>
          <w:rFonts w:eastAsia="Times New Roman"/>
          <w:b/>
        </w:rPr>
        <w:t xml:space="preserve">ash </w:t>
      </w:r>
      <w:r w:rsidR="005E30AF">
        <w:rPr>
          <w:rFonts w:eastAsia="Times New Roman"/>
          <w:b/>
        </w:rPr>
        <w:t>F</w:t>
      </w:r>
      <w:r w:rsidR="000644B6" w:rsidRPr="000A6433">
        <w:rPr>
          <w:rFonts w:eastAsia="Times New Roman"/>
          <w:b/>
        </w:rPr>
        <w:t xml:space="preserve">low </w:t>
      </w:r>
      <w:r w:rsidR="005E30AF">
        <w:rPr>
          <w:rFonts w:eastAsia="Times New Roman"/>
          <w:b/>
        </w:rPr>
        <w:t>from</w:t>
      </w:r>
      <w:r w:rsidR="000644B6" w:rsidRPr="000A6433">
        <w:rPr>
          <w:rFonts w:eastAsia="Times New Roman"/>
          <w:b/>
        </w:rPr>
        <w:t xml:space="preserve"> </w:t>
      </w:r>
      <w:r w:rsidR="005E30AF">
        <w:rPr>
          <w:rFonts w:eastAsia="Times New Roman"/>
          <w:b/>
        </w:rPr>
        <w:t>O</w:t>
      </w:r>
      <w:r w:rsidR="000644B6" w:rsidRPr="000A6433">
        <w:rPr>
          <w:rFonts w:eastAsia="Times New Roman"/>
          <w:b/>
        </w:rPr>
        <w:t>perations</w:t>
      </w:r>
      <w:r w:rsidR="005E30AF" w:rsidRPr="000A6433">
        <w:rPr>
          <w:rFonts w:eastAsia="Times New Roman"/>
          <w:b/>
        </w:rPr>
        <w:t xml:space="preserve"> </w:t>
      </w:r>
      <w:r w:rsidR="005E30AF">
        <w:rPr>
          <w:rFonts w:eastAsia="Times New Roman"/>
          <w:b/>
        </w:rPr>
        <w:t>in 2023 B</w:t>
      </w:r>
      <w:r w:rsidR="005E30AF" w:rsidRPr="000A6433">
        <w:rPr>
          <w:rFonts w:eastAsia="Times New Roman"/>
          <w:b/>
        </w:rPr>
        <w:t xml:space="preserve">ased </w:t>
      </w:r>
      <w:r w:rsidR="005E30AF">
        <w:rPr>
          <w:rFonts w:eastAsia="Times New Roman"/>
          <w:b/>
        </w:rPr>
        <w:t xml:space="preserve">Solely </w:t>
      </w:r>
      <w:r w:rsidR="005E30AF" w:rsidRPr="000A6433">
        <w:rPr>
          <w:rFonts w:eastAsia="Times New Roman"/>
          <w:b/>
        </w:rPr>
        <w:t xml:space="preserve">on </w:t>
      </w:r>
      <w:r w:rsidR="005E30AF">
        <w:rPr>
          <w:rFonts w:eastAsia="Times New Roman"/>
          <w:b/>
        </w:rPr>
        <w:t>E</w:t>
      </w:r>
      <w:r w:rsidR="005E30AF" w:rsidRPr="000A6433">
        <w:rPr>
          <w:rFonts w:eastAsia="Times New Roman"/>
          <w:b/>
        </w:rPr>
        <w:t xml:space="preserve">xisting </w:t>
      </w:r>
      <w:r w:rsidR="005E30AF">
        <w:rPr>
          <w:rFonts w:eastAsia="Times New Roman"/>
          <w:b/>
        </w:rPr>
        <w:t>P</w:t>
      </w:r>
      <w:r w:rsidR="005E30AF" w:rsidRPr="000A6433">
        <w:rPr>
          <w:rFonts w:eastAsia="Times New Roman"/>
          <w:b/>
        </w:rPr>
        <w:t>ortfolio</w:t>
      </w:r>
    </w:p>
    <w:p w14:paraId="79E6D10B" w14:textId="42FCBB24" w:rsidR="005E30AF" w:rsidRDefault="005E30AF" w:rsidP="000644B6">
      <w:pPr>
        <w:spacing w:line="240" w:lineRule="auto"/>
        <w:jc w:val="center"/>
        <w:rPr>
          <w:rFonts w:eastAsia="Times New Roman"/>
          <w:b/>
        </w:rPr>
      </w:pPr>
    </w:p>
    <w:p w14:paraId="74A439FA" w14:textId="74431B10" w:rsidR="005E30AF" w:rsidRPr="005E30AF" w:rsidRDefault="005E30AF" w:rsidP="000644B6">
      <w:pPr>
        <w:spacing w:line="240" w:lineRule="auto"/>
        <w:jc w:val="center"/>
        <w:rPr>
          <w:rFonts w:eastAsia="Times New Roman"/>
          <w:bCs/>
          <w:i/>
          <w:iCs/>
        </w:rPr>
      </w:pPr>
      <w:r w:rsidRPr="000A6433">
        <w:rPr>
          <w:rFonts w:eastAsia="Times New Roman"/>
          <w:bCs/>
          <w:i/>
          <w:iCs/>
        </w:rPr>
        <w:t>Anticipates dividend in excess of $2 million for 2022</w:t>
      </w:r>
    </w:p>
    <w:p w14:paraId="5B503B15" w14:textId="77777777" w:rsidR="001C0997" w:rsidRPr="000A6433" w:rsidRDefault="001C0997" w:rsidP="001C0997">
      <w:pPr>
        <w:spacing w:line="240" w:lineRule="auto"/>
        <w:jc w:val="both"/>
        <w:rPr>
          <w:rFonts w:eastAsia="Times New Roman"/>
          <w:b/>
        </w:rPr>
      </w:pPr>
    </w:p>
    <w:p w14:paraId="1651D8C4" w14:textId="0525C82A" w:rsidR="00064187" w:rsidRPr="009A188E" w:rsidRDefault="001C0997" w:rsidP="00742152">
      <w:pPr>
        <w:spacing w:line="240" w:lineRule="auto"/>
        <w:jc w:val="both"/>
        <w:rPr>
          <w:color w:val="1A1A1A"/>
        </w:rPr>
      </w:pPr>
      <w:r w:rsidRPr="009A188E">
        <w:rPr>
          <w:rStyle w:val="Strong"/>
          <w:color w:val="222222"/>
          <w:bdr w:val="none" w:sz="0" w:space="0" w:color="auto" w:frame="1"/>
          <w:shd w:val="clear" w:color="auto" w:fill="FFFFFF"/>
        </w:rPr>
        <w:t xml:space="preserve">NEW YORK, NY / ACCESSWIRE / October </w:t>
      </w:r>
      <w:r w:rsidR="008C7054">
        <w:rPr>
          <w:rStyle w:val="Strong"/>
          <w:color w:val="222222"/>
          <w:bdr w:val="none" w:sz="0" w:space="0" w:color="auto" w:frame="1"/>
          <w:shd w:val="clear" w:color="auto" w:fill="FFFFFF"/>
        </w:rPr>
        <w:t>31</w:t>
      </w:r>
      <w:r w:rsidRPr="009A188E">
        <w:rPr>
          <w:rStyle w:val="Strong"/>
          <w:color w:val="222222"/>
          <w:bdr w:val="none" w:sz="0" w:space="0" w:color="auto" w:frame="1"/>
          <w:shd w:val="clear" w:color="auto" w:fill="FFFFFF"/>
        </w:rPr>
        <w:t>, 2022 /</w:t>
      </w:r>
      <w:r w:rsidRPr="009A188E">
        <w:rPr>
          <w:color w:val="222222"/>
          <w:shd w:val="clear" w:color="auto" w:fill="FFFFFF"/>
        </w:rPr>
        <w:t> </w:t>
      </w:r>
      <w:hyperlink r:id="rId7" w:history="1">
        <w:r w:rsidRPr="009A188E">
          <w:rPr>
            <w:rStyle w:val="Hyperlink"/>
            <w:color w:val="4F81BD" w:themeColor="accent1"/>
            <w:bdr w:val="none" w:sz="0" w:space="0" w:color="auto" w:frame="1"/>
            <w:shd w:val="clear" w:color="auto" w:fill="FFFFFF"/>
          </w:rPr>
          <w:t>1847 Holdings LLC</w:t>
        </w:r>
      </w:hyperlink>
      <w:r w:rsidRPr="009A188E">
        <w:rPr>
          <w:color w:val="222222"/>
          <w:shd w:val="clear" w:color="auto" w:fill="FFFFFF"/>
        </w:rPr>
        <w:t> </w:t>
      </w:r>
      <w:r w:rsidRPr="009A188E">
        <w:t xml:space="preserve">("1847" or the "Company") (NYSE American: EFSH), a unique holding company that combines the attractive attributes of owning private, lower-middle market businesses with the liquidity and transparency of a publicly traded company, today </w:t>
      </w:r>
      <w:r w:rsidR="00742152">
        <w:t>provided financial guidance for</w:t>
      </w:r>
      <w:r w:rsidR="00462959">
        <w:t xml:space="preserve"> 2022 and 2023</w:t>
      </w:r>
      <w:r w:rsidR="00742152">
        <w:t>.</w:t>
      </w:r>
    </w:p>
    <w:p w14:paraId="2F59920F" w14:textId="5B8D7046" w:rsidR="001C0997" w:rsidRDefault="001C0997" w:rsidP="001C0997">
      <w:pPr>
        <w:spacing w:line="240" w:lineRule="auto"/>
        <w:jc w:val="both"/>
        <w:rPr>
          <w:b/>
        </w:rPr>
      </w:pPr>
    </w:p>
    <w:p w14:paraId="5C191D39" w14:textId="75296753" w:rsidR="00462959" w:rsidRPr="00462959" w:rsidRDefault="00462959" w:rsidP="001C0997">
      <w:pPr>
        <w:spacing w:line="240" w:lineRule="auto"/>
        <w:jc w:val="both"/>
        <w:rPr>
          <w:bCs/>
        </w:rPr>
      </w:pPr>
      <w:r w:rsidRPr="00462959">
        <w:rPr>
          <w:bCs/>
        </w:rPr>
        <w:t>Mr. Ellery W. Roberts, CEO of 1847 Holdings, commented, “</w:t>
      </w:r>
      <w:r>
        <w:rPr>
          <w:bCs/>
        </w:rPr>
        <w:t xml:space="preserve">We </w:t>
      </w:r>
      <w:r w:rsidR="00277A7B">
        <w:rPr>
          <w:bCs/>
        </w:rPr>
        <w:t xml:space="preserve">continue to execute on </w:t>
      </w:r>
      <w:r>
        <w:rPr>
          <w:bCs/>
        </w:rPr>
        <w:t xml:space="preserve">our business model of acquiring undervalued, cash flow positive, lower-middle market </w:t>
      </w:r>
      <w:r w:rsidR="00277A7B">
        <w:rPr>
          <w:bCs/>
        </w:rPr>
        <w:t>businesses</w:t>
      </w:r>
      <w:r>
        <w:rPr>
          <w:bCs/>
        </w:rPr>
        <w:t xml:space="preserve">.  By leveraging appropriate levels </w:t>
      </w:r>
      <w:r w:rsidR="00DC0B92">
        <w:rPr>
          <w:bCs/>
        </w:rPr>
        <w:t xml:space="preserve">of </w:t>
      </w:r>
      <w:r>
        <w:rPr>
          <w:bCs/>
        </w:rPr>
        <w:t xml:space="preserve">debt, we have demonstrated our ability to acquire these </w:t>
      </w:r>
      <w:r w:rsidR="00591458">
        <w:rPr>
          <w:bCs/>
        </w:rPr>
        <w:t>businesses</w:t>
      </w:r>
      <w:r>
        <w:rPr>
          <w:bCs/>
        </w:rPr>
        <w:t xml:space="preserve"> at attractive </w:t>
      </w:r>
      <w:r w:rsidR="00277A7B">
        <w:rPr>
          <w:bCs/>
        </w:rPr>
        <w:t>multiples</w:t>
      </w:r>
      <w:r>
        <w:rPr>
          <w:bCs/>
        </w:rPr>
        <w:t>, with minim</w:t>
      </w:r>
      <w:r w:rsidR="00DC0B92">
        <w:rPr>
          <w:bCs/>
        </w:rPr>
        <w:t xml:space="preserve">al </w:t>
      </w:r>
      <w:r>
        <w:rPr>
          <w:bCs/>
        </w:rPr>
        <w:t xml:space="preserve">dilution to our </w:t>
      </w:r>
      <w:r w:rsidR="00277A7B">
        <w:rPr>
          <w:bCs/>
        </w:rPr>
        <w:t>shareholders</w:t>
      </w:r>
      <w:r>
        <w:rPr>
          <w:bCs/>
        </w:rPr>
        <w:t xml:space="preserve">. </w:t>
      </w:r>
      <w:r w:rsidR="00591458">
        <w:rPr>
          <w:bCs/>
        </w:rPr>
        <w:t xml:space="preserve">Given the consistency and historical profitability of </w:t>
      </w:r>
      <w:r w:rsidR="00AD4635">
        <w:rPr>
          <w:bCs/>
        </w:rPr>
        <w:t>our portfolio</w:t>
      </w:r>
      <w:r w:rsidR="00591458">
        <w:rPr>
          <w:bCs/>
        </w:rPr>
        <w:t xml:space="preserve"> companies</w:t>
      </w:r>
      <w:r w:rsidR="00277A7B">
        <w:rPr>
          <w:bCs/>
        </w:rPr>
        <w:t xml:space="preserve">, </w:t>
      </w:r>
      <w:r w:rsidR="00612BA6">
        <w:rPr>
          <w:bCs/>
        </w:rPr>
        <w:t xml:space="preserve">we  believe </w:t>
      </w:r>
      <w:r w:rsidR="00277A7B">
        <w:rPr>
          <w:bCs/>
        </w:rPr>
        <w:t xml:space="preserve">we </w:t>
      </w:r>
      <w:r w:rsidR="00591458">
        <w:rPr>
          <w:bCs/>
        </w:rPr>
        <w:t xml:space="preserve">have </w:t>
      </w:r>
      <w:r w:rsidR="00DC0B92">
        <w:rPr>
          <w:bCs/>
        </w:rPr>
        <w:t>solid</w:t>
      </w:r>
      <w:r w:rsidR="00591458">
        <w:rPr>
          <w:bCs/>
        </w:rPr>
        <w:t xml:space="preserve"> visibility into our future financial results.  As a result, </w:t>
      </w:r>
      <w:r w:rsidR="00E01F3D">
        <w:rPr>
          <w:bCs/>
        </w:rPr>
        <w:t xml:space="preserve">excluding any additional acquisitions, </w:t>
      </w:r>
      <w:r w:rsidR="00591458">
        <w:rPr>
          <w:bCs/>
        </w:rPr>
        <w:t xml:space="preserve">we currently anticipate </w:t>
      </w:r>
      <w:r w:rsidR="00E01F3D">
        <w:rPr>
          <w:bCs/>
        </w:rPr>
        <w:t xml:space="preserve">2023 </w:t>
      </w:r>
      <w:r w:rsidR="00591458">
        <w:rPr>
          <w:bCs/>
        </w:rPr>
        <w:t>revenue in excess of $</w:t>
      </w:r>
      <w:r w:rsidR="00E01F3D">
        <w:rPr>
          <w:bCs/>
        </w:rPr>
        <w:t>60</w:t>
      </w:r>
      <w:r w:rsidR="00591458">
        <w:rPr>
          <w:bCs/>
        </w:rPr>
        <w:t xml:space="preserve"> million</w:t>
      </w:r>
      <w:r w:rsidR="00DC0B92">
        <w:rPr>
          <w:bCs/>
        </w:rPr>
        <w:t>, gross profit margin of approximately 40%</w:t>
      </w:r>
      <w:r w:rsidR="000644B6">
        <w:rPr>
          <w:bCs/>
        </w:rPr>
        <w:t xml:space="preserve"> and over $7 million of cash flow from operations</w:t>
      </w:r>
      <w:r w:rsidR="00DC0B92">
        <w:rPr>
          <w:bCs/>
        </w:rPr>
        <w:t xml:space="preserve">. </w:t>
      </w:r>
      <w:r w:rsidR="00E01F3D">
        <w:rPr>
          <w:bCs/>
        </w:rPr>
        <w:t>The historical strength of our financial results has</w:t>
      </w:r>
      <w:r w:rsidR="00591458">
        <w:rPr>
          <w:bCs/>
        </w:rPr>
        <w:t xml:space="preserve"> allowed us</w:t>
      </w:r>
      <w:r w:rsidR="00277A7B">
        <w:rPr>
          <w:bCs/>
        </w:rPr>
        <w:t xml:space="preserve"> to offer our shareholders a meaningful cash dividend, which we expect will </w:t>
      </w:r>
      <w:r w:rsidR="00DC0B92">
        <w:rPr>
          <w:bCs/>
        </w:rPr>
        <w:t xml:space="preserve">exceed $2 million in 2023, reflecting the </w:t>
      </w:r>
      <w:r w:rsidR="00E01F3D">
        <w:rPr>
          <w:bCs/>
        </w:rPr>
        <w:t>continued</w:t>
      </w:r>
      <w:r w:rsidR="00DC0B92">
        <w:rPr>
          <w:bCs/>
        </w:rPr>
        <w:t xml:space="preserve"> growth and</w:t>
      </w:r>
      <w:r w:rsidR="00E01F3D">
        <w:rPr>
          <w:bCs/>
        </w:rPr>
        <w:t xml:space="preserve"> projected</w:t>
      </w:r>
      <w:r w:rsidR="00DC0B92">
        <w:rPr>
          <w:bCs/>
        </w:rPr>
        <w:t xml:space="preserve"> </w:t>
      </w:r>
      <w:r w:rsidR="00591458">
        <w:rPr>
          <w:bCs/>
        </w:rPr>
        <w:t>profitability</w:t>
      </w:r>
      <w:r w:rsidR="00DC0B92">
        <w:rPr>
          <w:bCs/>
        </w:rPr>
        <w:t xml:space="preserve"> of our portfolio companies.”</w:t>
      </w:r>
      <w:r w:rsidR="00591458">
        <w:rPr>
          <w:bCs/>
        </w:rPr>
        <w:t xml:space="preserve"> </w:t>
      </w:r>
    </w:p>
    <w:p w14:paraId="71841B8C" w14:textId="77777777" w:rsidR="00DC0B92" w:rsidRDefault="00DC0B92" w:rsidP="001C0997">
      <w:pPr>
        <w:spacing w:line="240" w:lineRule="auto"/>
        <w:jc w:val="both"/>
        <w:rPr>
          <w:bCs/>
        </w:rPr>
      </w:pPr>
    </w:p>
    <w:p w14:paraId="3F4396B0" w14:textId="20BB2E7E" w:rsidR="001C0997" w:rsidRDefault="001C0997" w:rsidP="001C0997">
      <w:pPr>
        <w:spacing w:line="21" w:lineRule="atLeast"/>
        <w:jc w:val="both"/>
        <w:rPr>
          <w:b/>
          <w:bCs/>
        </w:rPr>
      </w:pPr>
      <w:r w:rsidRPr="009A188E">
        <w:rPr>
          <w:b/>
          <w:bCs/>
        </w:rPr>
        <w:t>About 1847 Holdings LLC</w:t>
      </w:r>
    </w:p>
    <w:p w14:paraId="47F36D7E" w14:textId="77777777" w:rsidR="00064187" w:rsidRPr="009A188E" w:rsidRDefault="00064187" w:rsidP="001C0997">
      <w:pPr>
        <w:spacing w:line="21" w:lineRule="atLeast"/>
        <w:jc w:val="both"/>
        <w:rPr>
          <w:b/>
          <w:bCs/>
        </w:rPr>
      </w:pPr>
    </w:p>
    <w:p w14:paraId="1EF8A4F9" w14:textId="77777777" w:rsidR="001C0997" w:rsidRPr="009A188E" w:rsidRDefault="001C0997" w:rsidP="001C0997">
      <w:pPr>
        <w:spacing w:line="21" w:lineRule="atLeast"/>
        <w:jc w:val="both"/>
        <w:rPr>
          <w:rFonts w:eastAsia="Times New Roman"/>
          <w:color w:val="000000"/>
        </w:rPr>
      </w:pPr>
      <w:r w:rsidRPr="009A188E">
        <w:rPr>
          <w:rFonts w:eastAsia="Times New Roman"/>
          <w:color w:val="000000"/>
        </w:rPr>
        <w:t xml:space="preserve">1847 Holdings LLC (NYSE American: EFSH), a publicly traded diversified acquisition holding company, was founded by Ellery W. Roberts, a former partner of Parallel Investment Partners, Saunders Karp &amp; </w:t>
      </w:r>
      <w:proofErr w:type="spellStart"/>
      <w:r w:rsidRPr="009A188E">
        <w:rPr>
          <w:rFonts w:eastAsia="Times New Roman"/>
          <w:color w:val="000000"/>
        </w:rPr>
        <w:t>Megrue</w:t>
      </w:r>
      <w:proofErr w:type="spellEnd"/>
      <w:r w:rsidRPr="009A188E">
        <w:rPr>
          <w:rFonts w:eastAsia="Times New Roman"/>
          <w:color w:val="000000"/>
        </w:rPr>
        <w:t>, and Principal of Lazard Freres Strategic Realty Investors. 1847 Holdings' investment thesis is that capital market inefficiencies have left the founders and/or stakeholders of many small business enterprises or lower-middle market businesses with limited exit options despite the intrinsic value of their business. Given this dynamic, 1847 Holdings can consistently acquire businesses it views as "solid" for reasonable multiples of cash flow and then deploy resources to strengthen the infrastructure and systems of those businesses in order to improve operations. These improvements may lead to a sale or IPO of an operating subsidiary at higher valuations than the purchase price and/or alternatively, an operating subsidiary may be held in perpetuity and contribute to 1847 Holdings' ability to pay regular and special dividends to shareholders.</w:t>
      </w:r>
    </w:p>
    <w:p w14:paraId="43DD9F6D" w14:textId="77777777" w:rsidR="001C0997" w:rsidRPr="009A188E" w:rsidRDefault="001C0997" w:rsidP="001C0997">
      <w:pPr>
        <w:spacing w:line="21" w:lineRule="atLeast"/>
        <w:jc w:val="both"/>
        <w:rPr>
          <w:rFonts w:eastAsia="Times New Roman"/>
          <w:color w:val="000000"/>
        </w:rPr>
      </w:pPr>
    </w:p>
    <w:p w14:paraId="2839F091" w14:textId="77777777" w:rsidR="001C0997" w:rsidRPr="009A188E" w:rsidRDefault="001C0997" w:rsidP="001C0997">
      <w:pPr>
        <w:spacing w:line="21" w:lineRule="atLeast"/>
        <w:jc w:val="both"/>
        <w:rPr>
          <w:b/>
          <w:bCs/>
        </w:rPr>
      </w:pPr>
      <w:r w:rsidRPr="009A188E">
        <w:rPr>
          <w:b/>
          <w:bCs/>
        </w:rPr>
        <w:t>Forward-Looking Statements</w:t>
      </w:r>
    </w:p>
    <w:p w14:paraId="51CEA797" w14:textId="3C041977" w:rsidR="001C0997" w:rsidRDefault="001C0997" w:rsidP="001C0997">
      <w:pPr>
        <w:shd w:val="clear" w:color="auto" w:fill="FFFFFF"/>
        <w:spacing w:after="300" w:line="240" w:lineRule="auto"/>
        <w:textAlignment w:val="baseline"/>
        <w:rPr>
          <w:rFonts w:eastAsia="Times New Roman"/>
          <w:color w:val="000000"/>
        </w:rPr>
      </w:pPr>
      <w:r w:rsidRPr="009A188E">
        <w:rPr>
          <w:rFonts w:eastAsia="Times New Roman"/>
          <w:color w:val="000000"/>
        </w:rPr>
        <w:t xml:space="preserve">This press release may contain information about 1847 Holdings' view of its future expectations, plans and prospects that constitute forward-looking statements. All forward-looking statements are based on our management's beliefs, </w:t>
      </w:r>
      <w:proofErr w:type="gramStart"/>
      <w:r w:rsidRPr="009A188E">
        <w:rPr>
          <w:rFonts w:eastAsia="Times New Roman"/>
          <w:color w:val="000000"/>
        </w:rPr>
        <w:t>assumptions</w:t>
      </w:r>
      <w:proofErr w:type="gramEnd"/>
      <w:r w:rsidRPr="009A188E">
        <w:rPr>
          <w:rFonts w:eastAsia="Times New Roman"/>
          <w:color w:val="000000"/>
        </w:rPr>
        <w:t xml:space="preserve"> and expectations of our future economic </w:t>
      </w:r>
      <w:r w:rsidRPr="009A188E">
        <w:rPr>
          <w:rFonts w:eastAsia="Times New Roman"/>
          <w:color w:val="000000"/>
        </w:rPr>
        <w:lastRenderedPageBreak/>
        <w:t>performance, taking into account the information currently available to it. These statements are not statements of historical fact. Forward-looking statements are subject to a number of factors, risks and uncertainties, some of which are not currently known to us, that may cause our actual results, performance or financial condition to be materially different from the expectations of future results, performance or financial position. Our actual results may differ materially from the results discussed in forward-looking statements. Factors that might cause such a difference include but are not limited to the risks set forth in "Risk Factors" included in our SEC filings.</w:t>
      </w:r>
    </w:p>
    <w:p w14:paraId="00003F8D" w14:textId="77777777" w:rsidR="001C0997" w:rsidRPr="009A188E" w:rsidRDefault="001C0997" w:rsidP="001C0997">
      <w:pPr>
        <w:spacing w:line="21" w:lineRule="atLeast"/>
        <w:jc w:val="both"/>
        <w:rPr>
          <w:b/>
          <w:bCs/>
        </w:rPr>
      </w:pPr>
      <w:r w:rsidRPr="009A188E">
        <w:rPr>
          <w:b/>
          <w:bCs/>
        </w:rPr>
        <w:t>Contact:</w:t>
      </w:r>
    </w:p>
    <w:p w14:paraId="2492A2B8" w14:textId="77777777" w:rsidR="001C0997" w:rsidRPr="009A188E" w:rsidRDefault="001C0997" w:rsidP="001C0997">
      <w:pPr>
        <w:rPr>
          <w:rFonts w:eastAsia="Times New Roman"/>
          <w:color w:val="000000"/>
        </w:rPr>
      </w:pPr>
      <w:r w:rsidRPr="009A188E">
        <w:rPr>
          <w:rFonts w:eastAsia="Times New Roman"/>
          <w:color w:val="000000"/>
        </w:rPr>
        <w:t>Crescendo Communications, LLC</w:t>
      </w:r>
      <w:r w:rsidRPr="009A188E">
        <w:rPr>
          <w:rFonts w:eastAsia="Times New Roman"/>
          <w:color w:val="000000"/>
        </w:rPr>
        <w:br/>
        <w:t>Tel: +1 (212) 671-1020</w:t>
      </w:r>
      <w:r w:rsidRPr="009A188E">
        <w:rPr>
          <w:rFonts w:eastAsia="Times New Roman"/>
          <w:color w:val="000000"/>
        </w:rPr>
        <w:br/>
        <w:t xml:space="preserve">Email: </w:t>
      </w:r>
      <w:hyperlink r:id="rId8" w:history="1">
        <w:r w:rsidRPr="009A188E">
          <w:rPr>
            <w:rFonts w:eastAsia="Times New Roman"/>
            <w:color w:val="000000"/>
          </w:rPr>
          <w:t>EFSH@crescendo-ir.com</w:t>
        </w:r>
      </w:hyperlink>
    </w:p>
    <w:p w14:paraId="287943EA" w14:textId="77777777" w:rsidR="001C0997" w:rsidRPr="003E0CD5" w:rsidRDefault="001C0997" w:rsidP="001C0997">
      <w:pPr>
        <w:pStyle w:val="NormalWeb"/>
        <w:shd w:val="clear" w:color="auto" w:fill="FFFFFF"/>
        <w:spacing w:before="0" w:after="240"/>
        <w:jc w:val="both"/>
        <w:rPr>
          <w:rFonts w:ascii="Arial" w:hAnsi="Arial" w:cs="Arial"/>
          <w:color w:val="000000"/>
          <w:sz w:val="22"/>
          <w:szCs w:val="22"/>
        </w:rPr>
      </w:pPr>
    </w:p>
    <w:p w14:paraId="4F2F2BD1" w14:textId="77777777" w:rsidR="001C0997" w:rsidRPr="00725700" w:rsidRDefault="001C0997" w:rsidP="001C0997">
      <w:pPr>
        <w:spacing w:line="240" w:lineRule="auto"/>
        <w:jc w:val="both"/>
        <w:rPr>
          <w:rFonts w:ascii="Calibri" w:eastAsia="MS Gothic" w:hAnsi="Calibri" w:cs="Calibri"/>
          <w:color w:val="1A1A1A"/>
          <w:sz w:val="24"/>
          <w:szCs w:val="24"/>
        </w:rPr>
      </w:pPr>
    </w:p>
    <w:p w14:paraId="5FB0D986" w14:textId="77777777" w:rsidR="001C0997" w:rsidRPr="00725700" w:rsidRDefault="001C0997" w:rsidP="001C0997">
      <w:pPr>
        <w:spacing w:line="240" w:lineRule="auto"/>
        <w:jc w:val="both"/>
        <w:rPr>
          <w:rFonts w:ascii="Calibri" w:hAnsi="Calibri" w:cs="Calibri"/>
          <w:sz w:val="24"/>
          <w:szCs w:val="24"/>
          <w:highlight w:val="yellow"/>
        </w:rPr>
      </w:pPr>
      <w:r w:rsidRPr="00725700">
        <w:rPr>
          <w:rFonts w:ascii="Calibri" w:hAnsi="Calibri" w:cs="Calibri"/>
          <w:sz w:val="24"/>
          <w:szCs w:val="24"/>
          <w:highlight w:val="yellow"/>
        </w:rPr>
        <w:t xml:space="preserve"> </w:t>
      </w:r>
    </w:p>
    <w:p w14:paraId="00000028" w14:textId="37D11B42" w:rsidR="006C773F" w:rsidRPr="001C0997" w:rsidRDefault="006C773F" w:rsidP="001C0997"/>
    <w:sectPr w:rsidR="006C773F" w:rsidRPr="001C099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4DBAB" w14:textId="77777777" w:rsidR="00E01B19" w:rsidRDefault="00E01B19" w:rsidP="00D85762">
      <w:pPr>
        <w:spacing w:line="240" w:lineRule="auto"/>
      </w:pPr>
      <w:r>
        <w:separator/>
      </w:r>
    </w:p>
  </w:endnote>
  <w:endnote w:type="continuationSeparator" w:id="0">
    <w:p w14:paraId="5BA4A77A" w14:textId="77777777" w:rsidR="00E01B19" w:rsidRDefault="00E01B19" w:rsidP="00D8576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F01EAC" w14:textId="77777777" w:rsidR="00E01B19" w:rsidRDefault="00E01B19" w:rsidP="00D85762">
      <w:pPr>
        <w:spacing w:line="240" w:lineRule="auto"/>
      </w:pPr>
      <w:r>
        <w:separator/>
      </w:r>
    </w:p>
  </w:footnote>
  <w:footnote w:type="continuationSeparator" w:id="0">
    <w:p w14:paraId="1F7B5343" w14:textId="77777777" w:rsidR="00E01B19" w:rsidRDefault="00E01B19" w:rsidP="00D85762">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73F"/>
    <w:rsid w:val="00064187"/>
    <w:rsid w:val="000644B6"/>
    <w:rsid w:val="00075BDF"/>
    <w:rsid w:val="000A6433"/>
    <w:rsid w:val="0015491A"/>
    <w:rsid w:val="001C0997"/>
    <w:rsid w:val="002205F0"/>
    <w:rsid w:val="002219DF"/>
    <w:rsid w:val="00277A7B"/>
    <w:rsid w:val="00297FEB"/>
    <w:rsid w:val="002B07D6"/>
    <w:rsid w:val="002B0E74"/>
    <w:rsid w:val="002E6831"/>
    <w:rsid w:val="00337D8A"/>
    <w:rsid w:val="004134DA"/>
    <w:rsid w:val="0041687B"/>
    <w:rsid w:val="00462959"/>
    <w:rsid w:val="004E6DC5"/>
    <w:rsid w:val="005374DC"/>
    <w:rsid w:val="00574466"/>
    <w:rsid w:val="00591458"/>
    <w:rsid w:val="005E30AF"/>
    <w:rsid w:val="00612BA6"/>
    <w:rsid w:val="0066405A"/>
    <w:rsid w:val="006C773F"/>
    <w:rsid w:val="00725700"/>
    <w:rsid w:val="00742152"/>
    <w:rsid w:val="00836114"/>
    <w:rsid w:val="008460FC"/>
    <w:rsid w:val="0086088D"/>
    <w:rsid w:val="00874877"/>
    <w:rsid w:val="008C7054"/>
    <w:rsid w:val="0091418F"/>
    <w:rsid w:val="00925469"/>
    <w:rsid w:val="00986A7F"/>
    <w:rsid w:val="009A188E"/>
    <w:rsid w:val="00AD4635"/>
    <w:rsid w:val="00C905DC"/>
    <w:rsid w:val="00C96089"/>
    <w:rsid w:val="00CF3A06"/>
    <w:rsid w:val="00D85762"/>
    <w:rsid w:val="00DC0B92"/>
    <w:rsid w:val="00E01B19"/>
    <w:rsid w:val="00E01F3D"/>
    <w:rsid w:val="00E72D1C"/>
    <w:rsid w:val="00E976DE"/>
    <w:rsid w:val="00EA3E30"/>
    <w:rsid w:val="00F57286"/>
    <w:rsid w:val="00F657F6"/>
    <w:rsid w:val="00F97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F26A6"/>
  <w15:docId w15:val="{DED0FE3F-40D1-4CEE-ADF8-47DBFF88F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Strong">
    <w:name w:val="Strong"/>
    <w:basedOn w:val="DefaultParagraphFont"/>
    <w:uiPriority w:val="22"/>
    <w:qFormat/>
    <w:rsid w:val="00D85762"/>
    <w:rPr>
      <w:b/>
      <w:bCs/>
    </w:rPr>
  </w:style>
  <w:style w:type="paragraph" w:styleId="Header">
    <w:name w:val="header"/>
    <w:basedOn w:val="Normal"/>
    <w:link w:val="HeaderChar"/>
    <w:uiPriority w:val="99"/>
    <w:unhideWhenUsed/>
    <w:rsid w:val="00D85762"/>
    <w:pPr>
      <w:tabs>
        <w:tab w:val="center" w:pos="4680"/>
        <w:tab w:val="right" w:pos="9360"/>
      </w:tabs>
      <w:spacing w:line="240" w:lineRule="auto"/>
    </w:pPr>
  </w:style>
  <w:style w:type="character" w:customStyle="1" w:styleId="HeaderChar">
    <w:name w:val="Header Char"/>
    <w:basedOn w:val="DefaultParagraphFont"/>
    <w:link w:val="Header"/>
    <w:uiPriority w:val="99"/>
    <w:rsid w:val="00D85762"/>
  </w:style>
  <w:style w:type="paragraph" w:styleId="Footer">
    <w:name w:val="footer"/>
    <w:basedOn w:val="Normal"/>
    <w:link w:val="FooterChar"/>
    <w:uiPriority w:val="99"/>
    <w:unhideWhenUsed/>
    <w:rsid w:val="00D85762"/>
    <w:pPr>
      <w:tabs>
        <w:tab w:val="center" w:pos="4680"/>
        <w:tab w:val="right" w:pos="9360"/>
      </w:tabs>
      <w:spacing w:line="240" w:lineRule="auto"/>
    </w:pPr>
  </w:style>
  <w:style w:type="character" w:customStyle="1" w:styleId="FooterChar">
    <w:name w:val="Footer Char"/>
    <w:basedOn w:val="DefaultParagraphFont"/>
    <w:link w:val="Footer"/>
    <w:uiPriority w:val="99"/>
    <w:rsid w:val="00D85762"/>
  </w:style>
  <w:style w:type="paragraph" w:styleId="NoSpacing">
    <w:name w:val="No Spacing"/>
    <w:uiPriority w:val="1"/>
    <w:qFormat/>
    <w:rsid w:val="00D85762"/>
    <w:pPr>
      <w:spacing w:line="240" w:lineRule="auto"/>
    </w:pPr>
    <w:rPr>
      <w:rFonts w:asciiTheme="minorHAnsi" w:eastAsiaTheme="minorEastAsia" w:hAnsiTheme="minorHAnsi" w:cstheme="minorBidi"/>
      <w:sz w:val="24"/>
      <w:szCs w:val="24"/>
      <w:lang w:val="en-US" w:eastAsia="zh-CN"/>
    </w:rPr>
  </w:style>
  <w:style w:type="character" w:styleId="Hyperlink">
    <w:name w:val="Hyperlink"/>
    <w:basedOn w:val="DefaultParagraphFont"/>
    <w:uiPriority w:val="99"/>
    <w:unhideWhenUsed/>
    <w:rsid w:val="00D85762"/>
    <w:rPr>
      <w:color w:val="0000FF" w:themeColor="hyperlink"/>
      <w:u w:val="single"/>
    </w:rPr>
  </w:style>
  <w:style w:type="character" w:customStyle="1" w:styleId="presentingrep">
    <w:name w:val="presenting_rep"/>
    <w:basedOn w:val="DefaultParagraphFont"/>
    <w:rsid w:val="00574466"/>
  </w:style>
  <w:style w:type="character" w:styleId="UnresolvedMention">
    <w:name w:val="Unresolved Mention"/>
    <w:basedOn w:val="DefaultParagraphFont"/>
    <w:uiPriority w:val="99"/>
    <w:semiHidden/>
    <w:unhideWhenUsed/>
    <w:rsid w:val="00574466"/>
    <w:rPr>
      <w:color w:val="605E5C"/>
      <w:shd w:val="clear" w:color="auto" w:fill="E1DFDD"/>
    </w:rPr>
  </w:style>
  <w:style w:type="paragraph" w:styleId="BodyText">
    <w:name w:val="Body Text"/>
    <w:basedOn w:val="Normal"/>
    <w:link w:val="BodyTextChar"/>
    <w:uiPriority w:val="1"/>
    <w:qFormat/>
    <w:rsid w:val="00C905DC"/>
    <w:pPr>
      <w:widowControl w:val="0"/>
      <w:autoSpaceDE w:val="0"/>
      <w:autoSpaceDN w:val="0"/>
      <w:spacing w:line="240" w:lineRule="auto"/>
    </w:pPr>
    <w:rPr>
      <w:sz w:val="24"/>
      <w:szCs w:val="24"/>
      <w:lang w:val="en-US"/>
    </w:rPr>
  </w:style>
  <w:style w:type="character" w:customStyle="1" w:styleId="BodyTextChar">
    <w:name w:val="Body Text Char"/>
    <w:basedOn w:val="DefaultParagraphFont"/>
    <w:link w:val="BodyText"/>
    <w:uiPriority w:val="1"/>
    <w:rsid w:val="00C905DC"/>
    <w:rPr>
      <w:sz w:val="24"/>
      <w:szCs w:val="24"/>
      <w:lang w:val="en-US"/>
    </w:rPr>
  </w:style>
  <w:style w:type="table" w:styleId="TableGrid">
    <w:name w:val="Table Grid"/>
    <w:basedOn w:val="TableNormal"/>
    <w:uiPriority w:val="39"/>
    <w:rsid w:val="00C905DC"/>
    <w:pPr>
      <w:spacing w:line="240" w:lineRule="auto"/>
    </w:pPr>
    <w:rPr>
      <w:rFonts w:asciiTheme="minorHAnsi" w:eastAsiaTheme="minorHAnsi" w:hAnsiTheme="minorHAnsi" w:cstheme="minorBid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普通 (Web),Normal (Web) Char Char,普通 (Web) Char1 Char,普通 (Web) Char2,普通 (Web) Char1,普uc0通 (Web),普uc0通 (Web) Char1 Char,普uc0通 (Web) Char2,普uc0通 (Web) Char1,ClientStyle2,webb,Char,ClientStyle1,Style 19,Style 13,Normal (Web) Char1"/>
    <w:basedOn w:val="Normal"/>
    <w:link w:val="NormalWebChar"/>
    <w:uiPriority w:val="99"/>
    <w:qFormat/>
    <w:rsid w:val="001C0997"/>
    <w:pPr>
      <w:suppressAutoHyphens/>
      <w:autoSpaceDN w:val="0"/>
      <w:spacing w:before="100" w:after="100"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F657F6"/>
    <w:pPr>
      <w:spacing w:line="240" w:lineRule="auto"/>
    </w:pPr>
  </w:style>
  <w:style w:type="character" w:customStyle="1" w:styleId="NormalWebChar">
    <w:name w:val="Normal (Web) Char"/>
    <w:aliases w:val="普通 (Web) Char,Normal (Web) Char Char Char,普通 (Web) Char1 Char Char,普通 (Web) Char2 Char,普通 (Web) Char1 Char1,普uc0通 (Web) Char,普uc0通 (Web) Char1 Char Char,普uc0通 (Web) Char2 Char,普uc0通 (Web) Char1 Char1,ClientStyle2 Char,webb Char"/>
    <w:link w:val="NormalWeb"/>
    <w:uiPriority w:val="99"/>
    <w:locked/>
    <w:rsid w:val="00925469"/>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FSH@crescendo-ir.com" TargetMode="External"/><Relationship Id="rId3" Type="http://schemas.openxmlformats.org/officeDocument/2006/relationships/webSettings" Target="webSettings.xml"/><Relationship Id="rId7" Type="http://schemas.openxmlformats.org/officeDocument/2006/relationships/hyperlink" Target="https://1847holding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563</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Benjamin Kaufman</dc:creator>
  <cp:lastModifiedBy>Natalya Rudman</cp:lastModifiedBy>
  <cp:revision>2</cp:revision>
  <dcterms:created xsi:type="dcterms:W3CDTF">2022-10-31T01:27:00Z</dcterms:created>
  <dcterms:modified xsi:type="dcterms:W3CDTF">2022-10-31T01:27:00Z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3e46c3650bea9ce2c99d3866be36f4d95719765f696b83b5c614cceb01b0469f</vt:lpwstr>
  </property>
</Properties>
</file>