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152F4" w14:textId="77777777" w:rsidR="00DD6ADB" w:rsidRDefault="00000000">
      <w:pPr>
        <w:rPr>
          <w:rFonts w:ascii="Georgia" w:eastAsia="Georgia" w:hAnsi="Georgia" w:cs="Georgia"/>
          <w:b/>
          <w:color w:val="444444"/>
          <w:sz w:val="24"/>
          <w:szCs w:val="24"/>
          <w:highlight w:val="white"/>
        </w:rPr>
      </w:pPr>
      <w:proofErr w:type="spellStart"/>
      <w:r>
        <w:rPr>
          <w:rFonts w:ascii="Georgia" w:eastAsia="Georgia" w:hAnsi="Georgia" w:cs="Georgia"/>
          <w:b/>
          <w:color w:val="444444"/>
          <w:sz w:val="24"/>
          <w:szCs w:val="24"/>
          <w:highlight w:val="white"/>
        </w:rPr>
        <w:t>BrightRock</w:t>
      </w:r>
      <w:proofErr w:type="spellEnd"/>
      <w:r>
        <w:rPr>
          <w:rFonts w:ascii="Georgia" w:eastAsia="Georgia" w:hAnsi="Georgia" w:cs="Georgia"/>
          <w:b/>
          <w:color w:val="444444"/>
          <w:sz w:val="24"/>
          <w:szCs w:val="24"/>
          <w:highlight w:val="white"/>
        </w:rPr>
        <w:t xml:space="preserve"> Gold Corp Announces Completed Official Staking of its </w:t>
      </w:r>
      <w:proofErr w:type="gramStart"/>
      <w:r>
        <w:rPr>
          <w:rFonts w:ascii="Georgia" w:eastAsia="Georgia" w:hAnsi="Georgia" w:cs="Georgia"/>
          <w:b/>
          <w:color w:val="444444"/>
          <w:sz w:val="24"/>
          <w:szCs w:val="24"/>
          <w:highlight w:val="white"/>
        </w:rPr>
        <w:t>1400 acre</w:t>
      </w:r>
      <w:proofErr w:type="gramEnd"/>
      <w:r>
        <w:rPr>
          <w:rFonts w:ascii="Georgia" w:eastAsia="Georgia" w:hAnsi="Georgia" w:cs="Georgia"/>
          <w:b/>
          <w:color w:val="444444"/>
          <w:sz w:val="24"/>
          <w:szCs w:val="24"/>
          <w:highlight w:val="white"/>
        </w:rPr>
        <w:t xml:space="preserve"> expansion at the Midnight Owl Lithium Project. </w:t>
      </w:r>
    </w:p>
    <w:p w14:paraId="09E83010" w14:textId="77777777" w:rsidR="00DD6ADB" w:rsidRDefault="00DD6ADB">
      <w:pPr>
        <w:rPr>
          <w:rFonts w:ascii="Georgia" w:eastAsia="Georgia" w:hAnsi="Georgia" w:cs="Georgia"/>
          <w:b/>
          <w:color w:val="444444"/>
          <w:sz w:val="26"/>
          <w:szCs w:val="26"/>
          <w:highlight w:val="white"/>
        </w:rPr>
      </w:pPr>
    </w:p>
    <w:p w14:paraId="2B888BFD" w14:textId="77777777" w:rsidR="00DD6ADB" w:rsidRDefault="00000000">
      <w:pPr>
        <w:rPr>
          <w:rFonts w:ascii="Georgia" w:eastAsia="Georgia" w:hAnsi="Georgia" w:cs="Georgia"/>
          <w:color w:val="444444"/>
          <w:sz w:val="24"/>
          <w:szCs w:val="24"/>
          <w:highlight w:val="white"/>
        </w:rPr>
      </w:pPr>
      <w:r>
        <w:rPr>
          <w:rFonts w:ascii="Georgia" w:eastAsia="Georgia" w:hAnsi="Georgia" w:cs="Georgia"/>
          <w:b/>
          <w:color w:val="444444"/>
          <w:sz w:val="24"/>
          <w:szCs w:val="24"/>
          <w:highlight w:val="white"/>
        </w:rPr>
        <w:t xml:space="preserve">GURNEE, IL / ACCESSWIRE / October 31, 2022 / </w:t>
      </w:r>
      <w:proofErr w:type="spellStart"/>
      <w:r>
        <w:rPr>
          <w:rFonts w:ascii="Georgia" w:eastAsia="Georgia" w:hAnsi="Georgia" w:cs="Georgia"/>
          <w:color w:val="444444"/>
          <w:sz w:val="24"/>
          <w:szCs w:val="24"/>
          <w:highlight w:val="white"/>
        </w:rPr>
        <w:t>BrightRock</w:t>
      </w:r>
      <w:proofErr w:type="spellEnd"/>
      <w:r>
        <w:rPr>
          <w:rFonts w:ascii="Georgia" w:eastAsia="Georgia" w:hAnsi="Georgia" w:cs="Georgia"/>
          <w:color w:val="444444"/>
          <w:sz w:val="24"/>
          <w:szCs w:val="24"/>
          <w:highlight w:val="white"/>
        </w:rPr>
        <w:t xml:space="preserve"> Gold Corp. (OTC PINK:BRGC) is pleased to announce the successfully completed staking of its 1400 acre expansion disclosed earlier this year </w:t>
      </w:r>
      <w:hyperlink r:id="rId4">
        <w:r>
          <w:rPr>
            <w:rFonts w:ascii="Georgia" w:eastAsia="Georgia" w:hAnsi="Georgia" w:cs="Georgia"/>
            <w:color w:val="1155CC"/>
            <w:sz w:val="24"/>
            <w:szCs w:val="24"/>
            <w:highlight w:val="white"/>
            <w:u w:val="single"/>
          </w:rPr>
          <w:t>(see 6/21/2022 Company News)</w:t>
        </w:r>
      </w:hyperlink>
      <w:r>
        <w:rPr>
          <w:rFonts w:ascii="Georgia" w:eastAsia="Georgia" w:hAnsi="Georgia" w:cs="Georgia"/>
          <w:color w:val="444444"/>
          <w:sz w:val="24"/>
          <w:szCs w:val="24"/>
          <w:highlight w:val="white"/>
        </w:rPr>
        <w:t xml:space="preserve">. </w:t>
      </w:r>
      <w:r>
        <w:rPr>
          <w:rFonts w:ascii="Georgia" w:eastAsia="Georgia" w:hAnsi="Georgia" w:cs="Georgia"/>
          <w:color w:val="555555"/>
          <w:sz w:val="24"/>
          <w:szCs w:val="24"/>
          <w:highlight w:val="white"/>
        </w:rPr>
        <w:t xml:space="preserve">The Company has staked 68 additional unpatented lode claims covering more than 2 square miles (nearly 6 square kilometers) in the northeastern part of the White Picacho District </w:t>
      </w:r>
      <w:r>
        <w:rPr>
          <w:rFonts w:ascii="Georgia" w:eastAsia="Georgia" w:hAnsi="Georgia" w:cs="Georgia"/>
          <w:color w:val="444444"/>
          <w:sz w:val="24"/>
          <w:szCs w:val="24"/>
          <w:highlight w:val="white"/>
        </w:rPr>
        <w:t xml:space="preserve">approximately 13 miles east of Wickenburg, </w:t>
      </w:r>
      <w:proofErr w:type="gramStart"/>
      <w:r>
        <w:rPr>
          <w:rFonts w:ascii="Georgia" w:eastAsia="Georgia" w:hAnsi="Georgia" w:cs="Georgia"/>
          <w:color w:val="444444"/>
          <w:sz w:val="24"/>
          <w:szCs w:val="24"/>
          <w:highlight w:val="white"/>
        </w:rPr>
        <w:t>Arizona</w:t>
      </w:r>
      <w:r>
        <w:rPr>
          <w:rFonts w:ascii="Georgia" w:eastAsia="Georgia" w:hAnsi="Georgia" w:cs="Georgia"/>
          <w:color w:val="555555"/>
          <w:sz w:val="24"/>
          <w:szCs w:val="24"/>
          <w:highlight w:val="white"/>
        </w:rPr>
        <w:t xml:space="preserve"> .</w:t>
      </w:r>
      <w:proofErr w:type="gramEnd"/>
      <w:r>
        <w:rPr>
          <w:rFonts w:ascii="Georgia" w:eastAsia="Georgia" w:hAnsi="Georgia" w:cs="Georgia"/>
          <w:color w:val="555555"/>
          <w:sz w:val="24"/>
          <w:szCs w:val="24"/>
          <w:highlight w:val="white"/>
        </w:rPr>
        <w:t xml:space="preserve"> This extends the “Midnight Owl Lithium Project” over numerous pegmatite bodies, most of which have not seen much exploration or production aside from brief </w:t>
      </w:r>
      <w:proofErr w:type="gramStart"/>
      <w:r>
        <w:rPr>
          <w:rFonts w:ascii="Georgia" w:eastAsia="Georgia" w:hAnsi="Georgia" w:cs="Georgia"/>
          <w:color w:val="555555"/>
          <w:sz w:val="24"/>
          <w:szCs w:val="24"/>
          <w:highlight w:val="white"/>
        </w:rPr>
        <w:t>small scale</w:t>
      </w:r>
      <w:proofErr w:type="gramEnd"/>
      <w:r>
        <w:rPr>
          <w:rFonts w:ascii="Georgia" w:eastAsia="Georgia" w:hAnsi="Georgia" w:cs="Georgia"/>
          <w:color w:val="555555"/>
          <w:sz w:val="24"/>
          <w:szCs w:val="24"/>
          <w:highlight w:val="white"/>
        </w:rPr>
        <w:t xml:space="preserve"> output during the 1940’s. </w:t>
      </w:r>
      <w:r>
        <w:rPr>
          <w:rFonts w:ascii="Georgia" w:eastAsia="Georgia" w:hAnsi="Georgia" w:cs="Georgia"/>
          <w:color w:val="444444"/>
          <w:sz w:val="24"/>
          <w:szCs w:val="24"/>
          <w:highlight w:val="white"/>
        </w:rPr>
        <w:t xml:space="preserve">In the map attached below you will find the original </w:t>
      </w:r>
      <w:proofErr w:type="gramStart"/>
      <w:r>
        <w:rPr>
          <w:rFonts w:ascii="Georgia" w:eastAsia="Georgia" w:hAnsi="Georgia" w:cs="Georgia"/>
          <w:color w:val="444444"/>
          <w:sz w:val="24"/>
          <w:szCs w:val="24"/>
          <w:highlight w:val="white"/>
        </w:rPr>
        <w:t>20.66 acre</w:t>
      </w:r>
      <w:proofErr w:type="gramEnd"/>
      <w:r>
        <w:rPr>
          <w:rFonts w:ascii="Georgia" w:eastAsia="Georgia" w:hAnsi="Georgia" w:cs="Georgia"/>
          <w:color w:val="444444"/>
          <w:sz w:val="24"/>
          <w:szCs w:val="24"/>
          <w:highlight w:val="white"/>
        </w:rPr>
        <w:t xml:space="preserve"> Midnight Owl Mine highlighted in purple. The adjoining white boxes are the 100% owned, confirmed valid, and completely staked 68 </w:t>
      </w:r>
      <w:proofErr w:type="gramStart"/>
      <w:r>
        <w:rPr>
          <w:rFonts w:ascii="Georgia" w:eastAsia="Georgia" w:hAnsi="Georgia" w:cs="Georgia"/>
          <w:color w:val="444444"/>
          <w:sz w:val="24"/>
          <w:szCs w:val="24"/>
          <w:highlight w:val="white"/>
        </w:rPr>
        <w:t>claim</w:t>
      </w:r>
      <w:proofErr w:type="gramEnd"/>
      <w:r>
        <w:rPr>
          <w:rFonts w:ascii="Georgia" w:eastAsia="Georgia" w:hAnsi="Georgia" w:cs="Georgia"/>
          <w:color w:val="444444"/>
          <w:sz w:val="24"/>
          <w:szCs w:val="24"/>
          <w:highlight w:val="white"/>
        </w:rPr>
        <w:t xml:space="preserve">, 1400 acre expansion. </w:t>
      </w:r>
    </w:p>
    <w:p w14:paraId="306F28E6" w14:textId="77777777" w:rsidR="00DD6ADB" w:rsidRDefault="00DD6ADB">
      <w:pPr>
        <w:rPr>
          <w:rFonts w:ascii="Georgia" w:eastAsia="Georgia" w:hAnsi="Georgia" w:cs="Georgia"/>
          <w:color w:val="444444"/>
          <w:sz w:val="24"/>
          <w:szCs w:val="24"/>
          <w:highlight w:val="white"/>
        </w:rPr>
      </w:pPr>
    </w:p>
    <w:p w14:paraId="3380DE0A" w14:textId="77777777" w:rsidR="00DD6ADB" w:rsidRDefault="00000000">
      <w:pPr>
        <w:rPr>
          <w:rFonts w:ascii="Georgia" w:eastAsia="Georgia" w:hAnsi="Georgia" w:cs="Georgia"/>
          <w:color w:val="444444"/>
          <w:sz w:val="24"/>
          <w:szCs w:val="24"/>
          <w:highlight w:val="white"/>
        </w:rPr>
      </w:pPr>
      <w:r>
        <w:rPr>
          <w:rFonts w:ascii="Georgia" w:eastAsia="Georgia" w:hAnsi="Georgia" w:cs="Georgia"/>
          <w:color w:val="444444"/>
          <w:sz w:val="24"/>
          <w:szCs w:val="24"/>
          <w:highlight w:val="white"/>
        </w:rPr>
        <w:t>BRGC CEO Mac J. Shahsavar, P. Eng. commented “Staking is back breaking work, that difficulty is only amplified in a desert type environment. We are thank-</w:t>
      </w:r>
      <w:proofErr w:type="spellStart"/>
      <w:r>
        <w:rPr>
          <w:rFonts w:ascii="Georgia" w:eastAsia="Georgia" w:hAnsi="Georgia" w:cs="Georgia"/>
          <w:color w:val="444444"/>
          <w:sz w:val="24"/>
          <w:szCs w:val="24"/>
          <w:highlight w:val="white"/>
        </w:rPr>
        <w:t>ful</w:t>
      </w:r>
      <w:proofErr w:type="spellEnd"/>
      <w:r>
        <w:rPr>
          <w:rFonts w:ascii="Georgia" w:eastAsia="Georgia" w:hAnsi="Georgia" w:cs="Georgia"/>
          <w:color w:val="444444"/>
          <w:sz w:val="24"/>
          <w:szCs w:val="24"/>
          <w:highlight w:val="white"/>
        </w:rPr>
        <w:t xml:space="preserve"> and give tremendous credit to Steven </w:t>
      </w:r>
      <w:proofErr w:type="spellStart"/>
      <w:r>
        <w:rPr>
          <w:rFonts w:ascii="Georgia" w:eastAsia="Georgia" w:hAnsi="Georgia" w:cs="Georgia"/>
          <w:color w:val="444444"/>
          <w:sz w:val="24"/>
          <w:szCs w:val="24"/>
          <w:highlight w:val="white"/>
        </w:rPr>
        <w:t>Cyros</w:t>
      </w:r>
      <w:proofErr w:type="spellEnd"/>
      <w:r>
        <w:rPr>
          <w:rFonts w:ascii="Georgia" w:eastAsia="Georgia" w:hAnsi="Georgia" w:cs="Georgia"/>
          <w:color w:val="444444"/>
          <w:sz w:val="24"/>
          <w:szCs w:val="24"/>
          <w:highlight w:val="white"/>
        </w:rPr>
        <w:t xml:space="preserve"> and his team for accomplishing such a task with accuracy. Attention to detail like this is vitally important during these historic times in the lithium market when so many are looking for a piece of a pie.”</w:t>
      </w:r>
    </w:p>
    <w:p w14:paraId="71D30158" w14:textId="77777777" w:rsidR="00DD6ADB" w:rsidRDefault="00DD6ADB">
      <w:pPr>
        <w:rPr>
          <w:rFonts w:ascii="Georgia" w:eastAsia="Georgia" w:hAnsi="Georgia" w:cs="Georgia"/>
          <w:color w:val="444444"/>
          <w:sz w:val="24"/>
          <w:szCs w:val="24"/>
          <w:highlight w:val="white"/>
        </w:rPr>
      </w:pPr>
    </w:p>
    <w:p w14:paraId="46E77365" w14:textId="77777777" w:rsidR="00DD6ADB" w:rsidRDefault="00000000">
      <w:pPr>
        <w:rPr>
          <w:rFonts w:ascii="Georgia" w:eastAsia="Georgia" w:hAnsi="Georgia" w:cs="Georgia"/>
          <w:color w:val="444444"/>
          <w:sz w:val="24"/>
          <w:szCs w:val="24"/>
          <w:highlight w:val="white"/>
        </w:rPr>
      </w:pPr>
      <w:r>
        <w:rPr>
          <w:rFonts w:ascii="Georgia" w:eastAsia="Georgia" w:hAnsi="Georgia" w:cs="Georgia"/>
          <w:noProof/>
          <w:color w:val="444444"/>
          <w:sz w:val="24"/>
          <w:szCs w:val="24"/>
          <w:highlight w:val="white"/>
        </w:rPr>
        <w:lastRenderedPageBreak/>
        <w:drawing>
          <wp:inline distT="114300" distB="114300" distL="114300" distR="114300" wp14:anchorId="7D7F3826" wp14:editId="149A128D">
            <wp:extent cx="3300413" cy="4398127"/>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a:stretch>
                      <a:fillRect/>
                    </a:stretch>
                  </pic:blipFill>
                  <pic:spPr>
                    <a:xfrm>
                      <a:off x="0" y="0"/>
                      <a:ext cx="3300413" cy="4398127"/>
                    </a:xfrm>
                    <a:prstGeom prst="rect">
                      <a:avLst/>
                    </a:prstGeom>
                    <a:ln/>
                  </pic:spPr>
                </pic:pic>
              </a:graphicData>
            </a:graphic>
          </wp:inline>
        </w:drawing>
      </w:r>
    </w:p>
    <w:p w14:paraId="3842CF38" w14:textId="77777777" w:rsidR="00DD6ADB" w:rsidRDefault="00000000">
      <w:pPr>
        <w:shd w:val="clear" w:color="auto" w:fill="FFFFFF"/>
        <w:spacing w:line="360" w:lineRule="auto"/>
        <w:rPr>
          <w:rFonts w:ascii="Georgia" w:eastAsia="Georgia" w:hAnsi="Georgia" w:cs="Georgia"/>
          <w:b/>
          <w:color w:val="444444"/>
          <w:sz w:val="24"/>
          <w:szCs w:val="24"/>
          <w:highlight w:val="white"/>
        </w:rPr>
      </w:pPr>
      <w:r>
        <w:rPr>
          <w:rFonts w:ascii="Georgia" w:eastAsia="Georgia" w:hAnsi="Georgia" w:cs="Georgia"/>
          <w:b/>
          <w:noProof/>
          <w:color w:val="444444"/>
          <w:sz w:val="24"/>
          <w:szCs w:val="24"/>
          <w:highlight w:val="white"/>
        </w:rPr>
        <w:drawing>
          <wp:inline distT="114300" distB="114300" distL="114300" distR="114300" wp14:anchorId="75C671BA" wp14:editId="5905E9D9">
            <wp:extent cx="4266359" cy="3196984"/>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4266359" cy="3196984"/>
                    </a:xfrm>
                    <a:prstGeom prst="rect">
                      <a:avLst/>
                    </a:prstGeom>
                    <a:ln/>
                  </pic:spPr>
                </pic:pic>
              </a:graphicData>
            </a:graphic>
          </wp:inline>
        </w:drawing>
      </w:r>
    </w:p>
    <w:p w14:paraId="761475E6" w14:textId="77777777" w:rsidR="00DD6ADB" w:rsidRDefault="00000000">
      <w:pPr>
        <w:shd w:val="clear" w:color="auto" w:fill="FFFFFF"/>
        <w:spacing w:line="360" w:lineRule="auto"/>
        <w:rPr>
          <w:rFonts w:ascii="Georgia" w:eastAsia="Georgia" w:hAnsi="Georgia" w:cs="Georgia"/>
          <w:b/>
          <w:color w:val="444444"/>
          <w:sz w:val="24"/>
          <w:szCs w:val="24"/>
          <w:highlight w:val="white"/>
        </w:rPr>
      </w:pPr>
      <w:r>
        <w:rPr>
          <w:rFonts w:ascii="Georgia" w:eastAsia="Georgia" w:hAnsi="Georgia" w:cs="Georgia"/>
          <w:b/>
          <w:noProof/>
          <w:color w:val="444444"/>
          <w:sz w:val="24"/>
          <w:szCs w:val="24"/>
          <w:highlight w:val="white"/>
        </w:rPr>
        <w:lastRenderedPageBreak/>
        <w:drawing>
          <wp:inline distT="114300" distB="114300" distL="114300" distR="114300" wp14:anchorId="52E91EA5" wp14:editId="54498099">
            <wp:extent cx="5943600" cy="36449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943600" cy="3644900"/>
                    </a:xfrm>
                    <a:prstGeom prst="rect">
                      <a:avLst/>
                    </a:prstGeom>
                    <a:ln/>
                  </pic:spPr>
                </pic:pic>
              </a:graphicData>
            </a:graphic>
          </wp:inline>
        </w:drawing>
      </w:r>
    </w:p>
    <w:p w14:paraId="09FC019A" w14:textId="77777777" w:rsidR="00DD6ADB" w:rsidRDefault="00000000">
      <w:pPr>
        <w:shd w:val="clear" w:color="auto" w:fill="FFFFFF"/>
        <w:spacing w:line="360" w:lineRule="auto"/>
        <w:rPr>
          <w:rFonts w:ascii="Georgia" w:eastAsia="Georgia" w:hAnsi="Georgia" w:cs="Georgia"/>
          <w:b/>
          <w:color w:val="444444"/>
          <w:sz w:val="20"/>
          <w:szCs w:val="20"/>
          <w:highlight w:val="white"/>
        </w:rPr>
      </w:pPr>
      <w:r>
        <w:rPr>
          <w:rFonts w:ascii="Georgia" w:eastAsia="Georgia" w:hAnsi="Georgia" w:cs="Georgia"/>
          <w:b/>
          <w:color w:val="444444"/>
          <w:sz w:val="20"/>
          <w:szCs w:val="20"/>
          <w:highlight w:val="white"/>
        </w:rPr>
        <w:t>*</w:t>
      </w:r>
      <w:proofErr w:type="gramStart"/>
      <w:r>
        <w:rPr>
          <w:rFonts w:ascii="Georgia" w:eastAsia="Georgia" w:hAnsi="Georgia" w:cs="Georgia"/>
          <w:b/>
          <w:color w:val="444444"/>
          <w:sz w:val="20"/>
          <w:szCs w:val="20"/>
          <w:highlight w:val="white"/>
        </w:rPr>
        <w:t>aerial</w:t>
      </w:r>
      <w:proofErr w:type="gramEnd"/>
      <w:r>
        <w:rPr>
          <w:rFonts w:ascii="Georgia" w:eastAsia="Georgia" w:hAnsi="Georgia" w:cs="Georgia"/>
          <w:b/>
          <w:color w:val="444444"/>
          <w:sz w:val="20"/>
          <w:szCs w:val="20"/>
          <w:highlight w:val="white"/>
        </w:rPr>
        <w:t xml:space="preserve"> view of </w:t>
      </w:r>
      <w:proofErr w:type="spellStart"/>
      <w:r>
        <w:rPr>
          <w:rFonts w:ascii="Georgia" w:eastAsia="Georgia" w:hAnsi="Georgia" w:cs="Georgia"/>
          <w:b/>
          <w:color w:val="444444"/>
          <w:sz w:val="20"/>
          <w:szCs w:val="20"/>
          <w:highlight w:val="white"/>
        </w:rPr>
        <w:t>BrightRock's</w:t>
      </w:r>
      <w:proofErr w:type="spellEnd"/>
      <w:r>
        <w:rPr>
          <w:rFonts w:ascii="Georgia" w:eastAsia="Georgia" w:hAnsi="Georgia" w:cs="Georgia"/>
          <w:b/>
          <w:color w:val="444444"/>
          <w:sz w:val="20"/>
          <w:szCs w:val="20"/>
          <w:highlight w:val="white"/>
        </w:rPr>
        <w:t xml:space="preserve"> 1425 acre, 69 lode claim pegmatite lithium project</w:t>
      </w:r>
    </w:p>
    <w:p w14:paraId="23D62CF7" w14:textId="77777777" w:rsidR="00DD6ADB" w:rsidRDefault="00000000">
      <w:pPr>
        <w:rPr>
          <w:rFonts w:ascii="Georgia" w:eastAsia="Georgia" w:hAnsi="Georgia" w:cs="Georgia"/>
          <w:b/>
          <w:color w:val="444444"/>
          <w:sz w:val="24"/>
          <w:szCs w:val="24"/>
          <w:highlight w:val="white"/>
        </w:rPr>
      </w:pPr>
      <w:r>
        <w:rPr>
          <w:rFonts w:ascii="Georgia" w:eastAsia="Georgia" w:hAnsi="Georgia" w:cs="Georgia"/>
          <w:noProof/>
          <w:color w:val="444444"/>
          <w:sz w:val="24"/>
          <w:szCs w:val="24"/>
          <w:highlight w:val="white"/>
        </w:rPr>
        <w:drawing>
          <wp:inline distT="114300" distB="114300" distL="114300" distR="114300" wp14:anchorId="22D75390" wp14:editId="39AD76F5">
            <wp:extent cx="2619375" cy="26193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619375" cy="2619375"/>
                    </a:xfrm>
                    <a:prstGeom prst="rect">
                      <a:avLst/>
                    </a:prstGeom>
                    <a:ln/>
                  </pic:spPr>
                </pic:pic>
              </a:graphicData>
            </a:graphic>
          </wp:inline>
        </w:drawing>
      </w:r>
    </w:p>
    <w:p w14:paraId="6A87C629" w14:textId="77777777" w:rsidR="00DD6ADB" w:rsidRDefault="00000000">
      <w:pPr>
        <w:shd w:val="clear" w:color="auto" w:fill="FFFFFF"/>
        <w:spacing w:line="360" w:lineRule="auto"/>
        <w:rPr>
          <w:rFonts w:ascii="Georgia" w:eastAsia="Georgia" w:hAnsi="Georgia" w:cs="Georgia"/>
          <w:b/>
          <w:color w:val="444444"/>
          <w:sz w:val="24"/>
          <w:szCs w:val="24"/>
          <w:highlight w:val="white"/>
        </w:rPr>
      </w:pPr>
      <w:r>
        <w:rPr>
          <w:rFonts w:ascii="Georgia" w:eastAsia="Georgia" w:hAnsi="Georgia" w:cs="Georgia"/>
          <w:b/>
          <w:color w:val="444444"/>
          <w:sz w:val="24"/>
          <w:szCs w:val="24"/>
          <w:highlight w:val="white"/>
        </w:rPr>
        <w:t>Contact &amp; Learn More:</w:t>
      </w:r>
    </w:p>
    <w:p w14:paraId="75CA0934" w14:textId="77777777" w:rsidR="00DD6ADB" w:rsidRDefault="00DD6ADB">
      <w:pPr>
        <w:shd w:val="clear" w:color="auto" w:fill="FFFFFF"/>
        <w:spacing w:line="360" w:lineRule="auto"/>
        <w:rPr>
          <w:rFonts w:ascii="Georgia" w:eastAsia="Georgia" w:hAnsi="Georgia" w:cs="Georgia"/>
          <w:b/>
          <w:color w:val="444444"/>
          <w:sz w:val="24"/>
          <w:szCs w:val="24"/>
          <w:highlight w:val="white"/>
        </w:rPr>
      </w:pPr>
    </w:p>
    <w:p w14:paraId="62D008D3" w14:textId="77777777" w:rsidR="00DD6ADB" w:rsidRDefault="00000000">
      <w:pPr>
        <w:shd w:val="clear" w:color="auto" w:fill="FFFFFF"/>
        <w:spacing w:line="360" w:lineRule="auto"/>
        <w:rPr>
          <w:rFonts w:ascii="Georgia" w:eastAsia="Georgia" w:hAnsi="Georgia" w:cs="Georgia"/>
          <w:color w:val="444444"/>
          <w:sz w:val="24"/>
          <w:szCs w:val="24"/>
          <w:highlight w:val="white"/>
        </w:rPr>
      </w:pPr>
      <w:proofErr w:type="spellStart"/>
      <w:r>
        <w:rPr>
          <w:rFonts w:ascii="Georgia" w:eastAsia="Georgia" w:hAnsi="Georgia" w:cs="Georgia"/>
          <w:color w:val="444444"/>
          <w:sz w:val="24"/>
          <w:szCs w:val="24"/>
          <w:highlight w:val="white"/>
        </w:rPr>
        <w:t>BrightRock</w:t>
      </w:r>
      <w:proofErr w:type="spellEnd"/>
      <w:r>
        <w:rPr>
          <w:rFonts w:ascii="Georgia" w:eastAsia="Georgia" w:hAnsi="Georgia" w:cs="Georgia"/>
          <w:color w:val="444444"/>
          <w:sz w:val="24"/>
          <w:szCs w:val="24"/>
          <w:highlight w:val="white"/>
        </w:rPr>
        <w:t xml:space="preserve"> Gold Corporation</w:t>
      </w:r>
    </w:p>
    <w:p w14:paraId="61EF6715" w14:textId="77777777" w:rsidR="00DD6ADB" w:rsidRDefault="00000000">
      <w:pPr>
        <w:shd w:val="clear" w:color="auto" w:fill="FFFFFF"/>
        <w:spacing w:line="360" w:lineRule="auto"/>
        <w:rPr>
          <w:rFonts w:ascii="Georgia" w:eastAsia="Georgia" w:hAnsi="Georgia" w:cs="Georgia"/>
          <w:color w:val="444444"/>
          <w:sz w:val="24"/>
          <w:szCs w:val="24"/>
          <w:highlight w:val="white"/>
        </w:rPr>
      </w:pPr>
      <w:r>
        <w:rPr>
          <w:rFonts w:ascii="Georgia" w:eastAsia="Georgia" w:hAnsi="Georgia" w:cs="Georgia"/>
          <w:color w:val="444444"/>
          <w:sz w:val="24"/>
          <w:szCs w:val="24"/>
          <w:highlight w:val="white"/>
        </w:rPr>
        <w:t>Phone 866-600-5444</w:t>
      </w:r>
    </w:p>
    <w:p w14:paraId="38528811" w14:textId="77777777" w:rsidR="00DD6ADB" w:rsidRDefault="00000000">
      <w:pPr>
        <w:shd w:val="clear" w:color="auto" w:fill="FFFFFF"/>
        <w:spacing w:line="360" w:lineRule="auto"/>
        <w:rPr>
          <w:rFonts w:ascii="Georgia" w:eastAsia="Georgia" w:hAnsi="Georgia" w:cs="Georgia"/>
          <w:color w:val="444444"/>
          <w:sz w:val="24"/>
          <w:szCs w:val="24"/>
          <w:highlight w:val="white"/>
        </w:rPr>
      </w:pPr>
      <w:hyperlink r:id="rId9">
        <w:r>
          <w:rPr>
            <w:rFonts w:ascii="Georgia" w:eastAsia="Georgia" w:hAnsi="Georgia" w:cs="Georgia"/>
            <w:color w:val="1155CC"/>
            <w:sz w:val="24"/>
            <w:szCs w:val="24"/>
            <w:highlight w:val="white"/>
            <w:u w:val="single"/>
          </w:rPr>
          <w:t>brightrockgold@gmail.com</w:t>
        </w:r>
      </w:hyperlink>
    </w:p>
    <w:p w14:paraId="513ABC2E" w14:textId="77777777" w:rsidR="00DD6ADB" w:rsidRDefault="00DD6ADB">
      <w:pPr>
        <w:shd w:val="clear" w:color="auto" w:fill="FFFFFF"/>
        <w:spacing w:line="360" w:lineRule="auto"/>
        <w:rPr>
          <w:rFonts w:ascii="Georgia" w:eastAsia="Georgia" w:hAnsi="Georgia" w:cs="Georgia"/>
          <w:color w:val="444444"/>
          <w:sz w:val="24"/>
          <w:szCs w:val="24"/>
          <w:highlight w:val="white"/>
        </w:rPr>
      </w:pPr>
    </w:p>
    <w:p w14:paraId="55521FE7" w14:textId="77777777" w:rsidR="00DD6ADB" w:rsidRDefault="00000000">
      <w:pPr>
        <w:shd w:val="clear" w:color="auto" w:fill="FFFFFF"/>
        <w:spacing w:line="360" w:lineRule="auto"/>
        <w:rPr>
          <w:rFonts w:ascii="Georgia" w:eastAsia="Georgia" w:hAnsi="Georgia" w:cs="Georgia"/>
          <w:color w:val="444444"/>
          <w:sz w:val="24"/>
          <w:szCs w:val="24"/>
          <w:highlight w:val="white"/>
          <w:u w:val="single"/>
        </w:rPr>
      </w:pPr>
      <w:r>
        <w:rPr>
          <w:rFonts w:ascii="Georgia" w:eastAsia="Georgia" w:hAnsi="Georgia" w:cs="Georgia"/>
          <w:color w:val="444444"/>
          <w:sz w:val="24"/>
          <w:szCs w:val="24"/>
          <w:highlight w:val="white"/>
        </w:rPr>
        <w:lastRenderedPageBreak/>
        <w:t xml:space="preserve">Corporate Website: </w:t>
      </w:r>
      <w:hyperlink r:id="rId10">
        <w:r>
          <w:rPr>
            <w:rFonts w:ascii="Georgia" w:eastAsia="Georgia" w:hAnsi="Georgia" w:cs="Georgia"/>
            <w:color w:val="444444"/>
            <w:sz w:val="24"/>
            <w:szCs w:val="24"/>
            <w:highlight w:val="white"/>
            <w:u w:val="single"/>
          </w:rPr>
          <w:t>http://brightrockgold.com/</w:t>
        </w:r>
      </w:hyperlink>
      <w:r>
        <w:rPr>
          <w:rFonts w:ascii="Georgia" w:eastAsia="Georgia" w:hAnsi="Georgia" w:cs="Georgia"/>
          <w:color w:val="444444"/>
          <w:sz w:val="24"/>
          <w:szCs w:val="24"/>
          <w:highlight w:val="white"/>
          <w:u w:val="single"/>
        </w:rPr>
        <w:t xml:space="preserve"> and/or northamericalithium.com</w:t>
      </w:r>
    </w:p>
    <w:p w14:paraId="4A9ED009" w14:textId="77777777" w:rsidR="00DD6ADB" w:rsidRDefault="00000000">
      <w:pPr>
        <w:shd w:val="clear" w:color="auto" w:fill="FFFFFF"/>
        <w:spacing w:line="360" w:lineRule="auto"/>
        <w:rPr>
          <w:rFonts w:ascii="Georgia" w:eastAsia="Georgia" w:hAnsi="Georgia" w:cs="Georgia"/>
          <w:color w:val="444444"/>
          <w:sz w:val="24"/>
          <w:szCs w:val="24"/>
          <w:highlight w:val="white"/>
          <w:u w:val="single"/>
        </w:rPr>
      </w:pPr>
      <w:r>
        <w:rPr>
          <w:rFonts w:ascii="Georgia" w:eastAsia="Georgia" w:hAnsi="Georgia" w:cs="Georgia"/>
          <w:color w:val="444444"/>
          <w:sz w:val="24"/>
          <w:szCs w:val="24"/>
          <w:highlight w:val="white"/>
        </w:rPr>
        <w:t xml:space="preserve">Corporate </w:t>
      </w:r>
      <w:proofErr w:type="spellStart"/>
      <w:r>
        <w:rPr>
          <w:rFonts w:ascii="Georgia" w:eastAsia="Georgia" w:hAnsi="Georgia" w:cs="Georgia"/>
          <w:color w:val="444444"/>
          <w:sz w:val="24"/>
          <w:szCs w:val="24"/>
          <w:highlight w:val="white"/>
        </w:rPr>
        <w:t>Linkedin</w:t>
      </w:r>
      <w:proofErr w:type="spellEnd"/>
      <w:r>
        <w:rPr>
          <w:rFonts w:ascii="Georgia" w:eastAsia="Georgia" w:hAnsi="Georgia" w:cs="Georgia"/>
          <w:color w:val="444444"/>
          <w:sz w:val="24"/>
          <w:szCs w:val="24"/>
          <w:highlight w:val="white"/>
        </w:rPr>
        <w:t xml:space="preserve">: </w:t>
      </w:r>
      <w:hyperlink r:id="rId11">
        <w:r>
          <w:rPr>
            <w:rFonts w:ascii="Georgia" w:eastAsia="Georgia" w:hAnsi="Georgia" w:cs="Georgia"/>
            <w:color w:val="444444"/>
            <w:sz w:val="24"/>
            <w:szCs w:val="24"/>
            <w:highlight w:val="white"/>
            <w:u w:val="single"/>
          </w:rPr>
          <w:t>https://www.linkedin.com/company/brgc-corp</w:t>
        </w:r>
      </w:hyperlink>
    </w:p>
    <w:p w14:paraId="499FD16B" w14:textId="77777777" w:rsidR="00DD6ADB" w:rsidRDefault="00000000">
      <w:pPr>
        <w:shd w:val="clear" w:color="auto" w:fill="FFFFFF"/>
        <w:spacing w:line="360" w:lineRule="auto"/>
        <w:rPr>
          <w:rFonts w:ascii="Georgia" w:eastAsia="Georgia" w:hAnsi="Georgia" w:cs="Georgia"/>
          <w:color w:val="444444"/>
          <w:sz w:val="24"/>
          <w:szCs w:val="24"/>
          <w:highlight w:val="white"/>
          <w:u w:val="single"/>
        </w:rPr>
      </w:pPr>
      <w:r>
        <w:rPr>
          <w:rFonts w:ascii="Georgia" w:eastAsia="Georgia" w:hAnsi="Georgia" w:cs="Georgia"/>
          <w:color w:val="444444"/>
          <w:sz w:val="24"/>
          <w:szCs w:val="24"/>
          <w:highlight w:val="white"/>
        </w:rPr>
        <w:t xml:space="preserve">Corporate Twitter: </w:t>
      </w:r>
      <w:hyperlink r:id="rId12">
        <w:r>
          <w:rPr>
            <w:rFonts w:ascii="Georgia" w:eastAsia="Georgia" w:hAnsi="Georgia" w:cs="Georgia"/>
            <w:color w:val="444444"/>
            <w:sz w:val="24"/>
            <w:szCs w:val="24"/>
            <w:highlight w:val="white"/>
            <w:u w:val="single"/>
          </w:rPr>
          <w:t>https://twitter.com/brightrock_corp</w:t>
        </w:r>
      </w:hyperlink>
    </w:p>
    <w:p w14:paraId="1331E225" w14:textId="77777777" w:rsidR="00DD6ADB" w:rsidRDefault="00000000">
      <w:pPr>
        <w:shd w:val="clear" w:color="auto" w:fill="FFFFFF"/>
        <w:spacing w:line="360" w:lineRule="auto"/>
        <w:rPr>
          <w:rFonts w:ascii="Georgia" w:eastAsia="Georgia" w:hAnsi="Georgia" w:cs="Georgia"/>
          <w:color w:val="444444"/>
          <w:sz w:val="24"/>
          <w:szCs w:val="24"/>
          <w:highlight w:val="white"/>
          <w:u w:val="single"/>
        </w:rPr>
      </w:pPr>
      <w:r>
        <w:rPr>
          <w:rFonts w:ascii="Georgia" w:eastAsia="Georgia" w:hAnsi="Georgia" w:cs="Georgia"/>
          <w:color w:val="444444"/>
          <w:sz w:val="24"/>
          <w:szCs w:val="24"/>
          <w:highlight w:val="white"/>
        </w:rPr>
        <w:t xml:space="preserve">Corporate Instagram: </w:t>
      </w:r>
      <w:hyperlink r:id="rId13">
        <w:r>
          <w:rPr>
            <w:rFonts w:ascii="Georgia" w:eastAsia="Georgia" w:hAnsi="Georgia" w:cs="Georgia"/>
            <w:color w:val="444444"/>
            <w:sz w:val="24"/>
            <w:szCs w:val="24"/>
            <w:highlight w:val="white"/>
            <w:u w:val="single"/>
          </w:rPr>
          <w:t>https://www.instagram.com/brightrock_gold_corp/</w:t>
        </w:r>
      </w:hyperlink>
    </w:p>
    <w:p w14:paraId="7BBD6AF9" w14:textId="77777777" w:rsidR="00DD6ADB" w:rsidRDefault="00DD6ADB">
      <w:pPr>
        <w:shd w:val="clear" w:color="auto" w:fill="FFFFFF"/>
        <w:spacing w:line="360" w:lineRule="auto"/>
        <w:rPr>
          <w:rFonts w:ascii="Georgia" w:eastAsia="Georgia" w:hAnsi="Georgia" w:cs="Georgia"/>
          <w:color w:val="444444"/>
          <w:sz w:val="24"/>
          <w:szCs w:val="24"/>
          <w:highlight w:val="white"/>
          <w:u w:val="single"/>
        </w:rPr>
      </w:pPr>
    </w:p>
    <w:p w14:paraId="2CBDC1E0" w14:textId="77777777" w:rsidR="00DD6ADB" w:rsidRDefault="00000000">
      <w:pPr>
        <w:shd w:val="clear" w:color="auto" w:fill="FFFFFF"/>
        <w:spacing w:line="360" w:lineRule="auto"/>
        <w:rPr>
          <w:rFonts w:ascii="Georgia" w:eastAsia="Georgia" w:hAnsi="Georgia" w:cs="Georgia"/>
          <w:b/>
          <w:color w:val="444444"/>
          <w:sz w:val="24"/>
          <w:szCs w:val="24"/>
          <w:highlight w:val="white"/>
        </w:rPr>
      </w:pPr>
      <w:r>
        <w:rPr>
          <w:rFonts w:ascii="Georgia" w:eastAsia="Georgia" w:hAnsi="Georgia" w:cs="Georgia"/>
          <w:b/>
          <w:color w:val="444444"/>
          <w:sz w:val="24"/>
          <w:szCs w:val="24"/>
          <w:highlight w:val="white"/>
        </w:rPr>
        <w:t xml:space="preserve">About </w:t>
      </w:r>
      <w:proofErr w:type="spellStart"/>
      <w:r>
        <w:rPr>
          <w:rFonts w:ascii="Georgia" w:eastAsia="Georgia" w:hAnsi="Georgia" w:cs="Georgia"/>
          <w:b/>
          <w:color w:val="444444"/>
          <w:sz w:val="24"/>
          <w:szCs w:val="24"/>
          <w:highlight w:val="white"/>
        </w:rPr>
        <w:t>BrightRock</w:t>
      </w:r>
      <w:proofErr w:type="spellEnd"/>
      <w:r>
        <w:rPr>
          <w:rFonts w:ascii="Georgia" w:eastAsia="Georgia" w:hAnsi="Georgia" w:cs="Georgia"/>
          <w:b/>
          <w:color w:val="444444"/>
          <w:sz w:val="24"/>
          <w:szCs w:val="24"/>
          <w:highlight w:val="white"/>
        </w:rPr>
        <w:t xml:space="preserve"> Gold Corp.</w:t>
      </w:r>
    </w:p>
    <w:p w14:paraId="06C38C1D" w14:textId="77777777" w:rsidR="00DD6ADB" w:rsidRDefault="00000000">
      <w:pPr>
        <w:shd w:val="clear" w:color="auto" w:fill="FFFFFF"/>
        <w:spacing w:line="360" w:lineRule="auto"/>
        <w:rPr>
          <w:rFonts w:ascii="Georgia" w:eastAsia="Georgia" w:hAnsi="Georgia" w:cs="Georgia"/>
          <w:color w:val="444444"/>
          <w:sz w:val="24"/>
          <w:szCs w:val="24"/>
          <w:highlight w:val="white"/>
        </w:rPr>
      </w:pPr>
      <w:proofErr w:type="spellStart"/>
      <w:r>
        <w:rPr>
          <w:rFonts w:ascii="Georgia" w:eastAsia="Georgia" w:hAnsi="Georgia" w:cs="Georgia"/>
          <w:color w:val="444444"/>
          <w:sz w:val="24"/>
          <w:szCs w:val="24"/>
          <w:highlight w:val="white"/>
        </w:rPr>
        <w:t>BrightRock</w:t>
      </w:r>
      <w:proofErr w:type="spellEnd"/>
      <w:r>
        <w:rPr>
          <w:rFonts w:ascii="Georgia" w:eastAsia="Georgia" w:hAnsi="Georgia" w:cs="Georgia"/>
          <w:color w:val="444444"/>
          <w:sz w:val="24"/>
          <w:szCs w:val="24"/>
          <w:highlight w:val="white"/>
        </w:rPr>
        <w:t xml:space="preserve"> Gold Corp. is a lithium exploration company focused on developing its flagship project "Revival of the Midnight Owl Mine". Previously known in historical records as the "Lithium King Mine" located approximately 13 miles east of Wickenburg, Arizona. </w:t>
      </w:r>
      <w:proofErr w:type="spellStart"/>
      <w:r>
        <w:rPr>
          <w:rFonts w:ascii="Georgia" w:eastAsia="Georgia" w:hAnsi="Georgia" w:cs="Georgia"/>
          <w:color w:val="444444"/>
          <w:sz w:val="24"/>
          <w:szCs w:val="24"/>
          <w:highlight w:val="white"/>
        </w:rPr>
        <w:t>BrightRock</w:t>
      </w:r>
      <w:proofErr w:type="spellEnd"/>
      <w:r>
        <w:rPr>
          <w:rFonts w:ascii="Georgia" w:eastAsia="Georgia" w:hAnsi="Georgia" w:cs="Georgia"/>
          <w:color w:val="444444"/>
          <w:sz w:val="24"/>
          <w:szCs w:val="24"/>
          <w:highlight w:val="white"/>
        </w:rPr>
        <w:t xml:space="preserve"> Gold Corp. holds a 100% ownership and interest in the "Midnight Owl Mine" along with an adjoining 1400 acres, 69 lode claims. A lithium pegmatite project strategically located within 70 miles of two under construction battery plants. The Company is seeking to develop this portfolio of lithium-rich assets to become a major supplier of lithium-based products.</w:t>
      </w:r>
    </w:p>
    <w:p w14:paraId="16E2F0EE" w14:textId="77777777" w:rsidR="00DD6ADB" w:rsidRDefault="00DD6ADB">
      <w:pPr>
        <w:shd w:val="clear" w:color="auto" w:fill="FFFFFF"/>
        <w:spacing w:line="360" w:lineRule="auto"/>
        <w:rPr>
          <w:rFonts w:ascii="Georgia" w:eastAsia="Georgia" w:hAnsi="Georgia" w:cs="Georgia"/>
          <w:color w:val="444444"/>
          <w:sz w:val="24"/>
          <w:szCs w:val="24"/>
          <w:highlight w:val="white"/>
        </w:rPr>
      </w:pPr>
    </w:p>
    <w:p w14:paraId="1B419D60" w14:textId="77777777" w:rsidR="00DD6ADB" w:rsidRDefault="00000000">
      <w:pPr>
        <w:shd w:val="clear" w:color="auto" w:fill="FFFFFF"/>
        <w:spacing w:line="360" w:lineRule="auto"/>
        <w:rPr>
          <w:rFonts w:ascii="Georgia" w:eastAsia="Georgia" w:hAnsi="Georgia" w:cs="Georgia"/>
          <w:b/>
          <w:color w:val="444444"/>
          <w:sz w:val="24"/>
          <w:szCs w:val="24"/>
          <w:highlight w:val="white"/>
        </w:rPr>
      </w:pPr>
      <w:r>
        <w:rPr>
          <w:rFonts w:ascii="Georgia" w:eastAsia="Georgia" w:hAnsi="Georgia" w:cs="Georgia"/>
          <w:b/>
          <w:color w:val="444444"/>
          <w:sz w:val="24"/>
          <w:szCs w:val="24"/>
          <w:highlight w:val="white"/>
        </w:rPr>
        <w:t>FORWARD-LOOKING STATEMENTS:</w:t>
      </w:r>
    </w:p>
    <w:p w14:paraId="3F3F2738" w14:textId="77777777" w:rsidR="00DD6ADB" w:rsidRDefault="00000000">
      <w:pPr>
        <w:shd w:val="clear" w:color="auto" w:fill="FFFFFF"/>
        <w:spacing w:line="360" w:lineRule="auto"/>
        <w:rPr>
          <w:rFonts w:ascii="Georgia" w:eastAsia="Georgia" w:hAnsi="Georgia" w:cs="Georgia"/>
          <w:color w:val="444444"/>
          <w:sz w:val="24"/>
          <w:szCs w:val="24"/>
          <w:highlight w:val="white"/>
        </w:rPr>
      </w:pPr>
      <w:r>
        <w:rPr>
          <w:rFonts w:ascii="Georgia" w:eastAsia="Georgia" w:hAnsi="Georgia" w:cs="Georgia"/>
          <w:color w:val="444444"/>
          <w:sz w:val="24"/>
          <w:szCs w:val="24"/>
          <w:highlight w:val="white"/>
        </w:rPr>
        <w:t>This press release contains forward-looking statements as defined within Section 27A of the Securities Act of 1933, as amended, and Section 21E of the Securities Exchange Act of 1934, as amended. These statements relate to future events, including our ability to raise capital, or to our future financial performance, and involve known and unknown risks, uncertainties and other factors that may cause materially different from any future results, levels of activity, performance or achievements expressed or implied by these forward-looking statements. You should not place undue reliance on forward-looking statements since they involve known and unknown risks, uncertainties and other factors which are, in some cases, beyond our control and which could, and likely will, materially affect actual results, levels of activity, performance or achievements. Any forward-looking statement reflects our current views with respect to future events and is subject to these and other risks, uncertainties and assumptions relating to our operations, results of operations, growth strategy and liquidity. We assume no obligation to publicly update or revise these forward-looking statements for any reason, or to update the reasons actual results could differ materially from those anticipated in these forward-looking statements, even if new information becomes available in the future.</w:t>
      </w:r>
    </w:p>
    <w:p w14:paraId="74D063C9" w14:textId="77777777" w:rsidR="00DD6ADB" w:rsidRDefault="00000000">
      <w:pPr>
        <w:shd w:val="clear" w:color="auto" w:fill="FFFFFF"/>
        <w:spacing w:line="360" w:lineRule="auto"/>
        <w:rPr>
          <w:rFonts w:ascii="Georgia" w:eastAsia="Georgia" w:hAnsi="Georgia" w:cs="Georgia"/>
          <w:color w:val="444444"/>
          <w:sz w:val="24"/>
          <w:szCs w:val="24"/>
          <w:highlight w:val="white"/>
        </w:rPr>
      </w:pPr>
      <w:r>
        <w:rPr>
          <w:rFonts w:ascii="Georgia" w:eastAsia="Georgia" w:hAnsi="Georgia" w:cs="Georgia"/>
          <w:color w:val="444444"/>
          <w:sz w:val="24"/>
          <w:szCs w:val="24"/>
          <w:highlight w:val="white"/>
        </w:rPr>
        <w:lastRenderedPageBreak/>
        <w:t xml:space="preserve">For a discussion of these risks and uncertainties, please see our filings with the OTC Markets Group Inc. Our public filings with the OTC Markets Group Inc are available from commercial document retrieval services and at the website maintained by the OTC Markets at </w:t>
      </w:r>
      <w:hyperlink r:id="rId14">
        <w:r>
          <w:rPr>
            <w:rFonts w:ascii="Georgia" w:eastAsia="Georgia" w:hAnsi="Georgia" w:cs="Georgia"/>
            <w:color w:val="444444"/>
            <w:sz w:val="24"/>
            <w:szCs w:val="24"/>
            <w:highlight w:val="white"/>
            <w:u w:val="single"/>
          </w:rPr>
          <w:t>https://www.otcmarkets.com/stock/BRGC/disclosure</w:t>
        </w:r>
      </w:hyperlink>
      <w:r>
        <w:rPr>
          <w:rFonts w:ascii="Georgia" w:eastAsia="Georgia" w:hAnsi="Georgia" w:cs="Georgia"/>
          <w:color w:val="444444"/>
          <w:sz w:val="24"/>
          <w:szCs w:val="24"/>
          <w:highlight w:val="white"/>
        </w:rPr>
        <w:t>.</w:t>
      </w:r>
    </w:p>
    <w:p w14:paraId="79910B0E" w14:textId="77777777" w:rsidR="00DD6ADB" w:rsidRDefault="00DD6ADB">
      <w:pPr>
        <w:shd w:val="clear" w:color="auto" w:fill="FFFFFF"/>
        <w:spacing w:line="360" w:lineRule="auto"/>
        <w:rPr>
          <w:rFonts w:ascii="Georgia" w:eastAsia="Georgia" w:hAnsi="Georgia" w:cs="Georgia"/>
          <w:color w:val="444444"/>
          <w:sz w:val="24"/>
          <w:szCs w:val="24"/>
          <w:highlight w:val="white"/>
        </w:rPr>
      </w:pPr>
    </w:p>
    <w:p w14:paraId="4C620DCC" w14:textId="77777777" w:rsidR="00DD6ADB" w:rsidRDefault="00DD6ADB">
      <w:pPr>
        <w:rPr>
          <w:rFonts w:ascii="Georgia" w:eastAsia="Georgia" w:hAnsi="Georgia" w:cs="Georgia"/>
          <w:color w:val="444444"/>
          <w:highlight w:val="white"/>
        </w:rPr>
      </w:pPr>
    </w:p>
    <w:p w14:paraId="68B832BC" w14:textId="77777777" w:rsidR="00DD6ADB" w:rsidRDefault="00DD6ADB">
      <w:pPr>
        <w:rPr>
          <w:rFonts w:ascii="Georgia" w:eastAsia="Georgia" w:hAnsi="Georgia" w:cs="Georgia"/>
          <w:color w:val="444444"/>
          <w:highlight w:val="white"/>
        </w:rPr>
      </w:pPr>
    </w:p>
    <w:sectPr w:rsidR="00DD6AD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ADB"/>
    <w:rsid w:val="00C8077B"/>
    <w:rsid w:val="00DD6A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CC18F"/>
  <w15:docId w15:val="{7BDCC3E4-9029-4DAD-B76F-AC13EBB67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pr.report/rNmh38kK" TargetMode="Externa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hyperlink" Target="https://pr.report/NZURCEj8"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pr.report/dCovkpm3" TargetMode="External"/><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yperlink" Target="https://pr.report/CsuWUe4h" TargetMode="External"/><Relationship Id="rId4" Type="http://schemas.openxmlformats.org/officeDocument/2006/relationships/hyperlink" Target="https://www.otcmarkets.com/stock/BRGC/news/BrightRock-Gold-Corp-Announces-Significant-Expansion-onto-Recently-Acquired-Lithium-Mine?id=361969" TargetMode="External"/><Relationship Id="rId9" Type="http://schemas.openxmlformats.org/officeDocument/2006/relationships/hyperlink" Target="mailto:brightrockgold@gmail.com" TargetMode="External"/><Relationship Id="rId14" Type="http://schemas.openxmlformats.org/officeDocument/2006/relationships/hyperlink" Target="https://pr.report/5zn4RLp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698</Words>
  <Characters>3981</Characters>
  <Application>Microsoft Office Word</Application>
  <DocSecurity>0</DocSecurity>
  <Lines>33</Lines>
  <Paragraphs>9</Paragraphs>
  <ScaleCrop>false</ScaleCrop>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 WPG Office</dc:creator>
  <cp:lastModifiedBy>mac shahsavar</cp:lastModifiedBy>
  <cp:revision>2</cp:revision>
  <dcterms:created xsi:type="dcterms:W3CDTF">2022-10-31T12:41:00Z</dcterms:created>
  <dcterms:modified xsi:type="dcterms:W3CDTF">2022-10-31T12:41:00Z</dcterms:modified>
</cp:coreProperties>
</file>