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ACB6" w14:textId="28AC050E" w:rsidR="00C83ED3" w:rsidRDefault="0098377B">
      <w:pPr>
        <w:rPr>
          <w:b/>
          <w:bCs/>
        </w:rPr>
      </w:pPr>
      <w:r>
        <w:rPr>
          <w:b/>
          <w:bCs/>
        </w:rPr>
        <w:t xml:space="preserve">Sonnet BioTherapeutics Announces </w:t>
      </w:r>
      <w:r w:rsidR="00DE35FD">
        <w:rPr>
          <w:b/>
          <w:bCs/>
        </w:rPr>
        <w:t xml:space="preserve">Pharmacokinetic and Pharmacodynamic </w:t>
      </w:r>
      <w:r>
        <w:rPr>
          <w:b/>
          <w:bCs/>
        </w:rPr>
        <w:t xml:space="preserve">Data in </w:t>
      </w:r>
      <w:r w:rsidR="00DE35FD">
        <w:rPr>
          <w:b/>
          <w:bCs/>
        </w:rPr>
        <w:t xml:space="preserve">a </w:t>
      </w:r>
      <w:r>
        <w:rPr>
          <w:b/>
          <w:bCs/>
        </w:rPr>
        <w:t>Phase 1 Dose-Escalation Trial of SON-1010</w:t>
      </w:r>
    </w:p>
    <w:p w14:paraId="6A4AA161" w14:textId="77777777" w:rsidR="00AA4E8C" w:rsidRDefault="00AA4E8C">
      <w:pPr>
        <w:rPr>
          <w:b/>
          <w:bCs/>
        </w:rPr>
      </w:pPr>
    </w:p>
    <w:p w14:paraId="273499B6" w14:textId="64E52B49" w:rsidR="00C83ED3" w:rsidRDefault="00DE35FD">
      <w:pPr>
        <w:pStyle w:val="ListParagraph"/>
        <w:numPr>
          <w:ilvl w:val="0"/>
          <w:numId w:val="1"/>
        </w:numPr>
        <w:rPr>
          <w:b/>
          <w:bCs/>
        </w:rPr>
      </w:pPr>
      <w:r>
        <w:rPr>
          <w:b/>
          <w:bCs/>
        </w:rPr>
        <w:t>24 healthy</w:t>
      </w:r>
      <w:r w:rsidR="00ED53D1">
        <w:rPr>
          <w:b/>
          <w:bCs/>
        </w:rPr>
        <w:t xml:space="preserve"> </w:t>
      </w:r>
      <w:r>
        <w:rPr>
          <w:b/>
          <w:bCs/>
        </w:rPr>
        <w:t>volunteers</w:t>
      </w:r>
      <w:r w:rsidR="00AA4E8C">
        <w:rPr>
          <w:b/>
          <w:bCs/>
        </w:rPr>
        <w:t xml:space="preserve"> have been dosed in </w:t>
      </w:r>
      <w:r w:rsidR="009E6DA3">
        <w:rPr>
          <w:b/>
          <w:bCs/>
        </w:rPr>
        <w:t xml:space="preserve">study </w:t>
      </w:r>
      <w:r w:rsidR="00AA4E8C">
        <w:rPr>
          <w:b/>
          <w:bCs/>
        </w:rPr>
        <w:t>SB102</w:t>
      </w:r>
      <w:r>
        <w:rPr>
          <w:b/>
          <w:bCs/>
        </w:rPr>
        <w:t xml:space="preserve"> </w:t>
      </w:r>
      <w:r w:rsidR="0098377B">
        <w:rPr>
          <w:b/>
          <w:bCs/>
        </w:rPr>
        <w:t>to</w:t>
      </w:r>
      <w:r w:rsidR="00AA4E8C">
        <w:rPr>
          <w:b/>
          <w:bCs/>
        </w:rPr>
        <w:t xml:space="preserve"> </w:t>
      </w:r>
      <w:r w:rsidR="00AA4E8C" w:rsidRPr="00AA4E8C">
        <w:rPr>
          <w:b/>
          <w:bCs/>
        </w:rPr>
        <w:t xml:space="preserve">assess the safety, PK, and PD </w:t>
      </w:r>
      <w:r w:rsidR="00ED53D1">
        <w:rPr>
          <w:b/>
          <w:bCs/>
        </w:rPr>
        <w:t>of SON-1010</w:t>
      </w:r>
      <w:r w:rsidR="009E6DA3">
        <w:rPr>
          <w:b/>
          <w:bCs/>
        </w:rPr>
        <w:t xml:space="preserve"> </w:t>
      </w:r>
      <w:r w:rsidR="009E6DA3" w:rsidRPr="00AA4E8C">
        <w:rPr>
          <w:b/>
          <w:bCs/>
        </w:rPr>
        <w:t>without the background of prior chemotherapy</w:t>
      </w:r>
      <w:r w:rsidR="00ED53D1">
        <w:rPr>
          <w:b/>
          <w:bCs/>
        </w:rPr>
        <w:t xml:space="preserve"> </w:t>
      </w:r>
    </w:p>
    <w:p w14:paraId="08172691" w14:textId="1E0BB35C" w:rsidR="00CB5D94" w:rsidRPr="00CA6ABD" w:rsidRDefault="00AA4E8C">
      <w:pPr>
        <w:pStyle w:val="ListParagraph"/>
        <w:numPr>
          <w:ilvl w:val="0"/>
          <w:numId w:val="1"/>
        </w:numPr>
        <w:rPr>
          <w:b/>
        </w:rPr>
      </w:pPr>
      <w:r w:rsidRPr="0071597E">
        <w:rPr>
          <w:b/>
        </w:rPr>
        <w:t>PK</w:t>
      </w:r>
      <w:r w:rsidR="00DE35FD" w:rsidRPr="0071597E">
        <w:rPr>
          <w:b/>
        </w:rPr>
        <w:t xml:space="preserve"> </w:t>
      </w:r>
      <w:r w:rsidR="0098377B" w:rsidRPr="0071597E">
        <w:rPr>
          <w:b/>
        </w:rPr>
        <w:t>data show</w:t>
      </w:r>
      <w:r w:rsidR="00DE35FD" w:rsidRPr="0071597E">
        <w:rPr>
          <w:b/>
        </w:rPr>
        <w:t>s</w:t>
      </w:r>
      <w:r w:rsidR="0098377B" w:rsidRPr="0071597E">
        <w:rPr>
          <w:b/>
        </w:rPr>
        <w:t xml:space="preserve"> </w:t>
      </w:r>
      <w:r w:rsidRPr="0071597E">
        <w:rPr>
          <w:b/>
        </w:rPr>
        <w:t xml:space="preserve">an </w:t>
      </w:r>
      <w:r w:rsidR="0098377B" w:rsidRPr="0071597E">
        <w:rPr>
          <w:b/>
        </w:rPr>
        <w:t xml:space="preserve">extended </w:t>
      </w:r>
      <w:r w:rsidR="00DE35FD" w:rsidRPr="0071597E">
        <w:rPr>
          <w:b/>
        </w:rPr>
        <w:t xml:space="preserve">half-life </w:t>
      </w:r>
      <w:r w:rsidR="0098377B" w:rsidRPr="0071597E">
        <w:rPr>
          <w:b/>
        </w:rPr>
        <w:t xml:space="preserve">of SON-1010 </w:t>
      </w:r>
      <w:r w:rsidR="00CB5D94" w:rsidRPr="0071597E">
        <w:rPr>
          <w:b/>
          <w:bCs/>
        </w:rPr>
        <w:t xml:space="preserve">of </w:t>
      </w:r>
      <w:r w:rsidR="008A4EEC">
        <w:rPr>
          <w:b/>
          <w:bCs/>
        </w:rPr>
        <w:t>approximately</w:t>
      </w:r>
      <w:r w:rsidR="008A4EEC" w:rsidRPr="0071597E">
        <w:rPr>
          <w:b/>
          <w:bCs/>
        </w:rPr>
        <w:t xml:space="preserve"> </w:t>
      </w:r>
      <w:r w:rsidR="00CB5D94" w:rsidRPr="0071597E">
        <w:rPr>
          <w:b/>
          <w:bCs/>
        </w:rPr>
        <w:t>112 hours, compared to 12 hours for rhIL-12</w:t>
      </w:r>
    </w:p>
    <w:p w14:paraId="2DD17885" w14:textId="2CFE62FA" w:rsidR="00C83ED3" w:rsidRPr="00CA6ABD" w:rsidRDefault="003F6A3C" w:rsidP="00CB5D94">
      <w:pPr>
        <w:pStyle w:val="ListParagraph"/>
        <w:numPr>
          <w:ilvl w:val="0"/>
          <w:numId w:val="1"/>
        </w:numPr>
        <w:rPr>
          <w:b/>
        </w:rPr>
      </w:pPr>
      <w:r w:rsidRPr="00CA6ABD">
        <w:rPr>
          <w:b/>
        </w:rPr>
        <w:t xml:space="preserve">Simulation of </w:t>
      </w:r>
      <w:r w:rsidRPr="0071597E">
        <w:rPr>
          <w:b/>
          <w:bCs/>
        </w:rPr>
        <w:t>the c</w:t>
      </w:r>
      <w:r w:rsidR="0098377B" w:rsidRPr="0071597E">
        <w:rPr>
          <w:b/>
          <w:bCs/>
        </w:rPr>
        <w:t>ontrolled</w:t>
      </w:r>
      <w:r w:rsidR="0098377B" w:rsidRPr="00CA6ABD">
        <w:rPr>
          <w:b/>
        </w:rPr>
        <w:t xml:space="preserve"> </w:t>
      </w:r>
      <w:r w:rsidR="00DE35FD" w:rsidRPr="00CA6ABD">
        <w:rPr>
          <w:b/>
        </w:rPr>
        <w:t xml:space="preserve">and </w:t>
      </w:r>
      <w:r w:rsidR="00DE35FD" w:rsidRPr="0071597E">
        <w:rPr>
          <w:b/>
          <w:bCs/>
        </w:rPr>
        <w:t xml:space="preserve">prolonged </w:t>
      </w:r>
      <w:r w:rsidR="0098377B" w:rsidRPr="0071597E">
        <w:rPr>
          <w:b/>
          <w:bCs/>
        </w:rPr>
        <w:t>induction of IFN</w:t>
      </w:r>
      <w:r w:rsidR="0053351F" w:rsidRPr="0071597E">
        <w:rPr>
          <w:b/>
          <w:bCs/>
        </w:rPr>
        <w:sym w:font="Symbol" w:char="F067"/>
      </w:r>
      <w:r w:rsidR="0098377B" w:rsidRPr="0071597E">
        <w:rPr>
          <w:b/>
          <w:bCs/>
        </w:rPr>
        <w:t xml:space="preserve"> and </w:t>
      </w:r>
      <w:r w:rsidR="00DE35FD" w:rsidRPr="0071597E">
        <w:rPr>
          <w:b/>
          <w:bCs/>
        </w:rPr>
        <w:t xml:space="preserve">minimal </w:t>
      </w:r>
      <w:r w:rsidR="00AA4E8C" w:rsidRPr="0071597E">
        <w:rPr>
          <w:b/>
          <w:bCs/>
        </w:rPr>
        <w:t>related adverse</w:t>
      </w:r>
      <w:r w:rsidR="00DE35FD" w:rsidRPr="0071597E">
        <w:rPr>
          <w:b/>
          <w:bCs/>
        </w:rPr>
        <w:t xml:space="preserve"> </w:t>
      </w:r>
      <w:r w:rsidR="00AA4E8C" w:rsidRPr="0071597E">
        <w:rPr>
          <w:b/>
          <w:bCs/>
        </w:rPr>
        <w:t>events</w:t>
      </w:r>
      <w:r w:rsidR="00CB5D94" w:rsidRPr="0071597E">
        <w:rPr>
          <w:b/>
          <w:bCs/>
        </w:rPr>
        <w:t xml:space="preserve"> </w:t>
      </w:r>
      <w:r w:rsidR="00DE35FD" w:rsidRPr="00CA6ABD">
        <w:rPr>
          <w:b/>
        </w:rPr>
        <w:t>suggest</w:t>
      </w:r>
      <w:r w:rsidR="00DE35FD" w:rsidRPr="0071597E">
        <w:rPr>
          <w:b/>
          <w:bCs/>
        </w:rPr>
        <w:t xml:space="preserve"> </w:t>
      </w:r>
      <w:r w:rsidR="006C3A19" w:rsidRPr="0071597E">
        <w:rPr>
          <w:b/>
          <w:bCs/>
        </w:rPr>
        <w:t>that</w:t>
      </w:r>
      <w:r w:rsidR="006C3A19" w:rsidRPr="00CA6ABD">
        <w:rPr>
          <w:b/>
        </w:rPr>
        <w:t xml:space="preserve"> </w:t>
      </w:r>
      <w:r w:rsidR="00DE35FD" w:rsidRPr="00CA6ABD">
        <w:rPr>
          <w:b/>
        </w:rPr>
        <w:t>dose escalation can continue</w:t>
      </w:r>
    </w:p>
    <w:p w14:paraId="5809494D" w14:textId="77777777" w:rsidR="00C83ED3" w:rsidRDefault="00C83ED3"/>
    <w:p w14:paraId="774DF7A5" w14:textId="517E7A6B" w:rsidR="00C83ED3" w:rsidRDefault="0098377B">
      <w:r>
        <w:t xml:space="preserve">PRINCETON, NJ / ACCESSWIRE / </w:t>
      </w:r>
      <w:r w:rsidR="0046073F" w:rsidRPr="008A4EEC">
        <w:t xml:space="preserve">January </w:t>
      </w:r>
      <w:r w:rsidR="008A4EEC">
        <w:t>19</w:t>
      </w:r>
      <w:r>
        <w:t xml:space="preserve">, </w:t>
      </w:r>
      <w:r w:rsidR="00DE35FD">
        <w:t xml:space="preserve">2023 </w:t>
      </w:r>
      <w:r>
        <w:t>/ Sonnet BioTherapeutics Holdings, Inc. (</w:t>
      </w:r>
      <w:proofErr w:type="gramStart"/>
      <w:r>
        <w:t>NASDAQ:SONN</w:t>
      </w:r>
      <w:proofErr w:type="gramEnd"/>
      <w:r>
        <w:t xml:space="preserve">) (the "Company" or "Sonnet"), a clinical-stage company developing targeted immunotherapeutic drugs, announced today that </w:t>
      </w:r>
      <w:r w:rsidR="00DE35FD">
        <w:t>pharmacokinetic (PK)</w:t>
      </w:r>
      <w:r w:rsidR="00AA4E8C">
        <w:t xml:space="preserve"> </w:t>
      </w:r>
      <w:r w:rsidR="00DE35FD">
        <w:t xml:space="preserve">profile </w:t>
      </w:r>
      <w:r w:rsidR="00AA4E8C">
        <w:t xml:space="preserve">simulation </w:t>
      </w:r>
      <w:r w:rsidR="00DE35FD">
        <w:t>of</w:t>
      </w:r>
      <w:r>
        <w:t xml:space="preserve"> SON-1010 dosing </w:t>
      </w:r>
      <w:r w:rsidR="00AA4E8C">
        <w:t xml:space="preserve">has been completed in </w:t>
      </w:r>
      <w:r w:rsidR="00396A0C">
        <w:t>its</w:t>
      </w:r>
      <w:r>
        <w:t xml:space="preserve"> </w:t>
      </w:r>
      <w:r w:rsidR="00395B40">
        <w:t xml:space="preserve">randomized, placebo-controlled </w:t>
      </w:r>
      <w:r>
        <w:t>Phase 1 clinical trial</w:t>
      </w:r>
      <w:r w:rsidR="00AA4E8C">
        <w:t xml:space="preserve"> in healthy volunteer</w:t>
      </w:r>
      <w:r>
        <w:t xml:space="preserve">s. </w:t>
      </w:r>
      <w:r w:rsidR="009D06B0">
        <w:t>Historically, t</w:t>
      </w:r>
      <w:r w:rsidR="00B138EE">
        <w:t>he therapeutic application</w:t>
      </w:r>
      <w:r w:rsidR="00AA4E8C" w:rsidRPr="00AA4E8C">
        <w:t xml:space="preserve"> of </w:t>
      </w:r>
      <w:r w:rsidR="00B138EE">
        <w:t>cytokines</w:t>
      </w:r>
      <w:r w:rsidR="00B138EE" w:rsidRPr="00AA4E8C">
        <w:t xml:space="preserve"> </w:t>
      </w:r>
      <w:r w:rsidR="009E6DA3">
        <w:t>has been limited by</w:t>
      </w:r>
      <w:r w:rsidR="00AA4E8C" w:rsidRPr="00AA4E8C">
        <w:t xml:space="preserve"> relatively short half-li</w:t>
      </w:r>
      <w:r w:rsidR="00650214">
        <w:t>v</w:t>
      </w:r>
      <w:r w:rsidR="00AA4E8C" w:rsidRPr="00AA4E8C">
        <w:t>e</w:t>
      </w:r>
      <w:r w:rsidR="00650214">
        <w:t>s</w:t>
      </w:r>
      <w:r w:rsidR="00AA4E8C" w:rsidRPr="00AA4E8C">
        <w:t xml:space="preserve"> and off-target toxicit</w:t>
      </w:r>
      <w:r w:rsidR="00396A0C">
        <w:t>ies</w:t>
      </w:r>
      <w:r w:rsidR="00DC7251">
        <w:t xml:space="preserve"> that</w:t>
      </w:r>
      <w:r w:rsidR="00CB2E30">
        <w:t xml:space="preserve"> </w:t>
      </w:r>
      <w:r w:rsidR="009E6DA3">
        <w:t>are typically associated with</w:t>
      </w:r>
      <w:r w:rsidR="00AA4E8C" w:rsidRPr="00AA4E8C">
        <w:t xml:space="preserve"> peak plasma levels. </w:t>
      </w:r>
      <w:r>
        <w:t xml:space="preserve">SON-1010 is a proprietary version of </w:t>
      </w:r>
      <w:r w:rsidR="003F60A1">
        <w:t xml:space="preserve">recombinant </w:t>
      </w:r>
      <w:r>
        <w:t>human interleukin-12 (</w:t>
      </w:r>
      <w:r w:rsidR="003F60A1">
        <w:t>rh</w:t>
      </w:r>
      <w:r>
        <w:t>IL</w:t>
      </w:r>
      <w:r w:rsidR="003F60A1">
        <w:noBreakHyphen/>
      </w:r>
      <w:r>
        <w:t>12), configured using Sonnet's Fully Human Albumin Binding (F</w:t>
      </w:r>
      <w:r>
        <w:rPr>
          <w:vertAlign w:val="subscript"/>
        </w:rPr>
        <w:t>H</w:t>
      </w:r>
      <w:r>
        <w:t>AB</w:t>
      </w:r>
      <w:r w:rsidRPr="007F67E9">
        <w:rPr>
          <w:rFonts w:cs="Arial"/>
          <w:vertAlign w:val="superscript"/>
        </w:rPr>
        <w:t>®</w:t>
      </w:r>
      <w:r>
        <w:t xml:space="preserve">) </w:t>
      </w:r>
      <w:r w:rsidR="00CB2E30">
        <w:t>technology</w:t>
      </w:r>
      <w:r w:rsidR="00B138EE">
        <w:t xml:space="preserve">, </w:t>
      </w:r>
      <w:r w:rsidR="00CB2E30">
        <w:t>which has been shown to</w:t>
      </w:r>
      <w:r w:rsidR="00396A0C">
        <w:t xml:space="preserve"> extend PK and </w:t>
      </w:r>
      <w:r w:rsidR="00CB2E30">
        <w:t xml:space="preserve">to </w:t>
      </w:r>
      <w:r w:rsidR="00396A0C">
        <w:t>reduce peak</w:t>
      </w:r>
      <w:r w:rsidR="003F60A1">
        <w:t xml:space="preserve"> drug</w:t>
      </w:r>
      <w:r w:rsidR="00396A0C">
        <w:t xml:space="preserve"> levels </w:t>
      </w:r>
      <w:r w:rsidR="00CB2E30">
        <w:t xml:space="preserve">for improving </w:t>
      </w:r>
      <w:r w:rsidR="00914B16">
        <w:t xml:space="preserve">pharmacodynamic (PD) </w:t>
      </w:r>
      <w:r w:rsidR="00396A0C">
        <w:t>toxicity</w:t>
      </w:r>
      <w:r>
        <w:t xml:space="preserve">. </w:t>
      </w:r>
      <w:r w:rsidR="00CA6ABD">
        <w:t>The F</w:t>
      </w:r>
      <w:r w:rsidR="00CA6ABD" w:rsidRPr="000A73B0">
        <w:rPr>
          <w:vertAlign w:val="subscript"/>
        </w:rPr>
        <w:t>H</w:t>
      </w:r>
      <w:r w:rsidR="00CA6ABD">
        <w:t xml:space="preserve">AB </w:t>
      </w:r>
      <w:r w:rsidR="005A2D54">
        <w:t xml:space="preserve">technology </w:t>
      </w:r>
      <w:r w:rsidR="0038416E">
        <w:t>was designed to promote</w:t>
      </w:r>
      <w:r w:rsidR="00CA6ABD">
        <w:t xml:space="preserve"> targeting</w:t>
      </w:r>
      <w:r w:rsidR="00F8768F">
        <w:t xml:space="preserve"> to the tumor microenvironment (TME)</w:t>
      </w:r>
      <w:r w:rsidR="00CA6ABD">
        <w:t xml:space="preserve">, particularly when levels of </w:t>
      </w:r>
      <w:r w:rsidR="00BF1D95">
        <w:t>S</w:t>
      </w:r>
      <w:r w:rsidR="00021928">
        <w:t xml:space="preserve">ecreted </w:t>
      </w:r>
      <w:r w:rsidR="00BF1D95">
        <w:t>P</w:t>
      </w:r>
      <w:r w:rsidR="00021928">
        <w:t xml:space="preserve">rotein </w:t>
      </w:r>
      <w:r w:rsidR="00BF1D95">
        <w:t>A</w:t>
      </w:r>
      <w:r w:rsidR="00021928">
        <w:t xml:space="preserve">cidic and </w:t>
      </w:r>
      <w:r w:rsidR="00BF1D95">
        <w:t>R</w:t>
      </w:r>
      <w:r w:rsidR="00021928">
        <w:t xml:space="preserve">ich in </w:t>
      </w:r>
      <w:r w:rsidR="00BF1D95">
        <w:t>C</w:t>
      </w:r>
      <w:r w:rsidR="00021928">
        <w:t>ysteine (</w:t>
      </w:r>
      <w:r w:rsidR="00CA6ABD">
        <w:t>SPARC</w:t>
      </w:r>
      <w:r w:rsidR="00021928">
        <w:t>)</w:t>
      </w:r>
      <w:r w:rsidR="00CA6ABD">
        <w:t xml:space="preserve"> are elevated</w:t>
      </w:r>
      <w:r w:rsidR="002E5819" w:rsidRPr="002E5819">
        <w:t xml:space="preserve"> </w:t>
      </w:r>
      <w:r w:rsidR="002E5819">
        <w:t>in the TME</w:t>
      </w:r>
      <w:r w:rsidR="00CA6ABD">
        <w:t xml:space="preserve">. </w:t>
      </w:r>
      <w:r w:rsidR="003D2DE0">
        <w:t xml:space="preserve">Study </w:t>
      </w:r>
      <w:r>
        <w:t>SB102 is a single-ascending dose trial in healthy volunteers (</w:t>
      </w:r>
      <w:hyperlink r:id="rId7" w:history="1">
        <w:r>
          <w:rPr>
            <w:rStyle w:val="Hyperlink"/>
          </w:rPr>
          <w:t>NCT05408572</w:t>
        </w:r>
      </w:hyperlink>
      <w:r>
        <w:t xml:space="preserve">) that </w:t>
      </w:r>
      <w:r w:rsidR="003D2DE0">
        <w:t xml:space="preserve">was </w:t>
      </w:r>
      <w:r w:rsidR="009D06B0">
        <w:t xml:space="preserve">initiated </w:t>
      </w:r>
      <w:r>
        <w:t>in July</w:t>
      </w:r>
      <w:r w:rsidR="00396A0C">
        <w:t>, 2022</w:t>
      </w:r>
      <w:r>
        <w:t xml:space="preserve"> </w:t>
      </w:r>
      <w:r w:rsidR="00396A0C">
        <w:t xml:space="preserve">to address </w:t>
      </w:r>
      <w:r w:rsidR="009D06B0">
        <w:t xml:space="preserve">the </w:t>
      </w:r>
      <w:r w:rsidR="00396A0C">
        <w:t xml:space="preserve">safety, PK, and PD </w:t>
      </w:r>
      <w:r w:rsidR="009D06B0">
        <w:t xml:space="preserve">of SON-1010 </w:t>
      </w:r>
      <w:r w:rsidR="00396A0C">
        <w:t xml:space="preserve">in </w:t>
      </w:r>
      <w:r w:rsidR="0046073F">
        <w:t>subjects without interference from prior chemotherapy</w:t>
      </w:r>
      <w:r>
        <w:t xml:space="preserve">. </w:t>
      </w:r>
      <w:r w:rsidR="0046073F">
        <w:t xml:space="preserve">The </w:t>
      </w:r>
      <w:r>
        <w:t xml:space="preserve">Safety Review Committee </w:t>
      </w:r>
      <w:r w:rsidR="0046073F">
        <w:t xml:space="preserve">has </w:t>
      </w:r>
      <w:r>
        <w:t xml:space="preserve">found no </w:t>
      </w:r>
      <w:r w:rsidR="00CA6ABD">
        <w:t xml:space="preserve">significant </w:t>
      </w:r>
      <w:r>
        <w:t>safety concerns</w:t>
      </w:r>
      <w:r w:rsidR="0046073F">
        <w:t xml:space="preserve"> to date</w:t>
      </w:r>
      <w:r>
        <w:t xml:space="preserve"> and </w:t>
      </w:r>
      <w:r w:rsidR="0046073F">
        <w:t xml:space="preserve">has </w:t>
      </w:r>
      <w:r>
        <w:t xml:space="preserve">approved advancing to </w:t>
      </w:r>
      <w:r w:rsidR="0046073F">
        <w:t>each</w:t>
      </w:r>
      <w:r>
        <w:t xml:space="preserve"> higher dose level. </w:t>
      </w:r>
    </w:p>
    <w:p w14:paraId="05226BA2" w14:textId="77777777" w:rsidR="00C83ED3" w:rsidRDefault="00C83ED3"/>
    <w:p w14:paraId="1487CE8A" w14:textId="5D00851E" w:rsidR="00C83ED3" w:rsidRDefault="0098377B">
      <w:r>
        <w:t xml:space="preserve">"We have </w:t>
      </w:r>
      <w:r w:rsidR="00650214">
        <w:t>evaluated the</w:t>
      </w:r>
      <w:r>
        <w:t xml:space="preserve"> drug levels</w:t>
      </w:r>
      <w:r w:rsidR="00650214">
        <w:t xml:space="preserve"> and cytokine responses</w:t>
      </w:r>
      <w:r>
        <w:t xml:space="preserve"> in the SB10</w:t>
      </w:r>
      <w:r w:rsidR="00650214">
        <w:t>2</w:t>
      </w:r>
      <w:r>
        <w:t xml:space="preserve"> study," said Richard Kenney, M.D., Sonnet's Chief Medical Office</w:t>
      </w:r>
      <w:r w:rsidRPr="005D044D">
        <w:t>r. "</w:t>
      </w:r>
      <w:r w:rsidR="006C3A19" w:rsidRPr="000A73B0">
        <w:t>T</w:t>
      </w:r>
      <w:r w:rsidR="00914B16" w:rsidRPr="000A73B0">
        <w:t>he</w:t>
      </w:r>
      <w:r w:rsidR="00914B16" w:rsidRPr="005D044D">
        <w:t xml:space="preserve"> </w:t>
      </w:r>
      <w:r w:rsidR="008D3107" w:rsidRPr="005D044D">
        <w:t xml:space="preserve">PK and </w:t>
      </w:r>
      <w:r w:rsidR="00914B16" w:rsidRPr="005D044D">
        <w:t>PD</w:t>
      </w:r>
      <w:r w:rsidR="00252BBA" w:rsidRPr="005D044D">
        <w:t xml:space="preserve"> </w:t>
      </w:r>
      <w:r w:rsidR="006C3A19" w:rsidRPr="000A73B0">
        <w:t xml:space="preserve">from 3 </w:t>
      </w:r>
      <w:r w:rsidR="00CA6ABD" w:rsidRPr="000A73B0">
        <w:t>c</w:t>
      </w:r>
      <w:r w:rsidR="006C3A19" w:rsidRPr="000A73B0">
        <w:t>ohorts have</w:t>
      </w:r>
      <w:r w:rsidR="00252BBA" w:rsidRPr="000A73B0">
        <w:t xml:space="preserve"> be</w:t>
      </w:r>
      <w:r w:rsidR="006C3A19" w:rsidRPr="000A73B0">
        <w:t>en</w:t>
      </w:r>
      <w:r w:rsidR="00252BBA" w:rsidRPr="005D044D">
        <w:t xml:space="preserve"> formally simulated to </w:t>
      </w:r>
      <w:r w:rsidR="00914B16" w:rsidRPr="005D044D">
        <w:t xml:space="preserve">predict the levels of the most </w:t>
      </w:r>
      <w:r w:rsidR="00252BBA" w:rsidRPr="005D044D">
        <w:t>responsive cytokines.</w:t>
      </w:r>
      <w:r w:rsidRPr="005D044D">
        <w:t xml:space="preserve"> </w:t>
      </w:r>
      <w:r w:rsidR="009D06B0">
        <w:t>Interferon gamma (</w:t>
      </w:r>
      <w:r w:rsidR="00252BBA" w:rsidRPr="005D044D">
        <w:t>IFN</w:t>
      </w:r>
      <w:r w:rsidR="00252BBA" w:rsidRPr="005D044D">
        <w:sym w:font="Symbol" w:char="F067"/>
      </w:r>
      <w:r w:rsidR="009D06B0">
        <w:t>)</w:t>
      </w:r>
      <w:r w:rsidR="00252BBA" w:rsidRPr="005D044D">
        <w:t xml:space="preserve"> </w:t>
      </w:r>
      <w:r w:rsidR="008D3107" w:rsidRPr="005D044D">
        <w:t>levels rose after SON-1010 dosing as expected</w:t>
      </w:r>
      <w:r w:rsidR="00B138EE" w:rsidRPr="005D044D">
        <w:t>,</w:t>
      </w:r>
      <w:r w:rsidR="008D3107" w:rsidRPr="005D044D">
        <w:t xml:space="preserve"> but with lower peak</w:t>
      </w:r>
      <w:r w:rsidR="009D06B0">
        <w:t xml:space="preserve"> elevations</w:t>
      </w:r>
      <w:r w:rsidR="008D3107" w:rsidRPr="005D044D">
        <w:t xml:space="preserve"> and </w:t>
      </w:r>
      <w:r w:rsidR="00DD0C93" w:rsidRPr="005D044D">
        <w:t xml:space="preserve">much </w:t>
      </w:r>
      <w:r w:rsidR="008D3107" w:rsidRPr="005D044D">
        <w:t>longer decay</w:t>
      </w:r>
      <w:r w:rsidR="00DD0C93" w:rsidRPr="005D044D">
        <w:t xml:space="preserve"> </w:t>
      </w:r>
      <w:r w:rsidR="003F60A1" w:rsidRPr="005D044D">
        <w:t>than</w:t>
      </w:r>
      <w:r w:rsidR="00DD0C93" w:rsidRPr="005D044D">
        <w:t xml:space="preserve"> </w:t>
      </w:r>
      <w:r w:rsidR="00037E8C">
        <w:t xml:space="preserve">those </w:t>
      </w:r>
      <w:r w:rsidR="009D06B0">
        <w:t xml:space="preserve">observed historically for </w:t>
      </w:r>
      <w:r w:rsidR="003F60A1" w:rsidRPr="005D044D">
        <w:t>rh</w:t>
      </w:r>
      <w:r w:rsidR="00DD0C93" w:rsidRPr="005D044D">
        <w:t>IL-</w:t>
      </w:r>
      <w:r w:rsidR="00DD0C93">
        <w:t>12</w:t>
      </w:r>
      <w:r w:rsidR="008D3107">
        <w:t xml:space="preserve">, which correlates with better tumor control in preclinical models. </w:t>
      </w:r>
      <w:r w:rsidR="00252BBA">
        <w:t>L</w:t>
      </w:r>
      <w:r>
        <w:t xml:space="preserve">inking IL-12 to </w:t>
      </w:r>
      <w:r w:rsidR="008D3107">
        <w:t>the</w:t>
      </w:r>
      <w:r>
        <w:t xml:space="preserve"> F</w:t>
      </w:r>
      <w:r>
        <w:rPr>
          <w:vertAlign w:val="subscript"/>
        </w:rPr>
        <w:t>H</w:t>
      </w:r>
      <w:r>
        <w:t xml:space="preserve">AB </w:t>
      </w:r>
      <w:r w:rsidR="009D06B0">
        <w:t xml:space="preserve">is designed to </w:t>
      </w:r>
      <w:r w:rsidR="00BF1D95">
        <w:t xml:space="preserve">permit </w:t>
      </w:r>
      <w:r>
        <w:t xml:space="preserve">use </w:t>
      </w:r>
      <w:r w:rsidR="009D06B0">
        <w:t xml:space="preserve">of </w:t>
      </w:r>
      <w:r>
        <w:t xml:space="preserve">higher doses of </w:t>
      </w:r>
      <w:r w:rsidR="008D3107">
        <w:t xml:space="preserve">this </w:t>
      </w:r>
      <w:r>
        <w:t>cytokine without triggering unacceptable toxicity</w:t>
      </w:r>
      <w:r w:rsidR="009D06B0">
        <w:t>, allowing us to safely induce</w:t>
      </w:r>
      <w:r>
        <w:t xml:space="preserve"> a successful local immune response to </w:t>
      </w:r>
      <w:r w:rsidR="00B138EE">
        <w:t>IL</w:t>
      </w:r>
      <w:r>
        <w:t>-12 in the TME."</w:t>
      </w:r>
    </w:p>
    <w:p w14:paraId="390B4FD0" w14:textId="77777777" w:rsidR="00C83ED3" w:rsidRDefault="00C83ED3"/>
    <w:p w14:paraId="57796A2F" w14:textId="5AC30263" w:rsidR="004F50A9" w:rsidRDefault="00645D85">
      <w:r w:rsidRPr="00645D85">
        <w:t>Typical dose-related increases were seen with SON-1010</w:t>
      </w:r>
      <w:r w:rsidR="00093B5E">
        <w:t xml:space="preserve"> using a validated </w:t>
      </w:r>
      <w:r w:rsidR="00093B5E" w:rsidRPr="00093B5E">
        <w:t>electrochemi</w:t>
      </w:r>
      <w:r w:rsidR="00093B5E">
        <w:softHyphen/>
      </w:r>
      <w:r w:rsidR="00093B5E" w:rsidRPr="00093B5E">
        <w:t xml:space="preserve">luminescence </w:t>
      </w:r>
      <w:r w:rsidR="00093B5E">
        <w:t>assay (</w:t>
      </w:r>
      <w:proofErr w:type="spellStart"/>
      <w:r w:rsidR="00093B5E">
        <w:t>Meso</w:t>
      </w:r>
      <w:proofErr w:type="spellEnd"/>
      <w:r w:rsidR="00093B5E">
        <w:t xml:space="preserve"> Scale Discovery</w:t>
      </w:r>
      <w:r w:rsidR="00093B5E" w:rsidRPr="007F67E9">
        <w:rPr>
          <w:rFonts w:cs="Arial"/>
          <w:vertAlign w:val="superscript"/>
        </w:rPr>
        <w:t>®</w:t>
      </w:r>
      <w:r w:rsidR="00093B5E" w:rsidRPr="00093B5E">
        <w:rPr>
          <w:rFonts w:cs="Arial"/>
        </w:rPr>
        <w:t>)</w:t>
      </w:r>
      <w:r w:rsidRPr="00645D85">
        <w:t xml:space="preserve"> after </w:t>
      </w:r>
      <w:r>
        <w:t>subcutaneous</w:t>
      </w:r>
      <w:r w:rsidRPr="00645D85">
        <w:t xml:space="preserve"> administration</w:t>
      </w:r>
      <w:r>
        <w:t xml:space="preserve">. </w:t>
      </w:r>
      <w:r w:rsidR="00141BA9">
        <w:t xml:space="preserve">Drug levels peaked at about 11 hours </w:t>
      </w:r>
      <w:r w:rsidR="004440B2">
        <w:t>with a</w:t>
      </w:r>
      <w:r w:rsidRPr="00645D85">
        <w:t xml:space="preserve"> </w:t>
      </w:r>
      <w:r w:rsidR="00141BA9">
        <w:t xml:space="preserve">geometric </w:t>
      </w:r>
      <w:r w:rsidRPr="00645D85">
        <w:t>mean maximum concentration (</w:t>
      </w:r>
      <w:proofErr w:type="spellStart"/>
      <w:r w:rsidRPr="00645D85">
        <w:t>C</w:t>
      </w:r>
      <w:r>
        <w:rPr>
          <w:vertAlign w:val="subscript"/>
        </w:rPr>
        <w:t>max</w:t>
      </w:r>
      <w:proofErr w:type="spellEnd"/>
      <w:r w:rsidRPr="00645D85">
        <w:t xml:space="preserve">) </w:t>
      </w:r>
      <w:r w:rsidR="004440B2">
        <w:t>of</w:t>
      </w:r>
      <w:r w:rsidRPr="00645D85">
        <w:t xml:space="preserve"> </w:t>
      </w:r>
      <w:r>
        <w:t>29</w:t>
      </w:r>
      <w:r w:rsidRPr="00645D85">
        <w:t xml:space="preserve">, </w:t>
      </w:r>
      <w:r>
        <w:t>68</w:t>
      </w:r>
      <w:r w:rsidRPr="00645D85">
        <w:t xml:space="preserve">, and </w:t>
      </w:r>
      <w:r>
        <w:t>125</w:t>
      </w:r>
      <w:r w:rsidRPr="00645D85">
        <w:t xml:space="preserve"> </w:t>
      </w:r>
      <w:proofErr w:type="spellStart"/>
      <w:r w:rsidRPr="00645D85">
        <w:t>pg</w:t>
      </w:r>
      <w:proofErr w:type="spellEnd"/>
      <w:r w:rsidRPr="00645D85">
        <w:t>/mL for the 50, 100, and 150</w:t>
      </w:r>
      <w:r w:rsidR="00141BA9">
        <w:t> </w:t>
      </w:r>
      <w:r w:rsidRPr="00645D85">
        <w:t>ng/kg dose groups</w:t>
      </w:r>
      <w:r w:rsidR="00141BA9">
        <w:t>,</w:t>
      </w:r>
      <w:r w:rsidRPr="00645D85">
        <w:t xml:space="preserve"> respectively</w:t>
      </w:r>
      <w:r w:rsidR="00CA6ABD">
        <w:t xml:space="preserve"> (Figure 1)</w:t>
      </w:r>
      <w:r>
        <w:t xml:space="preserve">. </w:t>
      </w:r>
      <w:r w:rsidRPr="00645D85">
        <w:t>The mean elimination half-life (T</w:t>
      </w:r>
      <w:r w:rsidRPr="00645D85">
        <w:rPr>
          <w:vertAlign w:val="subscript"/>
        </w:rPr>
        <w:t>½</w:t>
      </w:r>
      <w:r w:rsidRPr="00645D85">
        <w:t xml:space="preserve">) </w:t>
      </w:r>
      <w:r>
        <w:t>after a</w:t>
      </w:r>
      <w:r w:rsidRPr="00645D85">
        <w:t xml:space="preserve"> 150 ng/kg</w:t>
      </w:r>
      <w:r>
        <w:t xml:space="preserve"> dose</w:t>
      </w:r>
      <w:r w:rsidR="00141BA9">
        <w:t xml:space="preserve"> of SON-1010</w:t>
      </w:r>
      <w:r w:rsidRPr="00645D85">
        <w:t xml:space="preserve"> was 112 hours</w:t>
      </w:r>
      <w:r w:rsidR="003F60A1">
        <w:t xml:space="preserve">, compared to 12 hours for </w:t>
      </w:r>
      <w:r w:rsidR="004440B2">
        <w:t>rh</w:t>
      </w:r>
      <w:r w:rsidR="003F60A1">
        <w:t>IL-12</w:t>
      </w:r>
      <w:r>
        <w:t xml:space="preserve">. </w:t>
      </w:r>
    </w:p>
    <w:p w14:paraId="4EDD5967" w14:textId="77777777" w:rsidR="004F50A9" w:rsidRDefault="004F50A9"/>
    <w:p w14:paraId="05B46326" w14:textId="2B18F00B" w:rsidR="00C83ED3" w:rsidRDefault="00BF1D95">
      <w:r>
        <w:t xml:space="preserve">Observed </w:t>
      </w:r>
      <w:r w:rsidR="00093B5E">
        <w:t>i</w:t>
      </w:r>
      <w:r w:rsidR="00645D85" w:rsidRPr="00645D85">
        <w:t>ncreases in IFN</w:t>
      </w:r>
      <w:r w:rsidR="00645D85">
        <w:sym w:font="Symbol" w:char="F067"/>
      </w:r>
      <w:r w:rsidR="00645D85" w:rsidRPr="00645D85">
        <w:t xml:space="preserve"> were </w:t>
      </w:r>
      <w:r w:rsidR="00141BA9">
        <w:t xml:space="preserve">most pronounced and were </w:t>
      </w:r>
      <w:r w:rsidR="00645D85" w:rsidRPr="00645D85">
        <w:t>dose-related, controlled, and prolonged. SON-1010 induced IFN</w:t>
      </w:r>
      <w:r w:rsidR="00645D85">
        <w:sym w:font="Symbol" w:char="F067"/>
      </w:r>
      <w:r w:rsidR="00645D85" w:rsidRPr="00645D85">
        <w:t xml:space="preserve"> in all </w:t>
      </w:r>
      <w:r w:rsidR="00645D85">
        <w:t xml:space="preserve">active-drug </w:t>
      </w:r>
      <w:r w:rsidR="00645D85" w:rsidRPr="00645D85">
        <w:t>subjects</w:t>
      </w:r>
      <w:r w:rsidR="00645D85">
        <w:t>, which</w:t>
      </w:r>
      <w:r w:rsidR="00645D85" w:rsidRPr="00645D85">
        <w:t xml:space="preserve"> peaked at 24 to 48 hours </w:t>
      </w:r>
      <w:r w:rsidR="00141BA9">
        <w:t>then</w:t>
      </w:r>
      <w:r w:rsidR="00645D85" w:rsidRPr="00645D85">
        <w:t xml:space="preserve"> returned to baseline after 2 weeks</w:t>
      </w:r>
      <w:r w:rsidR="00CA6ABD">
        <w:t xml:space="preserve"> (Figure 2)</w:t>
      </w:r>
      <w:r w:rsidR="00645D85" w:rsidRPr="00645D85">
        <w:t>.</w:t>
      </w:r>
      <w:r w:rsidR="00645D85">
        <w:t xml:space="preserve"> </w:t>
      </w:r>
      <w:r w:rsidR="00645D85" w:rsidRPr="00645D85">
        <w:t>The IFN</w:t>
      </w:r>
      <w:r w:rsidR="00645D85">
        <w:sym w:font="Symbol" w:char="F067"/>
      </w:r>
      <w:r w:rsidR="00645D85" w:rsidRPr="00645D85">
        <w:t xml:space="preserve"> geomean </w:t>
      </w:r>
      <w:proofErr w:type="spellStart"/>
      <w:r w:rsidR="00645D85" w:rsidRPr="00645D85">
        <w:t>C</w:t>
      </w:r>
      <w:r w:rsidR="00645D85" w:rsidRPr="00645D85">
        <w:rPr>
          <w:vertAlign w:val="subscript"/>
        </w:rPr>
        <w:t>max</w:t>
      </w:r>
      <w:proofErr w:type="spellEnd"/>
      <w:r w:rsidR="00645D85" w:rsidRPr="00645D85">
        <w:t xml:space="preserve"> was 398, 384, and 666 </w:t>
      </w:r>
      <w:proofErr w:type="spellStart"/>
      <w:r w:rsidR="00645D85" w:rsidRPr="00645D85">
        <w:t>pg</w:t>
      </w:r>
      <w:proofErr w:type="spellEnd"/>
      <w:r w:rsidR="00645D85" w:rsidRPr="00645D85">
        <w:t>/mL after 50, 100, or 150 ng/kg of SON-1010, respectively</w:t>
      </w:r>
      <w:r w:rsidR="00141BA9">
        <w:t>, while t</w:t>
      </w:r>
      <w:r w:rsidR="00645D85" w:rsidRPr="00645D85">
        <w:t>he AUC over 48 hours was 6050, 10200, and 14600 h*</w:t>
      </w:r>
      <w:proofErr w:type="spellStart"/>
      <w:r w:rsidR="00645D85" w:rsidRPr="00645D85">
        <w:t>pg</w:t>
      </w:r>
      <w:proofErr w:type="spellEnd"/>
      <w:r w:rsidR="00645D85" w:rsidRPr="00645D85">
        <w:t>/</w:t>
      </w:r>
      <w:proofErr w:type="spellStart"/>
      <w:r w:rsidR="00645D85" w:rsidRPr="00645D85">
        <w:t>mL.</w:t>
      </w:r>
      <w:proofErr w:type="spellEnd"/>
      <w:r w:rsidR="00645D85" w:rsidRPr="00645D85">
        <w:t xml:space="preserve"> </w:t>
      </w:r>
      <w:r w:rsidR="005C3CE4">
        <w:t xml:space="preserve">Linear regression was used to predict </w:t>
      </w:r>
      <w:r w:rsidR="00F960FE">
        <w:t xml:space="preserve">the </w:t>
      </w:r>
      <w:r w:rsidR="00F960FE" w:rsidRPr="00645D85">
        <w:t>IFN</w:t>
      </w:r>
      <w:r w:rsidR="00F960FE">
        <w:sym w:font="Symbol" w:char="F067"/>
      </w:r>
      <w:r w:rsidR="00F960FE">
        <w:t xml:space="preserve"> </w:t>
      </w:r>
      <w:proofErr w:type="spellStart"/>
      <w:r w:rsidR="005C3CE4" w:rsidRPr="00BF1D95">
        <w:t>C</w:t>
      </w:r>
      <w:r w:rsidR="005C3CE4" w:rsidRPr="00BF1D95">
        <w:rPr>
          <w:vertAlign w:val="subscript"/>
        </w:rPr>
        <w:t>max</w:t>
      </w:r>
      <w:proofErr w:type="spellEnd"/>
      <w:r>
        <w:t xml:space="preserve"> </w:t>
      </w:r>
      <w:r w:rsidR="00F960FE" w:rsidRPr="00BF1D95">
        <w:t>at</w:t>
      </w:r>
      <w:r w:rsidR="00F960FE">
        <w:t xml:space="preserve"> higher doses</w:t>
      </w:r>
      <w:r w:rsidR="005C3CE4">
        <w:t xml:space="preserve">, which </w:t>
      </w:r>
      <w:r>
        <w:t xml:space="preserve">remain </w:t>
      </w:r>
      <w:r w:rsidR="005C3CE4">
        <w:t xml:space="preserve">well within the range of safety. </w:t>
      </w:r>
      <w:r w:rsidR="00645D85" w:rsidRPr="00645D85">
        <w:t xml:space="preserve">Low amounts of IL-10 were induced in a dose-dependent manner, which could also be </w:t>
      </w:r>
      <w:r w:rsidR="00395B40">
        <w:t>due to</w:t>
      </w:r>
      <w:r w:rsidR="00645D85" w:rsidRPr="00645D85">
        <w:t xml:space="preserve"> the increase in IFN</w:t>
      </w:r>
      <w:r w:rsidR="00395B40">
        <w:sym w:font="Symbol" w:char="F067"/>
      </w:r>
      <w:r w:rsidR="00645D85" w:rsidRPr="00645D85">
        <w:t xml:space="preserve">. There </w:t>
      </w:r>
      <w:r w:rsidR="000516BD">
        <w:t>were</w:t>
      </w:r>
      <w:r w:rsidR="00645D85" w:rsidRPr="00645D85">
        <w:t xml:space="preserve"> small </w:t>
      </w:r>
      <w:r w:rsidR="000E2D97">
        <w:t xml:space="preserve">transient </w:t>
      </w:r>
      <w:r w:rsidR="00645D85" w:rsidRPr="00645D85">
        <w:t>increase</w:t>
      </w:r>
      <w:r w:rsidR="000516BD">
        <w:t>s</w:t>
      </w:r>
      <w:r w:rsidR="00645D85" w:rsidRPr="00645D85">
        <w:t xml:space="preserve"> in IL-6</w:t>
      </w:r>
      <w:r w:rsidR="000E2D97">
        <w:t>,</w:t>
      </w:r>
      <w:r w:rsidR="00645D85" w:rsidRPr="00645D85">
        <w:t xml:space="preserve"> IL</w:t>
      </w:r>
      <w:r w:rsidR="000E2D97">
        <w:noBreakHyphen/>
      </w:r>
      <w:r w:rsidR="00645D85" w:rsidRPr="00645D85">
        <w:t>8</w:t>
      </w:r>
      <w:r w:rsidR="000E2D97">
        <w:t xml:space="preserve">, and </w:t>
      </w:r>
      <w:r w:rsidR="000E2D97" w:rsidRPr="00645D85">
        <w:t xml:space="preserve">TNFα </w:t>
      </w:r>
      <w:r w:rsidR="00645D85" w:rsidRPr="00645D85">
        <w:t xml:space="preserve">after dosing </w:t>
      </w:r>
      <w:r w:rsidR="000E2D97">
        <w:t>but n</w:t>
      </w:r>
      <w:r w:rsidR="00645D85" w:rsidRPr="00645D85">
        <w:t>o consistent pattern was seen with IL-1β</w:t>
      </w:r>
      <w:r w:rsidR="000E2D97">
        <w:t>, IL-2,</w:t>
      </w:r>
      <w:r w:rsidR="00645D85" w:rsidRPr="00645D85">
        <w:t xml:space="preserve"> or</w:t>
      </w:r>
      <w:r w:rsidR="000E2D97">
        <w:t xml:space="preserve"> IL-4</w:t>
      </w:r>
      <w:r w:rsidR="00645D85" w:rsidRPr="00645D85">
        <w:t xml:space="preserve"> and </w:t>
      </w:r>
      <w:r w:rsidR="00141BA9">
        <w:t xml:space="preserve">there was </w:t>
      </w:r>
      <w:r w:rsidR="00645D85" w:rsidRPr="00645D85">
        <w:t xml:space="preserve">no evidence of </w:t>
      </w:r>
      <w:r w:rsidR="00141BA9">
        <w:t>cytokine release syndrome (</w:t>
      </w:r>
      <w:r w:rsidR="00645D85" w:rsidRPr="00645D85">
        <w:t>CRS</w:t>
      </w:r>
      <w:r w:rsidR="00141BA9">
        <w:t>)</w:t>
      </w:r>
      <w:r w:rsidR="00645D85" w:rsidRPr="00645D85">
        <w:t>.</w:t>
      </w:r>
      <w:r w:rsidR="00141BA9">
        <w:t xml:space="preserve"> Safety was </w:t>
      </w:r>
      <w:r>
        <w:t xml:space="preserve">consistent with what has been </w:t>
      </w:r>
      <w:r w:rsidR="00141BA9">
        <w:t xml:space="preserve">reported previously; </w:t>
      </w:r>
      <w:r w:rsidR="0098377B">
        <w:t xml:space="preserve">adverse events have generally been mild/moderate, transient in nature, and have all been tolerable. </w:t>
      </w:r>
    </w:p>
    <w:p w14:paraId="4D5F84A7" w14:textId="445907AE" w:rsidR="00CA6ABD" w:rsidRDefault="00CA6ABD"/>
    <w:p w14:paraId="268872CF" w14:textId="23F188A8" w:rsidR="00CA6ABD" w:rsidRPr="000A73B0" w:rsidRDefault="00CA6ABD" w:rsidP="000A73B0">
      <w:pPr>
        <w:keepNext/>
        <w:rPr>
          <w:b/>
          <w:bCs/>
        </w:rPr>
      </w:pPr>
      <w:r>
        <w:rPr>
          <w:b/>
          <w:bCs/>
        </w:rPr>
        <w:t xml:space="preserve">     Figure 1</w:t>
      </w:r>
      <w:r>
        <w:rPr>
          <w:b/>
          <w:bCs/>
        </w:rPr>
        <w:tab/>
      </w:r>
      <w:r>
        <w:rPr>
          <w:b/>
          <w:bCs/>
        </w:rPr>
        <w:tab/>
      </w:r>
      <w:r>
        <w:rPr>
          <w:b/>
          <w:bCs/>
        </w:rPr>
        <w:tab/>
      </w:r>
      <w:r>
        <w:rPr>
          <w:b/>
          <w:bCs/>
        </w:rPr>
        <w:tab/>
      </w:r>
      <w:r>
        <w:rPr>
          <w:b/>
          <w:bCs/>
        </w:rPr>
        <w:tab/>
      </w:r>
      <w:r>
        <w:rPr>
          <w:b/>
          <w:bCs/>
        </w:rPr>
        <w:tab/>
        <w:t>Figure 2</w:t>
      </w:r>
    </w:p>
    <w:p w14:paraId="18C5A4CE" w14:textId="5AD7275D" w:rsidR="00C83ED3" w:rsidRDefault="00DC7251" w:rsidP="009850E2">
      <w:pPr>
        <w:jc w:val="center"/>
      </w:pPr>
      <w:r>
        <w:rPr>
          <w:noProof/>
        </w:rPr>
        <mc:AlternateContent>
          <mc:Choice Requires="wps">
            <w:drawing>
              <wp:anchor distT="0" distB="0" distL="114300" distR="114300" simplePos="0" relativeHeight="251663360" behindDoc="0" locked="0" layoutInCell="1" allowOverlap="1" wp14:anchorId="471DC1B9" wp14:editId="090CB037">
                <wp:simplePos x="0" y="0"/>
                <wp:positionH relativeFrom="column">
                  <wp:posOffset>173355</wp:posOffset>
                </wp:positionH>
                <wp:positionV relativeFrom="paragraph">
                  <wp:posOffset>45508</wp:posOffset>
                </wp:positionV>
                <wp:extent cx="122766" cy="131234"/>
                <wp:effectExtent l="0" t="0" r="0" b="2540"/>
                <wp:wrapNone/>
                <wp:docPr id="2" name="Rectangle 2"/>
                <wp:cNvGraphicFramePr/>
                <a:graphic xmlns:a="http://schemas.openxmlformats.org/drawingml/2006/main">
                  <a:graphicData uri="http://schemas.microsoft.com/office/word/2010/wordprocessingShape">
                    <wps:wsp>
                      <wps:cNvSpPr/>
                      <wps:spPr>
                        <a:xfrm>
                          <a:off x="0" y="0"/>
                          <a:ext cx="122766" cy="131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5A5338A8" id="Rectangle 2" o:spid="_x0000_s1026" style="position:absolute;margin-left:13.65pt;margin-top:3.6pt;width:9.65pt;height:10.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" fillcolor="white [3212]" stroked="f" strokeweight="1pt"/>
            </w:pict>
          </mc:Fallback>
        </mc:AlternateContent>
      </w:r>
      <w:r>
        <w:rPr>
          <w:noProof/>
        </w:rPr>
        <mc:AlternateContent>
          <mc:Choice Requires="wps">
            <w:drawing>
              <wp:anchor distT="0" distB="0" distL="114300" distR="114300" simplePos="0" relativeHeight="251665408" behindDoc="0" locked="0" layoutInCell="1" allowOverlap="1" wp14:anchorId="0E0B8FCB" wp14:editId="2C6B9AA4">
                <wp:simplePos x="0" y="0"/>
                <wp:positionH relativeFrom="column">
                  <wp:posOffset>3013922</wp:posOffset>
                </wp:positionH>
                <wp:positionV relativeFrom="paragraph">
                  <wp:posOffset>24342</wp:posOffset>
                </wp:positionV>
                <wp:extent cx="122766" cy="131234"/>
                <wp:effectExtent l="0" t="0" r="0" b="2540"/>
                <wp:wrapNone/>
                <wp:docPr id="3" name="Rectangle 3"/>
                <wp:cNvGraphicFramePr/>
                <a:graphic xmlns:a="http://schemas.openxmlformats.org/drawingml/2006/main">
                  <a:graphicData uri="http://schemas.microsoft.com/office/word/2010/wordprocessingShape">
                    <wps:wsp>
                      <wps:cNvSpPr/>
                      <wps:spPr>
                        <a:xfrm>
                          <a:off x="0" y="0"/>
                          <a:ext cx="122766" cy="131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15BAB67" id="Rectangle 3" o:spid="_x0000_s1026" style="position:absolute;margin-left:237.3pt;margin-top:1.9pt;width:9.65pt;height:10.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" fillcolor="white [3212]" stroked="f" strokeweight="1pt"/>
            </w:pict>
          </mc:Fallback>
        </mc:AlternateContent>
      </w:r>
      <w:r>
        <w:rPr>
          <w:noProof/>
        </w:rPr>
        <w:drawing>
          <wp:inline distT="0" distB="0" distL="0" distR="0" wp14:anchorId="7811B0F4" wp14:editId="5C9E523B">
            <wp:extent cx="5647267" cy="2137622"/>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publication-figures_files/figure-docx/unnamed-chunk-4-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0265"/>
                    <a:stretch/>
                  </pic:blipFill>
                  <pic:spPr bwMode="auto">
                    <a:xfrm>
                      <a:off x="0" y="0"/>
                      <a:ext cx="5664911" cy="2144301"/>
                    </a:xfrm>
                    <a:prstGeom prst="rect">
                      <a:avLst/>
                    </a:prstGeom>
                    <a:noFill/>
                    <a:ln>
                      <a:noFill/>
                    </a:ln>
                    <a:extLst>
                      <a:ext uri="{53640926-AAD7-44D8-BBD7-CCE9431645EC}">
                        <a14:shadowObscured xmlns:a14="http://schemas.microsoft.com/office/drawing/2010/main"/>
                      </a:ext>
                    </a:extLst>
                  </pic:spPr>
                </pic:pic>
              </a:graphicData>
            </a:graphic>
          </wp:inline>
        </w:drawing>
      </w:r>
    </w:p>
    <w:p w14:paraId="028B273A" w14:textId="2A14075B" w:rsidR="00CA6ABD" w:rsidRPr="000A73B0" w:rsidRDefault="00CA6ABD">
      <w:pPr>
        <w:rPr>
          <w:sz w:val="18"/>
          <w:szCs w:val="18"/>
        </w:rPr>
      </w:pPr>
      <w:r w:rsidRPr="000A73B0">
        <w:rPr>
          <w:sz w:val="18"/>
          <w:szCs w:val="18"/>
        </w:rPr>
        <w:t xml:space="preserve">Note: SON-1010 values below the level of </w:t>
      </w:r>
      <w:r w:rsidR="00C25AC8">
        <w:rPr>
          <w:sz w:val="18"/>
          <w:szCs w:val="18"/>
        </w:rPr>
        <w:t>quantification</w:t>
      </w:r>
      <w:r w:rsidR="00C25AC8" w:rsidRPr="000A73B0">
        <w:rPr>
          <w:sz w:val="18"/>
          <w:szCs w:val="18"/>
        </w:rPr>
        <w:t xml:space="preserve"> </w:t>
      </w:r>
      <w:r w:rsidRPr="000A73B0">
        <w:rPr>
          <w:sz w:val="18"/>
          <w:szCs w:val="18"/>
        </w:rPr>
        <w:t xml:space="preserve">are </w:t>
      </w:r>
      <w:r w:rsidR="00C25AC8">
        <w:rPr>
          <w:sz w:val="18"/>
          <w:szCs w:val="18"/>
        </w:rPr>
        <w:t>not included</w:t>
      </w:r>
      <w:r w:rsidRPr="000A73B0">
        <w:rPr>
          <w:sz w:val="18"/>
          <w:szCs w:val="18"/>
        </w:rPr>
        <w:t xml:space="preserve">, so the graph is cut off at lower </w:t>
      </w:r>
      <w:r w:rsidR="00BF1D95">
        <w:rPr>
          <w:sz w:val="18"/>
          <w:szCs w:val="18"/>
        </w:rPr>
        <w:t>concentrations</w:t>
      </w:r>
      <w:r w:rsidRPr="000A73B0">
        <w:rPr>
          <w:sz w:val="18"/>
          <w:szCs w:val="18"/>
        </w:rPr>
        <w:t>.</w:t>
      </w:r>
    </w:p>
    <w:p w14:paraId="2530E0EE" w14:textId="77777777" w:rsidR="00CA6ABD" w:rsidRDefault="00CA6ABD"/>
    <w:p w14:paraId="71503D9D" w14:textId="1905F17E" w:rsidR="00C83ED3" w:rsidRDefault="00FC1746">
      <w:r>
        <w:rPr>
          <w:noProof/>
        </w:rPr>
        <mc:AlternateContent>
          <mc:Choice Requires="wpi">
            <w:drawing>
              <wp:anchor distT="0" distB="0" distL="114300" distR="114300" simplePos="0" relativeHeight="251662336" behindDoc="0" locked="0" layoutInCell="1" allowOverlap="1" wp14:anchorId="3352E73B" wp14:editId="1C5DC0FA">
                <wp:simplePos x="0" y="0"/>
                <wp:positionH relativeFrom="column">
                  <wp:posOffset>4942205</wp:posOffset>
                </wp:positionH>
                <wp:positionV relativeFrom="paragraph">
                  <wp:posOffset>899795</wp:posOffset>
                </wp:positionV>
                <wp:extent cx="360" cy="360"/>
                <wp:effectExtent l="38100" t="19050" r="57150" b="57150"/>
                <wp:wrapNone/>
                <wp:docPr id="4"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oel="http://schemas.microsoft.com/office/2019/extlst">
            <w:pict>
              <v:shapetype w14:anchorId="1E4ACD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88.45pt;margin-top:70.1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">
                <v:imagedata r:id="rId14" o:title=""/>
              </v:shape>
            </w:pict>
          </mc:Fallback>
        </mc:AlternateContent>
      </w:r>
      <w:r w:rsidR="0098377B">
        <w:t>"</w:t>
      </w:r>
      <w:r w:rsidR="005A2D54">
        <w:t>This</w:t>
      </w:r>
      <w:r w:rsidR="00CA6ABD" w:rsidRPr="00CA6ABD">
        <w:t xml:space="preserve"> </w:t>
      </w:r>
      <w:r w:rsidR="0098377B" w:rsidRPr="00CA6ABD">
        <w:t>demonstration of extended PK with SON-1010</w:t>
      </w:r>
      <w:r w:rsidR="00CA6ABD" w:rsidRPr="00CA6ABD">
        <w:t xml:space="preserve"> in humans,</w:t>
      </w:r>
      <w:r w:rsidR="0098377B" w:rsidRPr="00CA6ABD">
        <w:t xml:space="preserve"> </w:t>
      </w:r>
      <w:r w:rsidR="00CA6ABD" w:rsidRPr="00CA6ABD">
        <w:t>in conjunction</w:t>
      </w:r>
      <w:r w:rsidR="003F6A3C" w:rsidRPr="00CA6ABD">
        <w:t xml:space="preserve"> </w:t>
      </w:r>
      <w:r w:rsidR="003F6A3C" w:rsidRPr="000A73B0">
        <w:t xml:space="preserve">with </w:t>
      </w:r>
      <w:r w:rsidR="00CA6ABD" w:rsidRPr="000A73B0">
        <w:t xml:space="preserve">the </w:t>
      </w:r>
      <w:r w:rsidR="003F6A3C" w:rsidRPr="000A73B0">
        <w:t>prior preclinical tumor accumulation data</w:t>
      </w:r>
      <w:r w:rsidR="00CA6ABD" w:rsidRPr="00CA6ABD">
        <w:t>,</w:t>
      </w:r>
      <w:r w:rsidR="003F6A3C" w:rsidRPr="00CA6ABD">
        <w:t xml:space="preserve"> represents</w:t>
      </w:r>
      <w:r w:rsidR="0098377B" w:rsidRPr="00CA6ABD">
        <w:t xml:space="preserve"> a significant step forward in Sonnet’s approach to immunotherapy with the F</w:t>
      </w:r>
      <w:r w:rsidR="0098377B" w:rsidRPr="00CA6ABD">
        <w:rPr>
          <w:vertAlign w:val="subscript"/>
        </w:rPr>
        <w:t>H</w:t>
      </w:r>
      <w:r w:rsidR="0098377B" w:rsidRPr="00CA6ABD">
        <w:t xml:space="preserve">AB </w:t>
      </w:r>
      <w:r w:rsidR="005A2D54">
        <w:t>platform</w:t>
      </w:r>
      <w:r w:rsidR="0098377B" w:rsidRPr="00CA6ABD">
        <w:t>.</w:t>
      </w:r>
      <w:r w:rsidR="005A2D54" w:rsidRPr="005A2D54">
        <w:t xml:space="preserve"> </w:t>
      </w:r>
      <w:r w:rsidR="005A2D54">
        <w:t xml:space="preserve">We believe, based on the totality of the data we have generated to this point, that we have a best-in-class IL-12 molecule with synergistic potential in cancer and </w:t>
      </w:r>
      <w:r w:rsidR="00F8768F">
        <w:t xml:space="preserve">clear </w:t>
      </w:r>
      <w:r w:rsidR="005A2D54">
        <w:t>business development opportunit</w:t>
      </w:r>
      <w:r w:rsidR="00F8768F">
        <w:t>ies to explore</w:t>
      </w:r>
      <w:r w:rsidR="005A2D54">
        <w:t>.”</w:t>
      </w:r>
      <w:r w:rsidR="0098377B" w:rsidRPr="00CA6ABD">
        <w:t xml:space="preserve"> </w:t>
      </w:r>
      <w:r w:rsidR="005A2D54">
        <w:t>said Pankaj Mohan, Ph.D., Sonnet Founder and Chief Executive Officer. “</w:t>
      </w:r>
      <w:r w:rsidRPr="00CA6ABD">
        <w:t xml:space="preserve">The half-life of SON-1010 </w:t>
      </w:r>
      <w:r w:rsidR="00093B5E" w:rsidRPr="00CA6ABD">
        <w:t>fits well with</w:t>
      </w:r>
      <w:r w:rsidRPr="00CA6ABD">
        <w:t xml:space="preserve"> </w:t>
      </w:r>
      <w:r w:rsidR="00D6516F">
        <w:t xml:space="preserve">3-week </w:t>
      </w:r>
      <w:r w:rsidR="002F2D1D" w:rsidRPr="00CA6ABD">
        <w:t>checkpoint inhibitor</w:t>
      </w:r>
      <w:r w:rsidRPr="00CA6ABD">
        <w:t xml:space="preserve"> dosing schedule</w:t>
      </w:r>
      <w:r w:rsidR="002F2D1D" w:rsidRPr="00CA6ABD">
        <w:t>s</w:t>
      </w:r>
      <w:r w:rsidRPr="00CA6ABD">
        <w:t>, which supports the</w:t>
      </w:r>
      <w:r w:rsidR="0053351F" w:rsidRPr="00CA6ABD">
        <w:t xml:space="preserve"> plans for the</w:t>
      </w:r>
      <w:r w:rsidRPr="00CA6ABD">
        <w:t xml:space="preserve"> SB221 </w:t>
      </w:r>
      <w:r w:rsidR="0098377B" w:rsidRPr="00CA6ABD">
        <w:t xml:space="preserve">combination </w:t>
      </w:r>
      <w:r w:rsidRPr="00CA6ABD">
        <w:t xml:space="preserve">study that </w:t>
      </w:r>
      <w:r w:rsidR="00BF1D95">
        <w:t>we</w:t>
      </w:r>
      <w:r w:rsidR="00BF1D95" w:rsidRPr="00CA6ABD">
        <w:t xml:space="preserve"> </w:t>
      </w:r>
      <w:r w:rsidRPr="00CA6ABD">
        <w:t>announced</w:t>
      </w:r>
      <w:r w:rsidR="00BF1D95">
        <w:t xml:space="preserve"> earlier this month</w:t>
      </w:r>
      <w:r w:rsidRPr="00CA6ABD">
        <w:t>.</w:t>
      </w:r>
      <w:r w:rsidR="0098377B" w:rsidRPr="00CA6ABD">
        <w:t>"</w:t>
      </w:r>
    </w:p>
    <w:p w14:paraId="2E589484" w14:textId="77777777" w:rsidR="00C83ED3" w:rsidRDefault="00C83ED3"/>
    <w:p w14:paraId="174655C3" w14:textId="77777777" w:rsidR="00C83ED3" w:rsidRDefault="0098377B">
      <w:pPr>
        <w:rPr>
          <w:b/>
          <w:bCs/>
        </w:rPr>
      </w:pPr>
      <w:r>
        <w:rPr>
          <w:b/>
          <w:bCs/>
        </w:rPr>
        <w:t>About SON-1010</w:t>
      </w:r>
    </w:p>
    <w:p w14:paraId="0054CA19" w14:textId="77777777" w:rsidR="00C83ED3" w:rsidRDefault="00C83ED3"/>
    <w:p w14:paraId="4FD9D3A8" w14:textId="70984FEE" w:rsidR="00C83ED3" w:rsidRDefault="0098377B">
      <w:r>
        <w:t xml:space="preserve">SON-1010 is a candidate immunotherapeutic recombinant drug that links unmodified single-chain human IL-12 with the albumin-binding domain of </w:t>
      </w:r>
      <w:r w:rsidR="00D07E7D">
        <w:t xml:space="preserve">the single-chain </w:t>
      </w:r>
      <w:r w:rsidR="0076197F">
        <w:t xml:space="preserve">antibody </w:t>
      </w:r>
      <w:r w:rsidR="00D07E7D">
        <w:t xml:space="preserve">fragment </w:t>
      </w:r>
      <w:r>
        <w:t>A10m3. This was selected to bind both at normal pH, as well as at an acidic pH typically found in the TME. The F</w:t>
      </w:r>
      <w:r>
        <w:rPr>
          <w:vertAlign w:val="subscript"/>
        </w:rPr>
        <w:t>H</w:t>
      </w:r>
      <w:r>
        <w:t xml:space="preserve">AB technology targets tumor and lymphatic tissue, providing a mechanism for dose sparing and an opportunity to improve the safety and efficacy profile of not only IL-12, but a variety of potent immunomodulators. Interleukin-12 can orchestrate a robust immune response to many cancers and pathogens. Given the types of proteins induced in the TME, such as </w:t>
      </w:r>
      <w:r w:rsidR="0076197F">
        <w:t xml:space="preserve">the Secreted Protein </w:t>
      </w:r>
      <w:r w:rsidR="0076197F" w:rsidRPr="0076197F">
        <w:t>and Rich in Cysteine</w:t>
      </w:r>
      <w:r w:rsidR="0076197F">
        <w:t xml:space="preserve"> (</w:t>
      </w:r>
      <w:r>
        <w:t>SPARC</w:t>
      </w:r>
      <w:r w:rsidR="0076197F">
        <w:t>)</w:t>
      </w:r>
      <w:r>
        <w:t xml:space="preserve"> and </w:t>
      </w:r>
      <w:r w:rsidR="0076197F">
        <w:t>glycoprotein 60 (</w:t>
      </w:r>
      <w:r>
        <w:t>GP60</w:t>
      </w:r>
      <w:r w:rsidR="0076197F">
        <w:t>)</w:t>
      </w:r>
      <w:r>
        <w:t>, several types of cancer such as non-small cell lung cancer, melanoma, head and neck cancer, sarcoma, and some gynecological cancers are particularly relevant for this approach. SON-1010 is designed to deliver IL-12 to local tumor tissue, turning ‘cold’ tumors ‘hot’ by stimulating IFN</w:t>
      </w:r>
      <w:r w:rsidR="0053351F">
        <w:sym w:font="Symbol" w:char="F067"/>
      </w:r>
      <w:r>
        <w:t xml:space="preserve">, which activates innate and adaptive immune cells and increases the production of </w:t>
      </w:r>
      <w:r w:rsidR="0076197F" w:rsidRPr="0076197F">
        <w:t xml:space="preserve">Programed Death Ligand 1 </w:t>
      </w:r>
      <w:r w:rsidR="0076197F">
        <w:t>(</w:t>
      </w:r>
      <w:r>
        <w:t>PD-L1</w:t>
      </w:r>
      <w:r w:rsidR="0076197F">
        <w:t>)</w:t>
      </w:r>
      <w:r>
        <w:t xml:space="preserve"> on tumor cells.</w:t>
      </w:r>
    </w:p>
    <w:p w14:paraId="0D082F57" w14:textId="77777777" w:rsidR="00C83ED3" w:rsidRDefault="00C83ED3"/>
    <w:p w14:paraId="0E0CCF69" w14:textId="77777777" w:rsidR="00C83ED3" w:rsidRDefault="0098377B">
      <w:pPr>
        <w:rPr>
          <w:b/>
          <w:bCs/>
        </w:rPr>
      </w:pPr>
      <w:r>
        <w:rPr>
          <w:b/>
          <w:bCs/>
        </w:rPr>
        <w:t>About the SB102 Phase 1 Trial</w:t>
      </w:r>
    </w:p>
    <w:p w14:paraId="1C7DA878" w14:textId="77777777" w:rsidR="00C83ED3" w:rsidRDefault="00C83ED3"/>
    <w:p w14:paraId="1BB4B559" w14:textId="4258FABA" w:rsidR="00C83ED3" w:rsidRDefault="0098377B">
      <w:r>
        <w:t xml:space="preserve">The SB102 study is designed to robustly evaluate the safety, PK and PD of single ascending doses of SON-1010, using larger groups of healthy volunteers, and is being conducted at a single site in Australia. The study is done in a blinded fashion, comparing a single dose of SON-1010 to placebo utilizing </w:t>
      </w:r>
      <w:r w:rsidR="0053351F">
        <w:t xml:space="preserve">up to </w:t>
      </w:r>
      <w:r>
        <w:t>five cohorts. Both PK and PD will be closely followed during dose escalation in this double-blind, placebo-controlled study, along with an assessment of the cellular immune responses at each dose using sophisticated fluorescence activated cell sorting (FACS) analysis. The primary endpoint explores the safety and tolerability of SON-1010, with key secondary endpoints intended to measure PK, PD, and immunogenicity.</w:t>
      </w:r>
    </w:p>
    <w:p w14:paraId="7E9DE22F" w14:textId="77777777" w:rsidR="00C83ED3" w:rsidRDefault="00C83ED3"/>
    <w:p w14:paraId="09FB1086" w14:textId="77777777" w:rsidR="00C83ED3" w:rsidRDefault="0098377B">
      <w:pPr>
        <w:rPr>
          <w:b/>
          <w:bCs/>
        </w:rPr>
      </w:pPr>
      <w:r>
        <w:rPr>
          <w:b/>
          <w:bCs/>
        </w:rPr>
        <w:lastRenderedPageBreak/>
        <w:t>About Sonnet BioTherapeutics Holdings, Inc.</w:t>
      </w:r>
    </w:p>
    <w:p w14:paraId="7FB5AA49" w14:textId="77777777" w:rsidR="00C83ED3" w:rsidRDefault="00C83ED3"/>
    <w:p w14:paraId="7752A8E7" w14:textId="59BD4BA4" w:rsidR="00C83ED3" w:rsidRDefault="0098377B">
      <w:r>
        <w:t>Sonnet BioTherapeutics is an oncology-focused biotechnology company with a proprietary platform for innovating biologic drugs of single or bispecific</w:t>
      </w:r>
      <w:r w:rsidR="00B138EE">
        <w:t>, bifunctional</w:t>
      </w:r>
      <w:r>
        <w:t xml:space="preserve"> action. Known as F</w:t>
      </w:r>
      <w:r>
        <w:rPr>
          <w:vertAlign w:val="subscript"/>
        </w:rPr>
        <w:t>H</w:t>
      </w:r>
      <w:r>
        <w:t>AB (Fully Human Albumin Binding), the technology utilizes a fully human single chain antibody fragment (</w:t>
      </w:r>
      <w:proofErr w:type="spellStart"/>
      <w:r>
        <w:t>scFv</w:t>
      </w:r>
      <w:proofErr w:type="spellEnd"/>
      <w:r>
        <w:t>) that binds to and "hitch-hikes" on human serum albumin (HSA) for transport to target tissues. Sonnet's F</w:t>
      </w:r>
      <w:r>
        <w:rPr>
          <w:vertAlign w:val="subscript"/>
        </w:rPr>
        <w:t>H</w:t>
      </w:r>
      <w:r>
        <w:t>AB was designed to specifically target tumor and lymphatic tissue, with an improved therapeutic window for optimizing the safety and efficacy of immune modulating biologic drugs. F</w:t>
      </w:r>
      <w:r>
        <w:rPr>
          <w:vertAlign w:val="subscript"/>
        </w:rPr>
        <w:t>H</w:t>
      </w:r>
      <w:r>
        <w:t>AB is the foundation of a modular, plug-and-play construct for potentiating a range of large molecule therapeutic classes, including cytokines, peptides, antibodies, and vaccines.</w:t>
      </w:r>
    </w:p>
    <w:p w14:paraId="3926A5D2" w14:textId="77777777" w:rsidR="00C83ED3" w:rsidRDefault="00C83ED3"/>
    <w:p w14:paraId="1AB44587" w14:textId="77777777" w:rsidR="00C83ED3" w:rsidRDefault="0098377B">
      <w:pPr>
        <w:rPr>
          <w:b/>
          <w:bCs/>
        </w:rPr>
      </w:pPr>
      <w:r>
        <w:rPr>
          <w:b/>
          <w:bCs/>
        </w:rPr>
        <w:t>Forward-Looking Statements</w:t>
      </w:r>
    </w:p>
    <w:p w14:paraId="10DC1686" w14:textId="77777777" w:rsidR="00C83ED3" w:rsidRDefault="00C83ED3"/>
    <w:p w14:paraId="6658DB48" w14:textId="77777777" w:rsidR="00C83ED3" w:rsidRDefault="0098377B">
      <w:r>
        <w:t>This press release contains certain forward-looking statements within the meaning of Section 27A of the Securities Act of 1933 and Section 21E of the Securities Exchange Act of 1934 and Private Securities Litigation Reform Act, as amended, including those relating to the Company's product development, clinical and regulatory timelines, market opportunity, competitive position, possible or assumed future results of operations, business strategies, potential growth opportunities and other statements that are predictive in nature. These forward-looking statements are based on current expectations, estimates, forecasts and projections about the industry and markets in which we operate and management's current beliefs and assumptions.</w:t>
      </w:r>
    </w:p>
    <w:p w14:paraId="79E159BB" w14:textId="77777777" w:rsidR="00C83ED3" w:rsidRDefault="00C83ED3"/>
    <w:p w14:paraId="553C4F72" w14:textId="77777777" w:rsidR="00C83ED3" w:rsidRDefault="0098377B">
      <w:r>
        <w:t xml:space="preserve">These statements may be identified </w:t>
      </w:r>
      <w:proofErr w:type="gramStart"/>
      <w:r>
        <w:t>by the use of</w:t>
      </w:r>
      <w:proofErr w:type="gramEnd"/>
      <w:r>
        <w:t xml:space="preserve"> forward-looking expressions, including, but not limited to, "expect," "anticipate," "intend," "plan," "believe," "estimate," "potential, "predict," "project," "should," "would" and similar expressions and the negatives of those terms. These statements relate to future events or our financial performance and involve known and unknown risks, uncertainties, and other factors which may cause actual results, </w:t>
      </w:r>
      <w:proofErr w:type="gramStart"/>
      <w:r>
        <w:t>performance</w:t>
      </w:r>
      <w:proofErr w:type="gramEnd"/>
      <w:r>
        <w:t xml:space="preserve"> or achievements to be materially different from any future results, performance or achievements expressed or implied by the forward-looking statements. Such factors include those set forth in the Company's filings with the Securities and Exchange Commission. Prospective investors are cautioned not to place undue reliance on such forward-looking statements, which speak only as of the date of this press release. The Company undertakes no obligation to publicly update any forward-looking statement, whether </w:t>
      </w:r>
      <w:proofErr w:type="gramStart"/>
      <w:r>
        <w:t>as a result of</w:t>
      </w:r>
      <w:proofErr w:type="gramEnd"/>
      <w:r>
        <w:t xml:space="preserve"> new information, future events or otherwise.</w:t>
      </w:r>
    </w:p>
    <w:p w14:paraId="05C0B3A4" w14:textId="77777777" w:rsidR="00C83ED3" w:rsidRDefault="00C83ED3"/>
    <w:p w14:paraId="4CB84B48" w14:textId="77777777" w:rsidR="00C83ED3" w:rsidRDefault="0098377B">
      <w:r>
        <w:t>Sonnet BioTherapeutics Investor Contact</w:t>
      </w:r>
    </w:p>
    <w:p w14:paraId="552CE58B" w14:textId="77777777" w:rsidR="00C83ED3" w:rsidRDefault="00C83ED3"/>
    <w:p w14:paraId="366EDDEA" w14:textId="77777777" w:rsidR="00C83ED3" w:rsidRDefault="0098377B">
      <w:r>
        <w:t>Michael V. Morabito, Ph.D.</w:t>
      </w:r>
    </w:p>
    <w:p w14:paraId="56441A5F" w14:textId="77777777" w:rsidR="00C83ED3" w:rsidRDefault="0098377B">
      <w:r>
        <w:t>Solebury Strategic Communications</w:t>
      </w:r>
    </w:p>
    <w:p w14:paraId="0DB4897A" w14:textId="77777777" w:rsidR="00C83ED3" w:rsidRDefault="0098377B">
      <w:r>
        <w:t>917-936-8430</w:t>
      </w:r>
    </w:p>
    <w:p w14:paraId="620AD46D" w14:textId="77777777" w:rsidR="00C83ED3" w:rsidRDefault="003023ED">
      <w:hyperlink r:id="rId15" w:history="1">
        <w:r w:rsidR="0098377B">
          <w:rPr>
            <w:rStyle w:val="Hyperlink"/>
          </w:rPr>
          <w:t>mmorabito@soleburystrat.com</w:t>
        </w:r>
      </w:hyperlink>
    </w:p>
    <w:p w14:paraId="548441E6" w14:textId="77777777" w:rsidR="00C83ED3" w:rsidRDefault="00C83ED3"/>
    <w:p w14:paraId="70E0E866" w14:textId="77777777" w:rsidR="00C83ED3" w:rsidRDefault="0098377B">
      <w:r>
        <w:t>SOURCE: Sonnet BioTherapeutics, Inc.</w:t>
      </w:r>
    </w:p>
    <w:sectPr w:rsidR="00C83ED3">
      <w:headerReference w:type="even" r:id="rId16"/>
      <w:headerReference w:type="default" r:id="rId17"/>
      <w:footerReference w:type="even" r:id="rId18"/>
      <w:footerReference w:type="default" r:id="rId19"/>
      <w:headerReference w:type="first" r:id="rId20"/>
      <w:footerReference w:type="first" r:id="rId2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E906" w14:textId="77777777" w:rsidR="0004352F" w:rsidRDefault="0004352F">
      <w:r>
        <w:separator/>
      </w:r>
    </w:p>
  </w:endnote>
  <w:endnote w:type="continuationSeparator" w:id="0">
    <w:p w14:paraId="55098090" w14:textId="77777777" w:rsidR="0004352F" w:rsidRDefault="0004352F">
      <w:r>
        <w:continuationSeparator/>
      </w:r>
    </w:p>
  </w:endnote>
  <w:endnote w:type="continuationNotice" w:id="1">
    <w:p w14:paraId="5E08BB5E" w14:textId="77777777" w:rsidR="0004352F" w:rsidRDefault="00043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F2BE" w14:textId="77777777" w:rsidR="00021928" w:rsidRDefault="00021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ED9B" w14:textId="77777777" w:rsidR="0071597E" w:rsidRDefault="0071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A01B" w14:textId="77777777" w:rsidR="00021928" w:rsidRDefault="0002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5F5E" w14:textId="77777777" w:rsidR="0004352F" w:rsidRDefault="0004352F">
      <w:r>
        <w:separator/>
      </w:r>
    </w:p>
  </w:footnote>
  <w:footnote w:type="continuationSeparator" w:id="0">
    <w:p w14:paraId="7220E535" w14:textId="77777777" w:rsidR="0004352F" w:rsidRDefault="0004352F">
      <w:r>
        <w:continuationSeparator/>
      </w:r>
    </w:p>
  </w:footnote>
  <w:footnote w:type="continuationNotice" w:id="1">
    <w:p w14:paraId="4C78FEDB" w14:textId="77777777" w:rsidR="0004352F" w:rsidRDefault="00043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52C7" w14:textId="77777777" w:rsidR="00021928" w:rsidRDefault="00021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0103" w14:textId="77777777" w:rsidR="0071597E" w:rsidRDefault="00715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49FB" w14:textId="77777777" w:rsidR="00021928" w:rsidRDefault="00021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76466"/>
    <w:multiLevelType w:val="hybridMultilevel"/>
    <w:tmpl w:val="EEA26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C83ED3"/>
    <w:rsid w:val="000213EE"/>
    <w:rsid w:val="00021928"/>
    <w:rsid w:val="00037E8C"/>
    <w:rsid w:val="0004352F"/>
    <w:rsid w:val="000516BD"/>
    <w:rsid w:val="00093B5E"/>
    <w:rsid w:val="000A73B0"/>
    <w:rsid w:val="000C25DD"/>
    <w:rsid w:val="000E2D97"/>
    <w:rsid w:val="000F370E"/>
    <w:rsid w:val="00141BA9"/>
    <w:rsid w:val="00152491"/>
    <w:rsid w:val="00252BBA"/>
    <w:rsid w:val="002B3BA2"/>
    <w:rsid w:val="002E5819"/>
    <w:rsid w:val="002F2D1D"/>
    <w:rsid w:val="003023ED"/>
    <w:rsid w:val="0038416E"/>
    <w:rsid w:val="00395B40"/>
    <w:rsid w:val="00396A0C"/>
    <w:rsid w:val="003D2DE0"/>
    <w:rsid w:val="003F60A1"/>
    <w:rsid w:val="003F6A3C"/>
    <w:rsid w:val="004440B2"/>
    <w:rsid w:val="0046073F"/>
    <w:rsid w:val="004F50A9"/>
    <w:rsid w:val="005222CD"/>
    <w:rsid w:val="0053351F"/>
    <w:rsid w:val="005A2D54"/>
    <w:rsid w:val="005C3CE4"/>
    <w:rsid w:val="005D044D"/>
    <w:rsid w:val="00645D85"/>
    <w:rsid w:val="00650214"/>
    <w:rsid w:val="006C3A19"/>
    <w:rsid w:val="0071597E"/>
    <w:rsid w:val="0076197F"/>
    <w:rsid w:val="0077655E"/>
    <w:rsid w:val="007F67E9"/>
    <w:rsid w:val="008A4EEC"/>
    <w:rsid w:val="008D3107"/>
    <w:rsid w:val="00914B16"/>
    <w:rsid w:val="0098377B"/>
    <w:rsid w:val="009850E2"/>
    <w:rsid w:val="009D06B0"/>
    <w:rsid w:val="009E6DA3"/>
    <w:rsid w:val="00A524F2"/>
    <w:rsid w:val="00A9621D"/>
    <w:rsid w:val="00AA4E8C"/>
    <w:rsid w:val="00AD567A"/>
    <w:rsid w:val="00B138EE"/>
    <w:rsid w:val="00BF1D95"/>
    <w:rsid w:val="00C25AC8"/>
    <w:rsid w:val="00C83ED3"/>
    <w:rsid w:val="00CA6ABD"/>
    <w:rsid w:val="00CB10ED"/>
    <w:rsid w:val="00CB2E30"/>
    <w:rsid w:val="00CB5D94"/>
    <w:rsid w:val="00CC5968"/>
    <w:rsid w:val="00CD597D"/>
    <w:rsid w:val="00D07E7D"/>
    <w:rsid w:val="00D44704"/>
    <w:rsid w:val="00D6516F"/>
    <w:rsid w:val="00DC7251"/>
    <w:rsid w:val="00DC75F2"/>
    <w:rsid w:val="00DD0C93"/>
    <w:rsid w:val="00DE35FD"/>
    <w:rsid w:val="00ED53D1"/>
    <w:rsid w:val="00F133FC"/>
    <w:rsid w:val="00F2590A"/>
    <w:rsid w:val="00F8768F"/>
    <w:rsid w:val="00F960FE"/>
    <w:rsid w:val="00FB387D"/>
    <w:rsid w:val="00FC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56A6"/>
  <w15:chartTrackingRefBased/>
  <w15:docId w15:val="{C9AEFE19-F52A-4D42-9481-61B2AA73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b/>
      <w:sz w:val="28"/>
      <w:szCs w:val="24"/>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71597E"/>
    <w:pPr>
      <w:tabs>
        <w:tab w:val="center" w:pos="4680"/>
        <w:tab w:val="right" w:pos="9360"/>
      </w:tabs>
    </w:pPr>
  </w:style>
  <w:style w:type="character" w:customStyle="1" w:styleId="HeaderChar">
    <w:name w:val="Header Char"/>
    <w:basedOn w:val="DefaultParagraphFont"/>
    <w:link w:val="Header"/>
    <w:uiPriority w:val="99"/>
    <w:rsid w:val="0071597E"/>
  </w:style>
  <w:style w:type="paragraph" w:styleId="Footer">
    <w:name w:val="footer"/>
    <w:basedOn w:val="Normal"/>
    <w:link w:val="FooterChar"/>
    <w:uiPriority w:val="99"/>
    <w:unhideWhenUsed/>
    <w:rsid w:val="0071597E"/>
    <w:pPr>
      <w:tabs>
        <w:tab w:val="center" w:pos="4680"/>
        <w:tab w:val="right" w:pos="9360"/>
      </w:tabs>
    </w:pPr>
  </w:style>
  <w:style w:type="character" w:customStyle="1" w:styleId="FooterChar">
    <w:name w:val="Footer Char"/>
    <w:basedOn w:val="DefaultParagraphFont"/>
    <w:link w:val="Footer"/>
    <w:uiPriority w:val="99"/>
    <w:rsid w:val="00715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linicaltrials.gov/ct2/show/NCT0540857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mailto:mmorabito@soleburystrat.com" TargetMode="External"/><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2.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5T19:30:07.561"/>
    </inkml:context>
    <inkml:brush xml:id="br0">
      <inkml:brushProperty name="width" value="0.05" units="cm"/>
      <inkml:brushProperty name="height" value="0.05" units="cm"/>
    </inkml:brush>
  </inkml:definitions>
  <inkml:trace contextRef="#ctx0" brushRef="#br0">1 1 32</inkml:trace>
  <inkml:trace contextRef="#ctx0" brushRef="#br0" timeOffset="1109.04">1 1 32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1452</Words>
  <Characters>8280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Cross</dc:creator>
  <cp:keywords/>
  <dc:description/>
  <cp:lastModifiedBy>Yauch, Jack</cp:lastModifiedBy>
  <cp:revision>2</cp:revision>
  <dcterms:created xsi:type="dcterms:W3CDTF">2023-01-18T16:23:00Z</dcterms:created>
  <dcterms:modified xsi:type="dcterms:W3CDTF">2023-01-18T16:23:00Z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a8ce42-0a38-4038-af78-0463c9adb574_Enabled">
    <vt:lpwstr>true</vt:lpwstr>
  </property>
  <property fmtid="{D5CDD505-2E9C-101B-9397-08002B2CF9AE}" pid="3" name="MSIP_Label_cea8ce42-0a38-4038-af78-0463c9adb574_SetDate">
    <vt:lpwstr>2022-10-29T21:13:01Z</vt:lpwstr>
  </property>
  <property fmtid="{D5CDD505-2E9C-101B-9397-08002B2CF9AE}" pid="4" name="MSIP_Label_cea8ce42-0a38-4038-af78-0463c9adb574_Method">
    <vt:lpwstr>Standard</vt:lpwstr>
  </property>
  <property fmtid="{D5CDD505-2E9C-101B-9397-08002B2CF9AE}" pid="5" name="MSIP_Label_cea8ce42-0a38-4038-af78-0463c9adb574_Name">
    <vt:lpwstr>cea8ce42-0a38-4038-af78-0463c9adb574</vt:lpwstr>
  </property>
  <property fmtid="{D5CDD505-2E9C-101B-9397-08002B2CF9AE}" pid="6" name="MSIP_Label_cea8ce42-0a38-4038-af78-0463c9adb574_SiteId">
    <vt:lpwstr>5d25c963-07db-4627-9db3-720b2ff89865</vt:lpwstr>
  </property>
  <property fmtid="{D5CDD505-2E9C-101B-9397-08002B2CF9AE}" pid="7" name="MSIP_Label_cea8ce42-0a38-4038-af78-0463c9adb574_ActionId">
    <vt:lpwstr>aeca949b-b6e0-49b1-9002-9edf2abe6e9f</vt:lpwstr>
  </property>
  <property fmtid="{D5CDD505-2E9C-101B-9397-08002B2CF9AE}" pid="8" name="MSIP_Label_cea8ce42-0a38-4038-af78-0463c9adb574_ContentBits">
    <vt:lpwstr>0</vt:lpwstr>
  </property>
</Properties>
</file>