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68DD7" w14:textId="1D78086F" w:rsidR="007D0B3E" w:rsidRPr="00751E6A" w:rsidRDefault="007D0B3E" w:rsidP="00751E6A">
      <w:pPr>
        <w:shd w:val="clear" w:color="auto" w:fill="FFFFFF"/>
        <w:spacing w:after="0" w:line="240" w:lineRule="auto"/>
        <w:jc w:val="center"/>
        <w:rPr>
          <w:rFonts w:ascii="Times New Roman" w:eastAsia="Times New Roman" w:hAnsi="Times New Roman"/>
          <w:color w:val="000000"/>
          <w:sz w:val="28"/>
          <w:szCs w:val="28"/>
        </w:rPr>
      </w:pPr>
      <w:r w:rsidRPr="00751E6A">
        <w:rPr>
          <w:rFonts w:ascii="Times New Roman" w:eastAsia="Times New Roman" w:hAnsi="Times New Roman"/>
          <w:b/>
          <w:bCs/>
          <w:color w:val="000000"/>
          <w:sz w:val="28"/>
          <w:szCs w:val="28"/>
        </w:rPr>
        <w:t>Petrolia Energy Issues Letter to Stockholders</w:t>
      </w:r>
    </w:p>
    <w:p w14:paraId="5CBC62B2" w14:textId="77777777" w:rsidR="007D0B3E" w:rsidRPr="007D0B3E" w:rsidRDefault="007D0B3E" w:rsidP="007D0B3E">
      <w:pPr>
        <w:shd w:val="clear" w:color="auto" w:fill="FFFFFF"/>
        <w:spacing w:after="0" w:line="240" w:lineRule="auto"/>
        <w:jc w:val="both"/>
        <w:rPr>
          <w:rFonts w:ascii="Times New Roman" w:eastAsia="Times New Roman" w:hAnsi="Times New Roman"/>
          <w:color w:val="000000"/>
          <w:sz w:val="20"/>
          <w:szCs w:val="20"/>
        </w:rPr>
      </w:pPr>
      <w:r w:rsidRPr="007D0B3E">
        <w:rPr>
          <w:rFonts w:ascii="Times New Roman" w:eastAsia="Times New Roman" w:hAnsi="Times New Roman"/>
          <w:color w:val="000000"/>
          <w:sz w:val="20"/>
          <w:szCs w:val="20"/>
        </w:rPr>
        <w:t> </w:t>
      </w:r>
    </w:p>
    <w:p w14:paraId="42232E97" w14:textId="56036319" w:rsidR="007D0B3E" w:rsidRPr="007D0B3E" w:rsidRDefault="00C13AE8" w:rsidP="007D0B3E">
      <w:pPr>
        <w:shd w:val="clear" w:color="auto" w:fill="FFFFFF"/>
        <w:spacing w:after="0" w:line="240" w:lineRule="auto"/>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HOUSTON</w:t>
      </w:r>
      <w:r w:rsidR="007D0B3E" w:rsidRPr="007D0B3E">
        <w:rPr>
          <w:rFonts w:ascii="Times New Roman" w:eastAsia="Times New Roman" w:hAnsi="Times New Roman"/>
          <w:color w:val="000000"/>
          <w:sz w:val="20"/>
          <w:szCs w:val="20"/>
        </w:rPr>
        <w:t xml:space="preserve">, </w:t>
      </w:r>
      <w:r>
        <w:rPr>
          <w:rFonts w:ascii="Times New Roman" w:eastAsia="Times New Roman" w:hAnsi="Times New Roman"/>
          <w:color w:val="000000"/>
          <w:sz w:val="20"/>
          <w:szCs w:val="20"/>
        </w:rPr>
        <w:t xml:space="preserve">TX – March </w:t>
      </w:r>
      <w:r w:rsidR="00751E6A">
        <w:rPr>
          <w:rFonts w:ascii="Times New Roman" w:eastAsia="Times New Roman" w:hAnsi="Times New Roman"/>
          <w:color w:val="000000"/>
          <w:sz w:val="20"/>
          <w:szCs w:val="20"/>
        </w:rPr>
        <w:t>15</w:t>
      </w:r>
      <w:r>
        <w:rPr>
          <w:rFonts w:ascii="Times New Roman" w:eastAsia="Times New Roman" w:hAnsi="Times New Roman"/>
          <w:color w:val="000000"/>
          <w:sz w:val="20"/>
          <w:szCs w:val="20"/>
        </w:rPr>
        <w:t>, 2023</w:t>
      </w:r>
      <w:r w:rsidR="007D0B3E" w:rsidRPr="007D0B3E">
        <w:rPr>
          <w:rFonts w:ascii="Times New Roman" w:eastAsia="Times New Roman" w:hAnsi="Times New Roman"/>
          <w:color w:val="000000"/>
          <w:sz w:val="20"/>
          <w:szCs w:val="20"/>
        </w:rPr>
        <w:t xml:space="preserve"> </w:t>
      </w:r>
      <w:r>
        <w:rPr>
          <w:rFonts w:ascii="Times New Roman" w:eastAsia="Times New Roman" w:hAnsi="Times New Roman"/>
          <w:color w:val="000000"/>
          <w:sz w:val="20"/>
          <w:szCs w:val="20"/>
        </w:rPr>
        <w:t>–</w:t>
      </w:r>
      <w:r w:rsidR="007D0B3E" w:rsidRPr="007D0B3E">
        <w:rPr>
          <w:rFonts w:ascii="Times New Roman" w:eastAsia="Times New Roman" w:hAnsi="Times New Roman"/>
          <w:color w:val="000000"/>
          <w:sz w:val="20"/>
          <w:szCs w:val="20"/>
        </w:rPr>
        <w:t xml:space="preserve"> </w:t>
      </w:r>
      <w:r>
        <w:rPr>
          <w:rFonts w:ascii="Times New Roman" w:eastAsia="Times New Roman" w:hAnsi="Times New Roman"/>
          <w:color w:val="000000"/>
          <w:sz w:val="20"/>
          <w:szCs w:val="20"/>
        </w:rPr>
        <w:t xml:space="preserve">Petrolia Energy </w:t>
      </w:r>
      <w:r w:rsidRPr="00751E6A">
        <w:rPr>
          <w:rFonts w:ascii="Times New Roman" w:eastAsia="Times New Roman" w:hAnsi="Times New Roman"/>
          <w:color w:val="000000"/>
          <w:sz w:val="20"/>
          <w:szCs w:val="20"/>
        </w:rPr>
        <w:t xml:space="preserve">Corporation (the </w:t>
      </w:r>
      <w:r w:rsidR="007D0B3E" w:rsidRPr="00751E6A">
        <w:rPr>
          <w:rFonts w:ascii="Times New Roman" w:eastAsia="Times New Roman" w:hAnsi="Times New Roman"/>
          <w:color w:val="000000"/>
          <w:sz w:val="20"/>
          <w:szCs w:val="20"/>
        </w:rPr>
        <w:t xml:space="preserve">“Company”), </w:t>
      </w:r>
      <w:r w:rsidR="00780E9B">
        <w:rPr>
          <w:rFonts w:ascii="Times New Roman" w:eastAsia="Times New Roman" w:hAnsi="Times New Roman"/>
          <w:color w:val="000000"/>
          <w:sz w:val="20"/>
          <w:szCs w:val="20"/>
        </w:rPr>
        <w:t xml:space="preserve">an oil and gas exploration and production company, </w:t>
      </w:r>
      <w:r w:rsidR="007D0B3E" w:rsidRPr="00751E6A">
        <w:rPr>
          <w:rFonts w:ascii="Times New Roman" w:eastAsia="Times New Roman" w:hAnsi="Times New Roman"/>
          <w:color w:val="000000"/>
          <w:sz w:val="20"/>
          <w:szCs w:val="20"/>
        </w:rPr>
        <w:t>today released</w:t>
      </w:r>
      <w:r w:rsidR="007D0B3E" w:rsidRPr="007D0B3E">
        <w:rPr>
          <w:rFonts w:ascii="Times New Roman" w:eastAsia="Times New Roman" w:hAnsi="Times New Roman"/>
          <w:color w:val="000000"/>
          <w:sz w:val="20"/>
          <w:szCs w:val="20"/>
        </w:rPr>
        <w:t xml:space="preserve"> the following</w:t>
      </w:r>
      <w:r>
        <w:rPr>
          <w:rFonts w:ascii="Times New Roman" w:eastAsia="Times New Roman" w:hAnsi="Times New Roman"/>
          <w:color w:val="000000"/>
          <w:sz w:val="20"/>
          <w:szCs w:val="20"/>
        </w:rPr>
        <w:t xml:space="preserve"> letter</w:t>
      </w:r>
      <w:r w:rsidRPr="007D0B3E">
        <w:rPr>
          <w:rFonts w:ascii="Times New Roman" w:eastAsia="Times New Roman" w:hAnsi="Times New Roman"/>
          <w:color w:val="000000"/>
          <w:sz w:val="20"/>
          <w:szCs w:val="20"/>
        </w:rPr>
        <w:t xml:space="preserve"> </w:t>
      </w:r>
      <w:r w:rsidR="007D0B3E" w:rsidRPr="007D0B3E">
        <w:rPr>
          <w:rFonts w:ascii="Times New Roman" w:eastAsia="Times New Roman" w:hAnsi="Times New Roman"/>
          <w:color w:val="000000"/>
          <w:sz w:val="20"/>
          <w:szCs w:val="20"/>
        </w:rPr>
        <w:t xml:space="preserve">to </w:t>
      </w:r>
      <w:r>
        <w:rPr>
          <w:rFonts w:ascii="Times New Roman" w:eastAsia="Times New Roman" w:hAnsi="Times New Roman"/>
          <w:color w:val="000000"/>
          <w:sz w:val="20"/>
          <w:szCs w:val="20"/>
        </w:rPr>
        <w:t>shareholders:</w:t>
      </w:r>
    </w:p>
    <w:p w14:paraId="6B73E74A" w14:textId="61FEF682" w:rsidR="007D0B3E" w:rsidRDefault="007D0B3E" w:rsidP="00751E6A">
      <w:pPr>
        <w:shd w:val="clear" w:color="auto" w:fill="FFFFFF"/>
        <w:spacing w:after="0" w:line="240" w:lineRule="auto"/>
        <w:jc w:val="both"/>
      </w:pPr>
      <w:r w:rsidRPr="007D0B3E">
        <w:rPr>
          <w:rFonts w:ascii="Times New Roman" w:eastAsia="Times New Roman" w:hAnsi="Times New Roman"/>
          <w:color w:val="000000"/>
          <w:sz w:val="20"/>
          <w:szCs w:val="20"/>
        </w:rPr>
        <w:t> </w:t>
      </w:r>
    </w:p>
    <w:p w14:paraId="40A00DBF" w14:textId="7F5740B5" w:rsidR="007D0B3E" w:rsidRDefault="007D0B3E" w:rsidP="00751E6A">
      <w:pPr>
        <w:spacing w:line="240" w:lineRule="auto"/>
        <w:jc w:val="center"/>
      </w:pPr>
      <w:r>
        <w:rPr>
          <w:rFonts w:ascii="Helvetica Neue Light" w:hAnsi="Helvetica Neue Light"/>
          <w:noProof/>
          <w:color w:val="7F7F7F" w:themeColor="text1" w:themeTint="80"/>
          <w:sz w:val="16"/>
          <w:szCs w:val="16"/>
        </w:rPr>
        <w:drawing>
          <wp:inline distT="0" distB="0" distL="0" distR="0" wp14:anchorId="75E57A72" wp14:editId="7F975FE5">
            <wp:extent cx="3319882" cy="652882"/>
            <wp:effectExtent l="0" t="0" r="7620" b="7620"/>
            <wp:docPr id="2" name="Picture 2" descr="Macintosh HD:Users:Q:Desktop:petrolia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Q:Desktop:petrolia_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19882" cy="652882"/>
                    </a:xfrm>
                    <a:prstGeom prst="rect">
                      <a:avLst/>
                    </a:prstGeom>
                    <a:noFill/>
                    <a:ln>
                      <a:noFill/>
                    </a:ln>
                  </pic:spPr>
                </pic:pic>
              </a:graphicData>
            </a:graphic>
          </wp:inline>
        </w:drawing>
      </w:r>
    </w:p>
    <w:p w14:paraId="2258D873" w14:textId="1386BE5D" w:rsidR="00EE7480" w:rsidRDefault="00133651" w:rsidP="00B86F51">
      <w:pPr>
        <w:spacing w:line="240" w:lineRule="auto"/>
      </w:pPr>
      <w:r>
        <w:t>March 1</w:t>
      </w:r>
      <w:r w:rsidR="00751E6A">
        <w:t>5</w:t>
      </w:r>
      <w:r w:rsidR="00EE7480">
        <w:t>, 202</w:t>
      </w:r>
      <w:r w:rsidR="00A655B7">
        <w:t>3</w:t>
      </w:r>
    </w:p>
    <w:p w14:paraId="1E61F203" w14:textId="77777777" w:rsidR="00EE7480" w:rsidRDefault="00EE7480" w:rsidP="00B86F51">
      <w:pPr>
        <w:spacing w:line="240" w:lineRule="auto"/>
      </w:pPr>
      <w:r>
        <w:t xml:space="preserve">Shareholders of Petrolia Energy Corporation, </w:t>
      </w:r>
    </w:p>
    <w:p w14:paraId="2E8E14EA" w14:textId="6ED57064" w:rsidR="00EE7480" w:rsidRDefault="00EE7480" w:rsidP="00B86F51">
      <w:pPr>
        <w:spacing w:after="0" w:line="240" w:lineRule="auto"/>
      </w:pPr>
      <w:r>
        <w:t xml:space="preserve">At Petrolia Energy Corporation, we believe in transparency and accountability, and we take our responsibilities to our shareholders seriously. We are proud of the progress we have made </w:t>
      </w:r>
      <w:r w:rsidR="00291EF1" w:rsidRPr="00291EF1">
        <w:t xml:space="preserve">since </w:t>
      </w:r>
      <w:r w:rsidR="00B948A7">
        <w:t xml:space="preserve">the </w:t>
      </w:r>
      <w:r w:rsidR="00655B4E">
        <w:t>October 25, 2021</w:t>
      </w:r>
      <w:r w:rsidR="00B948A7">
        <w:t xml:space="preserve"> </w:t>
      </w:r>
      <w:r w:rsidR="00291EF1" w:rsidRPr="00291EF1">
        <w:t xml:space="preserve">change of control </w:t>
      </w:r>
      <w:r>
        <w:t>and the resilience we have shown as a company</w:t>
      </w:r>
      <w:r w:rsidR="00B948A7">
        <w:t>,</w:t>
      </w:r>
      <w:r>
        <w:t xml:space="preserve"> as we continue to face challenging circumstances. </w:t>
      </w:r>
    </w:p>
    <w:p w14:paraId="0D458C64" w14:textId="402786B6" w:rsidR="00334609" w:rsidRDefault="00334609" w:rsidP="00B86F51">
      <w:pPr>
        <w:spacing w:after="0" w:line="240" w:lineRule="auto"/>
      </w:pPr>
    </w:p>
    <w:p w14:paraId="0743A719" w14:textId="3E49F9DC" w:rsidR="00024951" w:rsidRDefault="00024951" w:rsidP="00B86F51">
      <w:pPr>
        <w:spacing w:after="0" w:line="240" w:lineRule="auto"/>
      </w:pPr>
      <w:r>
        <w:t xml:space="preserve">The Board of Directors of Petrolia Energy Corporation is </w:t>
      </w:r>
      <w:r w:rsidR="009B3994">
        <w:t xml:space="preserve">currently </w:t>
      </w:r>
      <w:r>
        <w:t>focusing its efforts on five objectives: 1) protect</w:t>
      </w:r>
      <w:r w:rsidR="009B3994">
        <w:t>ing</w:t>
      </w:r>
      <w:r>
        <w:t xml:space="preserve"> the interest of all shareholders of Petrolia Energy Corporation, 2)</w:t>
      </w:r>
      <w:r w:rsidR="00D36126">
        <w:t xml:space="preserve"> </w:t>
      </w:r>
      <w:r w:rsidR="00D17FFE">
        <w:t>working to become current in our Securities and Exchange Commission filings with the goal of re-registering our common stock under Section 12 of the Exchange Act of 1934, as amended, in the future, and hopefully obtaining a symbol to quote our common stock on the OTCQB Market</w:t>
      </w:r>
      <w:r w:rsidR="00D36126">
        <w:t>,</w:t>
      </w:r>
      <w:r>
        <w:t xml:space="preserve"> 3) optimiz</w:t>
      </w:r>
      <w:r w:rsidR="00D17FFE">
        <w:t>ing</w:t>
      </w:r>
      <w:r>
        <w:t xml:space="preserve"> the value of the </w:t>
      </w:r>
      <w:r w:rsidR="00D17FFE">
        <w:t>C</w:t>
      </w:r>
      <w:r>
        <w:t xml:space="preserve">ompany’s Utikuma asset through taking operational control of the asset, or divesting its non-operated position, 4) </w:t>
      </w:r>
      <w:r w:rsidR="00D17FFE">
        <w:t>managing our</w:t>
      </w:r>
      <w:r>
        <w:t xml:space="preserve"> corporate debt load to a sustainable level, and 5) persever</w:t>
      </w:r>
      <w:r w:rsidR="00D17FFE">
        <w:t>ing</w:t>
      </w:r>
      <w:r>
        <w:t xml:space="preserve"> in resolving the corporate litigation in the United States and Canada. </w:t>
      </w:r>
    </w:p>
    <w:p w14:paraId="496E18C3" w14:textId="77777777" w:rsidR="00024951" w:rsidRDefault="00024951" w:rsidP="00B86F51">
      <w:pPr>
        <w:spacing w:after="0" w:line="240" w:lineRule="auto"/>
      </w:pPr>
    </w:p>
    <w:p w14:paraId="655D25EC" w14:textId="62E648D1" w:rsidR="00EE7480" w:rsidRDefault="00334609" w:rsidP="00B86F51">
      <w:pPr>
        <w:spacing w:after="0" w:line="240" w:lineRule="auto"/>
      </w:pPr>
      <w:r>
        <w:t>W</w:t>
      </w:r>
      <w:r w:rsidR="00D31518">
        <w:t xml:space="preserve">e are currently subject to ongoing litigation with </w:t>
      </w:r>
      <w:r w:rsidR="00EE7480">
        <w:t xml:space="preserve">Zel Khan </w:t>
      </w:r>
      <w:r w:rsidR="00291EF1">
        <w:t>(aka Faisal Chaudhary)</w:t>
      </w:r>
      <w:r w:rsidR="00133651">
        <w:t>,</w:t>
      </w:r>
      <w:r w:rsidR="00291EF1">
        <w:t xml:space="preserve"> </w:t>
      </w:r>
      <w:r w:rsidR="003645CF" w:rsidRPr="003645CF">
        <w:t xml:space="preserve">former CEO and Director of Petrolia Energy Corporation </w:t>
      </w:r>
      <w:r w:rsidR="00EE7480">
        <w:t>and Quinten Beasley</w:t>
      </w:r>
      <w:r w:rsidR="00133651">
        <w:t>,</w:t>
      </w:r>
      <w:r w:rsidR="00EE7480">
        <w:t xml:space="preserve"> </w:t>
      </w:r>
      <w:r w:rsidR="003645CF" w:rsidRPr="003645CF">
        <w:t>former Senior Vice President and Director of Petrolia Canada Corporation</w:t>
      </w:r>
      <w:r w:rsidR="00B400F3">
        <w:t>,</w:t>
      </w:r>
      <w:r w:rsidR="002F6164">
        <w:t xml:space="preserve"> and their related entity</w:t>
      </w:r>
      <w:r w:rsidR="00D31518">
        <w:t>.</w:t>
      </w:r>
      <w:r w:rsidR="002F6164">
        <w:t xml:space="preserve"> </w:t>
      </w:r>
      <w:r w:rsidR="00EE7480">
        <w:t xml:space="preserve">The outcome of the litigation is currently unknown; however, the Company disputes </w:t>
      </w:r>
      <w:r w:rsidR="002F6164">
        <w:t>Mr. Khan’s and Mr. Beasley’s</w:t>
      </w:r>
      <w:r w:rsidR="00EE7480">
        <w:t xml:space="preserve"> counterclaims and the allegations of the Intervenors </w:t>
      </w:r>
      <w:r w:rsidR="00D17FFE">
        <w:t xml:space="preserve">in the litigation matter </w:t>
      </w:r>
      <w:r w:rsidR="00EE7480">
        <w:t>and intends to defend the matter vigorously, while also continuing to seek all damages which it is due.</w:t>
      </w:r>
    </w:p>
    <w:p w14:paraId="2E4F0302" w14:textId="77777777" w:rsidR="00EE7480" w:rsidRDefault="00EE7480" w:rsidP="00B86F51">
      <w:pPr>
        <w:spacing w:after="0" w:line="240" w:lineRule="auto"/>
      </w:pPr>
    </w:p>
    <w:p w14:paraId="3A3A047D" w14:textId="370334DB" w:rsidR="00FA4FB1" w:rsidRDefault="003735A7" w:rsidP="00B86F51">
      <w:pPr>
        <w:spacing w:after="0" w:line="240" w:lineRule="auto"/>
      </w:pPr>
      <w:r>
        <w:t>I</w:t>
      </w:r>
      <w:r w:rsidR="00FA4FB1">
        <w:t>n October 2021</w:t>
      </w:r>
      <w:r w:rsidR="00A87F2A">
        <w:t>,</w:t>
      </w:r>
      <w:r w:rsidR="00FA4FB1">
        <w:t xml:space="preserve"> </w:t>
      </w:r>
      <w:r w:rsidR="00A87F2A">
        <w:t xml:space="preserve">the Board of Directors of </w:t>
      </w:r>
      <w:r w:rsidR="00FA4FB1">
        <w:t xml:space="preserve">Petrolia Energy Corporation issued one share of its Series B Preferred Stock to each of the three members of its then Board of Directors. Such shares of Series B Preferred Stock vote in aggregate sixty percent (60%) of the total vote on all shareholder matters, voting </w:t>
      </w:r>
      <w:r w:rsidR="00FA4FB1" w:rsidRPr="00751E6A">
        <w:t>separately as a class. It is anticipated that the Series B Preferred shares will be retired once the litigation against Defendants Zel Khan, Quinten Beasley and Jovian Petroleum has been settled.</w:t>
      </w:r>
      <w:r w:rsidR="00FA4FB1">
        <w:t xml:space="preserve">  </w:t>
      </w:r>
    </w:p>
    <w:p w14:paraId="23995C92" w14:textId="4D811066" w:rsidR="003735A7" w:rsidRDefault="003735A7" w:rsidP="00B86F51">
      <w:pPr>
        <w:spacing w:after="0" w:line="240" w:lineRule="auto"/>
      </w:pPr>
    </w:p>
    <w:p w14:paraId="37732A4D" w14:textId="1C53494C" w:rsidR="009A428F" w:rsidRDefault="003735A7" w:rsidP="00B86F51">
      <w:pPr>
        <w:spacing w:after="0" w:line="240" w:lineRule="auto"/>
      </w:pPr>
      <w:r>
        <w:t xml:space="preserve">It is </w:t>
      </w:r>
      <w:r w:rsidR="00B400F3">
        <w:t>expected</w:t>
      </w:r>
      <w:r>
        <w:t xml:space="preserve"> that we will file our </w:t>
      </w:r>
      <w:r w:rsidR="00A87F2A">
        <w:t>Quarterly Report on Form 10-Q for the quarter ended September 30,</w:t>
      </w:r>
      <w:r>
        <w:t xml:space="preserve"> </w:t>
      </w:r>
      <w:proofErr w:type="gramStart"/>
      <w:r>
        <w:t>2022</w:t>
      </w:r>
      <w:proofErr w:type="gramEnd"/>
      <w:r>
        <w:t xml:space="preserve"> this month, as we also begin the process of </w:t>
      </w:r>
      <w:r w:rsidR="00A87F2A">
        <w:t>prepar</w:t>
      </w:r>
      <w:r w:rsidR="009439BF">
        <w:t>ing</w:t>
      </w:r>
      <w:r w:rsidR="00A87F2A">
        <w:t xml:space="preserve"> </w:t>
      </w:r>
      <w:r>
        <w:t xml:space="preserve">our </w:t>
      </w:r>
      <w:r w:rsidR="00A87F2A">
        <w:t xml:space="preserve">Annual Report on </w:t>
      </w:r>
      <w:r>
        <w:t>Form 10-K</w:t>
      </w:r>
      <w:r w:rsidR="00A87F2A">
        <w:t xml:space="preserve"> for the year ended December 31, 2022</w:t>
      </w:r>
      <w:r>
        <w:t>.</w:t>
      </w:r>
      <w:r w:rsidR="007414BD">
        <w:t xml:space="preserve"> </w:t>
      </w:r>
      <w:r w:rsidR="009A428F">
        <w:t xml:space="preserve">We are proud of the progress we have made in getting current with our SEC filings </w:t>
      </w:r>
      <w:r w:rsidR="009439BF">
        <w:t xml:space="preserve">since the change of control in October 2021. </w:t>
      </w:r>
    </w:p>
    <w:p w14:paraId="744DCF15" w14:textId="77777777" w:rsidR="009A428F" w:rsidRDefault="009A428F" w:rsidP="00B86F51">
      <w:pPr>
        <w:spacing w:after="0" w:line="240" w:lineRule="auto"/>
      </w:pPr>
    </w:p>
    <w:p w14:paraId="6B5EFE35" w14:textId="6E4DD459" w:rsidR="003735A7" w:rsidRDefault="007414BD" w:rsidP="00B86F51">
      <w:pPr>
        <w:spacing w:after="0" w:line="240" w:lineRule="auto"/>
      </w:pPr>
      <w:r>
        <w:t xml:space="preserve">Effective </w:t>
      </w:r>
      <w:r w:rsidR="003D3D46">
        <w:t>January 28, 2022</w:t>
      </w:r>
      <w:r>
        <w:t xml:space="preserve">, the </w:t>
      </w:r>
      <w:r w:rsidRPr="007414BD">
        <w:t xml:space="preserve">Securities and Exchange </w:t>
      </w:r>
      <w:r w:rsidRPr="008452C8">
        <w:t xml:space="preserve">Commission (“Commission”) issued an Order Instituting Proceedings (“OIP”) pursuant to Section 12(j) of the Securities Exchange Act of 1934, as amended (the "Exchange Act"), due to </w:t>
      </w:r>
      <w:r w:rsidR="009A428F">
        <w:t xml:space="preserve">the Company’s historic </w:t>
      </w:r>
      <w:r w:rsidRPr="008452C8">
        <w:t>failure to timely file required periodic reports</w:t>
      </w:r>
      <w:r w:rsidR="009439BF">
        <w:t>. T</w:t>
      </w:r>
      <w:r w:rsidR="00D6003F" w:rsidRPr="00751E6A">
        <w:t>he Company i</w:t>
      </w:r>
      <w:r w:rsidR="003D3D46" w:rsidRPr="00751E6A">
        <w:t xml:space="preserve">s </w:t>
      </w:r>
      <w:r w:rsidR="009439BF">
        <w:t xml:space="preserve">also </w:t>
      </w:r>
      <w:r w:rsidR="003D3D46" w:rsidRPr="00751E6A">
        <w:t>engaged in an ongoing administrative proceeding</w:t>
      </w:r>
      <w:r w:rsidR="00D6003F" w:rsidRPr="00751E6A">
        <w:t xml:space="preserve"> with the Commission seeking to prevent the termination of</w:t>
      </w:r>
      <w:r w:rsidRPr="008452C8">
        <w:t xml:space="preserve"> the registration of our common stock under Section 12 of the Exchange Act. </w:t>
      </w:r>
    </w:p>
    <w:p w14:paraId="7A0B9DF2" w14:textId="77777777" w:rsidR="00913275" w:rsidRDefault="00913275" w:rsidP="00B86F51">
      <w:pPr>
        <w:spacing w:after="0" w:line="240" w:lineRule="auto"/>
      </w:pPr>
    </w:p>
    <w:p w14:paraId="24612C25" w14:textId="081C75D9" w:rsidR="00EE7480" w:rsidRDefault="0003256E" w:rsidP="00B86F51">
      <w:pPr>
        <w:spacing w:after="0" w:line="240" w:lineRule="auto"/>
      </w:pPr>
      <w:r w:rsidRPr="0003256E">
        <w:lastRenderedPageBreak/>
        <w:t>We remain confident in our ability to weather the current challenges and to emerge stronger and more resilient.</w:t>
      </w:r>
      <w:r w:rsidR="00933D37">
        <w:t xml:space="preserve"> We encourage all shareholders to follow our progress by</w:t>
      </w:r>
      <w:r w:rsidR="00B400F3">
        <w:t xml:space="preserve"> </w:t>
      </w:r>
      <w:r w:rsidR="00933D37">
        <w:t xml:space="preserve">reviewing our SEC filings. They can be found on our website at </w:t>
      </w:r>
      <w:hyperlink r:id="rId9" w:history="1">
        <w:r w:rsidR="00933D37" w:rsidRPr="00F5682B">
          <w:rPr>
            <w:rStyle w:val="Hyperlink"/>
          </w:rPr>
          <w:t>https://www.petroliaenergy.com/</w:t>
        </w:r>
      </w:hyperlink>
      <w:r w:rsidR="00933D37">
        <w:t xml:space="preserve"> under </w:t>
      </w:r>
      <w:r w:rsidR="0030416D">
        <w:t>“</w:t>
      </w:r>
      <w:r w:rsidR="00933D37">
        <w:t>Investor Relations</w:t>
      </w:r>
      <w:r w:rsidR="0030416D">
        <w:t>”</w:t>
      </w:r>
      <w:r w:rsidR="00933D37">
        <w:t xml:space="preserve"> </w:t>
      </w:r>
      <w:r w:rsidR="0030416D">
        <w:t>– “</w:t>
      </w:r>
      <w:r w:rsidR="00933D37">
        <w:t>SEC Filings</w:t>
      </w:r>
      <w:r w:rsidR="0030416D">
        <w:t>” and at www.sec.gov</w:t>
      </w:r>
      <w:r w:rsidR="00933D37">
        <w:t xml:space="preserve">. </w:t>
      </w:r>
    </w:p>
    <w:p w14:paraId="3D61452B" w14:textId="57A7527F" w:rsidR="007C7DD2" w:rsidRDefault="007C7DD2" w:rsidP="00B86F51">
      <w:pPr>
        <w:spacing w:after="0" w:line="240" w:lineRule="auto"/>
      </w:pPr>
    </w:p>
    <w:p w14:paraId="4995267B" w14:textId="2FAD2830" w:rsidR="00EE7480" w:rsidRDefault="00402E02" w:rsidP="00B86F51">
      <w:pPr>
        <w:spacing w:after="0" w:line="240" w:lineRule="auto"/>
      </w:pPr>
      <w:r>
        <w:t>Regards</w:t>
      </w:r>
      <w:r w:rsidR="00EE7480">
        <w:t>,</w:t>
      </w:r>
    </w:p>
    <w:p w14:paraId="20EB8544" w14:textId="066454A7" w:rsidR="00933D37" w:rsidRDefault="00933D37" w:rsidP="00B86F51">
      <w:pPr>
        <w:spacing w:after="0" w:line="240" w:lineRule="auto"/>
      </w:pPr>
    </w:p>
    <w:p w14:paraId="52104111" w14:textId="5AFE0E0A" w:rsidR="00933D37" w:rsidRDefault="00933D37" w:rsidP="00B86F51">
      <w:pPr>
        <w:tabs>
          <w:tab w:val="left" w:pos="2880"/>
          <w:tab w:val="left" w:pos="5040"/>
          <w:tab w:val="left" w:pos="7200"/>
          <w:tab w:val="left" w:pos="9360"/>
        </w:tabs>
        <w:spacing w:after="0" w:line="240" w:lineRule="auto"/>
      </w:pPr>
      <w:r>
        <w:t>James Burns</w:t>
      </w:r>
      <w:r>
        <w:tab/>
        <w:t>Leo Womack</w:t>
      </w:r>
      <w:r>
        <w:tab/>
        <w:t>Ivar Siem</w:t>
      </w:r>
      <w:r>
        <w:tab/>
        <w:t>Mark Allen</w:t>
      </w:r>
    </w:p>
    <w:p w14:paraId="4D6B51D3" w14:textId="1842DBC5" w:rsidR="00C501B3" w:rsidRDefault="00933D37" w:rsidP="00B86F51">
      <w:pPr>
        <w:tabs>
          <w:tab w:val="left" w:pos="2880"/>
          <w:tab w:val="left" w:pos="5040"/>
          <w:tab w:val="left" w:pos="7200"/>
          <w:tab w:val="left" w:pos="9360"/>
        </w:tabs>
        <w:spacing w:after="0" w:line="240" w:lineRule="auto"/>
      </w:pPr>
      <w:r>
        <w:t>Chairman of the Board</w:t>
      </w:r>
      <w:r>
        <w:tab/>
        <w:t>Director</w:t>
      </w:r>
      <w:r>
        <w:tab/>
        <w:t>Director</w:t>
      </w:r>
      <w:r>
        <w:tab/>
        <w:t>Chief Executive Officer</w:t>
      </w:r>
    </w:p>
    <w:p w14:paraId="57F5CB90" w14:textId="3B5B25D1" w:rsidR="0030416D" w:rsidRDefault="0030416D" w:rsidP="00B86F51">
      <w:pPr>
        <w:tabs>
          <w:tab w:val="left" w:pos="2880"/>
          <w:tab w:val="left" w:pos="5040"/>
          <w:tab w:val="left" w:pos="7200"/>
          <w:tab w:val="left" w:pos="9360"/>
        </w:tabs>
        <w:spacing w:after="0" w:line="240" w:lineRule="auto"/>
      </w:pPr>
    </w:p>
    <w:p w14:paraId="32C68769" w14:textId="6DF1C5D1" w:rsidR="0030416D" w:rsidRDefault="0030416D" w:rsidP="00B86F51">
      <w:pPr>
        <w:tabs>
          <w:tab w:val="left" w:pos="2880"/>
          <w:tab w:val="left" w:pos="5040"/>
          <w:tab w:val="left" w:pos="7200"/>
          <w:tab w:val="left" w:pos="9360"/>
        </w:tabs>
        <w:spacing w:after="0" w:line="240" w:lineRule="auto"/>
      </w:pPr>
    </w:p>
    <w:p w14:paraId="5313F96C" w14:textId="77777777" w:rsidR="0030416D" w:rsidRPr="0030416D" w:rsidRDefault="0030416D" w:rsidP="0030416D">
      <w:pPr>
        <w:spacing w:after="0" w:line="240" w:lineRule="auto"/>
        <w:jc w:val="both"/>
        <w:rPr>
          <w:rFonts w:ascii="Times New Roman" w:eastAsia="Times New Roman" w:hAnsi="Times New Roman"/>
          <w:color w:val="000000"/>
          <w:sz w:val="20"/>
          <w:szCs w:val="20"/>
        </w:rPr>
      </w:pPr>
      <w:r w:rsidRPr="0030416D">
        <w:rPr>
          <w:rFonts w:ascii="Times New Roman" w:eastAsia="Times New Roman" w:hAnsi="Times New Roman"/>
          <w:b/>
          <w:bCs/>
          <w:i/>
          <w:iCs/>
          <w:color w:val="000000"/>
          <w:sz w:val="20"/>
          <w:szCs w:val="20"/>
        </w:rPr>
        <w:t>Cautionary Statement Regarding Forward Looking Statements</w:t>
      </w:r>
    </w:p>
    <w:p w14:paraId="40549108" w14:textId="77777777" w:rsidR="0030416D" w:rsidRPr="0030416D" w:rsidRDefault="0030416D" w:rsidP="0030416D">
      <w:pPr>
        <w:spacing w:after="0" w:line="240" w:lineRule="auto"/>
        <w:jc w:val="both"/>
        <w:rPr>
          <w:rFonts w:ascii="Times New Roman" w:eastAsia="Times New Roman" w:hAnsi="Times New Roman"/>
          <w:color w:val="000000"/>
          <w:sz w:val="20"/>
          <w:szCs w:val="20"/>
        </w:rPr>
      </w:pPr>
      <w:r w:rsidRPr="0030416D">
        <w:rPr>
          <w:rFonts w:ascii="Times New Roman" w:eastAsia="Times New Roman" w:hAnsi="Times New Roman"/>
          <w:b/>
          <w:bCs/>
          <w:i/>
          <w:iCs/>
          <w:color w:val="000000"/>
          <w:sz w:val="20"/>
          <w:szCs w:val="20"/>
        </w:rPr>
        <w:t> </w:t>
      </w:r>
    </w:p>
    <w:p w14:paraId="074CAFDC" w14:textId="04A66056" w:rsidR="0030416D" w:rsidRPr="0030416D" w:rsidRDefault="0030416D" w:rsidP="00751E6A">
      <w:pPr>
        <w:spacing w:after="0" w:line="240" w:lineRule="auto"/>
        <w:jc w:val="both"/>
        <w:rPr>
          <w:rFonts w:ascii="Times New Roman" w:eastAsia="Times New Roman" w:hAnsi="Times New Roman"/>
          <w:color w:val="000000"/>
          <w:sz w:val="20"/>
          <w:szCs w:val="20"/>
        </w:rPr>
      </w:pPr>
      <w:r w:rsidRPr="0030416D">
        <w:rPr>
          <w:rFonts w:ascii="Times New Roman" w:eastAsia="Times New Roman" w:hAnsi="Times New Roman"/>
          <w:color w:val="000000"/>
          <w:sz w:val="20"/>
          <w:szCs w:val="20"/>
        </w:rPr>
        <w:t xml:space="preserve">This press release may contain forward-looking statements, including information about management’s view of </w:t>
      </w:r>
      <w:r>
        <w:rPr>
          <w:rFonts w:ascii="Times New Roman" w:eastAsia="Times New Roman" w:hAnsi="Times New Roman"/>
          <w:color w:val="000000"/>
          <w:sz w:val="20"/>
          <w:szCs w:val="20"/>
        </w:rPr>
        <w:t>Petrolia Energy Corporation’s</w:t>
      </w:r>
      <w:r w:rsidRPr="0030416D">
        <w:rPr>
          <w:rFonts w:ascii="Times New Roman" w:eastAsia="Times New Roman" w:hAnsi="Times New Roman"/>
          <w:color w:val="000000"/>
          <w:sz w:val="20"/>
          <w:szCs w:val="20"/>
        </w:rPr>
        <w:t xml:space="preserve"> future expectations, plans and prospects, within the meaning of the federal securities laws. In particular, when used in the preceding discussion, the words “may,” “could,” “expect,” “intend,” “plan,” “seek,” “anticipate,” “believe,” “estimate,” “predict,” “potential,” “continue,” “likely,” “will,” “would” and variations of these terms and similar expressions, or the negative of these terms or similar expressions are intended to identify forward-looking statements. Any statements made in this news release other than those of historical fact, about an action, event or development, are forward-looking statements. These statements involve known and unknown risks, uncertainties and other factors, which may cause the results of </w:t>
      </w:r>
      <w:r>
        <w:rPr>
          <w:rFonts w:ascii="Times New Roman" w:eastAsia="Times New Roman" w:hAnsi="Times New Roman"/>
          <w:color w:val="000000"/>
          <w:sz w:val="20"/>
          <w:szCs w:val="20"/>
        </w:rPr>
        <w:t>Petrolia Energy Corporation</w:t>
      </w:r>
      <w:r w:rsidRPr="0030416D">
        <w:rPr>
          <w:rFonts w:ascii="Times New Roman" w:eastAsia="Times New Roman" w:hAnsi="Times New Roman"/>
          <w:color w:val="000000"/>
          <w:sz w:val="20"/>
          <w:szCs w:val="20"/>
        </w:rPr>
        <w:t xml:space="preserve"> and its subsidiaries to be materially different than those expressed or implied in such statements. The forward-looking statements include projections and estimates of the Company’s corporate strategies, future operations, development plans and programs, including the costs thereof. We have based these forward-looking statements on our current expectations and assumptions and analyses made by us in light of our experience and our perception of historical trends, current conditions and expected future developments, as well as other factors we believe are appropriate under the circumstances. However, whether actual results and developments will conform with our expectations and predictions is subject to a number of risks and uncertainties, including the volatility of oil and natural gas prices, our success in estimating, developing and replacing oil and natural gas reserves, risks of our operations not being profitable or generating sufficient cash flow to meet our obligations; risks relating to the future price of oil</w:t>
      </w:r>
      <w:r w:rsidR="00A5558E">
        <w:rPr>
          <w:rFonts w:ascii="Times New Roman" w:eastAsia="Times New Roman" w:hAnsi="Times New Roman"/>
          <w:color w:val="000000"/>
          <w:sz w:val="20"/>
          <w:szCs w:val="20"/>
        </w:rPr>
        <w:t xml:space="preserve"> and </w:t>
      </w:r>
      <w:r w:rsidRPr="0030416D">
        <w:rPr>
          <w:rFonts w:ascii="Times New Roman" w:eastAsia="Times New Roman" w:hAnsi="Times New Roman"/>
          <w:color w:val="000000"/>
          <w:sz w:val="20"/>
          <w:szCs w:val="20"/>
        </w:rPr>
        <w:t>natural gas; risks related to the status and availability of oil and natural gas gathering, transportation, and storage facilities; risks related to changes in the legal and regulatory environment governing the oil and gas industry, and new or amended environmental legislation and regulatory initiatives; risks related to the need for additional capital to complete future acquisitions, conduct our operations, and fund our business on favorable terms, if at all, the availability of such funding and the costs thereof; risks associated with illiquidity and volatility of our common stock</w:t>
      </w:r>
      <w:r w:rsidR="00A5558E">
        <w:rPr>
          <w:rFonts w:ascii="Times New Roman" w:eastAsia="Times New Roman" w:hAnsi="Times New Roman"/>
          <w:color w:val="000000"/>
          <w:sz w:val="20"/>
          <w:szCs w:val="20"/>
        </w:rPr>
        <w:t xml:space="preserve">; risks associated with the termination of the registration of our common stock under Section 12 of the Exchange Act and our ability to register our common stock pursuant to Section 12 of the Exchange Act in the future and/or obtain quotations for our common stock on the OTCQB Market or </w:t>
      </w:r>
      <w:proofErr w:type="spellStart"/>
      <w:r w:rsidR="00A5558E">
        <w:rPr>
          <w:rFonts w:ascii="Times New Roman" w:eastAsia="Times New Roman" w:hAnsi="Times New Roman"/>
          <w:color w:val="000000"/>
          <w:sz w:val="20"/>
          <w:szCs w:val="20"/>
        </w:rPr>
        <w:t>pinksheets</w:t>
      </w:r>
      <w:proofErr w:type="spellEnd"/>
      <w:r w:rsidR="00A5558E">
        <w:rPr>
          <w:rFonts w:ascii="Times New Roman" w:eastAsia="Times New Roman" w:hAnsi="Times New Roman"/>
          <w:color w:val="000000"/>
          <w:sz w:val="20"/>
          <w:szCs w:val="20"/>
        </w:rPr>
        <w:t xml:space="preserve">; the outcome of pending and future litigation matters; </w:t>
      </w:r>
      <w:r w:rsidRPr="0030416D">
        <w:rPr>
          <w:rFonts w:ascii="Times New Roman" w:eastAsia="Times New Roman" w:hAnsi="Times New Roman"/>
          <w:color w:val="000000"/>
          <w:sz w:val="20"/>
          <w:szCs w:val="20"/>
        </w:rPr>
        <w:t xml:space="preserve">inflationary risks and recent increased interest rates, and the risks of recessions and economic downturns caused thereby; risks related to military conflicts in oil producing countries; changes in economic conditions; the availability and demand for alternative energy sources; regulatory changes, including those related to carbon dioxide and greenhouse gas emissions; and others that are included from time to time in filings made by </w:t>
      </w:r>
      <w:r w:rsidR="00D9449D">
        <w:rPr>
          <w:rFonts w:ascii="Times New Roman" w:eastAsia="Times New Roman" w:hAnsi="Times New Roman"/>
          <w:color w:val="000000"/>
          <w:sz w:val="20"/>
          <w:szCs w:val="20"/>
        </w:rPr>
        <w:t>Petrolia Energy Corporation</w:t>
      </w:r>
      <w:r w:rsidR="00D9449D" w:rsidRPr="0030416D">
        <w:rPr>
          <w:rFonts w:ascii="Times New Roman" w:eastAsia="Times New Roman" w:hAnsi="Times New Roman"/>
          <w:color w:val="000000"/>
          <w:sz w:val="20"/>
          <w:szCs w:val="20"/>
        </w:rPr>
        <w:t xml:space="preserve"> </w:t>
      </w:r>
      <w:r w:rsidRPr="0030416D">
        <w:rPr>
          <w:rFonts w:ascii="Times New Roman" w:eastAsia="Times New Roman" w:hAnsi="Times New Roman"/>
          <w:color w:val="000000"/>
          <w:sz w:val="20"/>
          <w:szCs w:val="20"/>
        </w:rPr>
        <w:t xml:space="preserve">with the Securities and Exchange Commission, many of which are beyond our control, including, but not limited to, in the “Risk Factors” sections in its Form 10-Ks and Form 10-Qs and in its Form 8-Ks, which it has filed, and files from time to time, with the U.S. Securities and Exchange Commission. These reports are available at www.sec.gov. The Company cautions that the foregoing list of important factors is not complete. All subsequent written and oral forward-looking statements attributable to the Company or any person acting on behalf of the Company are expressly qualified in their entirety by the cautionary statements referenced above. Other unknown or unpredictable factors also could have material adverse effects on </w:t>
      </w:r>
      <w:r w:rsidR="00D9449D">
        <w:rPr>
          <w:rFonts w:ascii="Times New Roman" w:eastAsia="Times New Roman" w:hAnsi="Times New Roman"/>
          <w:color w:val="000000"/>
          <w:sz w:val="20"/>
          <w:szCs w:val="20"/>
        </w:rPr>
        <w:t>Petrolia Energy Corporation</w:t>
      </w:r>
      <w:r w:rsidRPr="0030416D">
        <w:rPr>
          <w:rFonts w:ascii="Times New Roman" w:eastAsia="Times New Roman" w:hAnsi="Times New Roman"/>
          <w:color w:val="000000"/>
          <w:sz w:val="20"/>
          <w:szCs w:val="20"/>
        </w:rPr>
        <w:t xml:space="preserve">’s future results and/or could cause our actual results and financial condition to differ materially from those indicated in the forward-looking statements.  The forward-looking statements included in this press release are made only as of the date hereof.  </w:t>
      </w:r>
      <w:r w:rsidR="00D9449D">
        <w:rPr>
          <w:rFonts w:ascii="Times New Roman" w:eastAsia="Times New Roman" w:hAnsi="Times New Roman"/>
          <w:color w:val="000000"/>
          <w:sz w:val="20"/>
          <w:szCs w:val="20"/>
        </w:rPr>
        <w:t>Petrolia Energy Corporation</w:t>
      </w:r>
      <w:r w:rsidR="00D9449D" w:rsidRPr="0030416D">
        <w:rPr>
          <w:rFonts w:ascii="Times New Roman" w:eastAsia="Times New Roman" w:hAnsi="Times New Roman"/>
          <w:color w:val="000000"/>
          <w:sz w:val="20"/>
          <w:szCs w:val="20"/>
        </w:rPr>
        <w:t xml:space="preserve"> </w:t>
      </w:r>
      <w:r w:rsidRPr="0030416D">
        <w:rPr>
          <w:rFonts w:ascii="Times New Roman" w:eastAsia="Times New Roman" w:hAnsi="Times New Roman"/>
          <w:color w:val="000000"/>
          <w:sz w:val="20"/>
          <w:szCs w:val="20"/>
        </w:rPr>
        <w:t xml:space="preserve">cannot guarantee future results, levels of activity, </w:t>
      </w:r>
      <w:proofErr w:type="gramStart"/>
      <w:r w:rsidRPr="0030416D">
        <w:rPr>
          <w:rFonts w:ascii="Times New Roman" w:eastAsia="Times New Roman" w:hAnsi="Times New Roman"/>
          <w:color w:val="000000"/>
          <w:sz w:val="20"/>
          <w:szCs w:val="20"/>
        </w:rPr>
        <w:t>performance</w:t>
      </w:r>
      <w:proofErr w:type="gramEnd"/>
      <w:r w:rsidRPr="0030416D">
        <w:rPr>
          <w:rFonts w:ascii="Times New Roman" w:eastAsia="Times New Roman" w:hAnsi="Times New Roman"/>
          <w:color w:val="000000"/>
          <w:sz w:val="20"/>
          <w:szCs w:val="20"/>
        </w:rPr>
        <w:t xml:space="preserve"> or achievements. Accordingly, you should not place undue reliance on these forward-looking statements. We undertake no obligation to update publicly any of these forward-looking statements to reflect actual results, new information or future events, changes in assumptions or changes in other factors affecting forward-looking statements, except to the extent required by applicable laws. If we update one or more forward-looking statements, no inference should be drawn that we will make additional updates with respect to those or other forward-looking statements. </w:t>
      </w:r>
    </w:p>
    <w:p w14:paraId="6F3EE79F" w14:textId="77777777" w:rsidR="0030416D" w:rsidRPr="00F90C1E" w:rsidRDefault="0030416D" w:rsidP="00B86F51">
      <w:pPr>
        <w:tabs>
          <w:tab w:val="left" w:pos="2880"/>
          <w:tab w:val="left" w:pos="5040"/>
          <w:tab w:val="left" w:pos="7200"/>
          <w:tab w:val="left" w:pos="9360"/>
        </w:tabs>
        <w:spacing w:after="0" w:line="240" w:lineRule="auto"/>
      </w:pPr>
    </w:p>
    <w:sectPr w:rsidR="0030416D" w:rsidRPr="00F90C1E" w:rsidSect="00207676">
      <w:headerReference w:type="default" r:id="rId10"/>
      <w:footerReference w:type="default" r:id="rId11"/>
      <w:pgSz w:w="12240" w:h="15840"/>
      <w:pgMar w:top="1843" w:right="760" w:bottom="1134" w:left="992" w:header="425" w:footer="3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7D800" w14:textId="77777777" w:rsidR="0016572F" w:rsidRDefault="0016572F" w:rsidP="00844F53">
      <w:pPr>
        <w:spacing w:after="0" w:line="240" w:lineRule="auto"/>
      </w:pPr>
      <w:r>
        <w:separator/>
      </w:r>
    </w:p>
  </w:endnote>
  <w:endnote w:type="continuationSeparator" w:id="0">
    <w:p w14:paraId="1E2FF211" w14:textId="77777777" w:rsidR="0016572F" w:rsidRDefault="0016572F" w:rsidP="00844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Helvetica Neue">
    <w:altName w:val="Times New Roman"/>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horzAnchor="page" w:tblpX="507" w:tblpY="-525"/>
      <w:tblOverlap w:val="never"/>
      <w:tblW w:w="116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8"/>
      <w:gridCol w:w="6007"/>
      <w:gridCol w:w="236"/>
      <w:gridCol w:w="239"/>
      <w:gridCol w:w="4768"/>
    </w:tblGrid>
    <w:tr w:rsidR="00422756" w14:paraId="09075F9F" w14:textId="77777777" w:rsidTr="002A7522">
      <w:trPr>
        <w:trHeight w:val="145"/>
      </w:trPr>
      <w:tc>
        <w:tcPr>
          <w:tcW w:w="378" w:type="dxa"/>
        </w:tcPr>
        <w:p w14:paraId="67D01C68" w14:textId="69708B11" w:rsidR="00422756" w:rsidRDefault="00422756" w:rsidP="002A7522">
          <w:pPr>
            <w:pStyle w:val="Footer"/>
            <w:rPr>
              <w:rFonts w:ascii="Helvetica Neue Light" w:hAnsi="Helvetica Neue Light"/>
              <w:color w:val="7F7F7F" w:themeColor="text1" w:themeTint="80"/>
              <w:sz w:val="16"/>
              <w:szCs w:val="16"/>
            </w:rPr>
          </w:pPr>
          <w:r>
            <w:rPr>
              <w:rFonts w:ascii="Helvetica Neue Light" w:hAnsi="Helvetica Neue Light"/>
              <w:noProof/>
              <w:color w:val="7F7F7F" w:themeColor="text1" w:themeTint="80"/>
              <w:sz w:val="16"/>
              <w:szCs w:val="16"/>
            </w:rPr>
            <w:drawing>
              <wp:anchor distT="0" distB="0" distL="114300" distR="114300" simplePos="0" relativeHeight="251678720" behindDoc="0" locked="0" layoutInCell="1" allowOverlap="1" wp14:anchorId="1D93FEF1" wp14:editId="59C860B4">
                <wp:simplePos x="0" y="0"/>
                <wp:positionH relativeFrom="margin">
                  <wp:align>center</wp:align>
                </wp:positionH>
                <wp:positionV relativeFrom="margin">
                  <wp:align>center</wp:align>
                </wp:positionV>
                <wp:extent cx="93600" cy="93600"/>
                <wp:effectExtent l="0" t="0" r="8255" b="825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on-simple-globe.png"/>
                        <pic:cNvPicPr/>
                      </pic:nvPicPr>
                      <pic:blipFill>
                        <a:blip r:embed="rId1">
                          <a:extLst>
                            <a:ext uri="{28A0092B-C50C-407E-A947-70E740481C1C}">
                              <a14:useLocalDpi xmlns:a14="http://schemas.microsoft.com/office/drawing/2010/main" val="0"/>
                            </a:ext>
                          </a:extLst>
                        </a:blip>
                        <a:stretch>
                          <a:fillRect/>
                        </a:stretch>
                      </pic:blipFill>
                      <pic:spPr>
                        <a:xfrm>
                          <a:off x="0" y="0"/>
                          <a:ext cx="93600" cy="936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tc>
      <w:tc>
        <w:tcPr>
          <w:tcW w:w="6007" w:type="dxa"/>
          <w:vAlign w:val="center"/>
        </w:tcPr>
        <w:p w14:paraId="35DEB878" w14:textId="731F8A6D" w:rsidR="00422756" w:rsidRDefault="00422756" w:rsidP="002A7522">
          <w:pPr>
            <w:pStyle w:val="Footer"/>
            <w:rPr>
              <w:rFonts w:ascii="Helvetica Neue Light" w:hAnsi="Helvetica Neue Light"/>
              <w:color w:val="7F7F7F" w:themeColor="text1" w:themeTint="80"/>
              <w:sz w:val="16"/>
              <w:szCs w:val="16"/>
            </w:rPr>
          </w:pPr>
          <w:r w:rsidRPr="00CF7BA0">
            <w:rPr>
              <w:rFonts w:ascii="Helvetica Neue Light" w:hAnsi="Helvetica Neue Light"/>
              <w:color w:val="7F7F7F" w:themeColor="text1" w:themeTint="80"/>
              <w:sz w:val="16"/>
              <w:szCs w:val="16"/>
            </w:rPr>
            <w:t>WWW.PETROLIAENERGY.COM</w:t>
          </w:r>
        </w:p>
      </w:tc>
      <w:tc>
        <w:tcPr>
          <w:tcW w:w="236" w:type="dxa"/>
        </w:tcPr>
        <w:p w14:paraId="5EF938E1" w14:textId="0639212E" w:rsidR="00422756" w:rsidRDefault="00422756" w:rsidP="002A7522">
          <w:pPr>
            <w:pStyle w:val="Footer"/>
            <w:jc w:val="right"/>
            <w:rPr>
              <w:rFonts w:ascii="Helvetica Neue Light" w:hAnsi="Helvetica Neue Light"/>
              <w:color w:val="7F7F7F" w:themeColor="text1" w:themeTint="80"/>
              <w:sz w:val="16"/>
              <w:szCs w:val="16"/>
            </w:rPr>
          </w:pPr>
        </w:p>
      </w:tc>
      <w:tc>
        <w:tcPr>
          <w:tcW w:w="239" w:type="dxa"/>
        </w:tcPr>
        <w:p w14:paraId="31FFF200" w14:textId="6A080859" w:rsidR="00422756" w:rsidRDefault="00422756" w:rsidP="002A7522">
          <w:pPr>
            <w:pStyle w:val="Footer"/>
            <w:rPr>
              <w:rFonts w:ascii="Helvetica Neue Light" w:hAnsi="Helvetica Neue Light"/>
              <w:color w:val="7F7F7F" w:themeColor="text1" w:themeTint="80"/>
              <w:sz w:val="16"/>
              <w:szCs w:val="16"/>
            </w:rPr>
          </w:pPr>
          <w:r>
            <w:rPr>
              <w:rFonts w:ascii="Helvetica Neue Light" w:hAnsi="Helvetica Neue Light"/>
              <w:noProof/>
              <w:color w:val="7F7F7F" w:themeColor="text1" w:themeTint="80"/>
              <w:sz w:val="16"/>
              <w:szCs w:val="16"/>
            </w:rPr>
            <w:drawing>
              <wp:anchor distT="0" distB="0" distL="114300" distR="114300" simplePos="0" relativeHeight="251642880" behindDoc="0" locked="0" layoutInCell="1" allowOverlap="1" wp14:anchorId="73C2AEED" wp14:editId="516DD1A9">
                <wp:simplePos x="0" y="0"/>
                <wp:positionH relativeFrom="margin">
                  <wp:align>center</wp:align>
                </wp:positionH>
                <wp:positionV relativeFrom="margin">
                  <wp:align>center</wp:align>
                </wp:positionV>
                <wp:extent cx="93600" cy="93600"/>
                <wp:effectExtent l="0" t="0" r="8255" b="825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cation-icon.png"/>
                        <pic:cNvPicPr/>
                      </pic:nvPicPr>
                      <pic:blipFill>
                        <a:blip r:embed="rId2">
                          <a:extLst>
                            <a:ext uri="{28A0092B-C50C-407E-A947-70E740481C1C}">
                              <a14:useLocalDpi xmlns:a14="http://schemas.microsoft.com/office/drawing/2010/main" val="0"/>
                            </a:ext>
                          </a:extLst>
                        </a:blip>
                        <a:stretch>
                          <a:fillRect/>
                        </a:stretch>
                      </pic:blipFill>
                      <pic:spPr>
                        <a:xfrm>
                          <a:off x="0" y="0"/>
                          <a:ext cx="93600" cy="936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tc>
      <w:tc>
        <w:tcPr>
          <w:tcW w:w="4768" w:type="dxa"/>
        </w:tcPr>
        <w:p w14:paraId="3C57A2A5" w14:textId="0DA065CE" w:rsidR="00422756" w:rsidRDefault="00422756" w:rsidP="002A7522">
          <w:pPr>
            <w:pStyle w:val="Footer"/>
            <w:rPr>
              <w:rFonts w:ascii="Helvetica Neue Light" w:hAnsi="Helvetica Neue Light"/>
              <w:color w:val="7F7F7F" w:themeColor="text1" w:themeTint="80"/>
              <w:sz w:val="16"/>
              <w:szCs w:val="16"/>
            </w:rPr>
          </w:pPr>
          <w:r w:rsidRPr="004B5D34">
            <w:rPr>
              <w:rFonts w:ascii="Helvetica Neue Light" w:hAnsi="Helvetica Neue Light"/>
              <w:color w:val="7F7F7F" w:themeColor="text1" w:themeTint="80"/>
              <w:sz w:val="16"/>
              <w:szCs w:val="16"/>
            </w:rPr>
            <w:t>710 N. POST OAK R</w:t>
          </w:r>
          <w:r>
            <w:rPr>
              <w:rFonts w:ascii="Helvetica Neue Light" w:hAnsi="Helvetica Neue Light"/>
              <w:color w:val="7F7F7F" w:themeColor="text1" w:themeTint="80"/>
              <w:sz w:val="16"/>
              <w:szCs w:val="16"/>
            </w:rPr>
            <w:t>OAD</w:t>
          </w:r>
          <w:r w:rsidRPr="004B5D34">
            <w:rPr>
              <w:rFonts w:ascii="Helvetica Neue Light" w:hAnsi="Helvetica Neue Light"/>
              <w:color w:val="7F7F7F" w:themeColor="text1" w:themeTint="80"/>
              <w:sz w:val="16"/>
              <w:szCs w:val="16"/>
            </w:rPr>
            <w:t xml:space="preserve">, SUITE </w:t>
          </w:r>
          <w:r w:rsidR="00B2724C">
            <w:rPr>
              <w:rFonts w:ascii="Helvetica Neue Light" w:hAnsi="Helvetica Neue Light"/>
              <w:color w:val="7F7F7F" w:themeColor="text1" w:themeTint="80"/>
              <w:sz w:val="16"/>
              <w:szCs w:val="16"/>
            </w:rPr>
            <w:t>4</w:t>
          </w:r>
          <w:r w:rsidR="0015624D">
            <w:rPr>
              <w:rFonts w:ascii="Helvetica Neue Light" w:hAnsi="Helvetica Neue Light"/>
              <w:color w:val="7F7F7F" w:themeColor="text1" w:themeTint="80"/>
              <w:sz w:val="16"/>
              <w:szCs w:val="16"/>
            </w:rPr>
            <w:t>00</w:t>
          </w:r>
          <w:r w:rsidRPr="004B5D34">
            <w:rPr>
              <w:rFonts w:ascii="Helvetica Neue Light" w:hAnsi="Helvetica Neue Light"/>
              <w:color w:val="7F7F7F" w:themeColor="text1" w:themeTint="80"/>
              <w:sz w:val="16"/>
              <w:szCs w:val="16"/>
            </w:rPr>
            <w:t>, HOUSTON, TX  77024</w:t>
          </w:r>
        </w:p>
      </w:tc>
    </w:tr>
    <w:tr w:rsidR="00422756" w14:paraId="204C11D9" w14:textId="77777777" w:rsidTr="002A7522">
      <w:trPr>
        <w:trHeight w:val="231"/>
      </w:trPr>
      <w:tc>
        <w:tcPr>
          <w:tcW w:w="378" w:type="dxa"/>
          <w:vAlign w:val="center"/>
        </w:tcPr>
        <w:p w14:paraId="7AEC1BC4" w14:textId="6C3A459E" w:rsidR="00422756" w:rsidRDefault="00422756" w:rsidP="002A7522">
          <w:pPr>
            <w:pStyle w:val="Footer"/>
            <w:rPr>
              <w:rFonts w:ascii="Helvetica Neue Light" w:hAnsi="Helvetica Neue Light"/>
              <w:noProof/>
              <w:color w:val="7F7F7F" w:themeColor="text1" w:themeTint="80"/>
              <w:sz w:val="16"/>
              <w:szCs w:val="16"/>
            </w:rPr>
          </w:pPr>
        </w:p>
      </w:tc>
      <w:tc>
        <w:tcPr>
          <w:tcW w:w="6007" w:type="dxa"/>
          <w:vAlign w:val="center"/>
        </w:tcPr>
        <w:p w14:paraId="4EF23992" w14:textId="12A6E928" w:rsidR="00422756" w:rsidRDefault="00422756" w:rsidP="002A7522">
          <w:pPr>
            <w:pStyle w:val="Footer"/>
            <w:rPr>
              <w:rFonts w:ascii="Helvetica Neue Light" w:hAnsi="Helvetica Neue Light"/>
              <w:noProof/>
              <w:color w:val="7F7F7F" w:themeColor="text1" w:themeTint="80"/>
              <w:sz w:val="16"/>
              <w:szCs w:val="16"/>
            </w:rPr>
          </w:pPr>
        </w:p>
      </w:tc>
      <w:tc>
        <w:tcPr>
          <w:tcW w:w="236" w:type="dxa"/>
        </w:tcPr>
        <w:p w14:paraId="070A55BC" w14:textId="41A93018" w:rsidR="00422756" w:rsidRDefault="00422756" w:rsidP="002A7522">
          <w:pPr>
            <w:pStyle w:val="Footer"/>
            <w:tabs>
              <w:tab w:val="clear" w:pos="9360"/>
            </w:tabs>
            <w:jc w:val="right"/>
            <w:rPr>
              <w:rFonts w:ascii="Helvetica Neue Light" w:hAnsi="Helvetica Neue Light"/>
              <w:color w:val="7F7F7F" w:themeColor="text1" w:themeTint="80"/>
              <w:sz w:val="16"/>
              <w:szCs w:val="16"/>
            </w:rPr>
          </w:pPr>
        </w:p>
      </w:tc>
      <w:tc>
        <w:tcPr>
          <w:tcW w:w="239" w:type="dxa"/>
        </w:tcPr>
        <w:p w14:paraId="3D976A2F" w14:textId="6265D0A9" w:rsidR="00422756" w:rsidRDefault="00422756" w:rsidP="002A7522">
          <w:pPr>
            <w:pStyle w:val="Footer"/>
            <w:tabs>
              <w:tab w:val="clear" w:pos="9360"/>
            </w:tabs>
            <w:rPr>
              <w:rFonts w:ascii="Helvetica Neue Light" w:hAnsi="Helvetica Neue Light"/>
              <w:color w:val="7F7F7F" w:themeColor="text1" w:themeTint="80"/>
              <w:sz w:val="16"/>
              <w:szCs w:val="16"/>
            </w:rPr>
          </w:pPr>
        </w:p>
      </w:tc>
      <w:tc>
        <w:tcPr>
          <w:tcW w:w="4768" w:type="dxa"/>
        </w:tcPr>
        <w:p w14:paraId="74D1663C" w14:textId="128DBBAE" w:rsidR="00422756" w:rsidRPr="005B6009" w:rsidRDefault="00422756" w:rsidP="002A7522">
          <w:pPr>
            <w:pStyle w:val="Footer"/>
            <w:tabs>
              <w:tab w:val="clear" w:pos="9360"/>
            </w:tabs>
            <w:rPr>
              <w:rFonts w:ascii="Helvetica Neue" w:hAnsi="Helvetica Neue"/>
              <w:color w:val="595959" w:themeColor="text1" w:themeTint="A6"/>
              <w:sz w:val="16"/>
              <w:szCs w:val="16"/>
            </w:rPr>
          </w:pPr>
        </w:p>
      </w:tc>
    </w:tr>
    <w:tr w:rsidR="00422756" w14:paraId="5A5C4B13" w14:textId="77777777" w:rsidTr="002A7522">
      <w:trPr>
        <w:trHeight w:val="100"/>
      </w:trPr>
      <w:tc>
        <w:tcPr>
          <w:tcW w:w="378" w:type="dxa"/>
        </w:tcPr>
        <w:p w14:paraId="215563A9" w14:textId="4864D6EA" w:rsidR="00422756" w:rsidRDefault="00422756" w:rsidP="002A7522">
          <w:pPr>
            <w:pStyle w:val="Footer"/>
            <w:rPr>
              <w:rFonts w:ascii="Helvetica Neue Light" w:hAnsi="Helvetica Neue Light"/>
              <w:noProof/>
              <w:color w:val="7F7F7F" w:themeColor="text1" w:themeTint="80"/>
              <w:sz w:val="16"/>
              <w:szCs w:val="16"/>
            </w:rPr>
          </w:pPr>
        </w:p>
      </w:tc>
      <w:tc>
        <w:tcPr>
          <w:tcW w:w="6007" w:type="dxa"/>
          <w:vAlign w:val="center"/>
        </w:tcPr>
        <w:p w14:paraId="63DD1C37" w14:textId="2687F23D" w:rsidR="00422756" w:rsidRDefault="00422756" w:rsidP="002A7522">
          <w:pPr>
            <w:pStyle w:val="Footer"/>
            <w:rPr>
              <w:rFonts w:ascii="Helvetica Neue Light" w:hAnsi="Helvetica Neue Light"/>
              <w:noProof/>
              <w:color w:val="7F7F7F" w:themeColor="text1" w:themeTint="80"/>
              <w:sz w:val="16"/>
              <w:szCs w:val="16"/>
            </w:rPr>
          </w:pPr>
        </w:p>
      </w:tc>
      <w:tc>
        <w:tcPr>
          <w:tcW w:w="236" w:type="dxa"/>
        </w:tcPr>
        <w:p w14:paraId="50458FFA" w14:textId="77777777" w:rsidR="00422756" w:rsidRDefault="00422756" w:rsidP="002A7522">
          <w:pPr>
            <w:pStyle w:val="Footer"/>
            <w:tabs>
              <w:tab w:val="clear" w:pos="9360"/>
            </w:tabs>
            <w:jc w:val="right"/>
            <w:rPr>
              <w:rFonts w:ascii="Helvetica Neue Light" w:hAnsi="Helvetica Neue Light"/>
              <w:noProof/>
              <w:color w:val="7F7F7F" w:themeColor="text1" w:themeTint="80"/>
              <w:sz w:val="16"/>
              <w:szCs w:val="16"/>
            </w:rPr>
          </w:pPr>
        </w:p>
      </w:tc>
      <w:tc>
        <w:tcPr>
          <w:tcW w:w="239" w:type="dxa"/>
        </w:tcPr>
        <w:p w14:paraId="3490514F" w14:textId="6C056887" w:rsidR="00422756" w:rsidRDefault="00422756" w:rsidP="002A7522">
          <w:pPr>
            <w:pStyle w:val="Footer"/>
            <w:tabs>
              <w:tab w:val="clear" w:pos="9360"/>
            </w:tabs>
            <w:jc w:val="right"/>
            <w:rPr>
              <w:rFonts w:ascii="Helvetica Neue Light" w:hAnsi="Helvetica Neue Light"/>
              <w:noProof/>
              <w:color w:val="7F7F7F" w:themeColor="text1" w:themeTint="80"/>
              <w:sz w:val="16"/>
              <w:szCs w:val="16"/>
            </w:rPr>
          </w:pPr>
        </w:p>
      </w:tc>
      <w:tc>
        <w:tcPr>
          <w:tcW w:w="4768" w:type="dxa"/>
        </w:tcPr>
        <w:p w14:paraId="1F8C09AF" w14:textId="284B4E3E" w:rsidR="00422756" w:rsidRDefault="00422756" w:rsidP="002A7522">
          <w:pPr>
            <w:pStyle w:val="Footer"/>
            <w:tabs>
              <w:tab w:val="clear" w:pos="9360"/>
            </w:tabs>
            <w:jc w:val="both"/>
            <w:rPr>
              <w:rFonts w:ascii="Helvetica Neue Light" w:hAnsi="Helvetica Neue Light"/>
              <w:noProof/>
              <w:color w:val="7F7F7F" w:themeColor="text1" w:themeTint="80"/>
              <w:sz w:val="16"/>
              <w:szCs w:val="16"/>
            </w:rPr>
          </w:pPr>
        </w:p>
      </w:tc>
    </w:tr>
  </w:tbl>
  <w:p w14:paraId="548B7E64" w14:textId="24EFEBFB" w:rsidR="00E227FB" w:rsidRPr="002928B4" w:rsidRDefault="00E227FB" w:rsidP="00207676">
    <w:pPr>
      <w:pStyle w:val="Footer"/>
      <w:jc w:val="right"/>
      <w:rPr>
        <w:rFonts w:ascii="Helvetica Neue" w:hAnsi="Helvetica Neue"/>
        <w:color w:val="595959" w:themeColor="text1" w:themeTint="A6"/>
        <w:sz w:val="16"/>
        <w:szCs w:val="16"/>
      </w:rPr>
    </w:pPr>
    <w:r>
      <w:rPr>
        <w:rFonts w:ascii="Helvetica Neue Light" w:hAnsi="Helvetica Neue Light"/>
        <w:noProof/>
        <w:color w:val="7F7F7F" w:themeColor="text1" w:themeTint="80"/>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8799D" w14:textId="77777777" w:rsidR="0016572F" w:rsidRDefault="0016572F" w:rsidP="00844F53">
      <w:pPr>
        <w:spacing w:after="0" w:line="240" w:lineRule="auto"/>
      </w:pPr>
      <w:r>
        <w:separator/>
      </w:r>
    </w:p>
  </w:footnote>
  <w:footnote w:type="continuationSeparator" w:id="0">
    <w:p w14:paraId="41D91043" w14:textId="77777777" w:rsidR="0016572F" w:rsidRDefault="0016572F" w:rsidP="00844F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91085" w14:textId="63398E2E" w:rsidR="00E227FB" w:rsidRPr="009125A4" w:rsidRDefault="00E227FB" w:rsidP="0014703D">
    <w:pPr>
      <w:pStyle w:val="Footer"/>
      <w:jc w:val="center"/>
      <w:rPr>
        <w:rFonts w:ascii="Helvetica Neue Light" w:hAnsi="Helvetica Neue Light"/>
        <w:color w:val="7F7F7F" w:themeColor="text1" w:themeTint="8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4986E86C"/>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lowerLetter"/>
      <w:lvlText w:val="%2"/>
      <w:lvlJc w:val="left"/>
      <w:pPr>
        <w:ind w:left="0" w:firstLine="0"/>
      </w:pPr>
    </w:lvl>
    <w:lvl w:ilvl="2">
      <w:start w:val="1"/>
      <w:numFmt w:val="lowerRoman"/>
      <w:lvlText w:val="%3"/>
      <w:lvlJc w:val="lef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numFmt w:val="decimal"/>
      <w:lvlText w:val=""/>
      <w:lvlJc w:val="left"/>
      <w:pPr>
        <w:ind w:left="0" w:firstLine="0"/>
      </w:pPr>
    </w:lvl>
  </w:abstractNum>
  <w:abstractNum w:abstractNumId="1" w15:restartNumberingAfterBreak="0">
    <w:nsid w:val="03893DDE"/>
    <w:multiLevelType w:val="hybridMultilevel"/>
    <w:tmpl w:val="79343AC4"/>
    <w:lvl w:ilvl="0" w:tplc="04090001">
      <w:start w:val="1"/>
      <w:numFmt w:val="bullet"/>
      <w:lvlText w:val=""/>
      <w:lvlJc w:val="left"/>
      <w:pPr>
        <w:tabs>
          <w:tab w:val="num" w:pos="567"/>
        </w:tabs>
        <w:ind w:left="567" w:hanging="360"/>
      </w:pPr>
      <w:rPr>
        <w:rFonts w:ascii="Symbol" w:hAnsi="Symbol" w:hint="default"/>
      </w:rPr>
    </w:lvl>
    <w:lvl w:ilvl="1" w:tplc="04090003" w:tentative="1">
      <w:start w:val="1"/>
      <w:numFmt w:val="bullet"/>
      <w:lvlText w:val="o"/>
      <w:lvlJc w:val="left"/>
      <w:pPr>
        <w:tabs>
          <w:tab w:val="num" w:pos="1287"/>
        </w:tabs>
        <w:ind w:left="1287" w:hanging="360"/>
      </w:pPr>
      <w:rPr>
        <w:rFonts w:ascii="Courier New" w:hAnsi="Courier New" w:cs="Courier New" w:hint="default"/>
      </w:rPr>
    </w:lvl>
    <w:lvl w:ilvl="2" w:tplc="04090005" w:tentative="1">
      <w:start w:val="1"/>
      <w:numFmt w:val="bullet"/>
      <w:lvlText w:val=""/>
      <w:lvlJc w:val="left"/>
      <w:pPr>
        <w:tabs>
          <w:tab w:val="num" w:pos="2007"/>
        </w:tabs>
        <w:ind w:left="2007" w:hanging="360"/>
      </w:pPr>
      <w:rPr>
        <w:rFonts w:ascii="Wingdings" w:hAnsi="Wingdings" w:hint="default"/>
      </w:rPr>
    </w:lvl>
    <w:lvl w:ilvl="3" w:tplc="04090001" w:tentative="1">
      <w:start w:val="1"/>
      <w:numFmt w:val="bullet"/>
      <w:lvlText w:val=""/>
      <w:lvlJc w:val="left"/>
      <w:pPr>
        <w:tabs>
          <w:tab w:val="num" w:pos="2727"/>
        </w:tabs>
        <w:ind w:left="2727" w:hanging="360"/>
      </w:pPr>
      <w:rPr>
        <w:rFonts w:ascii="Symbol" w:hAnsi="Symbol" w:hint="default"/>
      </w:rPr>
    </w:lvl>
    <w:lvl w:ilvl="4" w:tplc="04090003" w:tentative="1">
      <w:start w:val="1"/>
      <w:numFmt w:val="bullet"/>
      <w:lvlText w:val="o"/>
      <w:lvlJc w:val="left"/>
      <w:pPr>
        <w:tabs>
          <w:tab w:val="num" w:pos="3447"/>
        </w:tabs>
        <w:ind w:left="3447" w:hanging="360"/>
      </w:pPr>
      <w:rPr>
        <w:rFonts w:ascii="Courier New" w:hAnsi="Courier New" w:cs="Courier New" w:hint="default"/>
      </w:rPr>
    </w:lvl>
    <w:lvl w:ilvl="5" w:tplc="04090005" w:tentative="1">
      <w:start w:val="1"/>
      <w:numFmt w:val="bullet"/>
      <w:lvlText w:val=""/>
      <w:lvlJc w:val="left"/>
      <w:pPr>
        <w:tabs>
          <w:tab w:val="num" w:pos="4167"/>
        </w:tabs>
        <w:ind w:left="4167" w:hanging="360"/>
      </w:pPr>
      <w:rPr>
        <w:rFonts w:ascii="Wingdings" w:hAnsi="Wingdings" w:hint="default"/>
      </w:rPr>
    </w:lvl>
    <w:lvl w:ilvl="6" w:tplc="04090001" w:tentative="1">
      <w:start w:val="1"/>
      <w:numFmt w:val="bullet"/>
      <w:lvlText w:val=""/>
      <w:lvlJc w:val="left"/>
      <w:pPr>
        <w:tabs>
          <w:tab w:val="num" w:pos="4887"/>
        </w:tabs>
        <w:ind w:left="4887" w:hanging="360"/>
      </w:pPr>
      <w:rPr>
        <w:rFonts w:ascii="Symbol" w:hAnsi="Symbol" w:hint="default"/>
      </w:rPr>
    </w:lvl>
    <w:lvl w:ilvl="7" w:tplc="04090003" w:tentative="1">
      <w:start w:val="1"/>
      <w:numFmt w:val="bullet"/>
      <w:lvlText w:val="o"/>
      <w:lvlJc w:val="left"/>
      <w:pPr>
        <w:tabs>
          <w:tab w:val="num" w:pos="5607"/>
        </w:tabs>
        <w:ind w:left="5607" w:hanging="360"/>
      </w:pPr>
      <w:rPr>
        <w:rFonts w:ascii="Courier New" w:hAnsi="Courier New" w:cs="Courier New" w:hint="default"/>
      </w:rPr>
    </w:lvl>
    <w:lvl w:ilvl="8" w:tplc="04090005" w:tentative="1">
      <w:start w:val="1"/>
      <w:numFmt w:val="bullet"/>
      <w:lvlText w:val=""/>
      <w:lvlJc w:val="left"/>
      <w:pPr>
        <w:tabs>
          <w:tab w:val="num" w:pos="6327"/>
        </w:tabs>
        <w:ind w:left="6327" w:hanging="360"/>
      </w:pPr>
      <w:rPr>
        <w:rFonts w:ascii="Wingdings" w:hAnsi="Wingdings" w:hint="default"/>
      </w:rPr>
    </w:lvl>
  </w:abstractNum>
  <w:abstractNum w:abstractNumId="2" w15:restartNumberingAfterBreak="0">
    <w:nsid w:val="06B16C31"/>
    <w:multiLevelType w:val="hybridMultilevel"/>
    <w:tmpl w:val="59B258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D47724"/>
    <w:multiLevelType w:val="hybridMultilevel"/>
    <w:tmpl w:val="BED22B04"/>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4" w15:restartNumberingAfterBreak="0">
    <w:nsid w:val="0C8625AB"/>
    <w:multiLevelType w:val="hybridMultilevel"/>
    <w:tmpl w:val="D9A08F60"/>
    <w:lvl w:ilvl="0" w:tplc="0F5807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A23C0"/>
    <w:multiLevelType w:val="hybridMultilevel"/>
    <w:tmpl w:val="76E0CC94"/>
    <w:lvl w:ilvl="0" w:tplc="04090001">
      <w:start w:val="1"/>
      <w:numFmt w:val="bullet"/>
      <w:lvlText w:val=""/>
      <w:lvlJc w:val="left"/>
      <w:pPr>
        <w:ind w:left="1647" w:hanging="360"/>
      </w:pPr>
      <w:rPr>
        <w:rFonts w:ascii="Symbol" w:hAnsi="Symbol" w:hint="default"/>
      </w:rPr>
    </w:lvl>
    <w:lvl w:ilvl="1" w:tplc="04090003" w:tentative="1">
      <w:start w:val="1"/>
      <w:numFmt w:val="bullet"/>
      <w:lvlText w:val="o"/>
      <w:lvlJc w:val="left"/>
      <w:pPr>
        <w:ind w:left="2367" w:hanging="360"/>
      </w:pPr>
      <w:rPr>
        <w:rFonts w:ascii="Courier New" w:hAnsi="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6" w15:restartNumberingAfterBreak="0">
    <w:nsid w:val="124E6DC8"/>
    <w:multiLevelType w:val="hybridMultilevel"/>
    <w:tmpl w:val="0E44C354"/>
    <w:lvl w:ilvl="0" w:tplc="0D54930C">
      <w:start w:val="1"/>
      <w:numFmt w:val="lowerLetter"/>
      <w:lvlText w:val="%1."/>
      <w:lvlJc w:val="left"/>
      <w:pPr>
        <w:ind w:left="1440" w:hanging="360"/>
      </w:pPr>
      <w:rPr>
        <w:b/>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8983FCD"/>
    <w:multiLevelType w:val="hybridMultilevel"/>
    <w:tmpl w:val="A0CA01F6"/>
    <w:lvl w:ilvl="0" w:tplc="04090001">
      <w:start w:val="1"/>
      <w:numFmt w:val="bullet"/>
      <w:lvlText w:val=""/>
      <w:lvlJc w:val="left"/>
      <w:pPr>
        <w:ind w:left="1647" w:hanging="360"/>
      </w:pPr>
      <w:rPr>
        <w:rFonts w:ascii="Symbol" w:hAnsi="Symbol" w:hint="default"/>
      </w:rPr>
    </w:lvl>
    <w:lvl w:ilvl="1" w:tplc="04090003" w:tentative="1">
      <w:start w:val="1"/>
      <w:numFmt w:val="bullet"/>
      <w:lvlText w:val="o"/>
      <w:lvlJc w:val="left"/>
      <w:pPr>
        <w:ind w:left="2367" w:hanging="360"/>
      </w:pPr>
      <w:rPr>
        <w:rFonts w:ascii="Courier New" w:hAnsi="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8" w15:restartNumberingAfterBreak="0">
    <w:nsid w:val="1BFE0B42"/>
    <w:multiLevelType w:val="hybridMultilevel"/>
    <w:tmpl w:val="387695D6"/>
    <w:lvl w:ilvl="0" w:tplc="51906CF4">
      <w:start w:val="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493F93"/>
    <w:multiLevelType w:val="hybridMultilevel"/>
    <w:tmpl w:val="7B04B6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380153"/>
    <w:multiLevelType w:val="hybridMultilevel"/>
    <w:tmpl w:val="6B948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753F86"/>
    <w:multiLevelType w:val="hybridMultilevel"/>
    <w:tmpl w:val="8514D5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ED3CEF"/>
    <w:multiLevelType w:val="hybridMultilevel"/>
    <w:tmpl w:val="9A2AA5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135EA4"/>
    <w:multiLevelType w:val="hybridMultilevel"/>
    <w:tmpl w:val="F746F0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AF414D"/>
    <w:multiLevelType w:val="hybridMultilevel"/>
    <w:tmpl w:val="FFECCCD0"/>
    <w:lvl w:ilvl="0" w:tplc="04090013">
      <w:start w:val="1"/>
      <w:numFmt w:val="upperRoman"/>
      <w:lvlText w:val="%1."/>
      <w:lvlJc w:val="righ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8D3379F"/>
    <w:multiLevelType w:val="hybridMultilevel"/>
    <w:tmpl w:val="889E941C"/>
    <w:lvl w:ilvl="0" w:tplc="502CF7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5E2953"/>
    <w:multiLevelType w:val="hybridMultilevel"/>
    <w:tmpl w:val="402EB05E"/>
    <w:lvl w:ilvl="0" w:tplc="04090001">
      <w:start w:val="1"/>
      <w:numFmt w:val="bullet"/>
      <w:lvlText w:val=""/>
      <w:lvlJc w:val="left"/>
      <w:pPr>
        <w:ind w:left="1647" w:hanging="360"/>
      </w:pPr>
      <w:rPr>
        <w:rFonts w:ascii="Symbol" w:hAnsi="Symbol" w:hint="default"/>
      </w:rPr>
    </w:lvl>
    <w:lvl w:ilvl="1" w:tplc="04090003" w:tentative="1">
      <w:start w:val="1"/>
      <w:numFmt w:val="bullet"/>
      <w:lvlText w:val="o"/>
      <w:lvlJc w:val="left"/>
      <w:pPr>
        <w:ind w:left="2367" w:hanging="360"/>
      </w:pPr>
      <w:rPr>
        <w:rFonts w:ascii="Courier New" w:hAnsi="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17" w15:restartNumberingAfterBreak="0">
    <w:nsid w:val="46211E28"/>
    <w:multiLevelType w:val="hybridMultilevel"/>
    <w:tmpl w:val="6A9202C8"/>
    <w:lvl w:ilvl="0" w:tplc="1DB4D64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345192"/>
    <w:multiLevelType w:val="hybridMultilevel"/>
    <w:tmpl w:val="E5DA5D34"/>
    <w:lvl w:ilvl="0" w:tplc="1100A1E8">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606CA3"/>
    <w:multiLevelType w:val="hybridMultilevel"/>
    <w:tmpl w:val="73A884DE"/>
    <w:lvl w:ilvl="0" w:tplc="43F46B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352363"/>
    <w:multiLevelType w:val="hybridMultilevel"/>
    <w:tmpl w:val="3BE4ECE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1" w15:restartNumberingAfterBreak="0">
    <w:nsid w:val="633A60E6"/>
    <w:multiLevelType w:val="hybridMultilevel"/>
    <w:tmpl w:val="E130AF66"/>
    <w:lvl w:ilvl="0" w:tplc="703ABFE6">
      <w:start w:val="1"/>
      <w:numFmt w:val="lowerLetter"/>
      <w:lvlText w:val="%1."/>
      <w:lvlJc w:val="left"/>
      <w:pPr>
        <w:ind w:left="1440" w:hanging="360"/>
      </w:pPr>
      <w:rPr>
        <w:b/>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2" w15:restartNumberingAfterBreak="0">
    <w:nsid w:val="637E34BE"/>
    <w:multiLevelType w:val="hybridMultilevel"/>
    <w:tmpl w:val="36D02D98"/>
    <w:lvl w:ilvl="0" w:tplc="65C6E794">
      <w:start w:val="1"/>
      <w:numFmt w:val="decimal"/>
      <w:lvlText w:val="%1."/>
      <w:lvlJc w:val="left"/>
      <w:pPr>
        <w:ind w:left="810" w:hanging="360"/>
      </w:pPr>
      <w:rPr>
        <w:b/>
        <w:bCs/>
      </w:rPr>
    </w:lvl>
    <w:lvl w:ilvl="1" w:tplc="F17E15C4">
      <w:start w:val="1"/>
      <w:numFmt w:val="lowerLetter"/>
      <w:lvlText w:val="%2."/>
      <w:lvlJc w:val="left"/>
      <w:pPr>
        <w:ind w:left="1440" w:hanging="360"/>
      </w:pPr>
      <w:rPr>
        <w:b/>
        <w:bCs/>
      </w:rPr>
    </w:lvl>
    <w:lvl w:ilvl="2" w:tplc="A7584D92">
      <w:start w:val="1"/>
      <w:numFmt w:val="lowerLetter"/>
      <w:lvlText w:val="%3."/>
      <w:lvlJc w:val="right"/>
      <w:pPr>
        <w:ind w:left="2160" w:hanging="180"/>
      </w:pPr>
      <w:rPr>
        <w:rFonts w:asciiTheme="minorHAnsi" w:eastAsiaTheme="minorHAnsi" w:hAnsiTheme="minorHAnsi" w:cstheme="minorHAnsi"/>
        <w:b/>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7601D73"/>
    <w:multiLevelType w:val="hybridMultilevel"/>
    <w:tmpl w:val="5448C4EE"/>
    <w:lvl w:ilvl="0" w:tplc="5A721A68">
      <w:start w:val="1"/>
      <w:numFmt w:val="lowerLetter"/>
      <w:lvlText w:val="%1."/>
      <w:lvlJc w:val="left"/>
      <w:pPr>
        <w:ind w:left="1440" w:hanging="360"/>
      </w:pPr>
      <w:rPr>
        <w:b/>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4" w15:restartNumberingAfterBreak="0">
    <w:nsid w:val="74831557"/>
    <w:multiLevelType w:val="hybridMultilevel"/>
    <w:tmpl w:val="DDA45E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675FB8"/>
    <w:multiLevelType w:val="hybridMultilevel"/>
    <w:tmpl w:val="D7F2E1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465936">
    <w:abstractNumId w:val="0"/>
    <w:lvlOverride w:ilvl="0">
      <w:lvl w:ilvl="0">
        <w:start w:val="1"/>
        <w:numFmt w:val="decimal"/>
        <w:pStyle w:val="Level1"/>
        <w:lvlText w:val="%1."/>
        <w:lvlJc w:val="left"/>
        <w:pPr>
          <w:ind w:left="0" w:firstLine="0"/>
        </w:pPr>
        <w:rPr>
          <w:rFonts w:ascii="Times New Roman" w:hAnsi="Times New Roman"/>
          <w:sz w:val="22"/>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2040741207">
    <w:abstractNumId w:val="24"/>
  </w:num>
  <w:num w:numId="3" w16cid:durableId="1337732201">
    <w:abstractNumId w:val="11"/>
  </w:num>
  <w:num w:numId="4" w16cid:durableId="1065563705">
    <w:abstractNumId w:val="1"/>
  </w:num>
  <w:num w:numId="5" w16cid:durableId="1506821464">
    <w:abstractNumId w:val="9"/>
  </w:num>
  <w:num w:numId="6" w16cid:durableId="920018504">
    <w:abstractNumId w:val="3"/>
  </w:num>
  <w:num w:numId="7" w16cid:durableId="963997233">
    <w:abstractNumId w:val="16"/>
  </w:num>
  <w:num w:numId="8" w16cid:durableId="223806815">
    <w:abstractNumId w:val="5"/>
  </w:num>
  <w:num w:numId="9" w16cid:durableId="1425031531">
    <w:abstractNumId w:val="7"/>
  </w:num>
  <w:num w:numId="10" w16cid:durableId="370886797">
    <w:abstractNumId w:val="10"/>
  </w:num>
  <w:num w:numId="11" w16cid:durableId="1335303926">
    <w:abstractNumId w:val="25"/>
  </w:num>
  <w:num w:numId="12" w16cid:durableId="1198929229">
    <w:abstractNumId w:val="12"/>
  </w:num>
  <w:num w:numId="13" w16cid:durableId="1439446223">
    <w:abstractNumId w:val="2"/>
  </w:num>
  <w:num w:numId="14" w16cid:durableId="1889147652">
    <w:abstractNumId w:val="17"/>
  </w:num>
  <w:num w:numId="15" w16cid:durableId="302200281">
    <w:abstractNumId w:val="18"/>
  </w:num>
  <w:num w:numId="16" w16cid:durableId="2137986824">
    <w:abstractNumId w:val="13"/>
  </w:num>
  <w:num w:numId="17" w16cid:durableId="906575425">
    <w:abstractNumId w:val="20"/>
  </w:num>
  <w:num w:numId="18" w16cid:durableId="4486646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473447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35322970">
    <w:abstractNumId w:val="6"/>
    <w:lvlOverride w:ilvl="0">
      <w:startOverride w:val="1"/>
    </w:lvlOverride>
    <w:lvlOverride w:ilvl="1"/>
    <w:lvlOverride w:ilvl="2"/>
    <w:lvlOverride w:ilvl="3"/>
    <w:lvlOverride w:ilvl="4"/>
    <w:lvlOverride w:ilvl="5"/>
    <w:lvlOverride w:ilvl="6"/>
    <w:lvlOverride w:ilvl="7"/>
    <w:lvlOverride w:ilvl="8"/>
  </w:num>
  <w:num w:numId="21" w16cid:durableId="1110514491">
    <w:abstractNumId w:val="21"/>
    <w:lvlOverride w:ilvl="0">
      <w:startOverride w:val="1"/>
    </w:lvlOverride>
    <w:lvlOverride w:ilvl="1"/>
    <w:lvlOverride w:ilvl="2"/>
    <w:lvlOverride w:ilvl="3"/>
    <w:lvlOverride w:ilvl="4"/>
    <w:lvlOverride w:ilvl="5"/>
    <w:lvlOverride w:ilvl="6"/>
    <w:lvlOverride w:ilvl="7"/>
    <w:lvlOverride w:ilvl="8"/>
  </w:num>
  <w:num w:numId="22" w16cid:durableId="534775992">
    <w:abstractNumId w:val="23"/>
    <w:lvlOverride w:ilvl="0">
      <w:startOverride w:val="1"/>
    </w:lvlOverride>
    <w:lvlOverride w:ilvl="1"/>
    <w:lvlOverride w:ilvl="2"/>
    <w:lvlOverride w:ilvl="3"/>
    <w:lvlOverride w:ilvl="4"/>
    <w:lvlOverride w:ilvl="5"/>
    <w:lvlOverride w:ilvl="6"/>
    <w:lvlOverride w:ilvl="7"/>
    <w:lvlOverride w:ilvl="8"/>
  </w:num>
  <w:num w:numId="23" w16cid:durableId="1575168016">
    <w:abstractNumId w:val="15"/>
  </w:num>
  <w:num w:numId="24" w16cid:durableId="1696037927">
    <w:abstractNumId w:val="19"/>
  </w:num>
  <w:num w:numId="25" w16cid:durableId="1328559004">
    <w:abstractNumId w:val="4"/>
  </w:num>
  <w:num w:numId="26" w16cid:durableId="15181554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TE1MTIyNzYxNrI0MDFU0lEKTi0uzszPAykwqgUAldadJiwAAAA="/>
  </w:docVars>
  <w:rsids>
    <w:rsidRoot w:val="00844F53"/>
    <w:rsid w:val="00001705"/>
    <w:rsid w:val="00024951"/>
    <w:rsid w:val="0003256E"/>
    <w:rsid w:val="00047865"/>
    <w:rsid w:val="000529E5"/>
    <w:rsid w:val="000C7D21"/>
    <w:rsid w:val="000E630F"/>
    <w:rsid w:val="000E78B3"/>
    <w:rsid w:val="000F18BB"/>
    <w:rsid w:val="000F324B"/>
    <w:rsid w:val="000F44CF"/>
    <w:rsid w:val="00102897"/>
    <w:rsid w:val="00133651"/>
    <w:rsid w:val="00134472"/>
    <w:rsid w:val="0014703D"/>
    <w:rsid w:val="001554C7"/>
    <w:rsid w:val="0015624D"/>
    <w:rsid w:val="0016572F"/>
    <w:rsid w:val="00170E33"/>
    <w:rsid w:val="00173C78"/>
    <w:rsid w:val="00190DB1"/>
    <w:rsid w:val="00191EB0"/>
    <w:rsid w:val="001A1436"/>
    <w:rsid w:val="001B0891"/>
    <w:rsid w:val="001B51B7"/>
    <w:rsid w:val="001C057C"/>
    <w:rsid w:val="001C11D0"/>
    <w:rsid w:val="001D02FE"/>
    <w:rsid w:val="001D6EDB"/>
    <w:rsid w:val="001F6153"/>
    <w:rsid w:val="00207676"/>
    <w:rsid w:val="00223666"/>
    <w:rsid w:val="00223DBF"/>
    <w:rsid w:val="00225A0C"/>
    <w:rsid w:val="0028280B"/>
    <w:rsid w:val="00286D3F"/>
    <w:rsid w:val="00291159"/>
    <w:rsid w:val="00291EF1"/>
    <w:rsid w:val="002928B4"/>
    <w:rsid w:val="002A7522"/>
    <w:rsid w:val="002E5E6E"/>
    <w:rsid w:val="002F6164"/>
    <w:rsid w:val="002F6F19"/>
    <w:rsid w:val="0030416D"/>
    <w:rsid w:val="0033297D"/>
    <w:rsid w:val="00334609"/>
    <w:rsid w:val="0034166D"/>
    <w:rsid w:val="00350E97"/>
    <w:rsid w:val="003645CF"/>
    <w:rsid w:val="00371C61"/>
    <w:rsid w:val="003735A7"/>
    <w:rsid w:val="00391C84"/>
    <w:rsid w:val="003A283C"/>
    <w:rsid w:val="003B2421"/>
    <w:rsid w:val="003D1C3B"/>
    <w:rsid w:val="003D3D46"/>
    <w:rsid w:val="003E06D2"/>
    <w:rsid w:val="003E4590"/>
    <w:rsid w:val="00400A0D"/>
    <w:rsid w:val="00401CE2"/>
    <w:rsid w:val="00402E02"/>
    <w:rsid w:val="00404F90"/>
    <w:rsid w:val="00415B4F"/>
    <w:rsid w:val="00416FC4"/>
    <w:rsid w:val="00422756"/>
    <w:rsid w:val="00422CD7"/>
    <w:rsid w:val="00427C21"/>
    <w:rsid w:val="00433EFA"/>
    <w:rsid w:val="00437251"/>
    <w:rsid w:val="004675B6"/>
    <w:rsid w:val="00495B2D"/>
    <w:rsid w:val="004A0936"/>
    <w:rsid w:val="004B5D34"/>
    <w:rsid w:val="004D681D"/>
    <w:rsid w:val="004D7FDF"/>
    <w:rsid w:val="004E0EA1"/>
    <w:rsid w:val="004E10E1"/>
    <w:rsid w:val="004F5848"/>
    <w:rsid w:val="00565661"/>
    <w:rsid w:val="00590340"/>
    <w:rsid w:val="0059666B"/>
    <w:rsid w:val="005A5910"/>
    <w:rsid w:val="005A638C"/>
    <w:rsid w:val="005B6009"/>
    <w:rsid w:val="005C22B9"/>
    <w:rsid w:val="005C4840"/>
    <w:rsid w:val="005D764E"/>
    <w:rsid w:val="005E560E"/>
    <w:rsid w:val="005E75D3"/>
    <w:rsid w:val="005E7716"/>
    <w:rsid w:val="00611160"/>
    <w:rsid w:val="00635BF3"/>
    <w:rsid w:val="00655B4E"/>
    <w:rsid w:val="006756B6"/>
    <w:rsid w:val="0069217B"/>
    <w:rsid w:val="006A1D73"/>
    <w:rsid w:val="006A7A3B"/>
    <w:rsid w:val="006B124E"/>
    <w:rsid w:val="006E4A56"/>
    <w:rsid w:val="0070056B"/>
    <w:rsid w:val="00702051"/>
    <w:rsid w:val="007166D3"/>
    <w:rsid w:val="00726E37"/>
    <w:rsid w:val="007414BD"/>
    <w:rsid w:val="00746C27"/>
    <w:rsid w:val="00751E6A"/>
    <w:rsid w:val="00752D6D"/>
    <w:rsid w:val="00770985"/>
    <w:rsid w:val="00780E9B"/>
    <w:rsid w:val="007C7DD2"/>
    <w:rsid w:val="007D0B3E"/>
    <w:rsid w:val="007D3024"/>
    <w:rsid w:val="007E1476"/>
    <w:rsid w:val="007E1EF9"/>
    <w:rsid w:val="007F755F"/>
    <w:rsid w:val="00844F53"/>
    <w:rsid w:val="008452C8"/>
    <w:rsid w:val="008529CC"/>
    <w:rsid w:val="008627A3"/>
    <w:rsid w:val="00894235"/>
    <w:rsid w:val="008A00CA"/>
    <w:rsid w:val="008A67D9"/>
    <w:rsid w:val="008D1030"/>
    <w:rsid w:val="008D1D7F"/>
    <w:rsid w:val="008D4C23"/>
    <w:rsid w:val="008F2FB7"/>
    <w:rsid w:val="008F734E"/>
    <w:rsid w:val="009125A4"/>
    <w:rsid w:val="00913275"/>
    <w:rsid w:val="00922866"/>
    <w:rsid w:val="00933D37"/>
    <w:rsid w:val="009439BF"/>
    <w:rsid w:val="00962B6A"/>
    <w:rsid w:val="009668E9"/>
    <w:rsid w:val="00974D64"/>
    <w:rsid w:val="00987078"/>
    <w:rsid w:val="009970E1"/>
    <w:rsid w:val="009A428F"/>
    <w:rsid w:val="009B3994"/>
    <w:rsid w:val="009C54FA"/>
    <w:rsid w:val="009D0502"/>
    <w:rsid w:val="009F4C8A"/>
    <w:rsid w:val="009F7E8C"/>
    <w:rsid w:val="00A32072"/>
    <w:rsid w:val="00A4300C"/>
    <w:rsid w:val="00A515F9"/>
    <w:rsid w:val="00A52D47"/>
    <w:rsid w:val="00A5558E"/>
    <w:rsid w:val="00A6003F"/>
    <w:rsid w:val="00A655B7"/>
    <w:rsid w:val="00A7095F"/>
    <w:rsid w:val="00A87F2A"/>
    <w:rsid w:val="00A968C8"/>
    <w:rsid w:val="00A97558"/>
    <w:rsid w:val="00A975E1"/>
    <w:rsid w:val="00AA4CB6"/>
    <w:rsid w:val="00AD050F"/>
    <w:rsid w:val="00AD5D61"/>
    <w:rsid w:val="00AD70B2"/>
    <w:rsid w:val="00B02E4C"/>
    <w:rsid w:val="00B152E2"/>
    <w:rsid w:val="00B2010A"/>
    <w:rsid w:val="00B230D1"/>
    <w:rsid w:val="00B2724C"/>
    <w:rsid w:val="00B309CC"/>
    <w:rsid w:val="00B32E18"/>
    <w:rsid w:val="00B335D5"/>
    <w:rsid w:val="00B400F3"/>
    <w:rsid w:val="00B43CA9"/>
    <w:rsid w:val="00B5584F"/>
    <w:rsid w:val="00B703A0"/>
    <w:rsid w:val="00B74861"/>
    <w:rsid w:val="00B86F51"/>
    <w:rsid w:val="00B948A7"/>
    <w:rsid w:val="00B95ECA"/>
    <w:rsid w:val="00BB5AFC"/>
    <w:rsid w:val="00BB7AD5"/>
    <w:rsid w:val="00BD3230"/>
    <w:rsid w:val="00C03908"/>
    <w:rsid w:val="00C13AE8"/>
    <w:rsid w:val="00C20BC7"/>
    <w:rsid w:val="00C4729F"/>
    <w:rsid w:val="00C501B3"/>
    <w:rsid w:val="00C5791D"/>
    <w:rsid w:val="00C86B85"/>
    <w:rsid w:val="00C86C01"/>
    <w:rsid w:val="00CB05AE"/>
    <w:rsid w:val="00CB5E6D"/>
    <w:rsid w:val="00CC0E37"/>
    <w:rsid w:val="00CC5DD8"/>
    <w:rsid w:val="00CE6C10"/>
    <w:rsid w:val="00CF4AF4"/>
    <w:rsid w:val="00CF7BA0"/>
    <w:rsid w:val="00D008E5"/>
    <w:rsid w:val="00D0220B"/>
    <w:rsid w:val="00D034FA"/>
    <w:rsid w:val="00D05CE4"/>
    <w:rsid w:val="00D0712E"/>
    <w:rsid w:val="00D17FFE"/>
    <w:rsid w:val="00D31518"/>
    <w:rsid w:val="00D36126"/>
    <w:rsid w:val="00D37C4A"/>
    <w:rsid w:val="00D468EA"/>
    <w:rsid w:val="00D547C6"/>
    <w:rsid w:val="00D6003F"/>
    <w:rsid w:val="00D6177B"/>
    <w:rsid w:val="00D75DDC"/>
    <w:rsid w:val="00D85318"/>
    <w:rsid w:val="00D9447B"/>
    <w:rsid w:val="00D9449D"/>
    <w:rsid w:val="00DA0724"/>
    <w:rsid w:val="00DA470D"/>
    <w:rsid w:val="00DC05AC"/>
    <w:rsid w:val="00DC0DC7"/>
    <w:rsid w:val="00DC195A"/>
    <w:rsid w:val="00DC306C"/>
    <w:rsid w:val="00E22110"/>
    <w:rsid w:val="00E227FB"/>
    <w:rsid w:val="00E35383"/>
    <w:rsid w:val="00E35752"/>
    <w:rsid w:val="00E54DA7"/>
    <w:rsid w:val="00E77907"/>
    <w:rsid w:val="00E81656"/>
    <w:rsid w:val="00E976E4"/>
    <w:rsid w:val="00EA519F"/>
    <w:rsid w:val="00EB4FBC"/>
    <w:rsid w:val="00EC5A93"/>
    <w:rsid w:val="00ED304B"/>
    <w:rsid w:val="00ED75CC"/>
    <w:rsid w:val="00EE7480"/>
    <w:rsid w:val="00EF3EB2"/>
    <w:rsid w:val="00F15A76"/>
    <w:rsid w:val="00F31A98"/>
    <w:rsid w:val="00F34E43"/>
    <w:rsid w:val="00F4076C"/>
    <w:rsid w:val="00F52700"/>
    <w:rsid w:val="00F776CA"/>
    <w:rsid w:val="00F90C1E"/>
    <w:rsid w:val="00FA41A8"/>
    <w:rsid w:val="00FA4FB1"/>
    <w:rsid w:val="00FB50DA"/>
    <w:rsid w:val="00FB5168"/>
    <w:rsid w:val="00FC4DFD"/>
    <w:rsid w:val="00FD4FF7"/>
    <w:rsid w:val="00FD7B19"/>
    <w:rsid w:val="00FE2374"/>
    <w:rsid w:val="00FE7DC4"/>
    <w:rsid w:val="00FF01F9"/>
    <w:rsid w:val="00FF5A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33F870"/>
  <w15:docId w15:val="{772A5B99-3958-4B35-BA09-FCC5B613B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F53"/>
    <w:rPr>
      <w:rFonts w:ascii="Calibri" w:eastAsia="Calibri" w:hAnsi="Calibri" w:cs="Times New Roman"/>
    </w:rPr>
  </w:style>
  <w:style w:type="paragraph" w:styleId="Heading1">
    <w:name w:val="heading 1"/>
    <w:basedOn w:val="Normal"/>
    <w:next w:val="BodyText"/>
    <w:link w:val="Heading1Char"/>
    <w:qFormat/>
    <w:rsid w:val="004A0936"/>
    <w:pPr>
      <w:keepNext/>
      <w:keepLines/>
      <w:spacing w:after="220" w:line="200" w:lineRule="atLeast"/>
      <w:outlineLvl w:val="0"/>
    </w:pPr>
    <w:rPr>
      <w:rFonts w:ascii="Arial Black" w:eastAsia="Times New Roman" w:hAnsi="Arial Black"/>
      <w:spacing w:val="-10"/>
      <w:kern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4F53"/>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844F53"/>
  </w:style>
  <w:style w:type="paragraph" w:styleId="Footer">
    <w:name w:val="footer"/>
    <w:basedOn w:val="Normal"/>
    <w:link w:val="FooterChar"/>
    <w:uiPriority w:val="99"/>
    <w:unhideWhenUsed/>
    <w:rsid w:val="00844F53"/>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844F53"/>
  </w:style>
  <w:style w:type="paragraph" w:styleId="BalloonText">
    <w:name w:val="Balloon Text"/>
    <w:basedOn w:val="Normal"/>
    <w:link w:val="BalloonTextChar"/>
    <w:uiPriority w:val="99"/>
    <w:semiHidden/>
    <w:unhideWhenUsed/>
    <w:rsid w:val="00844F53"/>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844F53"/>
    <w:rPr>
      <w:rFonts w:ascii="Tahoma" w:hAnsi="Tahoma" w:cs="Tahoma"/>
      <w:sz w:val="16"/>
      <w:szCs w:val="16"/>
    </w:rPr>
  </w:style>
  <w:style w:type="character" w:styleId="Hyperlink">
    <w:name w:val="Hyperlink"/>
    <w:basedOn w:val="DefaultParagraphFont"/>
    <w:uiPriority w:val="99"/>
    <w:unhideWhenUsed/>
    <w:rsid w:val="00922866"/>
    <w:rPr>
      <w:color w:val="0000FF" w:themeColor="hyperlink"/>
      <w:u w:val="single"/>
    </w:rPr>
  </w:style>
  <w:style w:type="paragraph" w:customStyle="1" w:styleId="Level1">
    <w:name w:val="Level 1"/>
    <w:basedOn w:val="Normal"/>
    <w:rsid w:val="00350E97"/>
    <w:pPr>
      <w:widowControl w:val="0"/>
      <w:numPr>
        <w:numId w:val="1"/>
      </w:numPr>
      <w:snapToGrid w:val="0"/>
      <w:spacing w:after="0" w:line="240" w:lineRule="auto"/>
      <w:outlineLvl w:val="0"/>
    </w:pPr>
    <w:rPr>
      <w:rFonts w:ascii="Times New Roman" w:eastAsia="Times New Roman" w:hAnsi="Times New Roman"/>
      <w:sz w:val="24"/>
      <w:szCs w:val="20"/>
    </w:rPr>
  </w:style>
  <w:style w:type="paragraph" w:styleId="NoSpacing">
    <w:name w:val="No Spacing"/>
    <w:uiPriority w:val="1"/>
    <w:qFormat/>
    <w:rsid w:val="00350E97"/>
    <w:pPr>
      <w:spacing w:after="0" w:line="240" w:lineRule="auto"/>
    </w:pPr>
    <w:rPr>
      <w:rFonts w:ascii="Calibri" w:eastAsia="Calibri" w:hAnsi="Calibri" w:cs="Times New Roman"/>
    </w:rPr>
  </w:style>
  <w:style w:type="paragraph" w:styleId="ListParagraph">
    <w:name w:val="List Paragraph"/>
    <w:basedOn w:val="Normal"/>
    <w:uiPriority w:val="34"/>
    <w:qFormat/>
    <w:rsid w:val="00350E97"/>
    <w:pPr>
      <w:ind w:left="720"/>
      <w:contextualSpacing/>
    </w:pPr>
  </w:style>
  <w:style w:type="character" w:customStyle="1" w:styleId="Heading1Char">
    <w:name w:val="Heading 1 Char"/>
    <w:basedOn w:val="DefaultParagraphFont"/>
    <w:link w:val="Heading1"/>
    <w:rsid w:val="004A0936"/>
    <w:rPr>
      <w:rFonts w:ascii="Arial Black" w:eastAsia="Times New Roman" w:hAnsi="Arial Black" w:cs="Times New Roman"/>
      <w:spacing w:val="-10"/>
      <w:kern w:val="28"/>
      <w:szCs w:val="20"/>
    </w:rPr>
  </w:style>
  <w:style w:type="paragraph" w:styleId="BodyText">
    <w:name w:val="Body Text"/>
    <w:basedOn w:val="Normal"/>
    <w:link w:val="BodyTextChar"/>
    <w:uiPriority w:val="99"/>
    <w:semiHidden/>
    <w:unhideWhenUsed/>
    <w:rsid w:val="004A0936"/>
    <w:pPr>
      <w:spacing w:after="120"/>
    </w:pPr>
  </w:style>
  <w:style w:type="character" w:customStyle="1" w:styleId="BodyTextChar">
    <w:name w:val="Body Text Char"/>
    <w:basedOn w:val="DefaultParagraphFont"/>
    <w:link w:val="BodyText"/>
    <w:uiPriority w:val="99"/>
    <w:semiHidden/>
    <w:rsid w:val="004A0936"/>
    <w:rPr>
      <w:rFonts w:ascii="Calibri" w:eastAsia="Calibri" w:hAnsi="Calibri" w:cs="Times New Roman"/>
    </w:rPr>
  </w:style>
  <w:style w:type="table" w:styleId="TableGrid">
    <w:name w:val="Table Grid"/>
    <w:basedOn w:val="TableNormal"/>
    <w:uiPriority w:val="59"/>
    <w:rsid w:val="008627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B5168"/>
    <w:pPr>
      <w:spacing w:before="100" w:beforeAutospacing="1" w:after="100" w:afterAutospacing="1" w:line="240" w:lineRule="auto"/>
    </w:pPr>
    <w:rPr>
      <w:rFonts w:eastAsiaTheme="minorHAnsi" w:cs="Calibri"/>
    </w:rPr>
  </w:style>
  <w:style w:type="table" w:customStyle="1" w:styleId="PlainTable31">
    <w:name w:val="Plain Table 31"/>
    <w:basedOn w:val="TableNormal"/>
    <w:uiPriority w:val="43"/>
    <w:rsid w:val="00962B6A"/>
    <w:pPr>
      <w:spacing w:after="0" w:line="240" w:lineRule="auto"/>
    </w:pPr>
    <w:rPr>
      <w:rFonts w:ascii="Arial" w:eastAsiaTheme="minorHAnsi" w:hAnsi="Arial"/>
      <w:sz w:val="24"/>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PlainText">
    <w:name w:val="Plain Text"/>
    <w:basedOn w:val="Normal"/>
    <w:link w:val="PlainTextChar"/>
    <w:uiPriority w:val="99"/>
    <w:semiHidden/>
    <w:unhideWhenUsed/>
    <w:rsid w:val="005C4840"/>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semiHidden/>
    <w:rsid w:val="005C4840"/>
    <w:rPr>
      <w:rFonts w:ascii="Calibri" w:eastAsiaTheme="minorHAnsi" w:hAnsi="Calibri"/>
      <w:szCs w:val="21"/>
    </w:rPr>
  </w:style>
  <w:style w:type="paragraph" w:styleId="Revision">
    <w:name w:val="Revision"/>
    <w:hidden/>
    <w:uiPriority w:val="99"/>
    <w:semiHidden/>
    <w:rsid w:val="00611160"/>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0E78B3"/>
    <w:rPr>
      <w:sz w:val="16"/>
      <w:szCs w:val="16"/>
    </w:rPr>
  </w:style>
  <w:style w:type="paragraph" w:styleId="CommentText">
    <w:name w:val="annotation text"/>
    <w:basedOn w:val="Normal"/>
    <w:link w:val="CommentTextChar"/>
    <w:uiPriority w:val="99"/>
    <w:unhideWhenUsed/>
    <w:rsid w:val="000E78B3"/>
    <w:pPr>
      <w:spacing w:line="240" w:lineRule="auto"/>
    </w:pPr>
    <w:rPr>
      <w:sz w:val="20"/>
      <w:szCs w:val="20"/>
    </w:rPr>
  </w:style>
  <w:style w:type="character" w:customStyle="1" w:styleId="CommentTextChar">
    <w:name w:val="Comment Text Char"/>
    <w:basedOn w:val="DefaultParagraphFont"/>
    <w:link w:val="CommentText"/>
    <w:uiPriority w:val="99"/>
    <w:rsid w:val="000E78B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E78B3"/>
    <w:rPr>
      <w:b/>
      <w:bCs/>
    </w:rPr>
  </w:style>
  <w:style w:type="character" w:customStyle="1" w:styleId="CommentSubjectChar">
    <w:name w:val="Comment Subject Char"/>
    <w:basedOn w:val="CommentTextChar"/>
    <w:link w:val="CommentSubject"/>
    <w:uiPriority w:val="99"/>
    <w:semiHidden/>
    <w:rsid w:val="000E78B3"/>
    <w:rPr>
      <w:rFonts w:ascii="Calibri" w:eastAsia="Calibri" w:hAnsi="Calibri" w:cs="Times New Roman"/>
      <w:b/>
      <w:bCs/>
      <w:sz w:val="20"/>
      <w:szCs w:val="20"/>
    </w:rPr>
  </w:style>
  <w:style w:type="character" w:customStyle="1" w:styleId="UnresolvedMention1">
    <w:name w:val="Unresolved Mention1"/>
    <w:basedOn w:val="DefaultParagraphFont"/>
    <w:uiPriority w:val="99"/>
    <w:semiHidden/>
    <w:unhideWhenUsed/>
    <w:rsid w:val="00933D37"/>
    <w:rPr>
      <w:color w:val="605E5C"/>
      <w:shd w:val="clear" w:color="auto" w:fill="E1DFDD"/>
    </w:rPr>
  </w:style>
  <w:style w:type="character" w:styleId="FollowedHyperlink">
    <w:name w:val="FollowedHyperlink"/>
    <w:basedOn w:val="DefaultParagraphFont"/>
    <w:uiPriority w:val="99"/>
    <w:semiHidden/>
    <w:unhideWhenUsed/>
    <w:rsid w:val="00933D37"/>
    <w:rPr>
      <w:color w:val="800080" w:themeColor="followedHyperlink"/>
      <w:u w:val="single"/>
    </w:rPr>
  </w:style>
  <w:style w:type="character" w:customStyle="1" w:styleId="sect-efts-search-match-khjdickkwg">
    <w:name w:val="sect-efts-search-match-khjdickkwg"/>
    <w:basedOn w:val="DefaultParagraphFont"/>
    <w:rsid w:val="007D0B3E"/>
  </w:style>
  <w:style w:type="character" w:styleId="Emphasis">
    <w:name w:val="Emphasis"/>
    <w:basedOn w:val="DefaultParagraphFont"/>
    <w:uiPriority w:val="20"/>
    <w:qFormat/>
    <w:rsid w:val="003041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634761">
      <w:bodyDiv w:val="1"/>
      <w:marLeft w:val="0"/>
      <w:marRight w:val="0"/>
      <w:marTop w:val="0"/>
      <w:marBottom w:val="0"/>
      <w:divBdr>
        <w:top w:val="none" w:sz="0" w:space="0" w:color="auto"/>
        <w:left w:val="none" w:sz="0" w:space="0" w:color="auto"/>
        <w:bottom w:val="none" w:sz="0" w:space="0" w:color="auto"/>
        <w:right w:val="none" w:sz="0" w:space="0" w:color="auto"/>
      </w:divBdr>
    </w:div>
    <w:div w:id="734352762">
      <w:bodyDiv w:val="1"/>
      <w:marLeft w:val="0"/>
      <w:marRight w:val="0"/>
      <w:marTop w:val="0"/>
      <w:marBottom w:val="0"/>
      <w:divBdr>
        <w:top w:val="none" w:sz="0" w:space="0" w:color="auto"/>
        <w:left w:val="none" w:sz="0" w:space="0" w:color="auto"/>
        <w:bottom w:val="none" w:sz="0" w:space="0" w:color="auto"/>
        <w:right w:val="none" w:sz="0" w:space="0" w:color="auto"/>
      </w:divBdr>
    </w:div>
    <w:div w:id="795100052">
      <w:bodyDiv w:val="1"/>
      <w:marLeft w:val="0"/>
      <w:marRight w:val="0"/>
      <w:marTop w:val="0"/>
      <w:marBottom w:val="0"/>
      <w:divBdr>
        <w:top w:val="none" w:sz="0" w:space="0" w:color="auto"/>
        <w:left w:val="none" w:sz="0" w:space="0" w:color="auto"/>
        <w:bottom w:val="none" w:sz="0" w:space="0" w:color="auto"/>
        <w:right w:val="none" w:sz="0" w:space="0" w:color="auto"/>
      </w:divBdr>
    </w:div>
    <w:div w:id="1016275707">
      <w:bodyDiv w:val="1"/>
      <w:marLeft w:val="0"/>
      <w:marRight w:val="0"/>
      <w:marTop w:val="0"/>
      <w:marBottom w:val="0"/>
      <w:divBdr>
        <w:top w:val="none" w:sz="0" w:space="0" w:color="auto"/>
        <w:left w:val="none" w:sz="0" w:space="0" w:color="auto"/>
        <w:bottom w:val="none" w:sz="0" w:space="0" w:color="auto"/>
        <w:right w:val="none" w:sz="0" w:space="0" w:color="auto"/>
      </w:divBdr>
    </w:div>
    <w:div w:id="1532454398">
      <w:bodyDiv w:val="1"/>
      <w:marLeft w:val="0"/>
      <w:marRight w:val="0"/>
      <w:marTop w:val="0"/>
      <w:marBottom w:val="0"/>
      <w:divBdr>
        <w:top w:val="none" w:sz="0" w:space="0" w:color="auto"/>
        <w:left w:val="none" w:sz="0" w:space="0" w:color="auto"/>
        <w:bottom w:val="none" w:sz="0" w:space="0" w:color="auto"/>
        <w:right w:val="none" w:sz="0" w:space="0" w:color="auto"/>
      </w:divBdr>
    </w:div>
    <w:div w:id="1574466161">
      <w:bodyDiv w:val="1"/>
      <w:marLeft w:val="0"/>
      <w:marRight w:val="0"/>
      <w:marTop w:val="0"/>
      <w:marBottom w:val="0"/>
      <w:divBdr>
        <w:top w:val="none" w:sz="0" w:space="0" w:color="auto"/>
        <w:left w:val="none" w:sz="0" w:space="0" w:color="auto"/>
        <w:bottom w:val="none" w:sz="0" w:space="0" w:color="auto"/>
        <w:right w:val="none" w:sz="0" w:space="0" w:color="auto"/>
      </w:divBdr>
    </w:div>
    <w:div w:id="1765564147">
      <w:bodyDiv w:val="1"/>
      <w:marLeft w:val="0"/>
      <w:marRight w:val="0"/>
      <w:marTop w:val="0"/>
      <w:marBottom w:val="0"/>
      <w:divBdr>
        <w:top w:val="none" w:sz="0" w:space="0" w:color="auto"/>
        <w:left w:val="none" w:sz="0" w:space="0" w:color="auto"/>
        <w:bottom w:val="none" w:sz="0" w:space="0" w:color="auto"/>
        <w:right w:val="none" w:sz="0" w:space="0" w:color="auto"/>
      </w:divBdr>
    </w:div>
    <w:div w:id="1776974884">
      <w:bodyDiv w:val="1"/>
      <w:marLeft w:val="0"/>
      <w:marRight w:val="0"/>
      <w:marTop w:val="0"/>
      <w:marBottom w:val="0"/>
      <w:divBdr>
        <w:top w:val="none" w:sz="0" w:space="0" w:color="auto"/>
        <w:left w:val="none" w:sz="0" w:space="0" w:color="auto"/>
        <w:bottom w:val="none" w:sz="0" w:space="0" w:color="auto"/>
        <w:right w:val="none" w:sz="0" w:space="0" w:color="auto"/>
      </w:divBdr>
    </w:div>
    <w:div w:id="2109961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etroliaenergy.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7E1B56-E9AB-4D16-B7F5-6B06E888E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1328</Words>
  <Characters>7573</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bbarton24</dc:creator>
  <cp:lastModifiedBy>Mark Allen</cp:lastModifiedBy>
  <cp:revision>2</cp:revision>
  <cp:lastPrinted>2023-03-07T14:22:00Z</cp:lastPrinted>
  <dcterms:created xsi:type="dcterms:W3CDTF">2023-03-15T18:31:00Z</dcterms:created>
  <dcterms:modified xsi:type="dcterms:W3CDTF">2023-03-15T18:31:00Z</dcterms:modified>
</cp:coreProperties>
</file>