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E0AC6" w14:textId="77777777" w:rsidR="0057101E" w:rsidRDefault="0057101E" w:rsidP="005E65E6">
      <w:pPr>
        <w:pStyle w:val="Title"/>
        <w:ind w:right="-234"/>
        <w:contextualSpacing/>
        <w:jc w:val="center"/>
        <w:rPr>
          <w:bCs/>
          <w:szCs w:val="28"/>
        </w:rPr>
      </w:pPr>
    </w:p>
    <w:p w14:paraId="1E102B11" w14:textId="77777777" w:rsidR="00C31DE4" w:rsidRDefault="00C31DE4" w:rsidP="005E65E6">
      <w:pPr>
        <w:pStyle w:val="Title"/>
        <w:ind w:right="-234"/>
        <w:contextualSpacing/>
        <w:jc w:val="center"/>
        <w:rPr>
          <w:bCs/>
        </w:rPr>
      </w:pPr>
      <w:bookmarkStart w:id="0" w:name="_Hlk15488287"/>
      <w:bookmarkStart w:id="1" w:name="_Hlk345703"/>
      <w:bookmarkStart w:id="2" w:name="_Hlk345671"/>
      <w:r>
        <w:rPr>
          <w:bCs/>
          <w:szCs w:val="28"/>
        </w:rPr>
        <w:t xml:space="preserve">Focus Financial Partners Reports </w:t>
      </w:r>
      <w:r w:rsidR="005E65E6">
        <w:rPr>
          <w:bCs/>
          <w:szCs w:val="28"/>
        </w:rPr>
        <w:t>First</w:t>
      </w:r>
      <w:r>
        <w:rPr>
          <w:bCs/>
          <w:szCs w:val="28"/>
        </w:rPr>
        <w:t xml:space="preserve"> Quarter 202</w:t>
      </w:r>
      <w:r w:rsidR="005E65E6">
        <w:rPr>
          <w:bCs/>
          <w:szCs w:val="28"/>
        </w:rPr>
        <w:t>3</w:t>
      </w:r>
      <w:r>
        <w:rPr>
          <w:bCs/>
          <w:szCs w:val="28"/>
        </w:rPr>
        <w:t xml:space="preserve"> Results</w:t>
      </w:r>
    </w:p>
    <w:p w14:paraId="6D50FC8C" w14:textId="2B19A271" w:rsidR="00C31DE4" w:rsidRDefault="003A5135" w:rsidP="005E65E6">
      <w:pPr>
        <w:pStyle w:val="Title"/>
        <w:ind w:right="-234"/>
        <w:contextualSpacing/>
        <w:jc w:val="center"/>
        <w:rPr>
          <w:b w:val="0"/>
          <w:i/>
          <w:sz w:val="23"/>
          <w:szCs w:val="23"/>
        </w:rPr>
      </w:pPr>
      <w:r>
        <w:rPr>
          <w:b w:val="0"/>
          <w:i/>
          <w:szCs w:val="28"/>
        </w:rPr>
        <w:t>Resilient Financial Performance and Strong M&amp;A Momentum Despite Challenging Macro Environment</w:t>
      </w:r>
    </w:p>
    <w:p w14:paraId="56F56ABD" w14:textId="77777777" w:rsidR="00C31DE4" w:rsidRDefault="00C31DE4" w:rsidP="005E65E6">
      <w:pPr>
        <w:pStyle w:val="Title"/>
        <w:ind w:right="-234"/>
        <w:contextualSpacing/>
        <w:jc w:val="center"/>
        <w:rPr>
          <w:b w:val="0"/>
          <w:sz w:val="22"/>
        </w:rPr>
      </w:pPr>
      <w:r>
        <w:rPr>
          <w:b w:val="0"/>
          <w:i/>
          <w:szCs w:val="28"/>
        </w:rPr>
        <w:t xml:space="preserve"> </w:t>
      </w:r>
    </w:p>
    <w:p w14:paraId="200CB372" w14:textId="77777777" w:rsidR="00C31DE4" w:rsidRDefault="00C31DE4" w:rsidP="005E65E6">
      <w:pPr>
        <w:spacing w:after="0" w:line="240" w:lineRule="auto"/>
        <w:jc w:val="both"/>
        <w:rPr>
          <w:rFonts w:cstheme="minorHAnsi"/>
          <w:sz w:val="23"/>
          <w:szCs w:val="23"/>
        </w:rPr>
      </w:pPr>
      <w:r>
        <w:rPr>
          <w:rFonts w:cstheme="minorHAnsi"/>
          <w:b/>
          <w:bCs/>
          <w:sz w:val="23"/>
          <w:szCs w:val="23"/>
        </w:rPr>
        <w:t>New York, New York</w:t>
      </w:r>
      <w:r>
        <w:rPr>
          <w:rFonts w:cstheme="minorHAnsi"/>
          <w:sz w:val="23"/>
          <w:szCs w:val="23"/>
        </w:rPr>
        <w:t xml:space="preserve"> – </w:t>
      </w:r>
      <w:r w:rsidR="005E65E6">
        <w:rPr>
          <w:rFonts w:cstheme="minorHAnsi"/>
          <w:sz w:val="23"/>
          <w:szCs w:val="23"/>
        </w:rPr>
        <w:t>May 4</w:t>
      </w:r>
      <w:r>
        <w:rPr>
          <w:rFonts w:cstheme="minorHAnsi"/>
          <w:sz w:val="23"/>
          <w:szCs w:val="23"/>
        </w:rPr>
        <w:t>, 202</w:t>
      </w:r>
      <w:r w:rsidR="00565A6B">
        <w:rPr>
          <w:rFonts w:cstheme="minorHAnsi"/>
          <w:sz w:val="23"/>
          <w:szCs w:val="23"/>
        </w:rPr>
        <w:t>3</w:t>
      </w:r>
      <w:r>
        <w:rPr>
          <w:rFonts w:cstheme="minorHAnsi"/>
          <w:sz w:val="23"/>
          <w:szCs w:val="23"/>
        </w:rPr>
        <w:t xml:space="preserve"> – Focus Financial Partners Inc. (Nasdaq: FOCS) (“Focus Inc.”, “Focus”, the “Company”, “we”, “us” or “our”), a leading partnership of independent, fiduciary wealth management firms, today reported results for its </w:t>
      </w:r>
      <w:r w:rsidR="005E65E6">
        <w:rPr>
          <w:rFonts w:cstheme="minorHAnsi"/>
          <w:sz w:val="23"/>
          <w:szCs w:val="23"/>
        </w:rPr>
        <w:t>first</w:t>
      </w:r>
      <w:r>
        <w:rPr>
          <w:rFonts w:cstheme="minorHAnsi"/>
          <w:sz w:val="23"/>
          <w:szCs w:val="23"/>
        </w:rPr>
        <w:t xml:space="preserve"> quarter</w:t>
      </w:r>
      <w:r w:rsidR="00565A6B">
        <w:rPr>
          <w:rFonts w:cstheme="minorHAnsi"/>
          <w:sz w:val="23"/>
          <w:szCs w:val="23"/>
        </w:rPr>
        <w:t xml:space="preserve"> </w:t>
      </w:r>
      <w:r>
        <w:rPr>
          <w:rFonts w:cstheme="minorHAnsi"/>
          <w:sz w:val="23"/>
          <w:szCs w:val="23"/>
        </w:rPr>
        <w:t xml:space="preserve">ended </w:t>
      </w:r>
      <w:r w:rsidR="005E65E6">
        <w:rPr>
          <w:rFonts w:cstheme="minorHAnsi"/>
          <w:sz w:val="23"/>
          <w:szCs w:val="23"/>
        </w:rPr>
        <w:t>March</w:t>
      </w:r>
      <w:r>
        <w:rPr>
          <w:rFonts w:cstheme="minorHAnsi"/>
          <w:sz w:val="23"/>
          <w:szCs w:val="23"/>
        </w:rPr>
        <w:t xml:space="preserve"> 3</w:t>
      </w:r>
      <w:r w:rsidR="00565A6B">
        <w:rPr>
          <w:rFonts w:cstheme="minorHAnsi"/>
          <w:sz w:val="23"/>
          <w:szCs w:val="23"/>
        </w:rPr>
        <w:t>1</w:t>
      </w:r>
      <w:r>
        <w:rPr>
          <w:rFonts w:cstheme="minorHAnsi"/>
          <w:sz w:val="23"/>
          <w:szCs w:val="23"/>
        </w:rPr>
        <w:t>, 202</w:t>
      </w:r>
      <w:r w:rsidR="005E65E6">
        <w:rPr>
          <w:rFonts w:cstheme="minorHAnsi"/>
          <w:sz w:val="23"/>
          <w:szCs w:val="23"/>
        </w:rPr>
        <w:t>3</w:t>
      </w:r>
      <w:r>
        <w:rPr>
          <w:rFonts w:cstheme="minorHAnsi"/>
          <w:sz w:val="23"/>
          <w:szCs w:val="23"/>
        </w:rPr>
        <w:t>.</w:t>
      </w:r>
    </w:p>
    <w:p w14:paraId="224CEDA3" w14:textId="77777777" w:rsidR="005E65E6" w:rsidRDefault="005E65E6" w:rsidP="005E65E6">
      <w:pPr>
        <w:pStyle w:val="NoSpacing"/>
        <w:rPr>
          <w:rFonts w:cstheme="minorHAnsi"/>
          <w:b/>
          <w:bCs/>
          <w:sz w:val="23"/>
          <w:szCs w:val="23"/>
        </w:rPr>
      </w:pPr>
    </w:p>
    <w:p w14:paraId="7C455C27" w14:textId="77777777" w:rsidR="00C31DE4" w:rsidRDefault="005E65E6" w:rsidP="002A704B">
      <w:pPr>
        <w:pStyle w:val="NoSpacing"/>
        <w:rPr>
          <w:rFonts w:cstheme="minorHAnsi"/>
          <w:b/>
          <w:bCs/>
          <w:sz w:val="23"/>
          <w:szCs w:val="23"/>
        </w:rPr>
      </w:pPr>
      <w:r>
        <w:rPr>
          <w:rFonts w:cstheme="minorHAnsi"/>
          <w:b/>
          <w:bCs/>
          <w:sz w:val="23"/>
          <w:szCs w:val="23"/>
        </w:rPr>
        <w:t>First</w:t>
      </w:r>
      <w:r w:rsidR="00C31DE4">
        <w:rPr>
          <w:rFonts w:cstheme="minorHAnsi"/>
          <w:b/>
          <w:bCs/>
          <w:sz w:val="23"/>
          <w:szCs w:val="23"/>
        </w:rPr>
        <w:t xml:space="preserve"> Quarter 202</w:t>
      </w:r>
      <w:r>
        <w:rPr>
          <w:rFonts w:cstheme="minorHAnsi"/>
          <w:b/>
          <w:bCs/>
          <w:sz w:val="23"/>
          <w:szCs w:val="23"/>
        </w:rPr>
        <w:t>3</w:t>
      </w:r>
      <w:r w:rsidR="00C31DE4">
        <w:rPr>
          <w:rFonts w:cstheme="minorHAnsi"/>
          <w:b/>
          <w:bCs/>
          <w:sz w:val="23"/>
          <w:szCs w:val="23"/>
        </w:rPr>
        <w:t xml:space="preserve"> Highlights</w:t>
      </w:r>
    </w:p>
    <w:p w14:paraId="0BED517C" w14:textId="38F1A2AC" w:rsidR="002A704B" w:rsidRPr="002A704B" w:rsidRDefault="002A704B" w:rsidP="00B65D59">
      <w:pPr>
        <w:pStyle w:val="ListParagraph"/>
        <w:numPr>
          <w:ilvl w:val="0"/>
          <w:numId w:val="14"/>
        </w:numPr>
        <w:spacing w:line="240" w:lineRule="auto"/>
        <w:rPr>
          <w:rFonts w:cstheme="minorHAnsi"/>
          <w:sz w:val="23"/>
          <w:szCs w:val="23"/>
        </w:rPr>
      </w:pPr>
      <w:r w:rsidRPr="002A704B">
        <w:rPr>
          <w:rFonts w:cstheme="minorHAnsi"/>
          <w:sz w:val="23"/>
          <w:szCs w:val="23"/>
        </w:rPr>
        <w:t>Total revenues of $5</w:t>
      </w:r>
      <w:r>
        <w:rPr>
          <w:rFonts w:cstheme="minorHAnsi"/>
          <w:sz w:val="23"/>
          <w:szCs w:val="23"/>
        </w:rPr>
        <w:t>5</w:t>
      </w:r>
      <w:r w:rsidRPr="002A704B">
        <w:rPr>
          <w:rFonts w:cstheme="minorHAnsi"/>
          <w:sz w:val="23"/>
          <w:szCs w:val="23"/>
        </w:rPr>
        <w:t>7.</w:t>
      </w:r>
      <w:r w:rsidR="003979F7">
        <w:rPr>
          <w:rFonts w:cstheme="minorHAnsi"/>
          <w:sz w:val="23"/>
          <w:szCs w:val="23"/>
        </w:rPr>
        <w:t>5</w:t>
      </w:r>
      <w:r w:rsidRPr="002A704B">
        <w:rPr>
          <w:rFonts w:cstheme="minorHAnsi"/>
          <w:sz w:val="23"/>
          <w:szCs w:val="23"/>
        </w:rPr>
        <w:t xml:space="preserve"> million, </w:t>
      </w:r>
      <w:r>
        <w:rPr>
          <w:rFonts w:cstheme="minorHAnsi"/>
          <w:sz w:val="23"/>
          <w:szCs w:val="23"/>
        </w:rPr>
        <w:t>3</w:t>
      </w:r>
      <w:r w:rsidRPr="002A704B">
        <w:rPr>
          <w:rFonts w:cstheme="minorHAnsi"/>
          <w:sz w:val="23"/>
          <w:szCs w:val="23"/>
        </w:rPr>
        <w:t>.</w:t>
      </w:r>
      <w:r>
        <w:rPr>
          <w:rFonts w:cstheme="minorHAnsi"/>
          <w:sz w:val="23"/>
          <w:szCs w:val="23"/>
        </w:rPr>
        <w:t>9</w:t>
      </w:r>
      <w:r w:rsidRPr="002A704B">
        <w:rPr>
          <w:rFonts w:cstheme="minorHAnsi"/>
          <w:sz w:val="23"/>
          <w:szCs w:val="23"/>
        </w:rPr>
        <w:t>% growth year over year</w:t>
      </w:r>
    </w:p>
    <w:p w14:paraId="2A5BCBB4" w14:textId="77777777" w:rsidR="002A704B" w:rsidRPr="002A704B" w:rsidRDefault="002A704B" w:rsidP="00B65D59">
      <w:pPr>
        <w:pStyle w:val="ListParagraph"/>
        <w:numPr>
          <w:ilvl w:val="0"/>
          <w:numId w:val="14"/>
        </w:numPr>
        <w:spacing w:line="240" w:lineRule="auto"/>
        <w:rPr>
          <w:rFonts w:cstheme="minorHAnsi"/>
          <w:sz w:val="23"/>
          <w:szCs w:val="23"/>
        </w:rPr>
      </w:pPr>
      <w:r w:rsidRPr="002A704B">
        <w:rPr>
          <w:rFonts w:cstheme="minorHAnsi"/>
          <w:sz w:val="23"/>
          <w:szCs w:val="23"/>
        </w:rPr>
        <w:t xml:space="preserve">Organic revenue </w:t>
      </w:r>
      <w:proofErr w:type="gramStart"/>
      <w:r w:rsidRPr="002A704B">
        <w:rPr>
          <w:rFonts w:cstheme="minorHAnsi"/>
          <w:sz w:val="23"/>
          <w:szCs w:val="23"/>
        </w:rPr>
        <w:t>growth</w:t>
      </w:r>
      <w:r w:rsidRPr="002A704B">
        <w:rPr>
          <w:rFonts w:cstheme="minorHAnsi"/>
          <w:sz w:val="23"/>
          <w:szCs w:val="23"/>
          <w:vertAlign w:val="superscript"/>
        </w:rPr>
        <w:t>(</w:t>
      </w:r>
      <w:proofErr w:type="gramEnd"/>
      <w:r w:rsidRPr="002A704B">
        <w:rPr>
          <w:rFonts w:cstheme="minorHAnsi"/>
          <w:sz w:val="23"/>
          <w:szCs w:val="23"/>
          <w:vertAlign w:val="superscript"/>
        </w:rPr>
        <w:t>1)</w:t>
      </w:r>
      <w:r w:rsidRPr="002A704B">
        <w:rPr>
          <w:rFonts w:cstheme="minorHAnsi"/>
          <w:sz w:val="23"/>
          <w:szCs w:val="23"/>
        </w:rPr>
        <w:t xml:space="preserve"> rate of </w:t>
      </w:r>
      <w:r w:rsidR="00DE342E">
        <w:rPr>
          <w:rFonts w:cstheme="minorHAnsi"/>
          <w:sz w:val="23"/>
          <w:szCs w:val="23"/>
        </w:rPr>
        <w:t>0</w:t>
      </w:r>
      <w:r w:rsidRPr="002A704B">
        <w:rPr>
          <w:rFonts w:cstheme="minorHAnsi"/>
          <w:sz w:val="23"/>
          <w:szCs w:val="23"/>
        </w:rPr>
        <w:t>.</w:t>
      </w:r>
      <w:r w:rsidR="00DE342E">
        <w:rPr>
          <w:rFonts w:cstheme="minorHAnsi"/>
          <w:sz w:val="23"/>
          <w:szCs w:val="23"/>
        </w:rPr>
        <w:t>3</w:t>
      </w:r>
      <w:r w:rsidRPr="002A704B">
        <w:rPr>
          <w:rFonts w:cstheme="minorHAnsi"/>
          <w:sz w:val="23"/>
          <w:szCs w:val="23"/>
        </w:rPr>
        <w:t>% year over year</w:t>
      </w:r>
    </w:p>
    <w:p w14:paraId="1EA28113" w14:textId="77777777" w:rsidR="002A704B" w:rsidRPr="002A704B" w:rsidRDefault="002A704B" w:rsidP="00B65D59">
      <w:pPr>
        <w:pStyle w:val="ListParagraph"/>
        <w:numPr>
          <w:ilvl w:val="0"/>
          <w:numId w:val="14"/>
        </w:numPr>
        <w:spacing w:line="240" w:lineRule="auto"/>
        <w:rPr>
          <w:rFonts w:cstheme="minorHAnsi"/>
          <w:sz w:val="23"/>
          <w:szCs w:val="23"/>
        </w:rPr>
      </w:pPr>
      <w:r w:rsidRPr="002A704B">
        <w:rPr>
          <w:rFonts w:cstheme="minorHAnsi"/>
          <w:sz w:val="23"/>
          <w:szCs w:val="23"/>
        </w:rPr>
        <w:t xml:space="preserve">GAAP net loss of </w:t>
      </w:r>
      <w:r w:rsidR="000C035F">
        <w:rPr>
          <w:rFonts w:cstheme="minorHAnsi"/>
          <w:sz w:val="23"/>
          <w:szCs w:val="23"/>
        </w:rPr>
        <w:t>(</w:t>
      </w:r>
      <w:r w:rsidRPr="002A704B">
        <w:rPr>
          <w:rFonts w:cstheme="minorHAnsi"/>
          <w:sz w:val="23"/>
          <w:szCs w:val="23"/>
        </w:rPr>
        <w:t>$</w:t>
      </w:r>
      <w:r w:rsidR="00DE342E">
        <w:rPr>
          <w:rFonts w:cstheme="minorHAnsi"/>
          <w:sz w:val="23"/>
          <w:szCs w:val="23"/>
        </w:rPr>
        <w:t>7.0</w:t>
      </w:r>
      <w:r w:rsidR="000C035F">
        <w:rPr>
          <w:rFonts w:cstheme="minorHAnsi"/>
          <w:sz w:val="23"/>
          <w:szCs w:val="23"/>
        </w:rPr>
        <w:t>)</w:t>
      </w:r>
      <w:r w:rsidRPr="002A704B">
        <w:rPr>
          <w:rFonts w:cstheme="minorHAnsi"/>
          <w:sz w:val="23"/>
          <w:szCs w:val="23"/>
        </w:rPr>
        <w:t xml:space="preserve"> million</w:t>
      </w:r>
    </w:p>
    <w:p w14:paraId="5B3E70B8" w14:textId="34D3BA3A" w:rsidR="002A704B" w:rsidRPr="002A704B" w:rsidRDefault="002A704B" w:rsidP="00B65D59">
      <w:pPr>
        <w:pStyle w:val="ListParagraph"/>
        <w:numPr>
          <w:ilvl w:val="0"/>
          <w:numId w:val="14"/>
        </w:numPr>
        <w:spacing w:line="240" w:lineRule="auto"/>
        <w:rPr>
          <w:rFonts w:cstheme="minorHAnsi"/>
          <w:sz w:val="23"/>
          <w:szCs w:val="23"/>
        </w:rPr>
      </w:pPr>
      <w:r w:rsidRPr="002A704B">
        <w:rPr>
          <w:rFonts w:cstheme="minorHAnsi"/>
          <w:sz w:val="23"/>
          <w:szCs w:val="23"/>
        </w:rPr>
        <w:t xml:space="preserve">GAAP basic </w:t>
      </w:r>
      <w:r w:rsidR="00DE342E">
        <w:rPr>
          <w:rFonts w:cstheme="minorHAnsi"/>
          <w:sz w:val="23"/>
          <w:szCs w:val="23"/>
        </w:rPr>
        <w:t>and diluted loss</w:t>
      </w:r>
      <w:r w:rsidRPr="002A704B">
        <w:rPr>
          <w:rFonts w:cstheme="minorHAnsi"/>
          <w:sz w:val="23"/>
          <w:szCs w:val="23"/>
        </w:rPr>
        <w:t xml:space="preserve"> per share of Class A common stock of </w:t>
      </w:r>
      <w:r w:rsidR="000C035F">
        <w:rPr>
          <w:rFonts w:cstheme="minorHAnsi"/>
          <w:sz w:val="23"/>
          <w:szCs w:val="23"/>
        </w:rPr>
        <w:t>(</w:t>
      </w:r>
      <w:r w:rsidRPr="002A704B">
        <w:rPr>
          <w:rFonts w:cstheme="minorHAnsi"/>
          <w:sz w:val="23"/>
          <w:szCs w:val="23"/>
        </w:rPr>
        <w:t>$0.01</w:t>
      </w:r>
      <w:r w:rsidR="000C035F">
        <w:rPr>
          <w:rFonts w:cstheme="minorHAnsi"/>
          <w:sz w:val="23"/>
          <w:szCs w:val="23"/>
        </w:rPr>
        <w:t>)</w:t>
      </w:r>
      <w:r w:rsidRPr="002A704B">
        <w:rPr>
          <w:rFonts w:cstheme="minorHAnsi"/>
          <w:sz w:val="23"/>
          <w:szCs w:val="23"/>
        </w:rPr>
        <w:t xml:space="preserve"> and </w:t>
      </w:r>
      <w:r w:rsidR="000C035F">
        <w:rPr>
          <w:rFonts w:cstheme="minorHAnsi"/>
          <w:sz w:val="23"/>
          <w:szCs w:val="23"/>
        </w:rPr>
        <w:t>(</w:t>
      </w:r>
      <w:r w:rsidRPr="002A704B">
        <w:rPr>
          <w:rFonts w:cstheme="minorHAnsi"/>
          <w:sz w:val="23"/>
          <w:szCs w:val="23"/>
        </w:rPr>
        <w:t>$0.</w:t>
      </w:r>
      <w:r w:rsidR="005C2225">
        <w:rPr>
          <w:rFonts w:cstheme="minorHAnsi"/>
          <w:sz w:val="23"/>
          <w:szCs w:val="23"/>
        </w:rPr>
        <w:t>22</w:t>
      </w:r>
      <w:r w:rsidR="000C035F">
        <w:rPr>
          <w:rFonts w:cstheme="minorHAnsi"/>
          <w:sz w:val="23"/>
          <w:szCs w:val="23"/>
        </w:rPr>
        <w:t>)</w:t>
      </w:r>
      <w:r w:rsidR="00DE342E">
        <w:rPr>
          <w:rFonts w:cstheme="minorHAnsi"/>
          <w:sz w:val="23"/>
          <w:szCs w:val="23"/>
        </w:rPr>
        <w:t>, respectively</w:t>
      </w:r>
    </w:p>
    <w:p w14:paraId="0577333D" w14:textId="77777777" w:rsidR="002A704B" w:rsidRPr="002A704B" w:rsidRDefault="002A704B" w:rsidP="00B65D59">
      <w:pPr>
        <w:pStyle w:val="ListParagraph"/>
        <w:numPr>
          <w:ilvl w:val="0"/>
          <w:numId w:val="14"/>
        </w:numPr>
        <w:spacing w:line="240" w:lineRule="auto"/>
        <w:rPr>
          <w:rFonts w:cstheme="minorHAnsi"/>
          <w:sz w:val="23"/>
          <w:szCs w:val="23"/>
        </w:rPr>
      </w:pPr>
      <w:r w:rsidRPr="002A704B">
        <w:rPr>
          <w:rFonts w:cstheme="minorHAnsi"/>
          <w:sz w:val="23"/>
          <w:szCs w:val="23"/>
        </w:rPr>
        <w:t xml:space="preserve">Adjusted Net Income Excluding Tax </w:t>
      </w:r>
      <w:proofErr w:type="gramStart"/>
      <w:r w:rsidRPr="002A704B">
        <w:rPr>
          <w:rFonts w:cstheme="minorHAnsi"/>
          <w:sz w:val="23"/>
          <w:szCs w:val="23"/>
        </w:rPr>
        <w:t>Adjustments</w:t>
      </w:r>
      <w:r w:rsidRPr="002A704B">
        <w:rPr>
          <w:rFonts w:cstheme="minorHAnsi"/>
          <w:sz w:val="23"/>
          <w:szCs w:val="23"/>
          <w:vertAlign w:val="superscript"/>
        </w:rPr>
        <w:t>(</w:t>
      </w:r>
      <w:proofErr w:type="gramEnd"/>
      <w:r w:rsidRPr="002A704B">
        <w:rPr>
          <w:rFonts w:cstheme="minorHAnsi"/>
          <w:sz w:val="23"/>
          <w:szCs w:val="23"/>
          <w:vertAlign w:val="superscript"/>
        </w:rPr>
        <w:t>2)</w:t>
      </w:r>
      <w:r w:rsidRPr="002A704B">
        <w:rPr>
          <w:rFonts w:cstheme="minorHAnsi"/>
          <w:sz w:val="23"/>
          <w:szCs w:val="23"/>
        </w:rPr>
        <w:t xml:space="preserve"> of $6</w:t>
      </w:r>
      <w:r w:rsidR="00DE342E">
        <w:rPr>
          <w:rFonts w:cstheme="minorHAnsi"/>
          <w:sz w:val="23"/>
          <w:szCs w:val="23"/>
        </w:rPr>
        <w:t>0.1</w:t>
      </w:r>
      <w:r w:rsidRPr="002A704B">
        <w:rPr>
          <w:rFonts w:cstheme="minorHAnsi"/>
          <w:sz w:val="23"/>
          <w:szCs w:val="23"/>
        </w:rPr>
        <w:t xml:space="preserve"> million and Tax Adjustments</w:t>
      </w:r>
      <w:r w:rsidRPr="002A704B">
        <w:rPr>
          <w:rFonts w:cstheme="minorHAnsi"/>
          <w:sz w:val="23"/>
          <w:szCs w:val="23"/>
          <w:vertAlign w:val="superscript"/>
        </w:rPr>
        <w:t>(3)</w:t>
      </w:r>
      <w:r w:rsidRPr="002A704B">
        <w:rPr>
          <w:rFonts w:cstheme="minorHAnsi"/>
          <w:sz w:val="23"/>
          <w:szCs w:val="23"/>
        </w:rPr>
        <w:t xml:space="preserve"> of $1</w:t>
      </w:r>
      <w:r w:rsidR="00DE342E">
        <w:rPr>
          <w:rFonts w:cstheme="minorHAnsi"/>
          <w:sz w:val="23"/>
          <w:szCs w:val="23"/>
        </w:rPr>
        <w:t>7</w:t>
      </w:r>
      <w:r w:rsidRPr="002A704B">
        <w:rPr>
          <w:rFonts w:cstheme="minorHAnsi"/>
          <w:sz w:val="23"/>
          <w:szCs w:val="23"/>
        </w:rPr>
        <w:t>.</w:t>
      </w:r>
      <w:r w:rsidR="00DE342E">
        <w:rPr>
          <w:rFonts w:cstheme="minorHAnsi"/>
          <w:sz w:val="23"/>
          <w:szCs w:val="23"/>
        </w:rPr>
        <w:t>4</w:t>
      </w:r>
      <w:r w:rsidRPr="002A704B">
        <w:rPr>
          <w:rFonts w:cstheme="minorHAnsi"/>
          <w:sz w:val="23"/>
          <w:szCs w:val="23"/>
        </w:rPr>
        <w:t xml:space="preserve"> million</w:t>
      </w:r>
    </w:p>
    <w:p w14:paraId="48F57052" w14:textId="77777777" w:rsidR="002A704B" w:rsidRPr="002A704B" w:rsidRDefault="002A704B" w:rsidP="00B65D59">
      <w:pPr>
        <w:pStyle w:val="ListParagraph"/>
        <w:numPr>
          <w:ilvl w:val="0"/>
          <w:numId w:val="14"/>
        </w:numPr>
        <w:spacing w:line="240" w:lineRule="auto"/>
        <w:rPr>
          <w:rFonts w:cstheme="minorHAnsi"/>
          <w:sz w:val="23"/>
          <w:szCs w:val="23"/>
        </w:rPr>
      </w:pPr>
      <w:r w:rsidRPr="002A704B">
        <w:rPr>
          <w:rFonts w:cstheme="minorHAnsi"/>
          <w:sz w:val="23"/>
          <w:szCs w:val="23"/>
        </w:rPr>
        <w:t xml:space="preserve">Adjusted Net Income Excluding Tax Adjustments Per </w:t>
      </w:r>
      <w:proofErr w:type="gramStart"/>
      <w:r w:rsidRPr="002A704B">
        <w:rPr>
          <w:rFonts w:cstheme="minorHAnsi"/>
          <w:sz w:val="23"/>
          <w:szCs w:val="23"/>
        </w:rPr>
        <w:t>Share</w:t>
      </w:r>
      <w:r w:rsidRPr="002A704B">
        <w:rPr>
          <w:rFonts w:cstheme="minorHAnsi"/>
          <w:sz w:val="23"/>
          <w:szCs w:val="23"/>
          <w:vertAlign w:val="superscript"/>
        </w:rPr>
        <w:t>(</w:t>
      </w:r>
      <w:proofErr w:type="gramEnd"/>
      <w:r w:rsidRPr="002A704B">
        <w:rPr>
          <w:rFonts w:cstheme="minorHAnsi"/>
          <w:sz w:val="23"/>
          <w:szCs w:val="23"/>
          <w:vertAlign w:val="superscript"/>
        </w:rPr>
        <w:t>2)</w:t>
      </w:r>
      <w:r w:rsidRPr="002A704B">
        <w:rPr>
          <w:rFonts w:cstheme="minorHAnsi"/>
          <w:sz w:val="23"/>
          <w:szCs w:val="23"/>
        </w:rPr>
        <w:t xml:space="preserve"> of $0.</w:t>
      </w:r>
      <w:r w:rsidR="00DE342E">
        <w:rPr>
          <w:rFonts w:cstheme="minorHAnsi"/>
          <w:sz w:val="23"/>
          <w:szCs w:val="23"/>
        </w:rPr>
        <w:t>6</w:t>
      </w:r>
      <w:r w:rsidRPr="002A704B">
        <w:rPr>
          <w:rFonts w:cstheme="minorHAnsi"/>
          <w:sz w:val="23"/>
          <w:szCs w:val="23"/>
        </w:rPr>
        <w:t>9 and Tax Adjustments</w:t>
      </w:r>
      <w:r w:rsidRPr="002A704B">
        <w:rPr>
          <w:rFonts w:cstheme="minorHAnsi"/>
          <w:sz w:val="23"/>
          <w:szCs w:val="23"/>
          <w:vertAlign w:val="superscript"/>
        </w:rPr>
        <w:t>(3)</w:t>
      </w:r>
      <w:r w:rsidRPr="002A704B">
        <w:rPr>
          <w:rFonts w:cstheme="minorHAnsi"/>
          <w:sz w:val="23"/>
          <w:szCs w:val="23"/>
        </w:rPr>
        <w:t xml:space="preserve"> Per Share</w:t>
      </w:r>
      <w:r w:rsidRPr="002A704B">
        <w:rPr>
          <w:rFonts w:cstheme="minorHAnsi"/>
          <w:sz w:val="23"/>
          <w:szCs w:val="23"/>
          <w:vertAlign w:val="superscript"/>
        </w:rPr>
        <w:t>(2)</w:t>
      </w:r>
      <w:r w:rsidRPr="002A704B">
        <w:rPr>
          <w:rFonts w:cstheme="minorHAnsi"/>
          <w:sz w:val="23"/>
          <w:szCs w:val="23"/>
        </w:rPr>
        <w:t xml:space="preserve"> of $0.20</w:t>
      </w:r>
    </w:p>
    <w:p w14:paraId="0AE2C65F" w14:textId="77777777" w:rsidR="00C31DE4" w:rsidRDefault="002A704B" w:rsidP="00B65D59">
      <w:pPr>
        <w:pStyle w:val="ListParagraph"/>
        <w:numPr>
          <w:ilvl w:val="0"/>
          <w:numId w:val="14"/>
        </w:numPr>
        <w:spacing w:line="240" w:lineRule="auto"/>
        <w:ind w:right="-90"/>
        <w:rPr>
          <w:rFonts w:cstheme="minorHAnsi"/>
          <w:sz w:val="23"/>
          <w:szCs w:val="23"/>
        </w:rPr>
      </w:pPr>
      <w:r w:rsidRPr="002A704B">
        <w:rPr>
          <w:rFonts w:cstheme="minorHAnsi"/>
          <w:sz w:val="23"/>
          <w:szCs w:val="23"/>
        </w:rPr>
        <w:t xml:space="preserve">Net Leverage </w:t>
      </w:r>
      <w:proofErr w:type="gramStart"/>
      <w:r w:rsidRPr="002A704B">
        <w:rPr>
          <w:rFonts w:cstheme="minorHAnsi"/>
          <w:sz w:val="23"/>
          <w:szCs w:val="23"/>
        </w:rPr>
        <w:t>Ratio</w:t>
      </w:r>
      <w:r w:rsidRPr="002A704B">
        <w:rPr>
          <w:rFonts w:cstheme="minorHAnsi"/>
          <w:sz w:val="23"/>
          <w:szCs w:val="23"/>
          <w:vertAlign w:val="superscript"/>
        </w:rPr>
        <w:t>(</w:t>
      </w:r>
      <w:proofErr w:type="gramEnd"/>
      <w:r w:rsidRPr="002A704B">
        <w:rPr>
          <w:rFonts w:cstheme="minorHAnsi"/>
          <w:sz w:val="23"/>
          <w:szCs w:val="23"/>
          <w:vertAlign w:val="superscript"/>
        </w:rPr>
        <w:t>4)</w:t>
      </w:r>
      <w:r w:rsidRPr="002A704B">
        <w:rPr>
          <w:rFonts w:cstheme="minorHAnsi"/>
          <w:sz w:val="23"/>
          <w:szCs w:val="23"/>
        </w:rPr>
        <w:t xml:space="preserve"> of 4.</w:t>
      </w:r>
      <w:r w:rsidR="00DE342E">
        <w:rPr>
          <w:rFonts w:cstheme="minorHAnsi"/>
          <w:sz w:val="23"/>
          <w:szCs w:val="23"/>
        </w:rPr>
        <w:t>41</w:t>
      </w:r>
      <w:r w:rsidRPr="002A704B">
        <w:rPr>
          <w:rFonts w:cstheme="minorHAnsi"/>
          <w:sz w:val="23"/>
          <w:szCs w:val="23"/>
        </w:rPr>
        <w:t>x</w:t>
      </w:r>
    </w:p>
    <w:p w14:paraId="0F252BDA" w14:textId="0EBCCE7F" w:rsidR="003979F7" w:rsidRPr="003979F7" w:rsidRDefault="003979F7" w:rsidP="003979F7">
      <w:pPr>
        <w:pStyle w:val="ListParagraph"/>
        <w:numPr>
          <w:ilvl w:val="0"/>
          <w:numId w:val="14"/>
        </w:numPr>
        <w:spacing w:line="240" w:lineRule="auto"/>
        <w:ind w:right="-90"/>
        <w:rPr>
          <w:rFonts w:cstheme="minorHAnsi"/>
          <w:sz w:val="23"/>
          <w:szCs w:val="23"/>
        </w:rPr>
      </w:pPr>
      <w:r>
        <w:rPr>
          <w:rFonts w:cstheme="minorHAnsi"/>
          <w:sz w:val="23"/>
          <w:szCs w:val="23"/>
        </w:rPr>
        <w:t xml:space="preserve">On February 27, 2023, entered into an Agreement and Plan of Merger (the “Merger Agreement”) with </w:t>
      </w:r>
      <w:r w:rsidR="00F31147">
        <w:rPr>
          <w:rFonts w:cstheme="minorHAnsi"/>
          <w:sz w:val="23"/>
          <w:szCs w:val="23"/>
        </w:rPr>
        <w:t xml:space="preserve">affiliates of </w:t>
      </w:r>
      <w:r>
        <w:rPr>
          <w:rFonts w:cstheme="minorHAnsi"/>
          <w:sz w:val="23"/>
          <w:szCs w:val="23"/>
        </w:rPr>
        <w:t>Clayton, Dubilier &amp; Rice, LLC</w:t>
      </w:r>
      <w:r w:rsidR="00B05A4A">
        <w:rPr>
          <w:rFonts w:cstheme="minorHAnsi"/>
          <w:sz w:val="23"/>
          <w:szCs w:val="23"/>
        </w:rPr>
        <w:t xml:space="preserve"> (“CD&amp;R”)</w:t>
      </w:r>
      <w:r>
        <w:rPr>
          <w:rFonts w:cstheme="minorHAnsi"/>
          <w:sz w:val="23"/>
          <w:szCs w:val="23"/>
        </w:rPr>
        <w:t xml:space="preserve"> to be acquired</w:t>
      </w:r>
      <w:r w:rsidR="00B05A4A">
        <w:rPr>
          <w:rFonts w:cstheme="minorHAnsi"/>
          <w:sz w:val="23"/>
          <w:szCs w:val="23"/>
        </w:rPr>
        <w:t xml:space="preserve"> by CD&amp;R</w:t>
      </w:r>
      <w:r>
        <w:rPr>
          <w:rFonts w:cstheme="minorHAnsi"/>
          <w:sz w:val="23"/>
          <w:szCs w:val="23"/>
        </w:rPr>
        <w:t xml:space="preserve"> in an all-cash </w:t>
      </w:r>
      <w:proofErr w:type="gramStart"/>
      <w:r>
        <w:rPr>
          <w:rFonts w:cstheme="minorHAnsi"/>
          <w:sz w:val="23"/>
          <w:szCs w:val="23"/>
        </w:rPr>
        <w:t>transaction</w:t>
      </w:r>
      <w:proofErr w:type="gramEnd"/>
      <w:r>
        <w:rPr>
          <w:rFonts w:cstheme="minorHAnsi"/>
          <w:sz w:val="23"/>
          <w:szCs w:val="23"/>
        </w:rPr>
        <w:t xml:space="preserve"> </w:t>
      </w:r>
    </w:p>
    <w:p w14:paraId="239A5CA3" w14:textId="77777777" w:rsidR="00565A6B" w:rsidRDefault="00565A6B" w:rsidP="005E65E6">
      <w:pPr>
        <w:pStyle w:val="ListParagraph"/>
        <w:spacing w:line="240" w:lineRule="auto"/>
        <w:ind w:left="450" w:right="-90"/>
        <w:rPr>
          <w:rFonts w:cstheme="minorHAnsi"/>
          <w:sz w:val="23"/>
          <w:szCs w:val="23"/>
        </w:rPr>
      </w:pPr>
    </w:p>
    <w:p w14:paraId="73E0B1DA" w14:textId="77777777" w:rsidR="00C31DE4" w:rsidRDefault="00C31DE4" w:rsidP="00B65D59">
      <w:pPr>
        <w:pStyle w:val="ListParagraph"/>
        <w:numPr>
          <w:ilvl w:val="0"/>
          <w:numId w:val="1"/>
        </w:numPr>
        <w:spacing w:line="240" w:lineRule="auto"/>
        <w:ind w:left="540"/>
        <w:rPr>
          <w:rFonts w:cstheme="minorHAnsi"/>
          <w:sz w:val="18"/>
        </w:rPr>
      </w:pPr>
      <w:bookmarkStart w:id="3" w:name="_Hlk23332561"/>
      <w:r>
        <w:rPr>
          <w:rFonts w:cstheme="minorHAnsi"/>
          <w:sz w:val="18"/>
        </w:rPr>
        <w:t>Please see footnote 2 under “How We Evaluate Our Business” later in this press release.</w:t>
      </w:r>
    </w:p>
    <w:bookmarkEnd w:id="3"/>
    <w:p w14:paraId="0E13F3D5" w14:textId="77777777" w:rsidR="00C31DE4" w:rsidRDefault="00C31DE4" w:rsidP="00B65D59">
      <w:pPr>
        <w:pStyle w:val="ListParagraph"/>
        <w:numPr>
          <w:ilvl w:val="0"/>
          <w:numId w:val="1"/>
        </w:numPr>
        <w:spacing w:line="240" w:lineRule="auto"/>
        <w:ind w:left="540"/>
        <w:rPr>
          <w:rFonts w:cstheme="minorHAnsi"/>
          <w:sz w:val="18"/>
        </w:rPr>
      </w:pPr>
      <w:r>
        <w:rPr>
          <w:rFonts w:cstheme="minorHAnsi"/>
          <w:sz w:val="18"/>
        </w:rPr>
        <w:t xml:space="preserve">Non-GAAP financial measures. Please see “Reconciliation of Non-GAAP Financial Measures” </w:t>
      </w:r>
      <w:r>
        <w:rPr>
          <w:rFonts w:cstheme="minorHAnsi"/>
          <w:sz w:val="18"/>
          <w:szCs w:val="18"/>
        </w:rPr>
        <w:t>later in this press release</w:t>
      </w:r>
      <w:r>
        <w:rPr>
          <w:rFonts w:cstheme="minorHAnsi"/>
          <w:sz w:val="18"/>
        </w:rPr>
        <w:t xml:space="preserve"> for a reconciliation and more information on these measures.</w:t>
      </w:r>
    </w:p>
    <w:p w14:paraId="2E7DDAC4" w14:textId="77777777" w:rsidR="00C31DE4" w:rsidRDefault="00C31DE4" w:rsidP="00B65D59">
      <w:pPr>
        <w:pStyle w:val="ListParagraph"/>
        <w:numPr>
          <w:ilvl w:val="0"/>
          <w:numId w:val="1"/>
        </w:numPr>
        <w:spacing w:line="240" w:lineRule="auto"/>
        <w:ind w:left="540"/>
        <w:rPr>
          <w:rFonts w:cstheme="minorHAnsi"/>
          <w:sz w:val="18"/>
        </w:rPr>
      </w:pPr>
      <w:r>
        <w:rPr>
          <w:rFonts w:cstheme="minorHAnsi"/>
          <w:sz w:val="18"/>
        </w:rPr>
        <w:t>Please see footnote 6 under “How We Evaluate Our Business” later in this press release.</w:t>
      </w:r>
    </w:p>
    <w:p w14:paraId="2D3E675F" w14:textId="77777777" w:rsidR="00C31DE4" w:rsidRDefault="00C31DE4" w:rsidP="00B65D59">
      <w:pPr>
        <w:pStyle w:val="ListParagraph"/>
        <w:numPr>
          <w:ilvl w:val="0"/>
          <w:numId w:val="1"/>
        </w:numPr>
        <w:spacing w:line="240" w:lineRule="auto"/>
        <w:ind w:left="540"/>
        <w:rPr>
          <w:rFonts w:cstheme="minorHAnsi"/>
          <w:sz w:val="18"/>
        </w:rPr>
      </w:pPr>
      <w:r>
        <w:rPr>
          <w:rFonts w:cstheme="minorHAnsi"/>
          <w:sz w:val="18"/>
        </w:rPr>
        <w:t>Please see footnote 7 under “How We Evaluate Our Business” later in this press release.</w:t>
      </w:r>
    </w:p>
    <w:p w14:paraId="4E107D01" w14:textId="77777777" w:rsidR="00FF76E6" w:rsidRDefault="00FF76E6" w:rsidP="005E65E6">
      <w:pPr>
        <w:spacing w:after="0" w:line="240" w:lineRule="auto"/>
        <w:jc w:val="both"/>
        <w:rPr>
          <w:rFonts w:cstheme="minorHAnsi"/>
          <w:i/>
        </w:rPr>
      </w:pPr>
    </w:p>
    <w:p w14:paraId="699872DE" w14:textId="12FF8A5C" w:rsidR="00B24094" w:rsidRDefault="00332EBD" w:rsidP="00B24094">
      <w:pPr>
        <w:autoSpaceDE w:val="0"/>
        <w:autoSpaceDN w:val="0"/>
        <w:adjustRightInd w:val="0"/>
        <w:spacing w:after="0" w:line="240" w:lineRule="auto"/>
        <w:jc w:val="both"/>
        <w:rPr>
          <w:rFonts w:cstheme="minorHAnsi"/>
          <w:sz w:val="23"/>
          <w:szCs w:val="23"/>
        </w:rPr>
      </w:pPr>
      <w:r w:rsidRPr="00332EBD">
        <w:rPr>
          <w:rFonts w:cstheme="minorHAnsi"/>
          <w:sz w:val="23"/>
          <w:szCs w:val="23"/>
        </w:rPr>
        <w:t>“</w:t>
      </w:r>
      <w:bookmarkEnd w:id="0"/>
      <w:r w:rsidR="00B24094">
        <w:rPr>
          <w:rFonts w:cstheme="minorHAnsi"/>
          <w:sz w:val="23"/>
          <w:szCs w:val="23"/>
        </w:rPr>
        <w:t>O</w:t>
      </w:r>
      <w:r w:rsidR="00B24094">
        <w:rPr>
          <w:rFonts w:ascii="Calibri" w:eastAsia="Times New Roman" w:hAnsi="Calibri" w:cs="Calibri"/>
        </w:rPr>
        <w:t>ur first quarter 2023 results reflected the resiliency of our business despite the challenging macro backdrop,</w:t>
      </w:r>
      <w:r w:rsidR="00B24094">
        <w:rPr>
          <w:rFonts w:cstheme="minorHAnsi"/>
          <w:sz w:val="23"/>
          <w:szCs w:val="23"/>
        </w:rPr>
        <w:t>” said Rudy Adolf, Founder, CEO and Chairman of Focus. “</w:t>
      </w:r>
      <w:r w:rsidR="00B24094">
        <w:rPr>
          <w:rFonts w:ascii="Calibri" w:eastAsia="Times New Roman" w:hAnsi="Calibri" w:cs="Calibri"/>
        </w:rPr>
        <w:t xml:space="preserve">Our partners delivered </w:t>
      </w:r>
      <w:r w:rsidR="003A5135">
        <w:rPr>
          <w:rFonts w:ascii="Calibri" w:eastAsia="Times New Roman" w:hAnsi="Calibri" w:cs="Calibri"/>
        </w:rPr>
        <w:t>excellent</w:t>
      </w:r>
      <w:r w:rsidR="00B24094">
        <w:rPr>
          <w:rFonts w:ascii="Calibri" w:eastAsia="Times New Roman" w:hAnsi="Calibri" w:cs="Calibri"/>
        </w:rPr>
        <w:t xml:space="preserve"> service to their clients and managed their businesses well, remaining agile during the quarter. They also continued to take advantage of our value-added programs, designed to give them an edge in meeting their clients’ growing demand for highly personalized advice and services. Our global partnership creates </w:t>
      </w:r>
      <w:proofErr w:type="gramStart"/>
      <w:r w:rsidR="003A5135">
        <w:rPr>
          <w:rFonts w:ascii="Calibri" w:eastAsia="Times New Roman" w:hAnsi="Calibri" w:cs="Calibri"/>
        </w:rPr>
        <w:t>a number of</w:t>
      </w:r>
      <w:proofErr w:type="gramEnd"/>
      <w:r w:rsidR="00B24094">
        <w:rPr>
          <w:rFonts w:ascii="Calibri" w:eastAsia="Times New Roman" w:hAnsi="Calibri" w:cs="Calibri"/>
        </w:rPr>
        <w:t xml:space="preserve"> scale advantages, reinforcing the sustainability of our growth over the long term</w:t>
      </w:r>
      <w:r w:rsidR="00B24094">
        <w:rPr>
          <w:rFonts w:cstheme="minorHAnsi"/>
          <w:sz w:val="23"/>
          <w:szCs w:val="23"/>
        </w:rPr>
        <w:t>.”</w:t>
      </w:r>
    </w:p>
    <w:p w14:paraId="187B90E2" w14:textId="77777777" w:rsidR="00B24094" w:rsidRDefault="00B24094" w:rsidP="00B24094">
      <w:pPr>
        <w:autoSpaceDE w:val="0"/>
        <w:autoSpaceDN w:val="0"/>
        <w:adjustRightInd w:val="0"/>
        <w:spacing w:after="0" w:line="240" w:lineRule="auto"/>
        <w:jc w:val="both"/>
        <w:rPr>
          <w:rFonts w:cstheme="minorHAnsi"/>
          <w:sz w:val="23"/>
          <w:szCs w:val="23"/>
        </w:rPr>
      </w:pPr>
    </w:p>
    <w:p w14:paraId="5771E699" w14:textId="7B069BDC" w:rsidR="00C31DE4" w:rsidRDefault="00B24094" w:rsidP="00B24094">
      <w:pPr>
        <w:autoSpaceDE w:val="0"/>
        <w:autoSpaceDN w:val="0"/>
        <w:adjustRightInd w:val="0"/>
        <w:spacing w:after="0" w:line="240" w:lineRule="auto"/>
        <w:jc w:val="both"/>
        <w:rPr>
          <w:rFonts w:cstheme="minorHAnsi"/>
          <w:sz w:val="23"/>
          <w:szCs w:val="23"/>
        </w:rPr>
      </w:pPr>
      <w:r>
        <w:rPr>
          <w:rFonts w:cstheme="minorHAnsi"/>
          <w:sz w:val="23"/>
          <w:szCs w:val="23"/>
        </w:rPr>
        <w:t>“</w:t>
      </w:r>
      <w:r>
        <w:rPr>
          <w:rFonts w:ascii="Calibri" w:eastAsia="Times New Roman" w:hAnsi="Calibri" w:cs="Calibri"/>
        </w:rPr>
        <w:t xml:space="preserve">While </w:t>
      </w:r>
      <w:r w:rsidR="00F3573F">
        <w:rPr>
          <w:rFonts w:ascii="Calibri" w:eastAsia="Times New Roman" w:hAnsi="Calibri" w:cs="Calibri"/>
        </w:rPr>
        <w:t>slightly</w:t>
      </w:r>
      <w:r>
        <w:rPr>
          <w:rFonts w:ascii="Calibri" w:eastAsia="Times New Roman" w:hAnsi="Calibri" w:cs="Calibri"/>
        </w:rPr>
        <w:t xml:space="preserve"> below our expectations, our first quarter performance benefitted from our diverse, recurring revenue stream, variable management fee structure, and the economic alignment we have with our partners</w:t>
      </w:r>
      <w:r>
        <w:rPr>
          <w:rFonts w:cstheme="minorHAnsi"/>
          <w:sz w:val="23"/>
          <w:szCs w:val="23"/>
        </w:rPr>
        <w:t>,” said Jim Shanahan, Chief Financial Officer of Focus. “</w:t>
      </w:r>
      <w:r>
        <w:rPr>
          <w:rFonts w:ascii="Calibri" w:eastAsia="Times New Roman" w:hAnsi="Calibri" w:cs="Calibri"/>
        </w:rPr>
        <w:t xml:space="preserve">Our Q1 M&amp;A activity reflected strong momentum, with twelve closed transactions, including one new partner firm and eleven mergers. Our differentiated ability to source, structure, and execute these transactions </w:t>
      </w:r>
      <w:r w:rsidR="003A5135">
        <w:rPr>
          <w:rFonts w:ascii="Calibri" w:eastAsia="Times New Roman" w:hAnsi="Calibri" w:cs="Calibri"/>
        </w:rPr>
        <w:t>is a core element of</w:t>
      </w:r>
      <w:r>
        <w:rPr>
          <w:rFonts w:ascii="Calibri" w:eastAsia="Times New Roman" w:hAnsi="Calibri" w:cs="Calibri"/>
        </w:rPr>
        <w:t xml:space="preserve"> our value proposition to growth-oriented firms. We are executing well, and we remain confident that we are well-positioned to capitalize on our industry's substantial forward growth opportunity.</w:t>
      </w:r>
      <w:r>
        <w:rPr>
          <w:rFonts w:cstheme="minorHAnsi"/>
          <w:sz w:val="23"/>
          <w:szCs w:val="23"/>
        </w:rPr>
        <w:t>”</w:t>
      </w:r>
    </w:p>
    <w:p w14:paraId="47A853C6" w14:textId="77777777" w:rsidR="005E65E6" w:rsidRDefault="005E65E6" w:rsidP="005E65E6">
      <w:pPr>
        <w:autoSpaceDE w:val="0"/>
        <w:autoSpaceDN w:val="0"/>
        <w:adjustRightInd w:val="0"/>
        <w:spacing w:after="0" w:line="240" w:lineRule="auto"/>
        <w:jc w:val="both"/>
        <w:rPr>
          <w:rFonts w:cstheme="minorHAnsi"/>
          <w:sz w:val="23"/>
          <w:szCs w:val="23"/>
        </w:rPr>
      </w:pPr>
    </w:p>
    <w:p w14:paraId="1FA2A4C1" w14:textId="77777777" w:rsidR="008B409B" w:rsidRDefault="008B409B" w:rsidP="005E65E6">
      <w:pPr>
        <w:pStyle w:val="NoSpacing"/>
        <w:jc w:val="left"/>
        <w:rPr>
          <w:rFonts w:cstheme="minorHAnsi"/>
          <w:b/>
          <w:bCs/>
          <w:sz w:val="23"/>
          <w:szCs w:val="23"/>
        </w:rPr>
      </w:pPr>
    </w:p>
    <w:p w14:paraId="3D974114" w14:textId="77777777" w:rsidR="008B409B" w:rsidRDefault="008B409B" w:rsidP="005E65E6">
      <w:pPr>
        <w:pStyle w:val="NoSpacing"/>
        <w:jc w:val="left"/>
        <w:rPr>
          <w:rFonts w:cstheme="minorHAnsi"/>
          <w:b/>
          <w:bCs/>
          <w:sz w:val="23"/>
          <w:szCs w:val="23"/>
        </w:rPr>
      </w:pPr>
    </w:p>
    <w:p w14:paraId="6EA8623F" w14:textId="77777777" w:rsidR="008B409B" w:rsidRDefault="008B409B" w:rsidP="005E65E6">
      <w:pPr>
        <w:pStyle w:val="NoSpacing"/>
        <w:jc w:val="left"/>
        <w:rPr>
          <w:rFonts w:cstheme="minorHAnsi"/>
          <w:b/>
          <w:bCs/>
          <w:sz w:val="23"/>
          <w:szCs w:val="23"/>
        </w:rPr>
      </w:pPr>
    </w:p>
    <w:p w14:paraId="4CCDFDC0" w14:textId="77777777" w:rsidR="008B409B" w:rsidRDefault="008B409B" w:rsidP="005E65E6">
      <w:pPr>
        <w:pStyle w:val="NoSpacing"/>
        <w:jc w:val="left"/>
        <w:rPr>
          <w:rFonts w:cstheme="minorHAnsi"/>
          <w:b/>
          <w:bCs/>
          <w:sz w:val="23"/>
          <w:szCs w:val="23"/>
        </w:rPr>
      </w:pPr>
    </w:p>
    <w:p w14:paraId="158C9A20" w14:textId="77777777" w:rsidR="008B409B" w:rsidRDefault="008B409B" w:rsidP="005E65E6">
      <w:pPr>
        <w:pStyle w:val="NoSpacing"/>
        <w:jc w:val="left"/>
        <w:rPr>
          <w:rFonts w:cstheme="minorHAnsi"/>
          <w:b/>
          <w:bCs/>
          <w:sz w:val="23"/>
          <w:szCs w:val="23"/>
        </w:rPr>
      </w:pPr>
    </w:p>
    <w:p w14:paraId="4E017C44" w14:textId="77777777" w:rsidR="008B409B" w:rsidRDefault="008B409B" w:rsidP="005E65E6">
      <w:pPr>
        <w:pStyle w:val="NoSpacing"/>
        <w:jc w:val="left"/>
        <w:rPr>
          <w:rFonts w:cstheme="minorHAnsi"/>
          <w:b/>
          <w:bCs/>
          <w:sz w:val="23"/>
          <w:szCs w:val="23"/>
        </w:rPr>
      </w:pPr>
    </w:p>
    <w:p w14:paraId="2A0910D9" w14:textId="77777777" w:rsidR="00C31DE4" w:rsidRPr="00DE342E" w:rsidRDefault="005E65E6" w:rsidP="005E65E6">
      <w:pPr>
        <w:pStyle w:val="NoSpacing"/>
        <w:jc w:val="left"/>
        <w:rPr>
          <w:rFonts w:cstheme="minorHAnsi"/>
          <w:b/>
          <w:bCs/>
          <w:sz w:val="23"/>
          <w:szCs w:val="23"/>
        </w:rPr>
      </w:pPr>
      <w:r>
        <w:rPr>
          <w:rFonts w:cstheme="minorHAnsi"/>
          <w:b/>
          <w:bCs/>
          <w:sz w:val="23"/>
          <w:szCs w:val="23"/>
        </w:rPr>
        <w:t>First</w:t>
      </w:r>
      <w:r w:rsidR="00C31DE4">
        <w:rPr>
          <w:rFonts w:cstheme="minorHAnsi"/>
          <w:b/>
          <w:bCs/>
          <w:sz w:val="23"/>
          <w:szCs w:val="23"/>
        </w:rPr>
        <w:t xml:space="preserve"> Quarter 202</w:t>
      </w:r>
      <w:r>
        <w:rPr>
          <w:rFonts w:cstheme="minorHAnsi"/>
          <w:b/>
          <w:bCs/>
          <w:sz w:val="23"/>
          <w:szCs w:val="23"/>
        </w:rPr>
        <w:t>3</w:t>
      </w:r>
      <w:r w:rsidR="00C31DE4">
        <w:rPr>
          <w:rFonts w:cstheme="minorHAnsi"/>
          <w:b/>
          <w:bCs/>
          <w:sz w:val="23"/>
          <w:szCs w:val="23"/>
        </w:rPr>
        <w:t xml:space="preserve"> </w:t>
      </w:r>
      <w:r w:rsidR="00C31DE4" w:rsidRPr="00DE342E">
        <w:rPr>
          <w:rFonts w:cstheme="minorHAnsi"/>
          <w:b/>
          <w:bCs/>
          <w:sz w:val="23"/>
          <w:szCs w:val="23"/>
        </w:rPr>
        <w:t>Financial Highlights</w:t>
      </w:r>
    </w:p>
    <w:p w14:paraId="38D82DFF" w14:textId="10D0C6D6" w:rsidR="005E65E6" w:rsidRPr="00DE342E" w:rsidRDefault="005E65E6" w:rsidP="005E65E6">
      <w:pPr>
        <w:spacing w:after="0" w:line="240" w:lineRule="auto"/>
        <w:jc w:val="both"/>
        <w:rPr>
          <w:rFonts w:cstheme="minorHAnsi"/>
          <w:sz w:val="23"/>
          <w:szCs w:val="23"/>
        </w:rPr>
      </w:pPr>
      <w:r w:rsidRPr="00DE342E">
        <w:rPr>
          <w:rFonts w:cstheme="minorHAnsi"/>
          <w:sz w:val="23"/>
          <w:szCs w:val="23"/>
        </w:rPr>
        <w:t>Total revenues were $5</w:t>
      </w:r>
      <w:r w:rsidR="00DE342E" w:rsidRPr="00DE342E">
        <w:rPr>
          <w:rFonts w:cstheme="minorHAnsi"/>
          <w:sz w:val="23"/>
          <w:szCs w:val="23"/>
        </w:rPr>
        <w:t>5</w:t>
      </w:r>
      <w:r w:rsidRPr="00DE342E">
        <w:rPr>
          <w:rFonts w:cstheme="minorHAnsi"/>
          <w:sz w:val="23"/>
          <w:szCs w:val="23"/>
        </w:rPr>
        <w:t>7.</w:t>
      </w:r>
      <w:r w:rsidR="00DE342E" w:rsidRPr="00DE342E">
        <w:rPr>
          <w:rFonts w:cstheme="minorHAnsi"/>
          <w:sz w:val="23"/>
          <w:szCs w:val="23"/>
        </w:rPr>
        <w:t>5</w:t>
      </w:r>
      <w:r w:rsidRPr="00DE342E">
        <w:rPr>
          <w:rFonts w:cstheme="minorHAnsi"/>
          <w:sz w:val="23"/>
          <w:szCs w:val="23"/>
        </w:rPr>
        <w:t xml:space="preserve"> million, </w:t>
      </w:r>
      <w:r w:rsidR="00DE342E" w:rsidRPr="00DE342E">
        <w:rPr>
          <w:rFonts w:cstheme="minorHAnsi"/>
          <w:sz w:val="23"/>
          <w:szCs w:val="23"/>
        </w:rPr>
        <w:t>3.9</w:t>
      </w:r>
      <w:r w:rsidRPr="00DE342E">
        <w:rPr>
          <w:rFonts w:cstheme="minorHAnsi"/>
          <w:sz w:val="23"/>
          <w:szCs w:val="23"/>
        </w:rPr>
        <w:t>%, or $2</w:t>
      </w:r>
      <w:r w:rsidR="00DE342E" w:rsidRPr="00DE342E">
        <w:rPr>
          <w:rFonts w:cstheme="minorHAnsi"/>
          <w:sz w:val="23"/>
          <w:szCs w:val="23"/>
        </w:rPr>
        <w:t>0.9</w:t>
      </w:r>
      <w:r w:rsidRPr="00DE342E">
        <w:rPr>
          <w:rFonts w:cstheme="minorHAnsi"/>
          <w:sz w:val="23"/>
          <w:szCs w:val="23"/>
        </w:rPr>
        <w:t xml:space="preserve"> million higher than the 202</w:t>
      </w:r>
      <w:r w:rsidR="00DE342E" w:rsidRPr="00DE342E">
        <w:rPr>
          <w:rFonts w:cstheme="minorHAnsi"/>
          <w:sz w:val="23"/>
          <w:szCs w:val="23"/>
        </w:rPr>
        <w:t>2</w:t>
      </w:r>
      <w:r w:rsidRPr="00DE342E">
        <w:rPr>
          <w:rFonts w:cstheme="minorHAnsi"/>
          <w:sz w:val="23"/>
          <w:szCs w:val="23"/>
        </w:rPr>
        <w:t xml:space="preserve"> f</w:t>
      </w:r>
      <w:r w:rsidR="00DE342E" w:rsidRPr="00DE342E">
        <w:rPr>
          <w:rFonts w:cstheme="minorHAnsi"/>
          <w:sz w:val="23"/>
          <w:szCs w:val="23"/>
        </w:rPr>
        <w:t>irst</w:t>
      </w:r>
      <w:r w:rsidRPr="00DE342E">
        <w:rPr>
          <w:rFonts w:cstheme="minorHAnsi"/>
          <w:sz w:val="23"/>
          <w:szCs w:val="23"/>
        </w:rPr>
        <w:t xml:space="preserve"> quarter. The increase was primarily attributable to $1</w:t>
      </w:r>
      <w:r w:rsidR="00DE342E" w:rsidRPr="00DE342E">
        <w:rPr>
          <w:rFonts w:cstheme="minorHAnsi"/>
          <w:sz w:val="23"/>
          <w:szCs w:val="23"/>
        </w:rPr>
        <w:t>9</w:t>
      </w:r>
      <w:r w:rsidRPr="00DE342E">
        <w:rPr>
          <w:rFonts w:cstheme="minorHAnsi"/>
          <w:sz w:val="23"/>
          <w:szCs w:val="23"/>
        </w:rPr>
        <w:t>.</w:t>
      </w:r>
      <w:r w:rsidR="00DE342E" w:rsidRPr="00DE342E">
        <w:rPr>
          <w:rFonts w:cstheme="minorHAnsi"/>
          <w:sz w:val="23"/>
          <w:szCs w:val="23"/>
        </w:rPr>
        <w:t>2</w:t>
      </w:r>
      <w:r w:rsidRPr="00DE342E">
        <w:rPr>
          <w:rFonts w:cstheme="minorHAnsi"/>
          <w:sz w:val="23"/>
          <w:szCs w:val="23"/>
        </w:rPr>
        <w:t xml:space="preserve"> million of revenues from new partner firms acquired during the last twelve months. Our year-over-year organic revenue growth </w:t>
      </w:r>
      <w:proofErr w:type="gramStart"/>
      <w:r w:rsidRPr="00DE342E">
        <w:rPr>
          <w:rFonts w:cstheme="minorHAnsi"/>
          <w:sz w:val="23"/>
          <w:szCs w:val="23"/>
        </w:rPr>
        <w:t>rate</w:t>
      </w:r>
      <w:r w:rsidRPr="00DE342E">
        <w:rPr>
          <w:rFonts w:cstheme="minorHAnsi"/>
          <w:sz w:val="23"/>
          <w:szCs w:val="23"/>
          <w:vertAlign w:val="superscript"/>
        </w:rPr>
        <w:t>(</w:t>
      </w:r>
      <w:proofErr w:type="gramEnd"/>
      <w:r w:rsidRPr="00DE342E">
        <w:rPr>
          <w:rFonts w:cstheme="minorHAnsi"/>
          <w:sz w:val="23"/>
          <w:szCs w:val="23"/>
          <w:vertAlign w:val="superscript"/>
        </w:rPr>
        <w:t>1)</w:t>
      </w:r>
      <w:r w:rsidRPr="00DE342E">
        <w:rPr>
          <w:rFonts w:cstheme="minorHAnsi"/>
          <w:sz w:val="23"/>
          <w:szCs w:val="23"/>
        </w:rPr>
        <w:t xml:space="preserve"> was </w:t>
      </w:r>
      <w:r w:rsidR="00DE342E">
        <w:rPr>
          <w:rFonts w:cstheme="minorHAnsi"/>
          <w:sz w:val="23"/>
          <w:szCs w:val="23"/>
        </w:rPr>
        <w:t>0</w:t>
      </w:r>
      <w:r w:rsidRPr="00DE342E">
        <w:rPr>
          <w:rFonts w:cstheme="minorHAnsi"/>
          <w:sz w:val="23"/>
          <w:szCs w:val="23"/>
        </w:rPr>
        <w:t>.</w:t>
      </w:r>
      <w:r w:rsidR="00DE342E">
        <w:rPr>
          <w:rFonts w:cstheme="minorHAnsi"/>
          <w:sz w:val="23"/>
          <w:szCs w:val="23"/>
        </w:rPr>
        <w:t>3</w:t>
      </w:r>
      <w:r w:rsidRPr="00DE342E">
        <w:rPr>
          <w:rFonts w:cstheme="minorHAnsi"/>
          <w:sz w:val="23"/>
          <w:szCs w:val="23"/>
        </w:rPr>
        <w:t xml:space="preserve">%, </w:t>
      </w:r>
      <w:r w:rsidR="003979F7">
        <w:rPr>
          <w:rFonts w:cstheme="minorHAnsi"/>
          <w:sz w:val="23"/>
          <w:szCs w:val="23"/>
        </w:rPr>
        <w:t>marginally</w:t>
      </w:r>
      <w:r w:rsidR="00DE342E">
        <w:rPr>
          <w:rFonts w:cstheme="minorHAnsi"/>
          <w:sz w:val="23"/>
          <w:szCs w:val="23"/>
        </w:rPr>
        <w:t xml:space="preserve"> lower </w:t>
      </w:r>
      <w:r w:rsidRPr="00DE342E">
        <w:rPr>
          <w:rFonts w:cstheme="minorHAnsi"/>
          <w:sz w:val="23"/>
          <w:szCs w:val="23"/>
        </w:rPr>
        <w:t xml:space="preserve">than our estimated </w:t>
      </w:r>
      <w:r w:rsidR="00DE342E">
        <w:rPr>
          <w:rFonts w:cstheme="minorHAnsi"/>
          <w:sz w:val="23"/>
          <w:szCs w:val="23"/>
        </w:rPr>
        <w:t>range</w:t>
      </w:r>
      <w:r w:rsidRPr="00DE342E">
        <w:rPr>
          <w:rFonts w:cstheme="minorHAnsi"/>
          <w:sz w:val="23"/>
          <w:szCs w:val="23"/>
        </w:rPr>
        <w:t xml:space="preserve"> for the quarter</w:t>
      </w:r>
      <w:r w:rsidR="003979F7">
        <w:rPr>
          <w:rFonts w:cstheme="minorHAnsi"/>
          <w:sz w:val="23"/>
          <w:szCs w:val="23"/>
        </w:rPr>
        <w:t xml:space="preserve"> due to lower than anticipated non-market correlated revenues</w:t>
      </w:r>
      <w:r w:rsidRPr="00DE342E">
        <w:rPr>
          <w:rFonts w:cstheme="minorHAnsi"/>
          <w:sz w:val="23"/>
          <w:szCs w:val="23"/>
        </w:rPr>
        <w:t>.</w:t>
      </w:r>
    </w:p>
    <w:p w14:paraId="58696F52" w14:textId="77777777" w:rsidR="005E65E6" w:rsidRPr="005E65E6" w:rsidRDefault="005E65E6" w:rsidP="005E65E6">
      <w:pPr>
        <w:spacing w:line="240" w:lineRule="auto"/>
        <w:contextualSpacing/>
        <w:jc w:val="both"/>
        <w:rPr>
          <w:rFonts w:cstheme="minorHAnsi"/>
          <w:sz w:val="23"/>
          <w:szCs w:val="23"/>
          <w:highlight w:val="yellow"/>
        </w:rPr>
      </w:pPr>
    </w:p>
    <w:p w14:paraId="5FE074E7" w14:textId="77777777" w:rsidR="005E65E6" w:rsidRPr="000C035F" w:rsidRDefault="005E65E6" w:rsidP="005E65E6">
      <w:pPr>
        <w:spacing w:line="240" w:lineRule="auto"/>
        <w:contextualSpacing/>
        <w:jc w:val="both"/>
        <w:rPr>
          <w:rFonts w:cstheme="minorHAnsi"/>
          <w:sz w:val="23"/>
          <w:szCs w:val="23"/>
        </w:rPr>
      </w:pPr>
      <w:r w:rsidRPr="000C035F">
        <w:rPr>
          <w:rFonts w:cstheme="minorHAnsi"/>
          <w:sz w:val="23"/>
          <w:szCs w:val="23"/>
        </w:rPr>
        <w:t>An estimated 7</w:t>
      </w:r>
      <w:r w:rsidR="000C035F" w:rsidRPr="000C035F">
        <w:rPr>
          <w:rFonts w:cstheme="minorHAnsi"/>
          <w:sz w:val="23"/>
          <w:szCs w:val="23"/>
        </w:rPr>
        <w:t>4</w:t>
      </w:r>
      <w:r w:rsidRPr="000C035F">
        <w:rPr>
          <w:rFonts w:cstheme="minorHAnsi"/>
          <w:sz w:val="23"/>
          <w:szCs w:val="23"/>
        </w:rPr>
        <w:t>.</w:t>
      </w:r>
      <w:r w:rsidR="000C035F" w:rsidRPr="000C035F">
        <w:rPr>
          <w:rFonts w:cstheme="minorHAnsi"/>
          <w:sz w:val="23"/>
          <w:szCs w:val="23"/>
        </w:rPr>
        <w:t>6</w:t>
      </w:r>
      <w:r w:rsidRPr="000C035F">
        <w:rPr>
          <w:rFonts w:cstheme="minorHAnsi"/>
          <w:sz w:val="23"/>
          <w:szCs w:val="23"/>
        </w:rPr>
        <w:t>%, or $</w:t>
      </w:r>
      <w:r w:rsidR="000C035F" w:rsidRPr="000C035F">
        <w:rPr>
          <w:rFonts w:cstheme="minorHAnsi"/>
          <w:sz w:val="23"/>
          <w:szCs w:val="23"/>
        </w:rPr>
        <w:t>415.9</w:t>
      </w:r>
      <w:r w:rsidRPr="000C035F">
        <w:rPr>
          <w:rFonts w:cstheme="minorHAnsi"/>
          <w:sz w:val="23"/>
          <w:szCs w:val="23"/>
        </w:rPr>
        <w:t xml:space="preserve"> million, of total revenues in the quarter were correlated to the financial markets. Of this amount, 64.</w:t>
      </w:r>
      <w:r w:rsidR="000C035F" w:rsidRPr="000C035F">
        <w:rPr>
          <w:rFonts w:cstheme="minorHAnsi"/>
          <w:sz w:val="23"/>
          <w:szCs w:val="23"/>
        </w:rPr>
        <w:t>8</w:t>
      </w:r>
      <w:r w:rsidRPr="000C035F">
        <w:rPr>
          <w:rFonts w:cstheme="minorHAnsi"/>
          <w:sz w:val="23"/>
          <w:szCs w:val="23"/>
        </w:rPr>
        <w:t>%, or $2</w:t>
      </w:r>
      <w:r w:rsidR="000C035F" w:rsidRPr="000C035F">
        <w:rPr>
          <w:rFonts w:cstheme="minorHAnsi"/>
          <w:sz w:val="23"/>
          <w:szCs w:val="23"/>
        </w:rPr>
        <w:t>69</w:t>
      </w:r>
      <w:r w:rsidRPr="000C035F">
        <w:rPr>
          <w:rFonts w:cstheme="minorHAnsi"/>
          <w:sz w:val="23"/>
          <w:szCs w:val="23"/>
        </w:rPr>
        <w:t>.</w:t>
      </w:r>
      <w:r w:rsidR="000C035F" w:rsidRPr="000C035F">
        <w:rPr>
          <w:rFonts w:cstheme="minorHAnsi"/>
          <w:sz w:val="23"/>
          <w:szCs w:val="23"/>
        </w:rPr>
        <w:t>7</w:t>
      </w:r>
      <w:r w:rsidRPr="000C035F">
        <w:rPr>
          <w:rFonts w:cstheme="minorHAnsi"/>
          <w:sz w:val="23"/>
          <w:szCs w:val="23"/>
        </w:rPr>
        <w:t xml:space="preserve"> million, were generated from advance billings generally based on market levels in the 2022 </w:t>
      </w:r>
      <w:r w:rsidR="000C035F" w:rsidRPr="000C035F">
        <w:rPr>
          <w:rFonts w:cstheme="minorHAnsi"/>
          <w:sz w:val="23"/>
          <w:szCs w:val="23"/>
        </w:rPr>
        <w:t>fourth</w:t>
      </w:r>
      <w:r w:rsidRPr="000C035F">
        <w:rPr>
          <w:rFonts w:cstheme="minorHAnsi"/>
          <w:sz w:val="23"/>
          <w:szCs w:val="23"/>
        </w:rPr>
        <w:t xml:space="preserve"> quarter. The remaining 2</w:t>
      </w:r>
      <w:r w:rsidR="000C035F" w:rsidRPr="000C035F">
        <w:rPr>
          <w:rFonts w:cstheme="minorHAnsi"/>
          <w:sz w:val="23"/>
          <w:szCs w:val="23"/>
        </w:rPr>
        <w:t>5</w:t>
      </w:r>
      <w:r w:rsidRPr="000C035F">
        <w:rPr>
          <w:rFonts w:cstheme="minorHAnsi"/>
          <w:sz w:val="23"/>
          <w:szCs w:val="23"/>
        </w:rPr>
        <w:t>.</w:t>
      </w:r>
      <w:r w:rsidR="000C035F" w:rsidRPr="000C035F">
        <w:rPr>
          <w:rFonts w:cstheme="minorHAnsi"/>
          <w:sz w:val="23"/>
          <w:szCs w:val="23"/>
        </w:rPr>
        <w:t>4</w:t>
      </w:r>
      <w:r w:rsidRPr="000C035F">
        <w:rPr>
          <w:rFonts w:cstheme="minorHAnsi"/>
          <w:sz w:val="23"/>
          <w:szCs w:val="23"/>
        </w:rPr>
        <w:t>%, or $1</w:t>
      </w:r>
      <w:r w:rsidR="000C035F" w:rsidRPr="000C035F">
        <w:rPr>
          <w:rFonts w:cstheme="minorHAnsi"/>
          <w:sz w:val="23"/>
          <w:szCs w:val="23"/>
        </w:rPr>
        <w:t>41.6</w:t>
      </w:r>
      <w:r w:rsidRPr="000C035F">
        <w:rPr>
          <w:rFonts w:cstheme="minorHAnsi"/>
          <w:sz w:val="23"/>
          <w:szCs w:val="23"/>
        </w:rPr>
        <w:t xml:space="preserve"> million, were not correlated to the markets. These revenues typically consist of family office type services, tax advice and fixed fees for investment advice, primarily for high and ultra-high net worth clients. </w:t>
      </w:r>
    </w:p>
    <w:p w14:paraId="40F1B323" w14:textId="77777777" w:rsidR="005E65E6" w:rsidRPr="000C035F" w:rsidRDefault="005E65E6" w:rsidP="005E65E6">
      <w:pPr>
        <w:spacing w:line="240" w:lineRule="auto"/>
        <w:contextualSpacing/>
        <w:jc w:val="both"/>
        <w:rPr>
          <w:rFonts w:cstheme="minorHAnsi"/>
          <w:sz w:val="23"/>
          <w:szCs w:val="23"/>
        </w:rPr>
      </w:pPr>
    </w:p>
    <w:p w14:paraId="13720ACD" w14:textId="5CC77953" w:rsidR="005E65E6" w:rsidRPr="000C035F" w:rsidRDefault="005E65E6" w:rsidP="005E65E6">
      <w:pPr>
        <w:spacing w:after="0" w:line="240" w:lineRule="auto"/>
        <w:jc w:val="both"/>
        <w:rPr>
          <w:rFonts w:cstheme="minorHAnsi"/>
          <w:sz w:val="23"/>
          <w:szCs w:val="23"/>
        </w:rPr>
      </w:pPr>
      <w:r w:rsidRPr="000C035F">
        <w:rPr>
          <w:rFonts w:cstheme="minorHAnsi"/>
          <w:sz w:val="23"/>
          <w:szCs w:val="23"/>
        </w:rPr>
        <w:t xml:space="preserve">GAAP net loss was </w:t>
      </w:r>
      <w:r w:rsidR="000C035F" w:rsidRPr="000C035F">
        <w:rPr>
          <w:rFonts w:cstheme="minorHAnsi"/>
          <w:sz w:val="23"/>
          <w:szCs w:val="23"/>
        </w:rPr>
        <w:t>(</w:t>
      </w:r>
      <w:r w:rsidRPr="000C035F">
        <w:rPr>
          <w:rFonts w:cstheme="minorHAnsi"/>
          <w:sz w:val="23"/>
          <w:szCs w:val="23"/>
        </w:rPr>
        <w:t>$</w:t>
      </w:r>
      <w:r w:rsidR="000C035F" w:rsidRPr="000C035F">
        <w:rPr>
          <w:rFonts w:cstheme="minorHAnsi"/>
          <w:sz w:val="23"/>
          <w:szCs w:val="23"/>
        </w:rPr>
        <w:t>7.0)</w:t>
      </w:r>
      <w:r w:rsidRPr="000C035F">
        <w:rPr>
          <w:rFonts w:cstheme="minorHAnsi"/>
          <w:sz w:val="23"/>
          <w:szCs w:val="23"/>
        </w:rPr>
        <w:t xml:space="preserve"> million compared to net income of $</w:t>
      </w:r>
      <w:r w:rsidR="000C035F" w:rsidRPr="000C035F">
        <w:rPr>
          <w:rFonts w:cstheme="minorHAnsi"/>
          <w:sz w:val="23"/>
          <w:szCs w:val="23"/>
        </w:rPr>
        <w:t>39</w:t>
      </w:r>
      <w:r w:rsidRPr="000C035F">
        <w:rPr>
          <w:rFonts w:cstheme="minorHAnsi"/>
          <w:sz w:val="23"/>
          <w:szCs w:val="23"/>
        </w:rPr>
        <w:t>.</w:t>
      </w:r>
      <w:r w:rsidR="000C035F" w:rsidRPr="000C035F">
        <w:rPr>
          <w:rFonts w:cstheme="minorHAnsi"/>
          <w:sz w:val="23"/>
          <w:szCs w:val="23"/>
        </w:rPr>
        <w:t>1</w:t>
      </w:r>
      <w:r w:rsidRPr="000C035F">
        <w:rPr>
          <w:rFonts w:cstheme="minorHAnsi"/>
          <w:sz w:val="23"/>
          <w:szCs w:val="23"/>
        </w:rPr>
        <w:t xml:space="preserve"> million in the prior year quarter. GAAP basic </w:t>
      </w:r>
      <w:r w:rsidR="000C035F" w:rsidRPr="000C035F">
        <w:rPr>
          <w:rFonts w:cstheme="minorHAnsi"/>
          <w:sz w:val="23"/>
          <w:szCs w:val="23"/>
        </w:rPr>
        <w:t xml:space="preserve">and diluted loss </w:t>
      </w:r>
      <w:r w:rsidRPr="000C035F">
        <w:rPr>
          <w:rFonts w:cstheme="minorHAnsi"/>
          <w:sz w:val="23"/>
          <w:szCs w:val="23"/>
        </w:rPr>
        <w:t xml:space="preserve">per share of Class A common stock was </w:t>
      </w:r>
      <w:r w:rsidR="000C035F" w:rsidRPr="000C035F">
        <w:rPr>
          <w:rFonts w:cstheme="minorHAnsi"/>
          <w:sz w:val="23"/>
          <w:szCs w:val="23"/>
        </w:rPr>
        <w:t>(</w:t>
      </w:r>
      <w:r w:rsidRPr="000C035F">
        <w:rPr>
          <w:rFonts w:cstheme="minorHAnsi"/>
          <w:sz w:val="23"/>
          <w:szCs w:val="23"/>
        </w:rPr>
        <w:t>$0.01</w:t>
      </w:r>
      <w:r w:rsidR="000C035F" w:rsidRPr="000C035F">
        <w:rPr>
          <w:rFonts w:cstheme="minorHAnsi"/>
          <w:sz w:val="23"/>
          <w:szCs w:val="23"/>
        </w:rPr>
        <w:t>) and</w:t>
      </w:r>
      <w:r w:rsidRPr="000C035F">
        <w:rPr>
          <w:rFonts w:cstheme="minorHAnsi"/>
          <w:sz w:val="23"/>
          <w:szCs w:val="23"/>
        </w:rPr>
        <w:t xml:space="preserve"> ($0.</w:t>
      </w:r>
      <w:r w:rsidR="005C2225">
        <w:rPr>
          <w:rFonts w:cstheme="minorHAnsi"/>
          <w:sz w:val="23"/>
          <w:szCs w:val="23"/>
        </w:rPr>
        <w:t>22</w:t>
      </w:r>
      <w:r w:rsidRPr="000C035F">
        <w:rPr>
          <w:rFonts w:cstheme="minorHAnsi"/>
          <w:sz w:val="23"/>
          <w:szCs w:val="23"/>
        </w:rPr>
        <w:t xml:space="preserve">), </w:t>
      </w:r>
      <w:r w:rsidR="00815CA0">
        <w:rPr>
          <w:rFonts w:cstheme="minorHAnsi"/>
          <w:sz w:val="23"/>
          <w:szCs w:val="23"/>
        </w:rPr>
        <w:t xml:space="preserve">respectively, </w:t>
      </w:r>
      <w:r w:rsidRPr="000C035F">
        <w:rPr>
          <w:rFonts w:cstheme="minorHAnsi"/>
          <w:sz w:val="23"/>
          <w:szCs w:val="23"/>
        </w:rPr>
        <w:t xml:space="preserve">as compared to </w:t>
      </w:r>
      <w:r w:rsidR="000C035F" w:rsidRPr="000C035F">
        <w:rPr>
          <w:rFonts w:cstheme="minorHAnsi"/>
          <w:sz w:val="23"/>
          <w:szCs w:val="23"/>
        </w:rPr>
        <w:t>$0.45 and $0.44</w:t>
      </w:r>
      <w:r w:rsidRPr="000C035F">
        <w:rPr>
          <w:rFonts w:cstheme="minorHAnsi"/>
          <w:sz w:val="23"/>
          <w:szCs w:val="23"/>
        </w:rPr>
        <w:t xml:space="preserve"> for basic and diluted income per share of Class A common stock</w:t>
      </w:r>
      <w:r w:rsidR="00115788">
        <w:rPr>
          <w:rFonts w:cstheme="minorHAnsi"/>
          <w:sz w:val="23"/>
          <w:szCs w:val="23"/>
        </w:rPr>
        <w:t>, respectively,</w:t>
      </w:r>
      <w:r w:rsidRPr="000C035F">
        <w:rPr>
          <w:rFonts w:cstheme="minorHAnsi"/>
          <w:sz w:val="23"/>
          <w:szCs w:val="23"/>
        </w:rPr>
        <w:t xml:space="preserve"> in the prior year quarter.</w:t>
      </w:r>
    </w:p>
    <w:p w14:paraId="19152015" w14:textId="77777777" w:rsidR="005E65E6" w:rsidRPr="000C035F" w:rsidRDefault="005E65E6" w:rsidP="005E65E6">
      <w:pPr>
        <w:spacing w:after="0" w:line="240" w:lineRule="auto"/>
        <w:jc w:val="both"/>
        <w:rPr>
          <w:rFonts w:cstheme="minorHAnsi"/>
          <w:sz w:val="23"/>
          <w:szCs w:val="23"/>
        </w:rPr>
      </w:pPr>
    </w:p>
    <w:p w14:paraId="5A7C95A7" w14:textId="5B6C02EC" w:rsidR="005E65E6" w:rsidRPr="000C035F" w:rsidRDefault="005E65E6" w:rsidP="005E65E6">
      <w:pPr>
        <w:spacing w:after="0" w:line="240" w:lineRule="auto"/>
        <w:jc w:val="both"/>
        <w:rPr>
          <w:sz w:val="23"/>
          <w:szCs w:val="23"/>
        </w:rPr>
      </w:pPr>
      <w:r w:rsidRPr="000C035F">
        <w:rPr>
          <w:sz w:val="23"/>
          <w:szCs w:val="23"/>
        </w:rPr>
        <w:t xml:space="preserve">Adjusted </w:t>
      </w:r>
      <w:proofErr w:type="gramStart"/>
      <w:r w:rsidRPr="000C035F">
        <w:rPr>
          <w:sz w:val="23"/>
          <w:szCs w:val="23"/>
        </w:rPr>
        <w:t>EBITDA</w:t>
      </w:r>
      <w:r w:rsidRPr="000C035F">
        <w:rPr>
          <w:sz w:val="23"/>
          <w:szCs w:val="23"/>
          <w:vertAlign w:val="superscript"/>
        </w:rPr>
        <w:t>(</w:t>
      </w:r>
      <w:proofErr w:type="gramEnd"/>
      <w:r w:rsidRPr="000C035F">
        <w:rPr>
          <w:sz w:val="23"/>
          <w:szCs w:val="23"/>
          <w:vertAlign w:val="superscript"/>
        </w:rPr>
        <w:t>2)</w:t>
      </w:r>
      <w:r w:rsidRPr="000C035F">
        <w:rPr>
          <w:sz w:val="23"/>
          <w:szCs w:val="23"/>
        </w:rPr>
        <w:t xml:space="preserve"> was $13</w:t>
      </w:r>
      <w:r w:rsidR="000C035F" w:rsidRPr="000C035F">
        <w:rPr>
          <w:sz w:val="23"/>
          <w:szCs w:val="23"/>
        </w:rPr>
        <w:t>2</w:t>
      </w:r>
      <w:r w:rsidRPr="000C035F">
        <w:rPr>
          <w:sz w:val="23"/>
          <w:szCs w:val="23"/>
        </w:rPr>
        <w:t>.</w:t>
      </w:r>
      <w:r w:rsidR="000C035F" w:rsidRPr="000C035F">
        <w:rPr>
          <w:sz w:val="23"/>
          <w:szCs w:val="23"/>
        </w:rPr>
        <w:t>5</w:t>
      </w:r>
      <w:r w:rsidRPr="000C035F">
        <w:rPr>
          <w:sz w:val="23"/>
          <w:szCs w:val="23"/>
        </w:rPr>
        <w:t xml:space="preserve"> million, </w:t>
      </w:r>
      <w:r w:rsidR="000C035F" w:rsidRPr="000C035F">
        <w:rPr>
          <w:sz w:val="23"/>
          <w:szCs w:val="23"/>
        </w:rPr>
        <w:t>(1.9)</w:t>
      </w:r>
      <w:r w:rsidRPr="000C035F">
        <w:rPr>
          <w:sz w:val="23"/>
          <w:szCs w:val="23"/>
        </w:rPr>
        <w:t xml:space="preserve">%, or </w:t>
      </w:r>
      <w:r w:rsidR="000C035F" w:rsidRPr="000C035F">
        <w:rPr>
          <w:sz w:val="23"/>
          <w:szCs w:val="23"/>
        </w:rPr>
        <w:t>(</w:t>
      </w:r>
      <w:r w:rsidRPr="000C035F">
        <w:rPr>
          <w:sz w:val="23"/>
          <w:szCs w:val="23"/>
        </w:rPr>
        <w:t>$</w:t>
      </w:r>
      <w:r w:rsidR="000C035F" w:rsidRPr="000C035F">
        <w:rPr>
          <w:sz w:val="23"/>
          <w:szCs w:val="23"/>
        </w:rPr>
        <w:t>2.6)</w:t>
      </w:r>
      <w:r w:rsidRPr="000C035F">
        <w:rPr>
          <w:sz w:val="23"/>
          <w:szCs w:val="23"/>
        </w:rPr>
        <w:t xml:space="preserve"> million, </w:t>
      </w:r>
      <w:r w:rsidR="000C035F" w:rsidRPr="000C035F">
        <w:rPr>
          <w:sz w:val="23"/>
          <w:szCs w:val="23"/>
        </w:rPr>
        <w:t>lower</w:t>
      </w:r>
      <w:r w:rsidRPr="000C035F">
        <w:rPr>
          <w:sz w:val="23"/>
          <w:szCs w:val="23"/>
        </w:rPr>
        <w:t xml:space="preserve"> than the prior year period. Our Adjusted EBITDA </w:t>
      </w:r>
      <w:proofErr w:type="gramStart"/>
      <w:r w:rsidRPr="000C035F">
        <w:rPr>
          <w:sz w:val="23"/>
          <w:szCs w:val="23"/>
        </w:rPr>
        <w:t>margin</w:t>
      </w:r>
      <w:r w:rsidRPr="000C035F">
        <w:rPr>
          <w:sz w:val="23"/>
          <w:szCs w:val="23"/>
          <w:vertAlign w:val="superscript"/>
        </w:rPr>
        <w:t>(</w:t>
      </w:r>
      <w:proofErr w:type="gramEnd"/>
      <w:r w:rsidRPr="000C035F">
        <w:rPr>
          <w:sz w:val="23"/>
          <w:szCs w:val="23"/>
          <w:vertAlign w:val="superscript"/>
        </w:rPr>
        <w:t>3)</w:t>
      </w:r>
      <w:r w:rsidRPr="000C035F">
        <w:rPr>
          <w:sz w:val="23"/>
          <w:szCs w:val="23"/>
        </w:rPr>
        <w:t xml:space="preserve"> was 2</w:t>
      </w:r>
      <w:r w:rsidR="000C035F" w:rsidRPr="000C035F">
        <w:rPr>
          <w:sz w:val="23"/>
          <w:szCs w:val="23"/>
        </w:rPr>
        <w:t>3</w:t>
      </w:r>
      <w:r w:rsidRPr="000C035F">
        <w:rPr>
          <w:sz w:val="23"/>
          <w:szCs w:val="23"/>
        </w:rPr>
        <w:t>.</w:t>
      </w:r>
      <w:r w:rsidR="000C035F" w:rsidRPr="000C035F">
        <w:rPr>
          <w:sz w:val="23"/>
          <w:szCs w:val="23"/>
        </w:rPr>
        <w:t>8</w:t>
      </w:r>
      <w:r w:rsidRPr="000C035F">
        <w:rPr>
          <w:sz w:val="23"/>
          <w:szCs w:val="23"/>
        </w:rPr>
        <w:t xml:space="preserve">%, </w:t>
      </w:r>
      <w:r w:rsidR="003979F7">
        <w:rPr>
          <w:sz w:val="23"/>
          <w:szCs w:val="23"/>
        </w:rPr>
        <w:t>marginally below</w:t>
      </w:r>
      <w:r w:rsidR="000C035F" w:rsidRPr="000C035F">
        <w:rPr>
          <w:sz w:val="23"/>
          <w:szCs w:val="23"/>
        </w:rPr>
        <w:t xml:space="preserve"> </w:t>
      </w:r>
      <w:r w:rsidRPr="000C035F">
        <w:rPr>
          <w:sz w:val="23"/>
          <w:szCs w:val="23"/>
        </w:rPr>
        <w:t>our outlook of approximately 2</w:t>
      </w:r>
      <w:r w:rsidR="000C035F" w:rsidRPr="000C035F">
        <w:rPr>
          <w:sz w:val="23"/>
          <w:szCs w:val="23"/>
        </w:rPr>
        <w:t>4</w:t>
      </w:r>
      <w:r w:rsidRPr="000C035F">
        <w:rPr>
          <w:sz w:val="23"/>
          <w:szCs w:val="23"/>
        </w:rPr>
        <w:t>% for the quarter.</w:t>
      </w:r>
    </w:p>
    <w:p w14:paraId="78860134" w14:textId="77777777" w:rsidR="00DE342E" w:rsidRPr="000C035F" w:rsidRDefault="00DE342E" w:rsidP="005E65E6">
      <w:pPr>
        <w:spacing w:after="0" w:line="240" w:lineRule="auto"/>
        <w:contextualSpacing/>
        <w:jc w:val="both"/>
        <w:rPr>
          <w:rFonts w:cstheme="minorHAnsi"/>
          <w:sz w:val="23"/>
          <w:szCs w:val="23"/>
        </w:rPr>
      </w:pPr>
    </w:p>
    <w:p w14:paraId="47E92A6A" w14:textId="15EA80A4" w:rsidR="005E65E6" w:rsidRDefault="005E65E6" w:rsidP="005E65E6">
      <w:pPr>
        <w:spacing w:after="0" w:line="240" w:lineRule="auto"/>
        <w:contextualSpacing/>
        <w:jc w:val="both"/>
        <w:rPr>
          <w:rFonts w:cstheme="minorHAnsi"/>
          <w:sz w:val="23"/>
          <w:szCs w:val="23"/>
        </w:rPr>
      </w:pPr>
      <w:r w:rsidRPr="000C035F">
        <w:rPr>
          <w:rFonts w:cstheme="minorHAnsi"/>
          <w:sz w:val="23"/>
          <w:szCs w:val="23"/>
        </w:rPr>
        <w:t xml:space="preserve">Adjusted Net Income Excluding Tax </w:t>
      </w:r>
      <w:proofErr w:type="gramStart"/>
      <w:r w:rsidRPr="000C035F">
        <w:rPr>
          <w:rFonts w:cstheme="minorHAnsi"/>
          <w:sz w:val="23"/>
          <w:szCs w:val="23"/>
        </w:rPr>
        <w:t>Adjustments</w:t>
      </w:r>
      <w:r w:rsidRPr="000C035F">
        <w:rPr>
          <w:rFonts w:cstheme="minorHAnsi"/>
          <w:sz w:val="23"/>
          <w:szCs w:val="23"/>
          <w:vertAlign w:val="superscript"/>
        </w:rPr>
        <w:t>(</w:t>
      </w:r>
      <w:proofErr w:type="gramEnd"/>
      <w:r w:rsidRPr="000C035F">
        <w:rPr>
          <w:rFonts w:cstheme="minorHAnsi"/>
          <w:sz w:val="23"/>
          <w:szCs w:val="23"/>
          <w:vertAlign w:val="superscript"/>
        </w:rPr>
        <w:t>2)</w:t>
      </w:r>
      <w:r w:rsidRPr="000C035F">
        <w:rPr>
          <w:rFonts w:cstheme="minorHAnsi"/>
          <w:sz w:val="23"/>
          <w:szCs w:val="23"/>
        </w:rPr>
        <w:t xml:space="preserve"> was $6</w:t>
      </w:r>
      <w:r w:rsidR="000C035F" w:rsidRPr="000C035F">
        <w:rPr>
          <w:rFonts w:cstheme="minorHAnsi"/>
          <w:sz w:val="23"/>
          <w:szCs w:val="23"/>
        </w:rPr>
        <w:t>0</w:t>
      </w:r>
      <w:r w:rsidRPr="000C035F">
        <w:rPr>
          <w:rFonts w:cstheme="minorHAnsi"/>
          <w:sz w:val="23"/>
          <w:szCs w:val="23"/>
        </w:rPr>
        <w:t>.</w:t>
      </w:r>
      <w:r w:rsidR="000C035F" w:rsidRPr="000C035F">
        <w:rPr>
          <w:rFonts w:cstheme="minorHAnsi"/>
          <w:sz w:val="23"/>
          <w:szCs w:val="23"/>
        </w:rPr>
        <w:t>1</w:t>
      </w:r>
      <w:r w:rsidRPr="000C035F">
        <w:rPr>
          <w:rFonts w:cstheme="minorHAnsi"/>
          <w:sz w:val="23"/>
          <w:szCs w:val="23"/>
        </w:rPr>
        <w:t xml:space="preserve"> million, and Tax Adjustments</w:t>
      </w:r>
      <w:r w:rsidRPr="000C035F">
        <w:rPr>
          <w:rFonts w:cstheme="minorHAnsi"/>
          <w:sz w:val="23"/>
          <w:szCs w:val="23"/>
          <w:vertAlign w:val="superscript"/>
        </w:rPr>
        <w:t>(4)</w:t>
      </w:r>
      <w:r w:rsidRPr="000C035F">
        <w:rPr>
          <w:rFonts w:cstheme="minorHAnsi"/>
          <w:sz w:val="23"/>
          <w:szCs w:val="23"/>
        </w:rPr>
        <w:t xml:space="preserve"> was $1</w:t>
      </w:r>
      <w:r w:rsidR="000C035F" w:rsidRPr="000C035F">
        <w:rPr>
          <w:rFonts w:cstheme="minorHAnsi"/>
          <w:sz w:val="23"/>
          <w:szCs w:val="23"/>
        </w:rPr>
        <w:t>7</w:t>
      </w:r>
      <w:r w:rsidRPr="000C035F">
        <w:rPr>
          <w:rFonts w:cstheme="minorHAnsi"/>
          <w:sz w:val="23"/>
          <w:szCs w:val="23"/>
        </w:rPr>
        <w:t>.</w:t>
      </w:r>
      <w:r w:rsidR="000C035F" w:rsidRPr="000C035F">
        <w:rPr>
          <w:rFonts w:cstheme="minorHAnsi"/>
          <w:sz w:val="23"/>
          <w:szCs w:val="23"/>
        </w:rPr>
        <w:t>4</w:t>
      </w:r>
      <w:r w:rsidRPr="000C035F">
        <w:rPr>
          <w:rFonts w:cstheme="minorHAnsi"/>
          <w:sz w:val="23"/>
          <w:szCs w:val="23"/>
        </w:rPr>
        <w:t xml:space="preserve"> million. Adjusted Net Income Excluding Tax Adjustments Per </w:t>
      </w:r>
      <w:proofErr w:type="gramStart"/>
      <w:r w:rsidRPr="000C035F">
        <w:rPr>
          <w:rFonts w:cstheme="minorHAnsi"/>
          <w:sz w:val="23"/>
          <w:szCs w:val="23"/>
        </w:rPr>
        <w:t>Share</w:t>
      </w:r>
      <w:r w:rsidRPr="000C035F">
        <w:rPr>
          <w:rFonts w:cstheme="minorHAnsi"/>
          <w:sz w:val="23"/>
          <w:szCs w:val="23"/>
          <w:vertAlign w:val="superscript"/>
        </w:rPr>
        <w:t>(</w:t>
      </w:r>
      <w:proofErr w:type="gramEnd"/>
      <w:r w:rsidRPr="000C035F">
        <w:rPr>
          <w:rFonts w:cstheme="minorHAnsi"/>
          <w:sz w:val="23"/>
          <w:szCs w:val="23"/>
          <w:vertAlign w:val="superscript"/>
        </w:rPr>
        <w:t>2)</w:t>
      </w:r>
      <w:r w:rsidRPr="000C035F">
        <w:rPr>
          <w:rFonts w:cstheme="minorHAnsi"/>
          <w:sz w:val="23"/>
          <w:szCs w:val="23"/>
        </w:rPr>
        <w:t xml:space="preserve"> was $0.</w:t>
      </w:r>
      <w:r w:rsidR="000C035F" w:rsidRPr="000C035F">
        <w:rPr>
          <w:rFonts w:cstheme="minorHAnsi"/>
          <w:sz w:val="23"/>
          <w:szCs w:val="23"/>
        </w:rPr>
        <w:t>6</w:t>
      </w:r>
      <w:r w:rsidRPr="000C035F">
        <w:rPr>
          <w:rFonts w:cstheme="minorHAnsi"/>
          <w:sz w:val="23"/>
          <w:szCs w:val="23"/>
        </w:rPr>
        <w:t xml:space="preserve">9, down </w:t>
      </w:r>
      <w:r w:rsidR="000C035F" w:rsidRPr="000C035F">
        <w:rPr>
          <w:rFonts w:cstheme="minorHAnsi"/>
          <w:sz w:val="23"/>
          <w:szCs w:val="23"/>
        </w:rPr>
        <w:t>(29.6)</w:t>
      </w:r>
      <w:r w:rsidRPr="000C035F">
        <w:rPr>
          <w:rFonts w:cstheme="minorHAnsi"/>
          <w:sz w:val="23"/>
          <w:szCs w:val="23"/>
        </w:rPr>
        <w:t>% compared to the prior year period</w:t>
      </w:r>
      <w:r w:rsidR="003979F7">
        <w:rPr>
          <w:rFonts w:cstheme="minorHAnsi"/>
          <w:sz w:val="23"/>
          <w:szCs w:val="23"/>
        </w:rPr>
        <w:t xml:space="preserve"> reflecting the </w:t>
      </w:r>
      <w:r w:rsidR="003A5135">
        <w:rPr>
          <w:rFonts w:cstheme="minorHAnsi"/>
          <w:sz w:val="23"/>
          <w:szCs w:val="23"/>
        </w:rPr>
        <w:t>effect</w:t>
      </w:r>
      <w:r w:rsidR="003979F7">
        <w:rPr>
          <w:rFonts w:cstheme="minorHAnsi"/>
          <w:sz w:val="23"/>
          <w:szCs w:val="23"/>
        </w:rPr>
        <w:t xml:space="preserve"> of higher interest expense on our borrowings. </w:t>
      </w:r>
      <w:r w:rsidRPr="000C035F">
        <w:rPr>
          <w:rFonts w:cstheme="minorHAnsi"/>
          <w:sz w:val="23"/>
          <w:szCs w:val="23"/>
        </w:rPr>
        <w:t xml:space="preserve"> Tax Adjustments Per </w:t>
      </w:r>
      <w:proofErr w:type="gramStart"/>
      <w:r w:rsidRPr="000C035F">
        <w:rPr>
          <w:rFonts w:cstheme="minorHAnsi"/>
          <w:sz w:val="23"/>
          <w:szCs w:val="23"/>
        </w:rPr>
        <w:t>Share</w:t>
      </w:r>
      <w:r w:rsidRPr="000C035F">
        <w:rPr>
          <w:rFonts w:cstheme="minorHAnsi"/>
          <w:sz w:val="23"/>
          <w:szCs w:val="23"/>
          <w:vertAlign w:val="superscript"/>
        </w:rPr>
        <w:t>(</w:t>
      </w:r>
      <w:proofErr w:type="gramEnd"/>
      <w:r w:rsidRPr="000C035F">
        <w:rPr>
          <w:rFonts w:cstheme="minorHAnsi"/>
          <w:sz w:val="23"/>
          <w:szCs w:val="23"/>
          <w:vertAlign w:val="superscript"/>
        </w:rPr>
        <w:t>2)</w:t>
      </w:r>
      <w:r w:rsidRPr="000C035F">
        <w:rPr>
          <w:rFonts w:cstheme="minorHAnsi"/>
          <w:sz w:val="23"/>
          <w:szCs w:val="23"/>
        </w:rPr>
        <w:t xml:space="preserve"> was $0.20, up </w:t>
      </w:r>
      <w:r w:rsidR="000C035F" w:rsidRPr="000C035F">
        <w:rPr>
          <w:rFonts w:cstheme="minorHAnsi"/>
          <w:sz w:val="23"/>
          <w:szCs w:val="23"/>
        </w:rPr>
        <w:t>11.1</w:t>
      </w:r>
      <w:r w:rsidRPr="000C035F">
        <w:rPr>
          <w:rFonts w:cstheme="minorHAnsi"/>
          <w:sz w:val="23"/>
          <w:szCs w:val="23"/>
        </w:rPr>
        <w:t>% compared to the prior year period</w:t>
      </w:r>
      <w:r w:rsidR="003979F7">
        <w:rPr>
          <w:rFonts w:cstheme="minorHAnsi"/>
          <w:sz w:val="23"/>
          <w:szCs w:val="23"/>
        </w:rPr>
        <w:t xml:space="preserve"> reflecting the tax efficiency of our acquisition</w:t>
      </w:r>
      <w:r w:rsidR="00E26A4C">
        <w:rPr>
          <w:rFonts w:cstheme="minorHAnsi"/>
          <w:sz w:val="23"/>
          <w:szCs w:val="23"/>
        </w:rPr>
        <w:t xml:space="preserve"> </w:t>
      </w:r>
      <w:r w:rsidR="000934DF">
        <w:rPr>
          <w:rFonts w:cstheme="minorHAnsi"/>
          <w:sz w:val="23"/>
          <w:szCs w:val="23"/>
        </w:rPr>
        <w:t xml:space="preserve">activity </w:t>
      </w:r>
      <w:r w:rsidR="00E26A4C">
        <w:rPr>
          <w:rFonts w:cstheme="minorHAnsi"/>
          <w:sz w:val="23"/>
          <w:szCs w:val="23"/>
        </w:rPr>
        <w:t>associated with</w:t>
      </w:r>
      <w:r w:rsidR="003A5135">
        <w:rPr>
          <w:rFonts w:ascii="Calibri" w:eastAsia="Times New Roman" w:hAnsi="Calibri" w:cs="Calibri"/>
        </w:rPr>
        <w:t xml:space="preserve"> the high M&amp;A transaction volume we sustained during this period</w:t>
      </w:r>
      <w:r w:rsidRPr="000C035F">
        <w:rPr>
          <w:rFonts w:cstheme="minorHAnsi"/>
          <w:sz w:val="23"/>
          <w:szCs w:val="23"/>
        </w:rPr>
        <w:t>.</w:t>
      </w:r>
    </w:p>
    <w:p w14:paraId="570D0E88" w14:textId="77777777" w:rsidR="005E65E6" w:rsidRDefault="005E65E6" w:rsidP="005E65E6">
      <w:pPr>
        <w:spacing w:after="0" w:line="240" w:lineRule="auto"/>
        <w:contextualSpacing/>
        <w:jc w:val="both"/>
        <w:rPr>
          <w:rFonts w:cstheme="minorHAnsi"/>
          <w:sz w:val="23"/>
          <w:szCs w:val="23"/>
        </w:rPr>
      </w:pPr>
    </w:p>
    <w:p w14:paraId="2AF35212" w14:textId="77777777" w:rsidR="005E65E6" w:rsidRDefault="005E65E6" w:rsidP="00B65D59">
      <w:pPr>
        <w:pStyle w:val="ListParagraph"/>
        <w:numPr>
          <w:ilvl w:val="0"/>
          <w:numId w:val="2"/>
        </w:numPr>
        <w:spacing w:line="240" w:lineRule="auto"/>
        <w:rPr>
          <w:rFonts w:cstheme="minorHAnsi"/>
          <w:sz w:val="18"/>
        </w:rPr>
      </w:pPr>
      <w:r>
        <w:rPr>
          <w:rFonts w:cstheme="minorHAnsi"/>
          <w:sz w:val="18"/>
          <w:szCs w:val="18"/>
        </w:rPr>
        <w:t>Please see</w:t>
      </w:r>
      <w:r>
        <w:rPr>
          <w:rFonts w:cstheme="minorHAnsi"/>
          <w:sz w:val="18"/>
        </w:rPr>
        <w:t xml:space="preserve"> footnote 2 under “How We Evaluate Our Business</w:t>
      </w:r>
      <w:r>
        <w:rPr>
          <w:rFonts w:cstheme="minorHAnsi"/>
          <w:sz w:val="18"/>
          <w:szCs w:val="18"/>
        </w:rPr>
        <w:t>” later in this press release.</w:t>
      </w:r>
    </w:p>
    <w:p w14:paraId="53A04E23" w14:textId="77777777" w:rsidR="005E65E6" w:rsidRDefault="005E65E6" w:rsidP="00B65D59">
      <w:pPr>
        <w:pStyle w:val="ListParagraph"/>
        <w:numPr>
          <w:ilvl w:val="0"/>
          <w:numId w:val="2"/>
        </w:numPr>
        <w:spacing w:line="240" w:lineRule="auto"/>
        <w:rPr>
          <w:rFonts w:cstheme="minorHAnsi"/>
          <w:sz w:val="18"/>
          <w:szCs w:val="18"/>
        </w:rPr>
      </w:pPr>
      <w:r>
        <w:rPr>
          <w:rFonts w:cstheme="minorHAnsi"/>
          <w:sz w:val="18"/>
          <w:szCs w:val="18"/>
        </w:rPr>
        <w:t xml:space="preserve">Non-GAAP financial measures. Please see “Reconciliation of Non-GAAP Financial Measures” later in this press release for a reconciliation and more information on these measures. </w:t>
      </w:r>
    </w:p>
    <w:p w14:paraId="47E26723" w14:textId="77777777" w:rsidR="005E65E6" w:rsidRDefault="005E65E6" w:rsidP="00B65D59">
      <w:pPr>
        <w:pStyle w:val="ListParagraph"/>
        <w:numPr>
          <w:ilvl w:val="0"/>
          <w:numId w:val="2"/>
        </w:numPr>
        <w:spacing w:line="240" w:lineRule="auto"/>
        <w:rPr>
          <w:rFonts w:cstheme="minorHAnsi"/>
          <w:sz w:val="18"/>
          <w:szCs w:val="18"/>
        </w:rPr>
      </w:pPr>
      <w:r>
        <w:rPr>
          <w:rFonts w:cstheme="minorHAnsi"/>
          <w:sz w:val="18"/>
          <w:szCs w:val="18"/>
        </w:rPr>
        <w:t>Calculated as Adjusted EBITDA divided by Revenues.</w:t>
      </w:r>
    </w:p>
    <w:p w14:paraId="539B7C0F" w14:textId="77777777" w:rsidR="005E65E6" w:rsidRDefault="005E65E6" w:rsidP="00B65D59">
      <w:pPr>
        <w:pStyle w:val="ListParagraph"/>
        <w:numPr>
          <w:ilvl w:val="0"/>
          <w:numId w:val="2"/>
        </w:numPr>
        <w:spacing w:line="240" w:lineRule="auto"/>
        <w:rPr>
          <w:rFonts w:cstheme="minorHAnsi"/>
          <w:sz w:val="18"/>
          <w:szCs w:val="18"/>
        </w:rPr>
      </w:pPr>
      <w:r>
        <w:rPr>
          <w:rFonts w:cstheme="minorHAnsi"/>
          <w:sz w:val="18"/>
          <w:szCs w:val="18"/>
        </w:rPr>
        <w:t>Please see footnote 6 under “How We Evaluate Our Business” later in this press release.</w:t>
      </w:r>
    </w:p>
    <w:p w14:paraId="0EF33D32" w14:textId="77777777" w:rsidR="0057101E" w:rsidRDefault="0057101E" w:rsidP="005E65E6">
      <w:pPr>
        <w:pStyle w:val="NoSpacing"/>
        <w:keepNext/>
        <w:keepLines/>
        <w:rPr>
          <w:rFonts w:cstheme="minorHAnsi"/>
          <w:b/>
          <w:bCs/>
          <w:sz w:val="23"/>
          <w:szCs w:val="23"/>
        </w:rPr>
      </w:pPr>
    </w:p>
    <w:bookmarkEnd w:id="1"/>
    <w:bookmarkEnd w:id="2"/>
    <w:p w14:paraId="247F504D" w14:textId="77777777" w:rsidR="00C31DE4" w:rsidRPr="000C035F" w:rsidRDefault="00C31DE4" w:rsidP="005E65E6">
      <w:pPr>
        <w:pStyle w:val="NoSpacing"/>
        <w:keepNext/>
        <w:keepLines/>
        <w:rPr>
          <w:rFonts w:cstheme="minorHAnsi"/>
          <w:b/>
          <w:bCs/>
          <w:sz w:val="23"/>
          <w:szCs w:val="23"/>
        </w:rPr>
      </w:pPr>
      <w:r w:rsidRPr="000C035F">
        <w:rPr>
          <w:rFonts w:cstheme="minorHAnsi"/>
          <w:b/>
          <w:bCs/>
          <w:sz w:val="23"/>
          <w:szCs w:val="23"/>
        </w:rPr>
        <w:t>Balance Sheet and Liquidity</w:t>
      </w:r>
    </w:p>
    <w:p w14:paraId="43386919" w14:textId="3994C2B7" w:rsidR="005E65E6" w:rsidRPr="000C035F" w:rsidRDefault="005E65E6" w:rsidP="005E65E6">
      <w:pPr>
        <w:keepNext/>
        <w:keepLines/>
        <w:spacing w:after="0" w:line="240" w:lineRule="auto"/>
        <w:jc w:val="both"/>
        <w:rPr>
          <w:rFonts w:cstheme="minorHAnsi"/>
          <w:sz w:val="23"/>
          <w:szCs w:val="23"/>
        </w:rPr>
      </w:pPr>
      <w:r w:rsidRPr="000C035F">
        <w:rPr>
          <w:rFonts w:cstheme="minorHAnsi"/>
          <w:sz w:val="23"/>
          <w:szCs w:val="23"/>
        </w:rPr>
        <w:t xml:space="preserve">As of </w:t>
      </w:r>
      <w:r w:rsidR="000C035F" w:rsidRPr="000C035F">
        <w:rPr>
          <w:rFonts w:cstheme="minorHAnsi"/>
          <w:sz w:val="23"/>
          <w:szCs w:val="23"/>
        </w:rPr>
        <w:t>March</w:t>
      </w:r>
      <w:r w:rsidRPr="000C035F">
        <w:rPr>
          <w:rFonts w:cstheme="minorHAnsi"/>
          <w:sz w:val="23"/>
          <w:szCs w:val="23"/>
        </w:rPr>
        <w:t xml:space="preserve"> 31, 202</w:t>
      </w:r>
      <w:r w:rsidR="000C035F" w:rsidRPr="000C035F">
        <w:rPr>
          <w:rFonts w:cstheme="minorHAnsi"/>
          <w:sz w:val="23"/>
          <w:szCs w:val="23"/>
        </w:rPr>
        <w:t>3</w:t>
      </w:r>
      <w:r w:rsidRPr="000C035F">
        <w:rPr>
          <w:rFonts w:cstheme="minorHAnsi"/>
          <w:sz w:val="23"/>
          <w:szCs w:val="23"/>
        </w:rPr>
        <w:t>, cash and cash equivalents were $1</w:t>
      </w:r>
      <w:r w:rsidR="000C035F" w:rsidRPr="000C035F">
        <w:rPr>
          <w:rFonts w:cstheme="minorHAnsi"/>
          <w:sz w:val="23"/>
          <w:szCs w:val="23"/>
        </w:rPr>
        <w:t>00</w:t>
      </w:r>
      <w:r w:rsidRPr="000C035F">
        <w:rPr>
          <w:rFonts w:cstheme="minorHAnsi"/>
          <w:sz w:val="23"/>
          <w:szCs w:val="23"/>
        </w:rPr>
        <w:t>.</w:t>
      </w:r>
      <w:r w:rsidR="000C035F" w:rsidRPr="000C035F">
        <w:rPr>
          <w:rFonts w:cstheme="minorHAnsi"/>
          <w:sz w:val="23"/>
          <w:szCs w:val="23"/>
        </w:rPr>
        <w:t>2</w:t>
      </w:r>
      <w:r w:rsidRPr="000C035F">
        <w:rPr>
          <w:rFonts w:cstheme="minorHAnsi"/>
          <w:sz w:val="23"/>
          <w:szCs w:val="23"/>
        </w:rPr>
        <w:t xml:space="preserve"> million and debt outstanding under our credit facilities was approximately $2.</w:t>
      </w:r>
      <w:r w:rsidR="003979F7">
        <w:rPr>
          <w:rFonts w:cstheme="minorHAnsi"/>
          <w:sz w:val="23"/>
          <w:szCs w:val="23"/>
        </w:rPr>
        <w:t>7</w:t>
      </w:r>
      <w:r w:rsidRPr="000C035F">
        <w:rPr>
          <w:rFonts w:cstheme="minorHAnsi"/>
          <w:sz w:val="23"/>
          <w:szCs w:val="23"/>
        </w:rPr>
        <w:t xml:space="preserve"> billion. </w:t>
      </w:r>
    </w:p>
    <w:p w14:paraId="6624B6BA" w14:textId="77777777" w:rsidR="005E65E6" w:rsidRPr="000C035F" w:rsidRDefault="005E65E6" w:rsidP="005E65E6">
      <w:pPr>
        <w:keepNext/>
        <w:keepLines/>
        <w:spacing w:after="0" w:line="240" w:lineRule="auto"/>
        <w:jc w:val="both"/>
        <w:rPr>
          <w:rFonts w:cstheme="minorHAnsi"/>
          <w:sz w:val="23"/>
          <w:szCs w:val="23"/>
        </w:rPr>
      </w:pPr>
    </w:p>
    <w:p w14:paraId="2982E4D3" w14:textId="36DD813A" w:rsidR="005E65E6" w:rsidRPr="007C068A" w:rsidRDefault="005E65E6" w:rsidP="005E65E6">
      <w:pPr>
        <w:keepNext/>
        <w:keepLines/>
        <w:spacing w:after="0" w:line="240" w:lineRule="auto"/>
        <w:jc w:val="both"/>
        <w:rPr>
          <w:sz w:val="23"/>
          <w:szCs w:val="23"/>
        </w:rPr>
      </w:pPr>
      <w:r w:rsidRPr="000C035F">
        <w:rPr>
          <w:rFonts w:cstheme="minorHAnsi"/>
          <w:sz w:val="23"/>
          <w:szCs w:val="23"/>
        </w:rPr>
        <w:t xml:space="preserve">Our Net Leverage </w:t>
      </w:r>
      <w:proofErr w:type="gramStart"/>
      <w:r w:rsidRPr="000C035F">
        <w:rPr>
          <w:rFonts w:cstheme="minorHAnsi"/>
          <w:sz w:val="23"/>
          <w:szCs w:val="23"/>
        </w:rPr>
        <w:t>Ratio</w:t>
      </w:r>
      <w:r w:rsidRPr="000C035F">
        <w:rPr>
          <w:rFonts w:cstheme="minorHAnsi"/>
          <w:sz w:val="23"/>
          <w:szCs w:val="23"/>
          <w:vertAlign w:val="superscript"/>
        </w:rPr>
        <w:t>(</w:t>
      </w:r>
      <w:proofErr w:type="gramEnd"/>
      <w:r w:rsidRPr="000C035F">
        <w:rPr>
          <w:rFonts w:cstheme="minorHAnsi"/>
          <w:sz w:val="23"/>
          <w:szCs w:val="23"/>
          <w:vertAlign w:val="superscript"/>
        </w:rPr>
        <w:t>1)</w:t>
      </w:r>
      <w:r w:rsidRPr="000C035F">
        <w:rPr>
          <w:rFonts w:cstheme="minorHAnsi"/>
          <w:sz w:val="23"/>
          <w:szCs w:val="23"/>
        </w:rPr>
        <w:t xml:space="preserve"> as of </w:t>
      </w:r>
      <w:r w:rsidR="000C035F" w:rsidRPr="000C035F">
        <w:rPr>
          <w:rFonts w:cstheme="minorHAnsi"/>
          <w:sz w:val="23"/>
          <w:szCs w:val="23"/>
        </w:rPr>
        <w:t>March</w:t>
      </w:r>
      <w:r w:rsidRPr="000C035F">
        <w:rPr>
          <w:rFonts w:cstheme="minorHAnsi"/>
          <w:sz w:val="23"/>
          <w:szCs w:val="23"/>
        </w:rPr>
        <w:t xml:space="preserve"> 31, 202</w:t>
      </w:r>
      <w:r w:rsidR="000C035F" w:rsidRPr="000C035F">
        <w:rPr>
          <w:rFonts w:cstheme="minorHAnsi"/>
          <w:sz w:val="23"/>
          <w:szCs w:val="23"/>
        </w:rPr>
        <w:t>3</w:t>
      </w:r>
      <w:r w:rsidRPr="000C035F">
        <w:rPr>
          <w:rFonts w:cstheme="minorHAnsi"/>
          <w:sz w:val="23"/>
          <w:szCs w:val="23"/>
        </w:rPr>
        <w:t xml:space="preserve"> was 4.</w:t>
      </w:r>
      <w:r w:rsidR="000C035F" w:rsidRPr="000C035F">
        <w:rPr>
          <w:rFonts w:cstheme="minorHAnsi"/>
          <w:sz w:val="23"/>
          <w:szCs w:val="23"/>
        </w:rPr>
        <w:t>41</w:t>
      </w:r>
      <w:r w:rsidRPr="000C035F">
        <w:rPr>
          <w:rFonts w:cstheme="minorHAnsi"/>
          <w:sz w:val="23"/>
          <w:szCs w:val="23"/>
        </w:rPr>
        <w:t xml:space="preserve">x. </w:t>
      </w:r>
      <w:r w:rsidRPr="000C035F">
        <w:rPr>
          <w:sz w:val="23"/>
          <w:szCs w:val="23"/>
        </w:rPr>
        <w:t xml:space="preserve">We remain committed to maintaining our Net Leverage </w:t>
      </w:r>
      <w:proofErr w:type="gramStart"/>
      <w:r w:rsidRPr="000C035F">
        <w:rPr>
          <w:sz w:val="23"/>
          <w:szCs w:val="23"/>
        </w:rPr>
        <w:t>Ratio</w:t>
      </w:r>
      <w:r w:rsidRPr="000C035F">
        <w:rPr>
          <w:sz w:val="23"/>
          <w:szCs w:val="23"/>
          <w:vertAlign w:val="superscript"/>
        </w:rPr>
        <w:t>(</w:t>
      </w:r>
      <w:proofErr w:type="gramEnd"/>
      <w:r w:rsidRPr="000C035F">
        <w:rPr>
          <w:sz w:val="23"/>
          <w:szCs w:val="23"/>
          <w:vertAlign w:val="superscript"/>
        </w:rPr>
        <w:t>1)</w:t>
      </w:r>
      <w:r w:rsidRPr="000C035F">
        <w:rPr>
          <w:sz w:val="23"/>
          <w:szCs w:val="23"/>
        </w:rPr>
        <w:t xml:space="preserve"> between 3.5x to 4.5x and believe this is the appropriate range for our business given our highly </w:t>
      </w:r>
      <w:r w:rsidRPr="007C068A">
        <w:rPr>
          <w:sz w:val="23"/>
          <w:szCs w:val="23"/>
        </w:rPr>
        <w:t>acquisitive nature.</w:t>
      </w:r>
    </w:p>
    <w:p w14:paraId="1D9131AB" w14:textId="77777777" w:rsidR="005E65E6" w:rsidRPr="007C068A" w:rsidRDefault="005E65E6" w:rsidP="005E65E6">
      <w:pPr>
        <w:keepNext/>
        <w:keepLines/>
        <w:spacing w:line="240" w:lineRule="auto"/>
        <w:contextualSpacing/>
        <w:jc w:val="both"/>
        <w:rPr>
          <w:sz w:val="23"/>
          <w:szCs w:val="23"/>
        </w:rPr>
      </w:pPr>
    </w:p>
    <w:p w14:paraId="662B3DBE" w14:textId="21735574" w:rsidR="005E65E6" w:rsidRPr="007C068A" w:rsidRDefault="005E65E6" w:rsidP="005E65E6">
      <w:pPr>
        <w:keepNext/>
        <w:keepLines/>
        <w:spacing w:line="240" w:lineRule="auto"/>
        <w:contextualSpacing/>
        <w:jc w:val="both"/>
        <w:rPr>
          <w:sz w:val="23"/>
          <w:szCs w:val="23"/>
        </w:rPr>
      </w:pPr>
      <w:r w:rsidRPr="007C068A">
        <w:rPr>
          <w:rFonts w:cstheme="minorHAnsi"/>
          <w:sz w:val="23"/>
          <w:szCs w:val="23"/>
        </w:rPr>
        <w:t xml:space="preserve">As of </w:t>
      </w:r>
      <w:r w:rsidR="000C035F" w:rsidRPr="007C068A">
        <w:rPr>
          <w:rFonts w:cstheme="minorHAnsi"/>
          <w:sz w:val="23"/>
          <w:szCs w:val="23"/>
        </w:rPr>
        <w:t>March</w:t>
      </w:r>
      <w:r w:rsidRPr="007C068A">
        <w:rPr>
          <w:rFonts w:cstheme="minorHAnsi"/>
          <w:sz w:val="23"/>
          <w:szCs w:val="23"/>
        </w:rPr>
        <w:t xml:space="preserve"> 31, 202</w:t>
      </w:r>
      <w:r w:rsidR="000C035F" w:rsidRPr="007C068A">
        <w:rPr>
          <w:rFonts w:cstheme="minorHAnsi"/>
          <w:sz w:val="23"/>
          <w:szCs w:val="23"/>
        </w:rPr>
        <w:t>3</w:t>
      </w:r>
      <w:r w:rsidRPr="007C068A">
        <w:rPr>
          <w:rFonts w:cstheme="minorHAnsi"/>
          <w:sz w:val="23"/>
          <w:szCs w:val="23"/>
        </w:rPr>
        <w:t>, $850 million, or 3</w:t>
      </w:r>
      <w:r w:rsidR="000C035F" w:rsidRPr="007C068A">
        <w:rPr>
          <w:rFonts w:cstheme="minorHAnsi"/>
          <w:sz w:val="23"/>
          <w:szCs w:val="23"/>
        </w:rPr>
        <w:t>2</w:t>
      </w:r>
      <w:r w:rsidRPr="007C068A">
        <w:rPr>
          <w:rFonts w:cstheme="minorHAnsi"/>
          <w:sz w:val="23"/>
          <w:szCs w:val="23"/>
        </w:rPr>
        <w:t>.</w:t>
      </w:r>
      <w:r w:rsidR="000C035F" w:rsidRPr="007C068A">
        <w:rPr>
          <w:rFonts w:cstheme="minorHAnsi"/>
          <w:sz w:val="23"/>
          <w:szCs w:val="23"/>
        </w:rPr>
        <w:t>0</w:t>
      </w:r>
      <w:r w:rsidRPr="007C068A">
        <w:rPr>
          <w:rFonts w:cstheme="minorHAnsi"/>
          <w:sz w:val="23"/>
          <w:szCs w:val="23"/>
        </w:rPr>
        <w:t xml:space="preserve">%, of </w:t>
      </w:r>
      <w:r w:rsidR="003A5135">
        <w:rPr>
          <w:rFonts w:cstheme="minorHAnsi"/>
          <w:sz w:val="23"/>
          <w:szCs w:val="23"/>
        </w:rPr>
        <w:t>our</w:t>
      </w:r>
      <w:r w:rsidRPr="007C068A">
        <w:rPr>
          <w:rFonts w:cstheme="minorHAnsi"/>
          <w:sz w:val="23"/>
          <w:szCs w:val="23"/>
        </w:rPr>
        <w:t xml:space="preserve"> debt outstanding under our credit facilities had SOFR swapped from a floating rate to a fixed weighted average interest rate of 53 basis points plus a spread of 325 basis points. The residual amount of approximately $1.</w:t>
      </w:r>
      <w:r w:rsidR="007C068A" w:rsidRPr="007C068A">
        <w:rPr>
          <w:rFonts w:cstheme="minorHAnsi"/>
          <w:sz w:val="23"/>
          <w:szCs w:val="23"/>
        </w:rPr>
        <w:t>8</w:t>
      </w:r>
      <w:r w:rsidRPr="007C068A">
        <w:rPr>
          <w:rFonts w:cstheme="minorHAnsi"/>
          <w:sz w:val="23"/>
          <w:szCs w:val="23"/>
        </w:rPr>
        <w:t xml:space="preserve"> billion remains at floating rates, with $</w:t>
      </w:r>
      <w:r w:rsidR="007C068A" w:rsidRPr="007C068A">
        <w:rPr>
          <w:rFonts w:cstheme="minorHAnsi"/>
          <w:sz w:val="23"/>
          <w:szCs w:val="23"/>
        </w:rPr>
        <w:t>9</w:t>
      </w:r>
      <w:r w:rsidRPr="007C068A">
        <w:rPr>
          <w:rFonts w:cstheme="minorHAnsi"/>
          <w:sz w:val="23"/>
          <w:szCs w:val="23"/>
        </w:rPr>
        <w:t>0</w:t>
      </w:r>
      <w:r w:rsidR="007C068A" w:rsidRPr="007C068A">
        <w:rPr>
          <w:rFonts w:cstheme="minorHAnsi"/>
          <w:sz w:val="23"/>
          <w:szCs w:val="23"/>
        </w:rPr>
        <w:t>6</w:t>
      </w:r>
      <w:r w:rsidRPr="007C068A">
        <w:rPr>
          <w:rFonts w:cstheme="minorHAnsi"/>
          <w:sz w:val="23"/>
          <w:szCs w:val="23"/>
        </w:rPr>
        <w:t>.</w:t>
      </w:r>
      <w:r w:rsidR="005C2225">
        <w:rPr>
          <w:rFonts w:cstheme="minorHAnsi"/>
          <w:sz w:val="23"/>
          <w:szCs w:val="23"/>
        </w:rPr>
        <w:t>3</w:t>
      </w:r>
      <w:r w:rsidRPr="007C068A">
        <w:rPr>
          <w:rFonts w:cstheme="minorHAnsi"/>
          <w:sz w:val="23"/>
          <w:szCs w:val="23"/>
        </w:rPr>
        <w:t xml:space="preserve"> million at an interest rate of SOFR (subject to a </w:t>
      </w:r>
      <w:proofErr w:type="gramStart"/>
      <w:r w:rsidRPr="007C068A">
        <w:rPr>
          <w:rFonts w:cstheme="minorHAnsi"/>
          <w:sz w:val="23"/>
          <w:szCs w:val="23"/>
        </w:rPr>
        <w:t>50 basis</w:t>
      </w:r>
      <w:proofErr w:type="gramEnd"/>
      <w:r w:rsidRPr="007C068A">
        <w:rPr>
          <w:rFonts w:cstheme="minorHAnsi"/>
          <w:sz w:val="23"/>
          <w:szCs w:val="23"/>
        </w:rPr>
        <w:t xml:space="preserve"> point floor) plus 250 basis points spread, and $90</w:t>
      </w:r>
      <w:r w:rsidR="007C068A" w:rsidRPr="007C068A">
        <w:rPr>
          <w:rFonts w:cstheme="minorHAnsi"/>
          <w:sz w:val="23"/>
          <w:szCs w:val="23"/>
        </w:rPr>
        <w:t>1</w:t>
      </w:r>
      <w:r w:rsidRPr="007C068A">
        <w:rPr>
          <w:rFonts w:cstheme="minorHAnsi"/>
          <w:sz w:val="23"/>
          <w:szCs w:val="23"/>
        </w:rPr>
        <w:t>.</w:t>
      </w:r>
      <w:r w:rsidR="007C068A" w:rsidRPr="007C068A">
        <w:rPr>
          <w:rFonts w:cstheme="minorHAnsi"/>
          <w:sz w:val="23"/>
          <w:szCs w:val="23"/>
        </w:rPr>
        <w:t>2</w:t>
      </w:r>
      <w:r w:rsidRPr="007C068A">
        <w:rPr>
          <w:rFonts w:cstheme="minorHAnsi"/>
          <w:sz w:val="23"/>
          <w:szCs w:val="23"/>
        </w:rPr>
        <w:t xml:space="preserve"> million at an interest rate of SOFR (subject to a 50 basis point floor) plus 325 basis points spread. We typically use 30-day Term SOFR for our term loans.</w:t>
      </w:r>
    </w:p>
    <w:p w14:paraId="23EC8CF3" w14:textId="77777777" w:rsidR="005E65E6" w:rsidRPr="007C068A" w:rsidRDefault="005E65E6" w:rsidP="005E65E6">
      <w:pPr>
        <w:spacing w:after="0" w:line="240" w:lineRule="auto"/>
        <w:jc w:val="both"/>
        <w:rPr>
          <w:rFonts w:cstheme="minorHAnsi"/>
          <w:sz w:val="23"/>
          <w:szCs w:val="23"/>
        </w:rPr>
      </w:pPr>
    </w:p>
    <w:p w14:paraId="44E80179" w14:textId="77777777" w:rsidR="00C31DE4" w:rsidRDefault="005E65E6" w:rsidP="005E65E6">
      <w:pPr>
        <w:spacing w:after="0" w:line="240" w:lineRule="auto"/>
        <w:jc w:val="both"/>
        <w:rPr>
          <w:rFonts w:cstheme="minorHAnsi"/>
          <w:sz w:val="23"/>
          <w:szCs w:val="23"/>
        </w:rPr>
      </w:pPr>
      <w:r w:rsidRPr="008B409B">
        <w:rPr>
          <w:rFonts w:cstheme="minorHAnsi"/>
          <w:sz w:val="23"/>
          <w:szCs w:val="23"/>
        </w:rPr>
        <w:t xml:space="preserve">Our net cash provided by operating activities for the trailing four quarters ended </w:t>
      </w:r>
      <w:r w:rsidR="007C068A" w:rsidRPr="008B409B">
        <w:rPr>
          <w:rFonts w:cstheme="minorHAnsi"/>
          <w:sz w:val="23"/>
          <w:szCs w:val="23"/>
        </w:rPr>
        <w:t>March</w:t>
      </w:r>
      <w:r w:rsidRPr="008B409B">
        <w:rPr>
          <w:rFonts w:cstheme="minorHAnsi"/>
          <w:sz w:val="23"/>
          <w:szCs w:val="23"/>
        </w:rPr>
        <w:t xml:space="preserve"> 31, </w:t>
      </w:r>
      <w:proofErr w:type="gramStart"/>
      <w:r w:rsidRPr="008B409B">
        <w:rPr>
          <w:rFonts w:cstheme="minorHAnsi"/>
          <w:sz w:val="23"/>
          <w:szCs w:val="23"/>
        </w:rPr>
        <w:t>202</w:t>
      </w:r>
      <w:r w:rsidR="007C068A" w:rsidRPr="008B409B">
        <w:rPr>
          <w:rFonts w:cstheme="minorHAnsi"/>
          <w:sz w:val="23"/>
          <w:szCs w:val="23"/>
        </w:rPr>
        <w:t>3</w:t>
      </w:r>
      <w:proofErr w:type="gramEnd"/>
      <w:r w:rsidRPr="008B409B">
        <w:rPr>
          <w:rFonts w:cstheme="minorHAnsi"/>
          <w:sz w:val="23"/>
          <w:szCs w:val="23"/>
        </w:rPr>
        <w:t xml:space="preserve"> was $2</w:t>
      </w:r>
      <w:r w:rsidR="007C068A" w:rsidRPr="008B409B">
        <w:rPr>
          <w:rFonts w:cstheme="minorHAnsi"/>
          <w:sz w:val="23"/>
          <w:szCs w:val="23"/>
        </w:rPr>
        <w:t>90</w:t>
      </w:r>
      <w:r w:rsidRPr="008B409B">
        <w:rPr>
          <w:rFonts w:cstheme="minorHAnsi"/>
          <w:sz w:val="23"/>
          <w:szCs w:val="23"/>
        </w:rPr>
        <w:t>.</w:t>
      </w:r>
      <w:r w:rsidR="007C068A" w:rsidRPr="008B409B">
        <w:rPr>
          <w:rFonts w:cstheme="minorHAnsi"/>
          <w:sz w:val="23"/>
          <w:szCs w:val="23"/>
        </w:rPr>
        <w:t>0</w:t>
      </w:r>
      <w:r w:rsidRPr="008B409B">
        <w:rPr>
          <w:rFonts w:cstheme="minorHAnsi"/>
          <w:sz w:val="23"/>
          <w:szCs w:val="23"/>
        </w:rPr>
        <w:t xml:space="preserve"> million compared to $</w:t>
      </w:r>
      <w:r w:rsidR="007C068A" w:rsidRPr="008B409B">
        <w:rPr>
          <w:rFonts w:cstheme="minorHAnsi"/>
          <w:sz w:val="23"/>
          <w:szCs w:val="23"/>
        </w:rPr>
        <w:t>275</w:t>
      </w:r>
      <w:r w:rsidRPr="008B409B">
        <w:rPr>
          <w:rFonts w:cstheme="minorHAnsi"/>
          <w:sz w:val="23"/>
          <w:szCs w:val="23"/>
        </w:rPr>
        <w:t>.</w:t>
      </w:r>
      <w:r w:rsidR="007C068A" w:rsidRPr="008B409B">
        <w:rPr>
          <w:rFonts w:cstheme="minorHAnsi"/>
          <w:sz w:val="23"/>
          <w:szCs w:val="23"/>
        </w:rPr>
        <w:t>1</w:t>
      </w:r>
      <w:r w:rsidRPr="008B409B">
        <w:rPr>
          <w:rFonts w:cstheme="minorHAnsi"/>
          <w:sz w:val="23"/>
          <w:szCs w:val="23"/>
        </w:rPr>
        <w:t xml:space="preserve"> million for the comparable prior year period. Our Cash Flow Available for Capital </w:t>
      </w:r>
      <w:proofErr w:type="gramStart"/>
      <w:r w:rsidRPr="008B409B">
        <w:rPr>
          <w:rFonts w:cstheme="minorHAnsi"/>
          <w:sz w:val="23"/>
          <w:szCs w:val="23"/>
        </w:rPr>
        <w:t>Allocation</w:t>
      </w:r>
      <w:r w:rsidRPr="008B409B">
        <w:rPr>
          <w:rFonts w:cstheme="minorHAnsi"/>
          <w:sz w:val="23"/>
          <w:szCs w:val="23"/>
          <w:vertAlign w:val="superscript"/>
        </w:rPr>
        <w:t>(</w:t>
      </w:r>
      <w:proofErr w:type="gramEnd"/>
      <w:r w:rsidRPr="008B409B">
        <w:rPr>
          <w:rFonts w:cstheme="minorHAnsi"/>
          <w:sz w:val="23"/>
          <w:szCs w:val="23"/>
          <w:vertAlign w:val="superscript"/>
        </w:rPr>
        <w:t>2)</w:t>
      </w:r>
      <w:r w:rsidRPr="008B409B">
        <w:rPr>
          <w:rFonts w:cstheme="minorHAnsi"/>
          <w:sz w:val="23"/>
          <w:szCs w:val="23"/>
        </w:rPr>
        <w:t xml:space="preserve"> for the trailing four quarters ended </w:t>
      </w:r>
      <w:r w:rsidR="007C068A" w:rsidRPr="008B409B">
        <w:rPr>
          <w:rFonts w:cstheme="minorHAnsi"/>
          <w:sz w:val="23"/>
          <w:szCs w:val="23"/>
        </w:rPr>
        <w:t>March</w:t>
      </w:r>
      <w:r w:rsidRPr="008B409B">
        <w:rPr>
          <w:rFonts w:cstheme="minorHAnsi"/>
          <w:sz w:val="23"/>
          <w:szCs w:val="23"/>
        </w:rPr>
        <w:t xml:space="preserve"> 31, 202</w:t>
      </w:r>
      <w:r w:rsidR="007C068A" w:rsidRPr="008B409B">
        <w:rPr>
          <w:rFonts w:cstheme="minorHAnsi"/>
          <w:sz w:val="23"/>
          <w:szCs w:val="23"/>
        </w:rPr>
        <w:t>3</w:t>
      </w:r>
      <w:r w:rsidRPr="008B409B">
        <w:rPr>
          <w:rFonts w:cstheme="minorHAnsi"/>
          <w:sz w:val="23"/>
          <w:szCs w:val="23"/>
        </w:rPr>
        <w:t xml:space="preserve"> was $3</w:t>
      </w:r>
      <w:r w:rsidR="007C068A" w:rsidRPr="008B409B">
        <w:rPr>
          <w:rFonts w:cstheme="minorHAnsi"/>
          <w:sz w:val="23"/>
          <w:szCs w:val="23"/>
        </w:rPr>
        <w:t>03</w:t>
      </w:r>
      <w:r w:rsidRPr="008B409B">
        <w:rPr>
          <w:rFonts w:cstheme="minorHAnsi"/>
          <w:sz w:val="23"/>
          <w:szCs w:val="23"/>
        </w:rPr>
        <w:t>.</w:t>
      </w:r>
      <w:r w:rsidR="007C068A" w:rsidRPr="008B409B">
        <w:rPr>
          <w:rFonts w:cstheme="minorHAnsi"/>
          <w:sz w:val="23"/>
          <w:szCs w:val="23"/>
        </w:rPr>
        <w:t>9</w:t>
      </w:r>
      <w:r w:rsidRPr="008B409B">
        <w:rPr>
          <w:rFonts w:cstheme="minorHAnsi"/>
          <w:sz w:val="23"/>
          <w:szCs w:val="23"/>
        </w:rPr>
        <w:t xml:space="preserve"> million compared to $</w:t>
      </w:r>
      <w:r w:rsidR="007C068A" w:rsidRPr="008B409B">
        <w:rPr>
          <w:rFonts w:cstheme="minorHAnsi"/>
          <w:sz w:val="23"/>
          <w:szCs w:val="23"/>
        </w:rPr>
        <w:t>29</w:t>
      </w:r>
      <w:r w:rsidRPr="008B409B">
        <w:rPr>
          <w:rFonts w:cstheme="minorHAnsi"/>
          <w:sz w:val="23"/>
          <w:szCs w:val="23"/>
        </w:rPr>
        <w:t>9.</w:t>
      </w:r>
      <w:r w:rsidR="007C068A" w:rsidRPr="008B409B">
        <w:rPr>
          <w:rFonts w:cstheme="minorHAnsi"/>
          <w:sz w:val="23"/>
          <w:szCs w:val="23"/>
        </w:rPr>
        <w:t>6</w:t>
      </w:r>
      <w:r w:rsidRPr="008B409B">
        <w:rPr>
          <w:rFonts w:cstheme="minorHAnsi"/>
          <w:sz w:val="23"/>
          <w:szCs w:val="23"/>
        </w:rPr>
        <w:t xml:space="preserve"> million for the comparable prior year period. In the 202</w:t>
      </w:r>
      <w:r w:rsidR="007C068A" w:rsidRPr="008B409B">
        <w:rPr>
          <w:rFonts w:cstheme="minorHAnsi"/>
          <w:sz w:val="23"/>
          <w:szCs w:val="23"/>
        </w:rPr>
        <w:t>3</w:t>
      </w:r>
      <w:r w:rsidRPr="008B409B">
        <w:rPr>
          <w:rFonts w:cstheme="minorHAnsi"/>
          <w:sz w:val="23"/>
          <w:szCs w:val="23"/>
        </w:rPr>
        <w:t xml:space="preserve"> </w:t>
      </w:r>
      <w:r w:rsidR="007C068A" w:rsidRPr="008B409B">
        <w:rPr>
          <w:rFonts w:cstheme="minorHAnsi"/>
          <w:sz w:val="23"/>
          <w:szCs w:val="23"/>
        </w:rPr>
        <w:t>first</w:t>
      </w:r>
      <w:r w:rsidRPr="008B409B">
        <w:rPr>
          <w:rFonts w:cstheme="minorHAnsi"/>
          <w:sz w:val="23"/>
          <w:szCs w:val="23"/>
        </w:rPr>
        <w:t xml:space="preserve"> quarter, we paid $</w:t>
      </w:r>
      <w:r w:rsidR="008B409B" w:rsidRPr="008B409B">
        <w:rPr>
          <w:rFonts w:cstheme="minorHAnsi"/>
          <w:sz w:val="23"/>
          <w:szCs w:val="23"/>
        </w:rPr>
        <w:t>2</w:t>
      </w:r>
      <w:r w:rsidRPr="008B409B">
        <w:rPr>
          <w:rFonts w:cstheme="minorHAnsi"/>
          <w:sz w:val="23"/>
          <w:szCs w:val="23"/>
        </w:rPr>
        <w:t>6</w:t>
      </w:r>
      <w:r w:rsidR="008B409B" w:rsidRPr="008B409B">
        <w:rPr>
          <w:rFonts w:cstheme="minorHAnsi"/>
          <w:sz w:val="23"/>
          <w:szCs w:val="23"/>
        </w:rPr>
        <w:t>.1</w:t>
      </w:r>
      <w:r w:rsidRPr="008B409B">
        <w:rPr>
          <w:rFonts w:cstheme="minorHAnsi"/>
          <w:sz w:val="23"/>
          <w:szCs w:val="23"/>
        </w:rPr>
        <w:t xml:space="preserve"> million in cash earn-out obligations and $6.</w:t>
      </w:r>
      <w:r w:rsidR="008B409B" w:rsidRPr="008B409B">
        <w:rPr>
          <w:rFonts w:cstheme="minorHAnsi"/>
          <w:sz w:val="23"/>
          <w:szCs w:val="23"/>
        </w:rPr>
        <w:t>5</w:t>
      </w:r>
      <w:r w:rsidRPr="008B409B">
        <w:rPr>
          <w:rFonts w:cstheme="minorHAnsi"/>
          <w:sz w:val="23"/>
          <w:szCs w:val="23"/>
        </w:rPr>
        <w:t xml:space="preserve"> million of required amortization under our First Lien Term Loans.</w:t>
      </w:r>
      <w:r>
        <w:rPr>
          <w:rFonts w:cstheme="minorHAnsi"/>
          <w:sz w:val="23"/>
          <w:szCs w:val="23"/>
        </w:rPr>
        <w:t xml:space="preserve">   </w:t>
      </w:r>
    </w:p>
    <w:p w14:paraId="138D4578" w14:textId="77777777" w:rsidR="00C31DE4" w:rsidRDefault="00C31DE4" w:rsidP="005E65E6">
      <w:pPr>
        <w:spacing w:after="0" w:line="240" w:lineRule="auto"/>
        <w:contextualSpacing/>
        <w:rPr>
          <w:rFonts w:cstheme="minorHAnsi"/>
        </w:rPr>
      </w:pPr>
    </w:p>
    <w:p w14:paraId="2DAEBD26" w14:textId="77777777" w:rsidR="00C31DE4" w:rsidRDefault="00C31DE4" w:rsidP="00B65D59">
      <w:pPr>
        <w:pStyle w:val="ListParagraph"/>
        <w:numPr>
          <w:ilvl w:val="0"/>
          <w:numId w:val="3"/>
        </w:numPr>
        <w:spacing w:line="240" w:lineRule="auto"/>
        <w:ind w:left="270" w:hanging="270"/>
        <w:rPr>
          <w:rStyle w:val="SubtleEmphasis"/>
        </w:rPr>
      </w:pPr>
      <w:r>
        <w:rPr>
          <w:rStyle w:val="SubtleEmphasis"/>
        </w:rPr>
        <w:t>Please see footnote 7 under “How We Evaluate Our Business” later in this press release.</w:t>
      </w:r>
    </w:p>
    <w:p w14:paraId="239B2942" w14:textId="77777777" w:rsidR="00C31DE4" w:rsidRDefault="00C31DE4" w:rsidP="00B65D59">
      <w:pPr>
        <w:pStyle w:val="NoSpacing"/>
        <w:numPr>
          <w:ilvl w:val="0"/>
          <w:numId w:val="3"/>
        </w:numPr>
        <w:ind w:left="270" w:hanging="270"/>
        <w:contextualSpacing/>
        <w:rPr>
          <w:rStyle w:val="SubtleEmphasis"/>
        </w:rPr>
      </w:pPr>
      <w:r>
        <w:rPr>
          <w:rStyle w:val="SubtleEmphasis"/>
        </w:rPr>
        <w:t>Non-GAAP financial measure. See ‘‘Reconciliation of Non-GAAP Financial Measures—Cash Flow Available for Capital Allocation” later in this press release.</w:t>
      </w:r>
    </w:p>
    <w:p w14:paraId="128A8346" w14:textId="77777777" w:rsidR="00C31DE4" w:rsidRDefault="00C31DE4" w:rsidP="005E65E6">
      <w:pPr>
        <w:pStyle w:val="NoSpacing"/>
        <w:rPr>
          <w:sz w:val="24"/>
          <w:szCs w:val="24"/>
        </w:rPr>
      </w:pPr>
    </w:p>
    <w:p w14:paraId="21E7F97B" w14:textId="5698522D" w:rsidR="00A00BCC" w:rsidRPr="00A00BCC" w:rsidRDefault="00A00BCC" w:rsidP="00A00BCC">
      <w:pPr>
        <w:spacing w:after="0" w:line="240" w:lineRule="auto"/>
        <w:jc w:val="both"/>
        <w:rPr>
          <w:rFonts w:cstheme="minorHAnsi"/>
          <w:b/>
          <w:bCs/>
          <w:sz w:val="23"/>
          <w:szCs w:val="23"/>
        </w:rPr>
      </w:pPr>
      <w:r>
        <w:rPr>
          <w:rFonts w:cstheme="minorHAnsi"/>
          <w:b/>
          <w:bCs/>
          <w:sz w:val="23"/>
          <w:szCs w:val="23"/>
        </w:rPr>
        <w:t>The Merger</w:t>
      </w:r>
    </w:p>
    <w:p w14:paraId="7E2F7869" w14:textId="6385A21D" w:rsidR="00A00BCC" w:rsidRDefault="00A00BCC" w:rsidP="00A00BCC">
      <w:pPr>
        <w:spacing w:after="0" w:line="240" w:lineRule="auto"/>
        <w:jc w:val="both"/>
        <w:rPr>
          <w:rFonts w:cstheme="minorHAnsi"/>
          <w:b/>
          <w:bCs/>
          <w:sz w:val="23"/>
          <w:szCs w:val="23"/>
        </w:rPr>
      </w:pPr>
      <w:r w:rsidRPr="00A00BCC">
        <w:rPr>
          <w:rFonts w:cstheme="minorHAnsi"/>
          <w:sz w:val="23"/>
          <w:szCs w:val="23"/>
        </w:rPr>
        <w:t xml:space="preserve">On February 27, 2023, Focus Inc. entered into the Merger Agreement </w:t>
      </w:r>
      <w:r w:rsidR="000903DB">
        <w:rPr>
          <w:rFonts w:cstheme="minorHAnsi"/>
          <w:sz w:val="23"/>
          <w:szCs w:val="23"/>
        </w:rPr>
        <w:t xml:space="preserve">for Focus to be acquired by affiliates of </w:t>
      </w:r>
      <w:r w:rsidRPr="00A00BCC">
        <w:rPr>
          <w:rFonts w:cstheme="minorHAnsi"/>
          <w:sz w:val="23"/>
          <w:szCs w:val="23"/>
        </w:rPr>
        <w:t xml:space="preserve">CD&amp;R </w:t>
      </w:r>
      <w:r w:rsidR="000903DB">
        <w:rPr>
          <w:rFonts w:cstheme="minorHAnsi"/>
          <w:sz w:val="23"/>
          <w:szCs w:val="23"/>
        </w:rPr>
        <w:t>in an all-cash transaction (</w:t>
      </w:r>
      <w:r w:rsidR="000903DB" w:rsidRPr="00A00BCC">
        <w:rPr>
          <w:rFonts w:cstheme="minorHAnsi"/>
          <w:sz w:val="23"/>
          <w:szCs w:val="23"/>
        </w:rPr>
        <w:t>the “Merger”)</w:t>
      </w:r>
      <w:r w:rsidR="000903DB">
        <w:rPr>
          <w:rFonts w:cstheme="minorHAnsi"/>
          <w:sz w:val="23"/>
          <w:szCs w:val="23"/>
        </w:rPr>
        <w:t xml:space="preserve">. Funds managed by </w:t>
      </w:r>
      <w:r w:rsidRPr="00A00BCC">
        <w:rPr>
          <w:rFonts w:cstheme="minorHAnsi"/>
          <w:sz w:val="23"/>
          <w:szCs w:val="23"/>
        </w:rPr>
        <w:t>Stone Point Capital LLC (“Stone Point”)</w:t>
      </w:r>
      <w:r w:rsidR="000903DB">
        <w:rPr>
          <w:rFonts w:cstheme="minorHAnsi"/>
          <w:sz w:val="23"/>
          <w:szCs w:val="23"/>
        </w:rPr>
        <w:t xml:space="preserve"> </w:t>
      </w:r>
      <w:r w:rsidR="00E26A4C">
        <w:rPr>
          <w:rFonts w:cstheme="minorHAnsi"/>
          <w:sz w:val="23"/>
          <w:szCs w:val="23"/>
        </w:rPr>
        <w:t>will</w:t>
      </w:r>
      <w:r w:rsidR="000903DB">
        <w:rPr>
          <w:rFonts w:cstheme="minorHAnsi"/>
          <w:sz w:val="23"/>
          <w:szCs w:val="23"/>
        </w:rPr>
        <w:t xml:space="preserve"> retain a portion of their investment in Focus and provide new equity financing as part of the </w:t>
      </w:r>
      <w:r w:rsidR="00E26A4C">
        <w:rPr>
          <w:rFonts w:cstheme="minorHAnsi"/>
          <w:sz w:val="23"/>
          <w:szCs w:val="23"/>
        </w:rPr>
        <w:t>Merger</w:t>
      </w:r>
      <w:r w:rsidRPr="00A00BCC">
        <w:rPr>
          <w:rFonts w:cstheme="minorHAnsi"/>
          <w:sz w:val="23"/>
          <w:szCs w:val="23"/>
        </w:rPr>
        <w:t xml:space="preserve">. If the Merger is consummated, </w:t>
      </w:r>
      <w:r w:rsidR="00E26A4C">
        <w:rPr>
          <w:rFonts w:cstheme="minorHAnsi"/>
          <w:sz w:val="23"/>
          <w:szCs w:val="23"/>
        </w:rPr>
        <w:t>Focus</w:t>
      </w:r>
      <w:r w:rsidRPr="00A00BCC">
        <w:rPr>
          <w:rFonts w:cstheme="minorHAnsi"/>
          <w:sz w:val="23"/>
          <w:szCs w:val="23"/>
        </w:rPr>
        <w:t xml:space="preserve"> will cease to be </w:t>
      </w:r>
      <w:proofErr w:type="gramStart"/>
      <w:r w:rsidRPr="00A00BCC">
        <w:rPr>
          <w:rFonts w:cstheme="minorHAnsi"/>
          <w:sz w:val="23"/>
          <w:szCs w:val="23"/>
        </w:rPr>
        <w:t>publicly-traded</w:t>
      </w:r>
      <w:proofErr w:type="gramEnd"/>
      <w:r w:rsidRPr="00A00BCC">
        <w:rPr>
          <w:rFonts w:cstheme="minorHAnsi"/>
          <w:sz w:val="23"/>
          <w:szCs w:val="23"/>
        </w:rPr>
        <w:t xml:space="preserve">. Completion of the Merger is subject to customary closing conditions, including approval by holders of </w:t>
      </w:r>
      <w:proofErr w:type="gramStart"/>
      <w:r w:rsidRPr="00A00BCC">
        <w:rPr>
          <w:rFonts w:cstheme="minorHAnsi"/>
          <w:sz w:val="23"/>
          <w:szCs w:val="23"/>
        </w:rPr>
        <w:t>a majority of</w:t>
      </w:r>
      <w:proofErr w:type="gramEnd"/>
      <w:r w:rsidRPr="00A00BCC">
        <w:rPr>
          <w:rFonts w:cstheme="minorHAnsi"/>
          <w:sz w:val="23"/>
          <w:szCs w:val="23"/>
        </w:rPr>
        <w:t xml:space="preserve"> the shares held by the shareholders other than CD&amp;R, Stone Point and certain affiliates.  The Merger is expected to close in the third quarter of 2023. However, the Company cannot assure completion of the Merger by any </w:t>
      </w:r>
      <w:proofErr w:type="gramStart"/>
      <w:r w:rsidRPr="00A00BCC">
        <w:rPr>
          <w:rFonts w:cstheme="minorHAnsi"/>
          <w:sz w:val="23"/>
          <w:szCs w:val="23"/>
        </w:rPr>
        <w:t>particular date</w:t>
      </w:r>
      <w:proofErr w:type="gramEnd"/>
      <w:r w:rsidRPr="00A00BCC">
        <w:rPr>
          <w:rFonts w:cstheme="minorHAnsi"/>
          <w:sz w:val="23"/>
          <w:szCs w:val="23"/>
        </w:rPr>
        <w:t>, if at all or that, if completed, it will be completed on the terms set forth in the Merger Agreement.</w:t>
      </w:r>
      <w:r>
        <w:rPr>
          <w:rFonts w:cstheme="minorHAnsi"/>
          <w:sz w:val="23"/>
          <w:szCs w:val="23"/>
        </w:rPr>
        <w:t xml:space="preserve"> For more information see Current Report on Form 8-K filed on February 28, 2023.</w:t>
      </w:r>
    </w:p>
    <w:p w14:paraId="6DC16978" w14:textId="77777777" w:rsidR="00A00BCC" w:rsidRDefault="00A00BCC" w:rsidP="005E65E6">
      <w:pPr>
        <w:pStyle w:val="NoSpacing"/>
        <w:rPr>
          <w:rFonts w:cstheme="minorHAnsi"/>
          <w:b/>
          <w:bCs/>
          <w:sz w:val="23"/>
          <w:szCs w:val="23"/>
        </w:rPr>
      </w:pPr>
    </w:p>
    <w:p w14:paraId="66DAD40B" w14:textId="1CD2C91A" w:rsidR="00C31DE4" w:rsidRDefault="00C31DE4" w:rsidP="005E65E6">
      <w:pPr>
        <w:pStyle w:val="NoSpacing"/>
        <w:rPr>
          <w:rFonts w:cstheme="minorHAnsi"/>
          <w:b/>
          <w:bCs/>
          <w:sz w:val="23"/>
          <w:szCs w:val="23"/>
        </w:rPr>
      </w:pPr>
      <w:r>
        <w:rPr>
          <w:rFonts w:cstheme="minorHAnsi"/>
          <w:b/>
          <w:bCs/>
          <w:sz w:val="23"/>
          <w:szCs w:val="23"/>
        </w:rPr>
        <w:t>Teleconference, Webcast and Presentation Information</w:t>
      </w:r>
    </w:p>
    <w:p w14:paraId="74058C00" w14:textId="5D90004A" w:rsidR="005E65E6" w:rsidRDefault="005E65E6" w:rsidP="005E65E6">
      <w:pPr>
        <w:spacing w:after="0" w:line="240" w:lineRule="auto"/>
        <w:jc w:val="both"/>
        <w:rPr>
          <w:rFonts w:cstheme="minorHAnsi"/>
          <w:sz w:val="23"/>
          <w:szCs w:val="23"/>
        </w:rPr>
      </w:pPr>
      <w:r>
        <w:rPr>
          <w:rFonts w:cstheme="minorHAnsi"/>
          <w:sz w:val="23"/>
          <w:szCs w:val="23"/>
        </w:rPr>
        <w:t xml:space="preserve">Founder, CEO and Chairman, Rudy Adolf, and Chief Financial Officer, Jim Shanahan, will host a conference call today, May 4, </w:t>
      </w:r>
      <w:proofErr w:type="gramStart"/>
      <w:r>
        <w:rPr>
          <w:rFonts w:cstheme="minorHAnsi"/>
          <w:sz w:val="23"/>
          <w:szCs w:val="23"/>
        </w:rPr>
        <w:t>2023</w:t>
      </w:r>
      <w:proofErr w:type="gramEnd"/>
      <w:r>
        <w:rPr>
          <w:rFonts w:cstheme="minorHAnsi"/>
          <w:sz w:val="23"/>
          <w:szCs w:val="23"/>
        </w:rPr>
        <w:t xml:space="preserve"> at 8:30 a.m. Eastern Time to discuss the Company’s 2023 first quarter results and outlook. The call can be accessed by dialing +1-</w:t>
      </w:r>
      <w:r w:rsidR="003A5135">
        <w:rPr>
          <w:rFonts w:cstheme="minorHAnsi"/>
          <w:sz w:val="23"/>
          <w:szCs w:val="23"/>
        </w:rPr>
        <w:t xml:space="preserve">800-285-6670 </w:t>
      </w:r>
      <w:r>
        <w:rPr>
          <w:rFonts w:cstheme="minorHAnsi"/>
          <w:sz w:val="23"/>
          <w:szCs w:val="23"/>
        </w:rPr>
        <w:t>(callers inside the U.S.) or +1-</w:t>
      </w:r>
      <w:r w:rsidR="003A5135">
        <w:rPr>
          <w:rFonts w:cstheme="minorHAnsi"/>
          <w:sz w:val="23"/>
          <w:szCs w:val="23"/>
        </w:rPr>
        <w:t xml:space="preserve">713-481-1320 </w:t>
      </w:r>
      <w:r>
        <w:rPr>
          <w:rFonts w:cstheme="minorHAnsi"/>
          <w:sz w:val="23"/>
          <w:szCs w:val="23"/>
        </w:rPr>
        <w:t>(callers outside the U.S.).</w:t>
      </w:r>
    </w:p>
    <w:p w14:paraId="6E85FF8B" w14:textId="77777777" w:rsidR="00443B0B" w:rsidRDefault="00443B0B" w:rsidP="005E65E6">
      <w:pPr>
        <w:spacing w:line="240" w:lineRule="auto"/>
        <w:contextualSpacing/>
        <w:jc w:val="both"/>
        <w:rPr>
          <w:rFonts w:cstheme="minorHAnsi"/>
          <w:sz w:val="23"/>
          <w:szCs w:val="23"/>
        </w:rPr>
      </w:pPr>
    </w:p>
    <w:p w14:paraId="5141803D" w14:textId="77777777" w:rsidR="00443B0B" w:rsidRDefault="00443B0B" w:rsidP="005E65E6">
      <w:pPr>
        <w:spacing w:line="240" w:lineRule="auto"/>
        <w:contextualSpacing/>
        <w:jc w:val="both"/>
        <w:rPr>
          <w:rFonts w:cstheme="minorHAnsi"/>
          <w:sz w:val="23"/>
          <w:szCs w:val="23"/>
        </w:rPr>
      </w:pPr>
    </w:p>
    <w:p w14:paraId="5FD09EF8" w14:textId="77777777" w:rsidR="00443B0B" w:rsidRDefault="00443B0B" w:rsidP="005E65E6">
      <w:pPr>
        <w:spacing w:line="240" w:lineRule="auto"/>
        <w:contextualSpacing/>
        <w:jc w:val="both"/>
        <w:rPr>
          <w:rFonts w:cstheme="minorHAnsi"/>
          <w:sz w:val="23"/>
          <w:szCs w:val="23"/>
        </w:rPr>
      </w:pPr>
    </w:p>
    <w:p w14:paraId="7F23240D" w14:textId="58E18C4F" w:rsidR="005E65E6" w:rsidRDefault="005E65E6" w:rsidP="005E65E6">
      <w:pPr>
        <w:spacing w:line="240" w:lineRule="auto"/>
        <w:contextualSpacing/>
        <w:jc w:val="both"/>
        <w:rPr>
          <w:rFonts w:cstheme="minorHAnsi"/>
          <w:sz w:val="23"/>
          <w:szCs w:val="23"/>
        </w:rPr>
      </w:pPr>
      <w:r>
        <w:rPr>
          <w:rFonts w:cstheme="minorHAnsi"/>
          <w:sz w:val="23"/>
          <w:szCs w:val="23"/>
        </w:rPr>
        <w:lastRenderedPageBreak/>
        <w:t>A live, listen-only webcast, together with a slide presentation titled “First Quarter 202</w:t>
      </w:r>
      <w:r w:rsidR="006F29EC">
        <w:rPr>
          <w:rFonts w:cstheme="minorHAnsi"/>
          <w:sz w:val="23"/>
          <w:szCs w:val="23"/>
        </w:rPr>
        <w:t>3</w:t>
      </w:r>
      <w:r>
        <w:rPr>
          <w:rFonts w:cstheme="minorHAnsi"/>
          <w:sz w:val="23"/>
          <w:szCs w:val="23"/>
        </w:rPr>
        <w:t xml:space="preserve"> Earnings Release Supplement” dated May 4, 2023</w:t>
      </w:r>
      <w:r w:rsidR="003A5135">
        <w:rPr>
          <w:rFonts w:cstheme="minorHAnsi"/>
          <w:sz w:val="23"/>
          <w:szCs w:val="23"/>
        </w:rPr>
        <w:t>,</w:t>
      </w:r>
      <w:r>
        <w:rPr>
          <w:rFonts w:cstheme="minorHAnsi"/>
          <w:sz w:val="23"/>
          <w:szCs w:val="23"/>
        </w:rPr>
        <w:t xml:space="preserve"> will be available under Events in the Investor Relations section of the Company’s website, </w:t>
      </w:r>
      <w:hyperlink r:id="rId9" w:history="1">
        <w:r>
          <w:rPr>
            <w:rStyle w:val="Hyperlink"/>
            <w:sz w:val="23"/>
            <w:szCs w:val="23"/>
          </w:rPr>
          <w:t>www.focusfinancialpartners.com</w:t>
        </w:r>
      </w:hyperlink>
      <w:r>
        <w:rPr>
          <w:rFonts w:cstheme="minorHAnsi"/>
          <w:sz w:val="23"/>
          <w:szCs w:val="23"/>
        </w:rPr>
        <w:t xml:space="preserve">. A webcast replay of the call will be available shortly after the event at the same address.  Registration for the call will begin 15 minutes prior to the start of the call, using the </w:t>
      </w:r>
      <w:r w:rsidR="003A5135">
        <w:rPr>
          <w:rFonts w:cstheme="minorHAnsi"/>
          <w:sz w:val="23"/>
          <w:szCs w:val="23"/>
        </w:rPr>
        <w:t xml:space="preserve">following  </w:t>
      </w:r>
      <w:hyperlink r:id="rId10" w:history="1">
        <w:r w:rsidR="003A5135" w:rsidRPr="002A47A5">
          <w:rPr>
            <w:rStyle w:val="Hyperlink"/>
            <w:rFonts w:cstheme="minorHAnsi"/>
            <w:sz w:val="23"/>
            <w:szCs w:val="23"/>
          </w:rPr>
          <w:t>link</w:t>
        </w:r>
      </w:hyperlink>
      <w:r>
        <w:rPr>
          <w:rFonts w:cstheme="minorHAnsi"/>
          <w:sz w:val="23"/>
          <w:szCs w:val="23"/>
        </w:rPr>
        <w:t>.</w:t>
      </w:r>
    </w:p>
    <w:p w14:paraId="022B04C2" w14:textId="77777777" w:rsidR="005E65E6" w:rsidRDefault="005E65E6" w:rsidP="005E65E6">
      <w:pPr>
        <w:spacing w:line="240" w:lineRule="auto"/>
        <w:contextualSpacing/>
        <w:jc w:val="both"/>
        <w:rPr>
          <w:rFonts w:cstheme="minorHAnsi"/>
          <w:sz w:val="23"/>
          <w:szCs w:val="23"/>
        </w:rPr>
      </w:pPr>
    </w:p>
    <w:p w14:paraId="476227AB" w14:textId="1ED3B720" w:rsidR="00BD4183" w:rsidRDefault="005E65E6" w:rsidP="005E65E6">
      <w:pPr>
        <w:spacing w:after="0" w:line="240" w:lineRule="auto"/>
        <w:contextualSpacing/>
        <w:jc w:val="both"/>
        <w:rPr>
          <w:rFonts w:cstheme="minorHAnsi"/>
          <w:sz w:val="23"/>
          <w:szCs w:val="23"/>
        </w:rPr>
      </w:pPr>
      <w:r>
        <w:rPr>
          <w:rFonts w:cstheme="minorHAnsi"/>
          <w:sz w:val="23"/>
          <w:szCs w:val="23"/>
        </w:rPr>
        <w:t xml:space="preserve">Due to </w:t>
      </w:r>
      <w:r w:rsidR="008C70D3">
        <w:rPr>
          <w:rFonts w:cstheme="minorHAnsi"/>
          <w:sz w:val="23"/>
          <w:szCs w:val="23"/>
        </w:rPr>
        <w:t>the pending</w:t>
      </w:r>
      <w:r>
        <w:rPr>
          <w:rFonts w:cstheme="minorHAnsi"/>
          <w:sz w:val="23"/>
          <w:szCs w:val="23"/>
        </w:rPr>
        <w:t xml:space="preserve"> </w:t>
      </w:r>
      <w:r w:rsidR="003979F7">
        <w:rPr>
          <w:rFonts w:cstheme="minorHAnsi"/>
          <w:sz w:val="23"/>
          <w:szCs w:val="23"/>
        </w:rPr>
        <w:t>Merger</w:t>
      </w:r>
      <w:r>
        <w:rPr>
          <w:rFonts w:cstheme="minorHAnsi"/>
          <w:sz w:val="23"/>
          <w:szCs w:val="23"/>
        </w:rPr>
        <w:t xml:space="preserve">, we do not </w:t>
      </w:r>
      <w:r w:rsidR="008C70D3">
        <w:rPr>
          <w:rFonts w:cstheme="minorHAnsi"/>
          <w:sz w:val="23"/>
          <w:szCs w:val="23"/>
        </w:rPr>
        <w:t xml:space="preserve">intend </w:t>
      </w:r>
      <w:r>
        <w:rPr>
          <w:rFonts w:cstheme="minorHAnsi"/>
          <w:sz w:val="23"/>
          <w:szCs w:val="23"/>
        </w:rPr>
        <w:t>to take questions after the prepared remarks.</w:t>
      </w:r>
    </w:p>
    <w:p w14:paraId="1B98B6DF" w14:textId="77777777" w:rsidR="005E65E6" w:rsidRDefault="005E65E6" w:rsidP="005E65E6">
      <w:pPr>
        <w:spacing w:after="0" w:line="240" w:lineRule="auto"/>
        <w:contextualSpacing/>
        <w:jc w:val="both"/>
        <w:rPr>
          <w:rFonts w:cstheme="minorHAnsi"/>
          <w:b/>
          <w:bCs/>
          <w:sz w:val="23"/>
          <w:szCs w:val="23"/>
        </w:rPr>
      </w:pPr>
    </w:p>
    <w:p w14:paraId="4CAC5B22" w14:textId="77777777" w:rsidR="00C31DE4" w:rsidRDefault="00C31DE4" w:rsidP="005E65E6">
      <w:pPr>
        <w:pStyle w:val="NoSpacing"/>
        <w:keepNext/>
        <w:keepLines/>
        <w:rPr>
          <w:rFonts w:cstheme="minorHAnsi"/>
          <w:b/>
          <w:bCs/>
          <w:sz w:val="23"/>
          <w:szCs w:val="23"/>
        </w:rPr>
      </w:pPr>
      <w:r>
        <w:rPr>
          <w:rFonts w:cstheme="minorHAnsi"/>
          <w:b/>
          <w:bCs/>
          <w:sz w:val="23"/>
          <w:szCs w:val="23"/>
        </w:rPr>
        <w:t>About Focus Financial Partners Inc.</w:t>
      </w:r>
    </w:p>
    <w:p w14:paraId="0B310431" w14:textId="77777777" w:rsidR="00C31DE4" w:rsidRDefault="00C31DE4" w:rsidP="005E65E6">
      <w:pPr>
        <w:keepNext/>
        <w:keepLines/>
        <w:spacing w:after="0" w:line="240" w:lineRule="auto"/>
        <w:contextualSpacing/>
        <w:jc w:val="both"/>
        <w:rPr>
          <w:rFonts w:cstheme="minorHAnsi"/>
          <w:sz w:val="23"/>
          <w:szCs w:val="23"/>
        </w:rPr>
      </w:pPr>
      <w:r>
        <w:rPr>
          <w:rFonts w:cstheme="minorHAnsi"/>
          <w:sz w:val="23"/>
          <w:szCs w:val="23"/>
        </w:rPr>
        <w:t xml:space="preserve">Focus Financial Partners Inc. is a leading partnership of independent, fiduciary wealth management firms. Focus provides access to best practices, resources, and continuity planning for its partner firms who serve individuals, families, </w:t>
      </w:r>
      <w:proofErr w:type="gramStart"/>
      <w:r>
        <w:rPr>
          <w:rFonts w:cstheme="minorHAnsi"/>
          <w:sz w:val="23"/>
          <w:szCs w:val="23"/>
        </w:rPr>
        <w:t>employers</w:t>
      </w:r>
      <w:proofErr w:type="gramEnd"/>
      <w:r>
        <w:rPr>
          <w:rFonts w:cstheme="minorHAnsi"/>
          <w:sz w:val="23"/>
          <w:szCs w:val="23"/>
        </w:rPr>
        <w:t xml:space="preserve"> and institutions with comprehensive wealth management services. Focus partner firms maintain their operational independence, while they benefit from the synergies, scale, </w:t>
      </w:r>
      <w:proofErr w:type="gramStart"/>
      <w:r>
        <w:rPr>
          <w:rFonts w:cstheme="minorHAnsi"/>
          <w:sz w:val="23"/>
          <w:szCs w:val="23"/>
        </w:rPr>
        <w:t>economics</w:t>
      </w:r>
      <w:proofErr w:type="gramEnd"/>
      <w:r>
        <w:rPr>
          <w:rFonts w:cstheme="minorHAnsi"/>
          <w:sz w:val="23"/>
          <w:szCs w:val="23"/>
        </w:rPr>
        <w:t xml:space="preserve"> and best practices offered by Focus to achieve their business objectives.</w:t>
      </w:r>
    </w:p>
    <w:p w14:paraId="4BD72BA1" w14:textId="77777777" w:rsidR="003A5135" w:rsidRDefault="003A5135" w:rsidP="005E65E6">
      <w:pPr>
        <w:pStyle w:val="NoSpacing"/>
        <w:keepNext/>
        <w:rPr>
          <w:rFonts w:cstheme="minorHAnsi"/>
          <w:b/>
          <w:bCs/>
          <w:sz w:val="23"/>
          <w:szCs w:val="23"/>
        </w:rPr>
      </w:pPr>
    </w:p>
    <w:p w14:paraId="16E741B9" w14:textId="1D4DC6FA" w:rsidR="00C31DE4" w:rsidRDefault="00C31DE4" w:rsidP="005E65E6">
      <w:pPr>
        <w:pStyle w:val="NoSpacing"/>
        <w:keepNext/>
        <w:rPr>
          <w:rFonts w:cstheme="minorHAnsi"/>
          <w:b/>
          <w:bCs/>
          <w:sz w:val="23"/>
          <w:szCs w:val="23"/>
        </w:rPr>
      </w:pPr>
      <w:r>
        <w:rPr>
          <w:rFonts w:cstheme="minorHAnsi"/>
          <w:b/>
          <w:bCs/>
          <w:sz w:val="23"/>
          <w:szCs w:val="23"/>
        </w:rPr>
        <w:t>Cautionary Note Concerning Forward-Looking Statements</w:t>
      </w:r>
    </w:p>
    <w:p w14:paraId="40D10723" w14:textId="3F41A687" w:rsidR="00C31DE4" w:rsidRDefault="005E65E6" w:rsidP="005E65E6">
      <w:pPr>
        <w:keepNext/>
        <w:autoSpaceDE w:val="0"/>
        <w:autoSpaceDN w:val="0"/>
        <w:adjustRightInd w:val="0"/>
        <w:spacing w:after="0" w:line="240" w:lineRule="auto"/>
        <w:jc w:val="both"/>
        <w:rPr>
          <w:rFonts w:cstheme="minorHAnsi"/>
          <w:sz w:val="23"/>
          <w:szCs w:val="23"/>
        </w:rPr>
      </w:pPr>
      <w:r>
        <w:rPr>
          <w:rFonts w:cstheme="minorHAnsi"/>
          <w:sz w:val="23"/>
          <w:szCs w:val="23"/>
        </w:rPr>
        <w:t>The foregoing information contains certain forward-looking statements that reflect the Company’s current views with respect to certain current and future events</w:t>
      </w:r>
      <w:r w:rsidR="005528BA">
        <w:rPr>
          <w:rFonts w:cstheme="minorHAnsi"/>
          <w:sz w:val="23"/>
          <w:szCs w:val="23"/>
        </w:rPr>
        <w:t>, including with respect to the Merger and the expected timing of closing of the Merger,</w:t>
      </w:r>
      <w:r>
        <w:rPr>
          <w:rFonts w:cstheme="minorHAnsi"/>
          <w:sz w:val="23"/>
          <w:szCs w:val="23"/>
        </w:rPr>
        <w:t xml:space="preserve"> and financial performance. These forward-looking statements are and will be</w:t>
      </w:r>
      <w:proofErr w:type="gramStart"/>
      <w:r>
        <w:rPr>
          <w:rFonts w:cstheme="minorHAnsi"/>
          <w:sz w:val="23"/>
          <w:szCs w:val="23"/>
        </w:rPr>
        <w:t>, as the case may be, subject</w:t>
      </w:r>
      <w:proofErr w:type="gramEnd"/>
      <w:r>
        <w:rPr>
          <w:rFonts w:cstheme="minorHAnsi"/>
          <w:sz w:val="23"/>
          <w:szCs w:val="23"/>
        </w:rPr>
        <w:t xml:space="preserve"> to many risks, uncertainties and factors</w:t>
      </w:r>
      <w:r w:rsidR="005528BA">
        <w:rPr>
          <w:rFonts w:cstheme="minorHAnsi"/>
          <w:sz w:val="23"/>
          <w:szCs w:val="23"/>
        </w:rPr>
        <w:t>,</w:t>
      </w:r>
      <w:r>
        <w:rPr>
          <w:rFonts w:cstheme="minorHAnsi"/>
          <w:sz w:val="23"/>
          <w:szCs w:val="23"/>
        </w:rPr>
        <w:t xml:space="preserve"> </w:t>
      </w:r>
      <w:r w:rsidR="005528BA">
        <w:rPr>
          <w:rFonts w:cstheme="minorHAnsi"/>
          <w:sz w:val="23"/>
          <w:szCs w:val="23"/>
        </w:rPr>
        <w:t xml:space="preserve">including </w:t>
      </w:r>
      <w:r>
        <w:rPr>
          <w:rFonts w:cstheme="minorHAnsi"/>
          <w:sz w:val="23"/>
          <w:szCs w:val="23"/>
        </w:rPr>
        <w:t>relating to the Company’s operations and business environment</w:t>
      </w:r>
      <w:r w:rsidR="005528BA">
        <w:rPr>
          <w:rFonts w:cstheme="minorHAnsi"/>
          <w:sz w:val="23"/>
          <w:szCs w:val="23"/>
        </w:rPr>
        <w:t>,</w:t>
      </w:r>
      <w:r>
        <w:rPr>
          <w:rFonts w:cstheme="minorHAnsi"/>
          <w:sz w:val="23"/>
          <w:szCs w:val="23"/>
        </w:rPr>
        <w:t xml:space="preserve"> which may cause the Company’s actual results to be materially different from any future results, expressed or implied, in these forward-looking statements. Any forward-looking statements in this release are based upon information available to the Company on the date of this release. The Company does not undertake to publicly update or revise its forward-looking statements even if experience or future changes make it clear that any statements expressed or implied therein will not be realized. Additional information on risk factors that could potentially affect the Company’s financial results may be found in the Company’s </w:t>
      </w:r>
      <w:r w:rsidR="005528BA">
        <w:rPr>
          <w:rFonts w:cstheme="minorHAnsi"/>
          <w:sz w:val="23"/>
          <w:szCs w:val="23"/>
        </w:rPr>
        <w:t>A</w:t>
      </w:r>
      <w:r>
        <w:rPr>
          <w:rFonts w:cstheme="minorHAnsi"/>
          <w:sz w:val="23"/>
          <w:szCs w:val="23"/>
        </w:rPr>
        <w:t xml:space="preserve">nnual </w:t>
      </w:r>
      <w:r w:rsidR="005528BA">
        <w:rPr>
          <w:rFonts w:cstheme="minorHAnsi"/>
          <w:sz w:val="23"/>
          <w:szCs w:val="23"/>
        </w:rPr>
        <w:t>R</w:t>
      </w:r>
      <w:r>
        <w:rPr>
          <w:rFonts w:cstheme="minorHAnsi"/>
          <w:sz w:val="23"/>
          <w:szCs w:val="23"/>
        </w:rPr>
        <w:t xml:space="preserve">eport on Form 10-K for the year ended December 31, </w:t>
      </w:r>
      <w:proofErr w:type="gramStart"/>
      <w:r>
        <w:rPr>
          <w:rFonts w:cstheme="minorHAnsi"/>
          <w:sz w:val="23"/>
          <w:szCs w:val="23"/>
        </w:rPr>
        <w:t>2022</w:t>
      </w:r>
      <w:proofErr w:type="gramEnd"/>
      <w:r>
        <w:rPr>
          <w:rFonts w:cstheme="minorHAnsi"/>
          <w:sz w:val="23"/>
          <w:szCs w:val="23"/>
        </w:rPr>
        <w:t xml:space="preserve"> filed and our other filings with the Securities and Exchange Commission</w:t>
      </w:r>
      <w:r w:rsidR="00C31DE4">
        <w:rPr>
          <w:rFonts w:cstheme="minorHAnsi"/>
          <w:sz w:val="23"/>
          <w:szCs w:val="23"/>
        </w:rPr>
        <w:t>.</w:t>
      </w:r>
    </w:p>
    <w:p w14:paraId="2E0B94A5" w14:textId="77777777" w:rsidR="00C31DE4" w:rsidRDefault="00C31DE4" w:rsidP="005E65E6">
      <w:pPr>
        <w:spacing w:after="0" w:line="240" w:lineRule="auto"/>
        <w:rPr>
          <w:sz w:val="23"/>
          <w:szCs w:val="23"/>
        </w:rPr>
      </w:pPr>
    </w:p>
    <w:p w14:paraId="0D5249FF" w14:textId="77777777" w:rsidR="00C31DE4" w:rsidRDefault="00C31DE4" w:rsidP="005E65E6">
      <w:pPr>
        <w:keepNext/>
        <w:spacing w:after="0" w:line="240" w:lineRule="auto"/>
        <w:rPr>
          <w:b/>
          <w:bCs/>
          <w:sz w:val="23"/>
          <w:szCs w:val="23"/>
        </w:rPr>
      </w:pPr>
      <w:r>
        <w:rPr>
          <w:b/>
          <w:bCs/>
          <w:sz w:val="23"/>
          <w:szCs w:val="23"/>
        </w:rPr>
        <w:t xml:space="preserve">Investor and Media Contacts </w:t>
      </w:r>
    </w:p>
    <w:p w14:paraId="28ED7D20" w14:textId="77777777" w:rsidR="00C31DE4" w:rsidRDefault="00C31DE4" w:rsidP="005E65E6">
      <w:pPr>
        <w:keepNext/>
        <w:spacing w:after="0" w:line="240" w:lineRule="auto"/>
        <w:jc w:val="both"/>
        <w:rPr>
          <w:rFonts w:cstheme="minorHAnsi"/>
          <w:sz w:val="23"/>
          <w:szCs w:val="23"/>
        </w:rPr>
      </w:pPr>
      <w:r>
        <w:rPr>
          <w:rFonts w:cstheme="minorHAnsi"/>
          <w:sz w:val="23"/>
          <w:szCs w:val="23"/>
        </w:rPr>
        <w:t>Tina Madon</w:t>
      </w:r>
    </w:p>
    <w:p w14:paraId="39E60506" w14:textId="77777777" w:rsidR="00C31DE4" w:rsidRDefault="00C31DE4" w:rsidP="005E65E6">
      <w:pPr>
        <w:keepNext/>
        <w:spacing w:after="0" w:line="240" w:lineRule="auto"/>
        <w:jc w:val="both"/>
        <w:rPr>
          <w:rFonts w:cstheme="minorHAnsi"/>
          <w:sz w:val="23"/>
          <w:szCs w:val="23"/>
        </w:rPr>
      </w:pPr>
      <w:r>
        <w:rPr>
          <w:rFonts w:cstheme="minorHAnsi"/>
          <w:sz w:val="23"/>
          <w:szCs w:val="23"/>
        </w:rPr>
        <w:t>Senior Vice President</w:t>
      </w:r>
    </w:p>
    <w:p w14:paraId="485B8D32" w14:textId="77777777" w:rsidR="00C31DE4" w:rsidRDefault="00C31DE4" w:rsidP="005E65E6">
      <w:pPr>
        <w:keepNext/>
        <w:spacing w:after="0" w:line="240" w:lineRule="auto"/>
        <w:contextualSpacing/>
        <w:jc w:val="both"/>
        <w:rPr>
          <w:rFonts w:cstheme="minorHAnsi"/>
          <w:sz w:val="23"/>
          <w:szCs w:val="23"/>
        </w:rPr>
      </w:pPr>
      <w:r>
        <w:rPr>
          <w:rFonts w:cstheme="minorHAnsi"/>
          <w:sz w:val="23"/>
          <w:szCs w:val="23"/>
        </w:rPr>
        <w:t>Head of Investor Relations &amp; Corporate Communications</w:t>
      </w:r>
    </w:p>
    <w:p w14:paraId="7B44A515" w14:textId="77777777" w:rsidR="00C31DE4" w:rsidRDefault="00C31DE4" w:rsidP="005E65E6">
      <w:pPr>
        <w:keepNext/>
        <w:spacing w:after="0" w:line="240" w:lineRule="auto"/>
        <w:contextualSpacing/>
        <w:jc w:val="both"/>
        <w:rPr>
          <w:rFonts w:cstheme="minorHAnsi"/>
          <w:sz w:val="23"/>
          <w:szCs w:val="23"/>
        </w:rPr>
      </w:pPr>
      <w:r>
        <w:rPr>
          <w:rFonts w:cstheme="minorHAnsi"/>
          <w:sz w:val="23"/>
          <w:szCs w:val="23"/>
        </w:rPr>
        <w:t>Tel: (646) 813-2909</w:t>
      </w:r>
    </w:p>
    <w:p w14:paraId="137E0261" w14:textId="77777777" w:rsidR="00C31DE4" w:rsidRDefault="00443B0B" w:rsidP="005E65E6">
      <w:pPr>
        <w:keepNext/>
        <w:spacing w:after="0" w:line="240" w:lineRule="auto"/>
        <w:contextualSpacing/>
        <w:jc w:val="both"/>
        <w:rPr>
          <w:rFonts w:cstheme="minorHAnsi"/>
          <w:sz w:val="23"/>
          <w:szCs w:val="23"/>
        </w:rPr>
      </w:pPr>
      <w:hyperlink r:id="rId11" w:history="1">
        <w:r w:rsidR="00C31DE4">
          <w:rPr>
            <w:rStyle w:val="Hyperlink"/>
            <w:sz w:val="23"/>
            <w:szCs w:val="23"/>
          </w:rPr>
          <w:t>tmadon@focuspartners.com</w:t>
        </w:r>
      </w:hyperlink>
      <w:r w:rsidR="00C31DE4">
        <w:rPr>
          <w:rFonts w:cstheme="minorHAnsi"/>
          <w:sz w:val="23"/>
          <w:szCs w:val="23"/>
        </w:rPr>
        <w:t xml:space="preserve"> </w:t>
      </w:r>
    </w:p>
    <w:p w14:paraId="642DFE81" w14:textId="77777777" w:rsidR="00C31DE4" w:rsidRDefault="00C31DE4" w:rsidP="005E65E6">
      <w:pPr>
        <w:spacing w:after="0" w:line="240" w:lineRule="auto"/>
        <w:contextualSpacing/>
        <w:jc w:val="both"/>
        <w:rPr>
          <w:rFonts w:cstheme="minorHAnsi"/>
          <w:b/>
          <w:sz w:val="23"/>
          <w:szCs w:val="23"/>
        </w:rPr>
      </w:pPr>
    </w:p>
    <w:p w14:paraId="53898EB4" w14:textId="77777777" w:rsidR="00C31DE4" w:rsidRDefault="00C31DE4" w:rsidP="005E65E6">
      <w:pPr>
        <w:keepNext/>
        <w:spacing w:after="0" w:line="240" w:lineRule="auto"/>
        <w:jc w:val="both"/>
        <w:rPr>
          <w:rFonts w:cstheme="minorHAnsi"/>
          <w:sz w:val="23"/>
          <w:szCs w:val="23"/>
        </w:rPr>
      </w:pPr>
      <w:r>
        <w:rPr>
          <w:rFonts w:cstheme="minorHAnsi"/>
          <w:sz w:val="23"/>
          <w:szCs w:val="23"/>
        </w:rPr>
        <w:t>Charlie Arestia</w:t>
      </w:r>
    </w:p>
    <w:p w14:paraId="5F34622F" w14:textId="77777777" w:rsidR="00C31DE4" w:rsidRDefault="00C31DE4" w:rsidP="005E65E6">
      <w:pPr>
        <w:keepNext/>
        <w:spacing w:after="0" w:line="240" w:lineRule="auto"/>
        <w:jc w:val="both"/>
        <w:rPr>
          <w:rFonts w:cstheme="minorHAnsi"/>
          <w:sz w:val="23"/>
          <w:szCs w:val="23"/>
        </w:rPr>
      </w:pPr>
      <w:r>
        <w:rPr>
          <w:rFonts w:cstheme="minorHAnsi"/>
          <w:sz w:val="23"/>
          <w:szCs w:val="23"/>
        </w:rPr>
        <w:t>Vice President</w:t>
      </w:r>
    </w:p>
    <w:p w14:paraId="77A79A42" w14:textId="77777777" w:rsidR="00C31DE4" w:rsidRDefault="00C31DE4" w:rsidP="005E65E6">
      <w:pPr>
        <w:keepNext/>
        <w:spacing w:after="0" w:line="240" w:lineRule="auto"/>
        <w:jc w:val="both"/>
        <w:rPr>
          <w:rFonts w:cstheme="minorHAnsi"/>
          <w:sz w:val="23"/>
          <w:szCs w:val="23"/>
        </w:rPr>
      </w:pPr>
      <w:r>
        <w:rPr>
          <w:rFonts w:cstheme="minorHAnsi"/>
          <w:sz w:val="23"/>
          <w:szCs w:val="23"/>
        </w:rPr>
        <w:t>Investor Relations &amp; Corporate Communications</w:t>
      </w:r>
    </w:p>
    <w:p w14:paraId="73D5D979" w14:textId="77777777" w:rsidR="00C31DE4" w:rsidRDefault="00C31DE4" w:rsidP="005E65E6">
      <w:pPr>
        <w:keepNext/>
        <w:spacing w:after="0" w:line="240" w:lineRule="auto"/>
        <w:jc w:val="both"/>
        <w:rPr>
          <w:rFonts w:cstheme="minorHAnsi"/>
          <w:sz w:val="23"/>
          <w:szCs w:val="23"/>
        </w:rPr>
      </w:pPr>
      <w:r>
        <w:rPr>
          <w:rFonts w:cstheme="minorHAnsi"/>
          <w:sz w:val="23"/>
          <w:szCs w:val="23"/>
        </w:rPr>
        <w:t>Tel: (646) 560-3999</w:t>
      </w:r>
    </w:p>
    <w:p w14:paraId="6E04EEC4" w14:textId="77777777" w:rsidR="00C31DE4" w:rsidRDefault="00443B0B" w:rsidP="005E65E6">
      <w:pPr>
        <w:keepNext/>
        <w:spacing w:after="0" w:line="240" w:lineRule="auto"/>
        <w:jc w:val="both"/>
        <w:rPr>
          <w:rFonts w:cstheme="minorHAnsi"/>
          <w:sz w:val="23"/>
          <w:szCs w:val="23"/>
        </w:rPr>
      </w:pPr>
      <w:hyperlink r:id="rId12" w:history="1">
        <w:r w:rsidR="00C31DE4">
          <w:rPr>
            <w:rStyle w:val="Hyperlink"/>
            <w:sz w:val="23"/>
            <w:szCs w:val="23"/>
          </w:rPr>
          <w:t>carestia@focuspartners.com</w:t>
        </w:r>
      </w:hyperlink>
    </w:p>
    <w:p w14:paraId="4E48C020" w14:textId="77777777" w:rsidR="00CE0385" w:rsidRDefault="00CE0385" w:rsidP="005E65E6">
      <w:pPr>
        <w:keepNext/>
        <w:spacing w:after="0" w:line="240" w:lineRule="auto"/>
        <w:jc w:val="both"/>
        <w:rPr>
          <w:rFonts w:cstheme="minorHAnsi"/>
          <w:sz w:val="23"/>
          <w:szCs w:val="23"/>
        </w:rPr>
      </w:pPr>
    </w:p>
    <w:p w14:paraId="57FF6D41" w14:textId="77777777" w:rsidR="00536C41" w:rsidRPr="00693B87" w:rsidRDefault="00536C41" w:rsidP="005E65E6">
      <w:pPr>
        <w:spacing w:after="0" w:line="240" w:lineRule="auto"/>
        <w:contextualSpacing/>
        <w:jc w:val="both"/>
        <w:rPr>
          <w:rFonts w:cstheme="minorHAnsi"/>
          <w:b/>
          <w:sz w:val="23"/>
          <w:szCs w:val="23"/>
        </w:rPr>
      </w:pPr>
    </w:p>
    <w:p w14:paraId="7D0F4A73" w14:textId="77777777" w:rsidR="00536C41" w:rsidRDefault="00536C41" w:rsidP="005E65E6">
      <w:pPr>
        <w:spacing w:after="0" w:line="240" w:lineRule="auto"/>
        <w:rPr>
          <w:rFonts w:cstheme="minorHAnsi"/>
          <w:b/>
          <w:sz w:val="24"/>
          <w:szCs w:val="24"/>
        </w:rPr>
      </w:pPr>
    </w:p>
    <w:p w14:paraId="4EA816F0" w14:textId="77777777" w:rsidR="0093363B" w:rsidRDefault="0093363B" w:rsidP="005E65E6">
      <w:pPr>
        <w:spacing w:after="0" w:line="240" w:lineRule="auto"/>
        <w:rPr>
          <w:rFonts w:cstheme="minorHAnsi"/>
          <w:b/>
          <w:bCs/>
          <w:sz w:val="24"/>
          <w:szCs w:val="24"/>
        </w:rPr>
      </w:pPr>
      <w:r>
        <w:rPr>
          <w:rFonts w:cstheme="minorHAnsi"/>
          <w:b/>
          <w:bCs/>
          <w:sz w:val="24"/>
          <w:szCs w:val="24"/>
        </w:rPr>
        <w:br w:type="page"/>
      </w:r>
    </w:p>
    <w:p w14:paraId="2184C417" w14:textId="77777777" w:rsidR="0057101E" w:rsidRDefault="0057101E" w:rsidP="005E65E6">
      <w:pPr>
        <w:pStyle w:val="NoSpacing"/>
        <w:rPr>
          <w:rFonts w:cstheme="minorHAnsi"/>
          <w:b/>
          <w:bCs/>
          <w:sz w:val="23"/>
          <w:szCs w:val="23"/>
        </w:rPr>
      </w:pPr>
    </w:p>
    <w:p w14:paraId="7D636418" w14:textId="77777777" w:rsidR="00536C41" w:rsidRPr="00693B87" w:rsidRDefault="00536C41" w:rsidP="005E65E6">
      <w:pPr>
        <w:pStyle w:val="NoSpacing"/>
        <w:rPr>
          <w:rFonts w:cstheme="minorHAnsi"/>
          <w:b/>
          <w:bCs/>
          <w:sz w:val="23"/>
          <w:szCs w:val="23"/>
        </w:rPr>
      </w:pPr>
      <w:r w:rsidRPr="00693B87">
        <w:rPr>
          <w:rFonts w:cstheme="minorHAnsi"/>
          <w:b/>
          <w:bCs/>
          <w:sz w:val="23"/>
          <w:szCs w:val="23"/>
        </w:rPr>
        <w:t>How We Evaluate Our Business</w:t>
      </w:r>
    </w:p>
    <w:p w14:paraId="6903E055" w14:textId="02A000D1" w:rsidR="00787383" w:rsidRDefault="00536C41" w:rsidP="005E65E6">
      <w:pPr>
        <w:spacing w:after="0" w:line="240" w:lineRule="auto"/>
        <w:contextualSpacing/>
        <w:jc w:val="both"/>
        <w:rPr>
          <w:rFonts w:cstheme="minorHAnsi"/>
          <w:sz w:val="23"/>
          <w:szCs w:val="23"/>
        </w:rPr>
      </w:pPr>
      <w:r w:rsidRPr="00693B87">
        <w:rPr>
          <w:rFonts w:cstheme="minorHAnsi"/>
          <w:sz w:val="23"/>
          <w:szCs w:val="23"/>
        </w:rPr>
        <w:t xml:space="preserve">We focus on several key financial metrics in evaluating the success of our business, the success of our partner firms and our resulting financial position and operating performance. Key metrics for the three months ended </w:t>
      </w:r>
      <w:r w:rsidR="005E65E6">
        <w:rPr>
          <w:rFonts w:cstheme="minorHAnsi"/>
          <w:sz w:val="23"/>
          <w:szCs w:val="23"/>
        </w:rPr>
        <w:t>March</w:t>
      </w:r>
      <w:r w:rsidR="009F0443">
        <w:rPr>
          <w:rFonts w:cstheme="minorHAnsi"/>
          <w:sz w:val="23"/>
          <w:szCs w:val="23"/>
        </w:rPr>
        <w:t xml:space="preserve"> </w:t>
      </w:r>
      <w:r w:rsidRPr="00693B87">
        <w:rPr>
          <w:rFonts w:cstheme="minorHAnsi"/>
          <w:sz w:val="23"/>
          <w:szCs w:val="23"/>
        </w:rPr>
        <w:t>3</w:t>
      </w:r>
      <w:r w:rsidR="00CE444B">
        <w:rPr>
          <w:rFonts w:cstheme="minorHAnsi"/>
          <w:sz w:val="23"/>
          <w:szCs w:val="23"/>
        </w:rPr>
        <w:t>1</w:t>
      </w:r>
      <w:r w:rsidRPr="00693B87">
        <w:rPr>
          <w:rFonts w:cstheme="minorHAnsi"/>
          <w:sz w:val="23"/>
          <w:szCs w:val="23"/>
        </w:rPr>
        <w:t xml:space="preserve">, </w:t>
      </w:r>
      <w:proofErr w:type="gramStart"/>
      <w:r w:rsidR="00935502">
        <w:rPr>
          <w:rFonts w:cstheme="minorHAnsi"/>
          <w:sz w:val="23"/>
          <w:szCs w:val="23"/>
        </w:rPr>
        <w:t>202</w:t>
      </w:r>
      <w:r w:rsidR="005E65E6">
        <w:rPr>
          <w:rFonts w:cstheme="minorHAnsi"/>
          <w:sz w:val="23"/>
          <w:szCs w:val="23"/>
        </w:rPr>
        <w:t>2</w:t>
      </w:r>
      <w:proofErr w:type="gramEnd"/>
      <w:r w:rsidR="00935502">
        <w:rPr>
          <w:rFonts w:cstheme="minorHAnsi"/>
          <w:sz w:val="23"/>
          <w:szCs w:val="23"/>
        </w:rPr>
        <w:t xml:space="preserve"> and </w:t>
      </w:r>
      <w:r w:rsidRPr="00693B87">
        <w:rPr>
          <w:rFonts w:cstheme="minorHAnsi"/>
          <w:sz w:val="23"/>
          <w:szCs w:val="23"/>
        </w:rPr>
        <w:t>20</w:t>
      </w:r>
      <w:r w:rsidR="008B6F25">
        <w:rPr>
          <w:rFonts w:cstheme="minorHAnsi"/>
          <w:sz w:val="23"/>
          <w:szCs w:val="23"/>
        </w:rPr>
        <w:t>2</w:t>
      </w:r>
      <w:r w:rsidR="005E65E6">
        <w:rPr>
          <w:rFonts w:cstheme="minorHAnsi"/>
          <w:sz w:val="23"/>
          <w:szCs w:val="23"/>
        </w:rPr>
        <w:t>3</w:t>
      </w:r>
      <w:r w:rsidRPr="00693B87">
        <w:rPr>
          <w:rFonts w:cstheme="minorHAnsi"/>
          <w:sz w:val="23"/>
          <w:szCs w:val="23"/>
        </w:rPr>
        <w:t xml:space="preserve"> include the following:</w:t>
      </w:r>
    </w:p>
    <w:p w14:paraId="54C20135" w14:textId="77777777" w:rsidR="00787383" w:rsidRDefault="00787383" w:rsidP="005E65E6">
      <w:pPr>
        <w:spacing w:after="0" w:line="240" w:lineRule="auto"/>
        <w:contextualSpacing/>
        <w:jc w:val="both"/>
        <w:rPr>
          <w:rFonts w:cstheme="minorHAnsi"/>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99"/>
        <w:gridCol w:w="172"/>
        <w:gridCol w:w="167"/>
        <w:gridCol w:w="1069"/>
        <w:gridCol w:w="207"/>
        <w:gridCol w:w="258"/>
        <w:gridCol w:w="167"/>
        <w:gridCol w:w="1068"/>
        <w:gridCol w:w="206"/>
        <w:gridCol w:w="47"/>
      </w:tblGrid>
      <w:tr w:rsidR="006E442A" w14:paraId="3B4FA240" w14:textId="77777777" w:rsidTr="00F10DDD">
        <w:trPr>
          <w:trHeight w:hRule="exact" w:val="20"/>
        </w:trPr>
        <w:tc>
          <w:tcPr>
            <w:tcW w:w="3243" w:type="pct"/>
            <w:tcBorders>
              <w:top w:val="nil"/>
              <w:left w:val="nil"/>
              <w:bottom w:val="nil"/>
              <w:right w:val="nil"/>
            </w:tcBorders>
            <w:vAlign w:val="bottom"/>
          </w:tcPr>
          <w:p w14:paraId="31B53069" w14:textId="77777777" w:rsidR="006E442A" w:rsidRDefault="006E442A" w:rsidP="006E442A">
            <w:pPr>
              <w:keepNext/>
              <w:spacing w:after="1"/>
              <w:rPr>
                <w:sz w:val="2"/>
              </w:rPr>
            </w:pPr>
          </w:p>
        </w:tc>
        <w:tc>
          <w:tcPr>
            <w:tcW w:w="128" w:type="pct"/>
            <w:tcBorders>
              <w:top w:val="nil"/>
              <w:left w:val="nil"/>
              <w:bottom w:val="nil"/>
              <w:right w:val="nil"/>
            </w:tcBorders>
            <w:vAlign w:val="bottom"/>
          </w:tcPr>
          <w:p w14:paraId="0F0F040A" w14:textId="77777777" w:rsidR="006E442A" w:rsidRDefault="006E442A" w:rsidP="006E442A">
            <w:pPr>
              <w:keepNext/>
              <w:spacing w:after="1"/>
              <w:rPr>
                <w:sz w:val="2"/>
              </w:rPr>
            </w:pPr>
          </w:p>
        </w:tc>
        <w:tc>
          <w:tcPr>
            <w:tcW w:w="83" w:type="pct"/>
            <w:tcBorders>
              <w:top w:val="nil"/>
              <w:left w:val="nil"/>
              <w:bottom w:val="nil"/>
              <w:right w:val="nil"/>
            </w:tcBorders>
            <w:noWrap/>
            <w:vAlign w:val="bottom"/>
          </w:tcPr>
          <w:p w14:paraId="4E1AA995" w14:textId="77777777" w:rsidR="006E442A" w:rsidRDefault="006E442A" w:rsidP="006E442A">
            <w:pPr>
              <w:keepNext/>
              <w:spacing w:after="1"/>
              <w:rPr>
                <w:sz w:val="2"/>
              </w:rPr>
            </w:pPr>
          </w:p>
        </w:tc>
        <w:tc>
          <w:tcPr>
            <w:tcW w:w="532" w:type="pct"/>
            <w:tcBorders>
              <w:top w:val="nil"/>
              <w:left w:val="nil"/>
              <w:bottom w:val="nil"/>
              <w:right w:val="nil"/>
            </w:tcBorders>
            <w:noWrap/>
            <w:vAlign w:val="bottom"/>
          </w:tcPr>
          <w:p w14:paraId="6FE88A93" w14:textId="77777777" w:rsidR="006E442A" w:rsidRDefault="006E442A" w:rsidP="006E442A">
            <w:pPr>
              <w:keepNext/>
              <w:spacing w:after="1"/>
              <w:rPr>
                <w:sz w:val="2"/>
              </w:rPr>
            </w:pPr>
          </w:p>
        </w:tc>
        <w:tc>
          <w:tcPr>
            <w:tcW w:w="103" w:type="pct"/>
            <w:tcBorders>
              <w:top w:val="nil"/>
              <w:left w:val="nil"/>
              <w:bottom w:val="nil"/>
              <w:right w:val="nil"/>
            </w:tcBorders>
            <w:noWrap/>
            <w:vAlign w:val="bottom"/>
          </w:tcPr>
          <w:p w14:paraId="47191440" w14:textId="77777777" w:rsidR="006E442A" w:rsidRDefault="006E442A" w:rsidP="006E442A">
            <w:pPr>
              <w:keepNext/>
              <w:spacing w:after="1"/>
              <w:rPr>
                <w:sz w:val="2"/>
              </w:rPr>
            </w:pPr>
          </w:p>
        </w:tc>
        <w:tc>
          <w:tcPr>
            <w:tcW w:w="128" w:type="pct"/>
            <w:tcBorders>
              <w:top w:val="nil"/>
              <w:left w:val="nil"/>
              <w:bottom w:val="nil"/>
              <w:right w:val="nil"/>
            </w:tcBorders>
            <w:noWrap/>
            <w:vAlign w:val="bottom"/>
          </w:tcPr>
          <w:p w14:paraId="282AB5FD" w14:textId="77777777" w:rsidR="006E442A" w:rsidRDefault="006E442A" w:rsidP="006E442A">
            <w:pPr>
              <w:keepNext/>
              <w:spacing w:after="1"/>
              <w:rPr>
                <w:sz w:val="2"/>
              </w:rPr>
            </w:pPr>
          </w:p>
        </w:tc>
        <w:tc>
          <w:tcPr>
            <w:tcW w:w="83" w:type="pct"/>
            <w:tcBorders>
              <w:top w:val="nil"/>
              <w:left w:val="nil"/>
              <w:bottom w:val="nil"/>
              <w:right w:val="nil"/>
            </w:tcBorders>
            <w:noWrap/>
            <w:vAlign w:val="bottom"/>
          </w:tcPr>
          <w:p w14:paraId="0994837B" w14:textId="77777777" w:rsidR="006E442A" w:rsidRDefault="006E442A" w:rsidP="006E442A">
            <w:pPr>
              <w:keepNext/>
              <w:spacing w:after="1"/>
              <w:rPr>
                <w:sz w:val="2"/>
              </w:rPr>
            </w:pPr>
          </w:p>
        </w:tc>
        <w:tc>
          <w:tcPr>
            <w:tcW w:w="532" w:type="pct"/>
            <w:tcBorders>
              <w:top w:val="nil"/>
              <w:left w:val="nil"/>
              <w:bottom w:val="nil"/>
              <w:right w:val="nil"/>
            </w:tcBorders>
            <w:noWrap/>
            <w:vAlign w:val="bottom"/>
          </w:tcPr>
          <w:p w14:paraId="2184AD9F" w14:textId="77777777" w:rsidR="006E442A" w:rsidRDefault="006E442A" w:rsidP="006E442A">
            <w:pPr>
              <w:keepNext/>
              <w:spacing w:after="1"/>
              <w:rPr>
                <w:sz w:val="2"/>
              </w:rPr>
            </w:pPr>
          </w:p>
        </w:tc>
        <w:tc>
          <w:tcPr>
            <w:tcW w:w="103" w:type="pct"/>
            <w:tcBorders>
              <w:top w:val="nil"/>
              <w:left w:val="nil"/>
              <w:bottom w:val="nil"/>
              <w:right w:val="nil"/>
            </w:tcBorders>
            <w:noWrap/>
            <w:vAlign w:val="bottom"/>
          </w:tcPr>
          <w:p w14:paraId="7A057F7B" w14:textId="77777777" w:rsidR="006E442A" w:rsidRDefault="006E442A" w:rsidP="006E442A">
            <w:pPr>
              <w:keepNext/>
              <w:spacing w:after="1"/>
              <w:rPr>
                <w:sz w:val="2"/>
              </w:rPr>
            </w:pPr>
          </w:p>
        </w:tc>
        <w:tc>
          <w:tcPr>
            <w:tcW w:w="65" w:type="pct"/>
            <w:tcBorders>
              <w:top w:val="nil"/>
              <w:left w:val="nil"/>
              <w:bottom w:val="nil"/>
              <w:right w:val="nil"/>
            </w:tcBorders>
            <w:noWrap/>
            <w:vAlign w:val="bottom"/>
          </w:tcPr>
          <w:p w14:paraId="3FF87FE7" w14:textId="77777777" w:rsidR="006E442A" w:rsidRDefault="006E442A" w:rsidP="006E442A">
            <w:pPr>
              <w:keepNext/>
              <w:spacing w:after="1"/>
              <w:rPr>
                <w:sz w:val="2"/>
              </w:rPr>
            </w:pPr>
          </w:p>
        </w:tc>
      </w:tr>
      <w:tr w:rsidR="006E442A" w14:paraId="63C94AA4" w14:textId="77777777" w:rsidTr="00F10DDD">
        <w:tc>
          <w:tcPr>
            <w:tcW w:w="3243" w:type="pct"/>
            <w:tcBorders>
              <w:top w:val="nil"/>
              <w:left w:val="nil"/>
              <w:bottom w:val="nil"/>
              <w:right w:val="nil"/>
              <w:tl2br w:val="nil"/>
              <w:tr2bl w:val="nil"/>
            </w:tcBorders>
            <w:shd w:val="solid" w:color="FFFFFF" w:fill="FFFFFF"/>
            <w:vAlign w:val="bottom"/>
          </w:tcPr>
          <w:p w14:paraId="79104936" w14:textId="77777777" w:rsidR="006E442A" w:rsidRDefault="006E442A" w:rsidP="006E442A">
            <w:pPr>
              <w:spacing w:after="1"/>
              <w:rPr>
                <w:rFonts w:ascii="Calibri" w:eastAsia="Calibri" w:hAnsi="Calibri" w:cs="Calibri"/>
                <w:b/>
                <w:color w:val="000000"/>
                <w:sz w:val="19"/>
              </w:rPr>
            </w:pPr>
          </w:p>
        </w:tc>
        <w:tc>
          <w:tcPr>
            <w:tcW w:w="128" w:type="pct"/>
            <w:tcBorders>
              <w:top w:val="nil"/>
              <w:left w:val="nil"/>
              <w:bottom w:val="nil"/>
              <w:right w:val="nil"/>
              <w:tl2br w:val="nil"/>
              <w:tr2bl w:val="nil"/>
            </w:tcBorders>
            <w:shd w:val="solid" w:color="FFFFFF" w:fill="FFFFFF"/>
            <w:vAlign w:val="bottom"/>
          </w:tcPr>
          <w:p w14:paraId="00D5A644" w14:textId="77777777" w:rsidR="006E442A" w:rsidRDefault="006E442A" w:rsidP="006E442A">
            <w:pPr>
              <w:spacing w:after="1"/>
              <w:rPr>
                <w:rFonts w:ascii="Calibri" w:eastAsia="Calibri" w:hAnsi="Calibri" w:cs="Calibri"/>
                <w:b/>
                <w:color w:val="000000"/>
                <w:sz w:val="19"/>
              </w:rPr>
            </w:pPr>
          </w:p>
        </w:tc>
        <w:tc>
          <w:tcPr>
            <w:tcW w:w="1564" w:type="pct"/>
            <w:gridSpan w:val="7"/>
            <w:tcBorders>
              <w:top w:val="nil"/>
              <w:left w:val="nil"/>
              <w:bottom w:val="nil"/>
              <w:right w:val="nil"/>
              <w:tl2br w:val="nil"/>
              <w:tr2bl w:val="nil"/>
            </w:tcBorders>
            <w:shd w:val="solid" w:color="FFFFFF" w:fill="FFFFFF"/>
            <w:vAlign w:val="bottom"/>
          </w:tcPr>
          <w:p w14:paraId="1F5825BE" w14:textId="77777777" w:rsidR="006E442A" w:rsidRDefault="006E442A" w:rsidP="006E442A">
            <w:pPr>
              <w:spacing w:after="1"/>
              <w:jc w:val="center"/>
              <w:rPr>
                <w:rFonts w:ascii="Calibri" w:eastAsia="Calibri" w:hAnsi="Calibri" w:cs="Calibri"/>
                <w:b/>
                <w:color w:val="000000"/>
                <w:sz w:val="19"/>
              </w:rPr>
            </w:pPr>
            <w:r>
              <w:rPr>
                <w:rFonts w:ascii="Calibri" w:eastAsia="Calibri" w:hAnsi="Calibri" w:cs="Calibri"/>
                <w:b/>
                <w:color w:val="000000"/>
                <w:sz w:val="19"/>
              </w:rPr>
              <w:t xml:space="preserve">Three Months Ended </w:t>
            </w:r>
          </w:p>
        </w:tc>
        <w:tc>
          <w:tcPr>
            <w:tcW w:w="65" w:type="pct"/>
            <w:tcBorders>
              <w:top w:val="nil"/>
              <w:left w:val="nil"/>
              <w:bottom w:val="nil"/>
              <w:right w:val="nil"/>
              <w:tl2br w:val="nil"/>
              <w:tr2bl w:val="nil"/>
            </w:tcBorders>
            <w:shd w:val="solid" w:color="FFFFFF" w:fill="FFFFFF"/>
            <w:noWrap/>
            <w:vAlign w:val="bottom"/>
          </w:tcPr>
          <w:p w14:paraId="13ACB5DB"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r>
      <w:tr w:rsidR="006E442A" w14:paraId="142951FC" w14:textId="77777777" w:rsidTr="00F10DDD">
        <w:tc>
          <w:tcPr>
            <w:tcW w:w="3243" w:type="pct"/>
            <w:tcBorders>
              <w:top w:val="nil"/>
              <w:left w:val="nil"/>
              <w:bottom w:val="nil"/>
              <w:right w:val="nil"/>
              <w:tl2br w:val="nil"/>
              <w:tr2bl w:val="nil"/>
            </w:tcBorders>
            <w:shd w:val="solid" w:color="FFFFFF" w:fill="FFFFFF"/>
            <w:vAlign w:val="bottom"/>
          </w:tcPr>
          <w:p w14:paraId="3C4160FD" w14:textId="77777777" w:rsidR="006E442A" w:rsidRDefault="006E442A" w:rsidP="006E442A">
            <w:pPr>
              <w:spacing w:after="1"/>
              <w:rPr>
                <w:rFonts w:ascii="Calibri" w:eastAsia="Calibri" w:hAnsi="Calibri" w:cs="Calibri"/>
                <w:b/>
                <w:color w:val="000000"/>
                <w:sz w:val="19"/>
              </w:rPr>
            </w:pPr>
          </w:p>
        </w:tc>
        <w:tc>
          <w:tcPr>
            <w:tcW w:w="128" w:type="pct"/>
            <w:tcBorders>
              <w:top w:val="nil"/>
              <w:left w:val="nil"/>
              <w:bottom w:val="nil"/>
              <w:right w:val="nil"/>
              <w:tl2br w:val="nil"/>
              <w:tr2bl w:val="nil"/>
            </w:tcBorders>
            <w:shd w:val="solid" w:color="FFFFFF" w:fill="FFFFFF"/>
            <w:vAlign w:val="bottom"/>
          </w:tcPr>
          <w:p w14:paraId="33329F2E" w14:textId="77777777" w:rsidR="006E442A" w:rsidRDefault="006E442A" w:rsidP="006E442A">
            <w:pPr>
              <w:spacing w:after="1"/>
              <w:rPr>
                <w:rFonts w:ascii="Calibri" w:eastAsia="Calibri" w:hAnsi="Calibri" w:cs="Calibri"/>
                <w:b/>
                <w:color w:val="000000"/>
                <w:sz w:val="19"/>
              </w:rPr>
            </w:pPr>
          </w:p>
        </w:tc>
        <w:tc>
          <w:tcPr>
            <w:tcW w:w="1564" w:type="pct"/>
            <w:gridSpan w:val="7"/>
            <w:tcBorders>
              <w:top w:val="nil"/>
              <w:left w:val="nil"/>
              <w:bottom w:val="single" w:sz="4" w:space="0" w:color="000000"/>
              <w:right w:val="nil"/>
              <w:tl2br w:val="nil"/>
              <w:tr2bl w:val="nil"/>
            </w:tcBorders>
            <w:shd w:val="solid" w:color="FFFFFF" w:fill="FFFFFF"/>
            <w:vAlign w:val="bottom"/>
          </w:tcPr>
          <w:p w14:paraId="38117650" w14:textId="77777777" w:rsidR="006E442A" w:rsidRDefault="006E442A" w:rsidP="006E442A">
            <w:pPr>
              <w:spacing w:after="1"/>
              <w:jc w:val="center"/>
              <w:rPr>
                <w:rFonts w:ascii="Calibri" w:eastAsia="Calibri" w:hAnsi="Calibri" w:cs="Calibri"/>
                <w:b/>
                <w:color w:val="000000"/>
                <w:sz w:val="19"/>
              </w:rPr>
            </w:pPr>
            <w:r>
              <w:rPr>
                <w:rFonts w:ascii="Calibri" w:eastAsia="Calibri" w:hAnsi="Calibri" w:cs="Calibri"/>
                <w:b/>
                <w:color w:val="000000"/>
                <w:sz w:val="19"/>
              </w:rPr>
              <w:t>March 31, </w:t>
            </w:r>
          </w:p>
        </w:tc>
        <w:tc>
          <w:tcPr>
            <w:tcW w:w="65" w:type="pct"/>
            <w:tcBorders>
              <w:top w:val="nil"/>
              <w:left w:val="nil"/>
              <w:bottom w:val="nil"/>
              <w:right w:val="nil"/>
              <w:tl2br w:val="nil"/>
              <w:tr2bl w:val="nil"/>
            </w:tcBorders>
            <w:shd w:val="solid" w:color="FFFFFF" w:fill="FFFFFF"/>
            <w:noWrap/>
            <w:vAlign w:val="bottom"/>
          </w:tcPr>
          <w:p w14:paraId="10F4A34C" w14:textId="77777777" w:rsidR="006E442A" w:rsidRDefault="006E442A" w:rsidP="006E442A">
            <w:pPr>
              <w:spacing w:after="1"/>
              <w:rPr>
                <w:rFonts w:ascii="Calibri" w:eastAsia="Calibri" w:hAnsi="Calibri" w:cs="Calibri"/>
                <w:color w:val="000000"/>
                <w:sz w:val="19"/>
              </w:rPr>
            </w:pPr>
          </w:p>
        </w:tc>
      </w:tr>
      <w:tr w:rsidR="006E442A" w14:paraId="10A13EF5" w14:textId="77777777" w:rsidTr="00F10DDD">
        <w:tc>
          <w:tcPr>
            <w:tcW w:w="3243" w:type="pct"/>
            <w:tcBorders>
              <w:top w:val="nil"/>
              <w:left w:val="nil"/>
              <w:bottom w:val="nil"/>
              <w:right w:val="nil"/>
              <w:tl2br w:val="nil"/>
              <w:tr2bl w:val="nil"/>
            </w:tcBorders>
            <w:shd w:val="solid" w:color="FFFFFF" w:fill="FFFFFF"/>
            <w:vAlign w:val="bottom"/>
          </w:tcPr>
          <w:p w14:paraId="103AECF1" w14:textId="77777777" w:rsidR="006E442A" w:rsidRDefault="006E442A" w:rsidP="006E442A">
            <w:pPr>
              <w:spacing w:after="1"/>
              <w:rPr>
                <w:rFonts w:ascii="Calibri" w:eastAsia="Calibri" w:hAnsi="Calibri" w:cs="Calibri"/>
                <w:b/>
                <w:color w:val="000000"/>
                <w:sz w:val="19"/>
              </w:rPr>
            </w:pPr>
          </w:p>
        </w:tc>
        <w:tc>
          <w:tcPr>
            <w:tcW w:w="128" w:type="pct"/>
            <w:tcBorders>
              <w:top w:val="nil"/>
              <w:left w:val="nil"/>
              <w:bottom w:val="nil"/>
              <w:right w:val="nil"/>
              <w:tl2br w:val="nil"/>
              <w:tr2bl w:val="nil"/>
            </w:tcBorders>
            <w:shd w:val="solid" w:color="FFFFFF" w:fill="FFFFFF"/>
            <w:noWrap/>
            <w:vAlign w:val="bottom"/>
          </w:tcPr>
          <w:p w14:paraId="3FA09C76" w14:textId="77777777" w:rsidR="006E442A" w:rsidRDefault="006E442A" w:rsidP="006E442A">
            <w:pPr>
              <w:spacing w:after="1"/>
              <w:rPr>
                <w:rFonts w:ascii="Calibri" w:eastAsia="Calibri" w:hAnsi="Calibri" w:cs="Calibri"/>
                <w:b/>
                <w:color w:val="000000"/>
                <w:sz w:val="19"/>
              </w:rPr>
            </w:pPr>
            <w:r>
              <w:rPr>
                <w:rFonts w:ascii="Calibri" w:eastAsia="Calibri" w:hAnsi="Calibri" w:cs="Calibri"/>
                <w:b/>
                <w:color w:val="000000"/>
                <w:sz w:val="19"/>
              </w:rPr>
              <w:t>    </w:t>
            </w:r>
          </w:p>
        </w:tc>
        <w:tc>
          <w:tcPr>
            <w:tcW w:w="718" w:type="pct"/>
            <w:gridSpan w:val="3"/>
            <w:tcBorders>
              <w:top w:val="nil"/>
              <w:left w:val="nil"/>
              <w:bottom w:val="single" w:sz="4" w:space="0" w:color="000000"/>
              <w:right w:val="nil"/>
              <w:tl2br w:val="nil"/>
              <w:tr2bl w:val="nil"/>
            </w:tcBorders>
            <w:shd w:val="solid" w:color="FFFFFF" w:fill="FFFFFF"/>
            <w:noWrap/>
            <w:vAlign w:val="bottom"/>
          </w:tcPr>
          <w:p w14:paraId="0F9F3C94" w14:textId="77777777" w:rsidR="006E442A" w:rsidRDefault="006E442A" w:rsidP="006E442A">
            <w:pPr>
              <w:spacing w:after="1"/>
              <w:jc w:val="center"/>
              <w:rPr>
                <w:rFonts w:ascii="Calibri" w:eastAsia="Calibri" w:hAnsi="Calibri" w:cs="Calibri"/>
                <w:b/>
                <w:color w:val="000000"/>
                <w:sz w:val="19"/>
              </w:rPr>
            </w:pPr>
            <w:r>
              <w:rPr>
                <w:rFonts w:ascii="Calibri" w:eastAsia="Calibri" w:hAnsi="Calibri" w:cs="Calibri"/>
                <w:b/>
                <w:color w:val="000000"/>
                <w:sz w:val="19"/>
              </w:rPr>
              <w:t>2022</w:t>
            </w:r>
          </w:p>
        </w:tc>
        <w:tc>
          <w:tcPr>
            <w:tcW w:w="128" w:type="pct"/>
            <w:tcBorders>
              <w:top w:val="nil"/>
              <w:left w:val="nil"/>
              <w:bottom w:val="nil"/>
              <w:right w:val="nil"/>
              <w:tl2br w:val="nil"/>
              <w:tr2bl w:val="nil"/>
            </w:tcBorders>
            <w:shd w:val="solid" w:color="FFFFFF" w:fill="FFFFFF"/>
            <w:noWrap/>
            <w:vAlign w:val="bottom"/>
          </w:tcPr>
          <w:p w14:paraId="6AE3A7D8" w14:textId="77777777" w:rsidR="006E442A" w:rsidRDefault="006E442A" w:rsidP="006E442A">
            <w:pPr>
              <w:spacing w:after="1"/>
              <w:rPr>
                <w:rFonts w:ascii="Calibri" w:eastAsia="Calibri" w:hAnsi="Calibri" w:cs="Calibri"/>
                <w:b/>
                <w:color w:val="000000"/>
                <w:sz w:val="19"/>
              </w:rPr>
            </w:pPr>
            <w:r>
              <w:rPr>
                <w:rFonts w:ascii="Calibri" w:eastAsia="Calibri" w:hAnsi="Calibri" w:cs="Calibri"/>
                <w:b/>
                <w:color w:val="000000"/>
                <w:sz w:val="19"/>
              </w:rPr>
              <w:t>    </w:t>
            </w:r>
          </w:p>
        </w:tc>
        <w:tc>
          <w:tcPr>
            <w:tcW w:w="718" w:type="pct"/>
            <w:gridSpan w:val="3"/>
            <w:tcBorders>
              <w:top w:val="nil"/>
              <w:left w:val="nil"/>
              <w:bottom w:val="single" w:sz="4" w:space="0" w:color="000000"/>
              <w:right w:val="nil"/>
              <w:tl2br w:val="nil"/>
              <w:tr2bl w:val="nil"/>
            </w:tcBorders>
            <w:shd w:val="solid" w:color="FFFFFF" w:fill="FFFFFF"/>
            <w:noWrap/>
            <w:vAlign w:val="bottom"/>
          </w:tcPr>
          <w:p w14:paraId="3AAAFE82" w14:textId="77777777" w:rsidR="006E442A" w:rsidRDefault="006E442A" w:rsidP="006E442A">
            <w:pPr>
              <w:spacing w:after="1"/>
              <w:jc w:val="center"/>
              <w:rPr>
                <w:rFonts w:ascii="Calibri" w:eastAsia="Calibri" w:hAnsi="Calibri" w:cs="Calibri"/>
                <w:b/>
                <w:color w:val="000000"/>
                <w:sz w:val="19"/>
              </w:rPr>
            </w:pPr>
            <w:r>
              <w:rPr>
                <w:rFonts w:ascii="Calibri" w:eastAsia="Calibri" w:hAnsi="Calibri" w:cs="Calibri"/>
                <w:b/>
                <w:color w:val="000000"/>
                <w:sz w:val="19"/>
              </w:rPr>
              <w:t>2023</w:t>
            </w:r>
          </w:p>
        </w:tc>
        <w:tc>
          <w:tcPr>
            <w:tcW w:w="65" w:type="pct"/>
            <w:tcBorders>
              <w:top w:val="nil"/>
              <w:left w:val="nil"/>
              <w:bottom w:val="nil"/>
              <w:right w:val="nil"/>
              <w:tl2br w:val="nil"/>
              <w:tr2bl w:val="nil"/>
            </w:tcBorders>
            <w:shd w:val="solid" w:color="FFFFFF" w:fill="FFFFFF"/>
            <w:noWrap/>
            <w:vAlign w:val="bottom"/>
          </w:tcPr>
          <w:p w14:paraId="4CF29093" w14:textId="77777777" w:rsidR="006E442A" w:rsidRDefault="006E442A" w:rsidP="006E442A">
            <w:pPr>
              <w:spacing w:after="1"/>
              <w:rPr>
                <w:rFonts w:ascii="Calibri" w:eastAsia="Calibri" w:hAnsi="Calibri" w:cs="Calibri"/>
                <w:b/>
                <w:color w:val="000000"/>
                <w:sz w:val="19"/>
              </w:rPr>
            </w:pPr>
            <w:r>
              <w:rPr>
                <w:rFonts w:ascii="Calibri" w:eastAsia="Calibri" w:hAnsi="Calibri" w:cs="Calibri"/>
                <w:b/>
                <w:color w:val="000000"/>
                <w:sz w:val="19"/>
              </w:rPr>
              <w:t> </w:t>
            </w:r>
          </w:p>
        </w:tc>
      </w:tr>
      <w:tr w:rsidR="00F10DDD" w14:paraId="1405EC8E" w14:textId="77777777" w:rsidTr="00F10DDD">
        <w:tc>
          <w:tcPr>
            <w:tcW w:w="3243" w:type="pct"/>
            <w:tcBorders>
              <w:top w:val="nil"/>
              <w:left w:val="nil"/>
              <w:bottom w:val="nil"/>
              <w:right w:val="nil"/>
              <w:tl2br w:val="nil"/>
              <w:tr2bl w:val="nil"/>
            </w:tcBorders>
            <w:shd w:val="solid" w:color="FFFFFF" w:fill="FFFFFF"/>
            <w:vAlign w:val="bottom"/>
          </w:tcPr>
          <w:p w14:paraId="14F8F188" w14:textId="77777777" w:rsidR="00F10DDD" w:rsidRDefault="00F10DDD" w:rsidP="006E442A">
            <w:pPr>
              <w:spacing w:after="1"/>
              <w:rPr>
                <w:rFonts w:ascii="Calibri" w:eastAsia="Calibri" w:hAnsi="Calibri" w:cs="Calibri"/>
                <w:b/>
                <w:color w:val="000000"/>
                <w:sz w:val="19"/>
              </w:rPr>
            </w:pPr>
          </w:p>
        </w:tc>
        <w:tc>
          <w:tcPr>
            <w:tcW w:w="128" w:type="pct"/>
            <w:tcBorders>
              <w:top w:val="nil"/>
              <w:left w:val="nil"/>
              <w:bottom w:val="nil"/>
              <w:right w:val="nil"/>
              <w:tl2br w:val="nil"/>
              <w:tr2bl w:val="nil"/>
            </w:tcBorders>
            <w:shd w:val="solid" w:color="FFFFFF" w:fill="FFFFFF"/>
            <w:vAlign w:val="bottom"/>
          </w:tcPr>
          <w:p w14:paraId="2D56AE8C" w14:textId="77777777" w:rsidR="00F10DDD" w:rsidRDefault="00F10DDD" w:rsidP="006E442A">
            <w:pPr>
              <w:spacing w:after="1"/>
              <w:rPr>
                <w:rFonts w:ascii="Calibri" w:eastAsia="Calibri" w:hAnsi="Calibri" w:cs="Calibri"/>
                <w:b/>
                <w:color w:val="000000"/>
                <w:sz w:val="19"/>
              </w:rPr>
            </w:pPr>
          </w:p>
        </w:tc>
        <w:tc>
          <w:tcPr>
            <w:tcW w:w="1564" w:type="pct"/>
            <w:gridSpan w:val="7"/>
            <w:tcBorders>
              <w:top w:val="nil"/>
              <w:left w:val="nil"/>
              <w:bottom w:val="nil"/>
              <w:right w:val="nil"/>
              <w:tl2br w:val="nil"/>
              <w:tr2bl w:val="nil"/>
            </w:tcBorders>
            <w:shd w:val="solid" w:color="FFFFFF" w:fill="FFFFFF"/>
            <w:noWrap/>
            <w:vAlign w:val="bottom"/>
          </w:tcPr>
          <w:p w14:paraId="0B9B09B1" w14:textId="603E5263" w:rsidR="00F10DDD" w:rsidRDefault="00F10DDD" w:rsidP="006E442A">
            <w:pPr>
              <w:spacing w:after="1"/>
              <w:jc w:val="center"/>
              <w:rPr>
                <w:rFonts w:ascii="Calibri" w:eastAsia="Calibri" w:hAnsi="Calibri" w:cs="Calibri"/>
                <w:b/>
                <w:color w:val="000000"/>
                <w:sz w:val="17"/>
              </w:rPr>
            </w:pPr>
            <w:r>
              <w:rPr>
                <w:rFonts w:ascii="Calibri" w:eastAsia="Calibri" w:hAnsi="Calibri" w:cs="Calibri"/>
                <w:b/>
                <w:color w:val="000000"/>
                <w:sz w:val="17"/>
              </w:rPr>
              <w:t>(</w:t>
            </w:r>
            <w:proofErr w:type="gramStart"/>
            <w:r>
              <w:rPr>
                <w:rFonts w:ascii="Calibri" w:eastAsia="Calibri" w:hAnsi="Calibri" w:cs="Calibri"/>
                <w:b/>
                <w:color w:val="000000"/>
                <w:sz w:val="17"/>
              </w:rPr>
              <w:t>dollars</w:t>
            </w:r>
            <w:proofErr w:type="gramEnd"/>
            <w:r>
              <w:rPr>
                <w:rFonts w:ascii="Calibri" w:eastAsia="Calibri" w:hAnsi="Calibri" w:cs="Calibri"/>
                <w:b/>
                <w:color w:val="000000"/>
                <w:sz w:val="17"/>
              </w:rPr>
              <w:t xml:space="preserve"> in thousands, except per share data)</w:t>
            </w:r>
          </w:p>
        </w:tc>
        <w:tc>
          <w:tcPr>
            <w:tcW w:w="65" w:type="pct"/>
            <w:tcBorders>
              <w:top w:val="nil"/>
              <w:left w:val="nil"/>
              <w:bottom w:val="nil"/>
              <w:right w:val="nil"/>
              <w:tl2br w:val="nil"/>
              <w:tr2bl w:val="nil"/>
            </w:tcBorders>
            <w:shd w:val="solid" w:color="FFFFFF" w:fill="FFFFFF"/>
            <w:noWrap/>
            <w:vAlign w:val="bottom"/>
          </w:tcPr>
          <w:p w14:paraId="55CF7D47" w14:textId="77777777" w:rsidR="00F10DDD" w:rsidRDefault="00F10DDD" w:rsidP="006E442A">
            <w:pPr>
              <w:spacing w:after="1"/>
              <w:rPr>
                <w:rFonts w:ascii="Calibri" w:eastAsia="Calibri" w:hAnsi="Calibri" w:cs="Calibri"/>
                <w:color w:val="000000"/>
                <w:sz w:val="19"/>
              </w:rPr>
            </w:pPr>
            <w:r>
              <w:rPr>
                <w:rFonts w:ascii="Calibri" w:eastAsia="Calibri" w:hAnsi="Calibri" w:cs="Calibri"/>
                <w:color w:val="000000"/>
                <w:sz w:val="19"/>
              </w:rPr>
              <w:t> </w:t>
            </w:r>
          </w:p>
        </w:tc>
      </w:tr>
      <w:tr w:rsidR="006E442A" w14:paraId="070CE6D5" w14:textId="77777777" w:rsidTr="00F10DDD">
        <w:tc>
          <w:tcPr>
            <w:tcW w:w="3243" w:type="pct"/>
            <w:tcBorders>
              <w:top w:val="nil"/>
              <w:left w:val="nil"/>
              <w:bottom w:val="nil"/>
              <w:right w:val="nil"/>
              <w:tl2br w:val="nil"/>
              <w:tr2bl w:val="nil"/>
            </w:tcBorders>
            <w:shd w:val="solid" w:color="FFFFFF" w:fill="FFFFFF"/>
            <w:vAlign w:val="bottom"/>
          </w:tcPr>
          <w:p w14:paraId="4250BC4F" w14:textId="77777777" w:rsidR="006E442A" w:rsidRDefault="006E442A" w:rsidP="006E442A">
            <w:pPr>
              <w:spacing w:after="1"/>
              <w:rPr>
                <w:rFonts w:ascii="Calibri" w:eastAsia="Calibri" w:hAnsi="Calibri" w:cs="Calibri"/>
                <w:b/>
                <w:color w:val="000000"/>
                <w:sz w:val="19"/>
              </w:rPr>
            </w:pPr>
            <w:r>
              <w:rPr>
                <w:rFonts w:ascii="Calibri" w:eastAsia="Calibri" w:hAnsi="Calibri" w:cs="Calibri"/>
                <w:b/>
                <w:color w:val="000000"/>
                <w:sz w:val="19"/>
              </w:rPr>
              <w:t>Revenue Metrics:</w:t>
            </w:r>
          </w:p>
        </w:tc>
        <w:tc>
          <w:tcPr>
            <w:tcW w:w="128" w:type="pct"/>
            <w:tcBorders>
              <w:top w:val="nil"/>
              <w:left w:val="nil"/>
              <w:bottom w:val="nil"/>
              <w:right w:val="nil"/>
              <w:tl2br w:val="nil"/>
              <w:tr2bl w:val="nil"/>
            </w:tcBorders>
            <w:shd w:val="solid" w:color="FFFFFF" w:fill="FFFFFF"/>
            <w:vAlign w:val="bottom"/>
          </w:tcPr>
          <w:p w14:paraId="2E54E96F" w14:textId="77777777" w:rsidR="006E442A" w:rsidRDefault="006E442A" w:rsidP="006E442A">
            <w:pPr>
              <w:spacing w:after="1"/>
              <w:rPr>
                <w:rFonts w:ascii="Calibri" w:eastAsia="Calibri" w:hAnsi="Calibri" w:cs="Calibri"/>
                <w:b/>
                <w:color w:val="000000"/>
                <w:sz w:val="19"/>
              </w:rPr>
            </w:pPr>
          </w:p>
        </w:tc>
        <w:tc>
          <w:tcPr>
            <w:tcW w:w="83" w:type="pct"/>
            <w:tcBorders>
              <w:top w:val="nil"/>
              <w:left w:val="nil"/>
              <w:bottom w:val="nil"/>
              <w:right w:val="nil"/>
              <w:tl2br w:val="nil"/>
              <w:tr2bl w:val="nil"/>
            </w:tcBorders>
            <w:shd w:val="solid" w:color="FFFFFF" w:fill="FFFFFF"/>
            <w:noWrap/>
            <w:vAlign w:val="bottom"/>
          </w:tcPr>
          <w:p w14:paraId="0A8C0CC9"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39D33D1B"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w:t>
            </w:r>
          </w:p>
        </w:tc>
        <w:tc>
          <w:tcPr>
            <w:tcW w:w="103" w:type="pct"/>
            <w:tcBorders>
              <w:top w:val="nil"/>
              <w:left w:val="nil"/>
              <w:bottom w:val="nil"/>
              <w:right w:val="nil"/>
              <w:tl2br w:val="nil"/>
              <w:tr2bl w:val="nil"/>
            </w:tcBorders>
            <w:shd w:val="solid" w:color="FFFFFF" w:fill="FFFFFF"/>
            <w:noWrap/>
            <w:vAlign w:val="bottom"/>
          </w:tcPr>
          <w:p w14:paraId="77DC1696" w14:textId="77777777" w:rsidR="006E442A" w:rsidRDefault="006E442A" w:rsidP="006E442A">
            <w:pPr>
              <w:spacing w:after="1"/>
              <w:jc w:val="right"/>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noWrap/>
            <w:vAlign w:val="bottom"/>
          </w:tcPr>
          <w:p w14:paraId="515B7A44"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83" w:type="pct"/>
            <w:tcBorders>
              <w:top w:val="nil"/>
              <w:left w:val="nil"/>
              <w:bottom w:val="nil"/>
              <w:right w:val="nil"/>
              <w:tl2br w:val="nil"/>
              <w:tr2bl w:val="nil"/>
            </w:tcBorders>
            <w:shd w:val="solid" w:color="FFFFFF" w:fill="FFFFFF"/>
            <w:noWrap/>
            <w:vAlign w:val="bottom"/>
          </w:tcPr>
          <w:p w14:paraId="3D6E739F"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51566A56"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w:t>
            </w:r>
          </w:p>
        </w:tc>
        <w:tc>
          <w:tcPr>
            <w:tcW w:w="103" w:type="pct"/>
            <w:tcBorders>
              <w:top w:val="nil"/>
              <w:left w:val="nil"/>
              <w:bottom w:val="nil"/>
              <w:right w:val="nil"/>
              <w:tl2br w:val="nil"/>
              <w:tr2bl w:val="nil"/>
            </w:tcBorders>
            <w:shd w:val="solid" w:color="FFFFFF" w:fill="FFFFFF"/>
            <w:noWrap/>
            <w:vAlign w:val="bottom"/>
          </w:tcPr>
          <w:p w14:paraId="7B3A3B55" w14:textId="77777777" w:rsidR="006E442A" w:rsidRDefault="006E442A" w:rsidP="006E442A">
            <w:pPr>
              <w:spacing w:after="1"/>
              <w:jc w:val="right"/>
              <w:rPr>
                <w:rFonts w:ascii="Calibri" w:eastAsia="Calibri" w:hAnsi="Calibri" w:cs="Calibri"/>
                <w:color w:val="000000"/>
                <w:sz w:val="19"/>
              </w:rPr>
            </w:pPr>
          </w:p>
        </w:tc>
        <w:tc>
          <w:tcPr>
            <w:tcW w:w="65" w:type="pct"/>
            <w:tcBorders>
              <w:top w:val="nil"/>
              <w:left w:val="nil"/>
              <w:bottom w:val="nil"/>
              <w:right w:val="nil"/>
              <w:tl2br w:val="nil"/>
              <w:tr2bl w:val="nil"/>
            </w:tcBorders>
            <w:shd w:val="solid" w:color="FFFFFF" w:fill="FFFFFF"/>
            <w:noWrap/>
            <w:vAlign w:val="bottom"/>
          </w:tcPr>
          <w:p w14:paraId="040320C5" w14:textId="77777777" w:rsidR="006E442A" w:rsidRDefault="006E442A" w:rsidP="006E442A">
            <w:pPr>
              <w:spacing w:after="1"/>
              <w:rPr>
                <w:rFonts w:ascii="Calibri" w:eastAsia="Calibri" w:hAnsi="Calibri" w:cs="Calibri"/>
                <w:color w:val="000000"/>
                <w:sz w:val="19"/>
              </w:rPr>
            </w:pPr>
          </w:p>
        </w:tc>
      </w:tr>
      <w:tr w:rsidR="006E442A" w14:paraId="46944B21" w14:textId="77777777" w:rsidTr="00F10DDD">
        <w:tc>
          <w:tcPr>
            <w:tcW w:w="3243" w:type="pct"/>
            <w:tcBorders>
              <w:top w:val="nil"/>
              <w:left w:val="nil"/>
              <w:bottom w:val="nil"/>
              <w:right w:val="nil"/>
              <w:tl2br w:val="nil"/>
              <w:tr2bl w:val="nil"/>
            </w:tcBorders>
            <w:shd w:val="solid" w:color="FFFFFF" w:fill="FFFFFF"/>
            <w:vAlign w:val="bottom"/>
          </w:tcPr>
          <w:p w14:paraId="150034E0"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Revenues</w:t>
            </w:r>
          </w:p>
        </w:tc>
        <w:tc>
          <w:tcPr>
            <w:tcW w:w="128" w:type="pct"/>
            <w:tcBorders>
              <w:top w:val="nil"/>
              <w:left w:val="nil"/>
              <w:bottom w:val="nil"/>
              <w:right w:val="nil"/>
              <w:tl2br w:val="nil"/>
              <w:tr2bl w:val="nil"/>
            </w:tcBorders>
            <w:shd w:val="solid" w:color="FFFFFF" w:fill="FFFFFF"/>
            <w:vAlign w:val="bottom"/>
          </w:tcPr>
          <w:p w14:paraId="43F93165"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49E8B620"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w:t>
            </w:r>
          </w:p>
        </w:tc>
        <w:tc>
          <w:tcPr>
            <w:tcW w:w="532" w:type="pct"/>
            <w:tcBorders>
              <w:top w:val="nil"/>
              <w:left w:val="nil"/>
              <w:bottom w:val="nil"/>
              <w:right w:val="nil"/>
              <w:tl2br w:val="nil"/>
              <w:tr2bl w:val="nil"/>
            </w:tcBorders>
            <w:shd w:val="solid" w:color="FFFFFF" w:fill="FFFFFF"/>
            <w:noWrap/>
            <w:vAlign w:val="bottom"/>
          </w:tcPr>
          <w:p w14:paraId="7F9FB992"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536,567</w:t>
            </w:r>
          </w:p>
        </w:tc>
        <w:tc>
          <w:tcPr>
            <w:tcW w:w="103" w:type="pct"/>
            <w:tcBorders>
              <w:top w:val="nil"/>
              <w:left w:val="nil"/>
              <w:bottom w:val="nil"/>
              <w:right w:val="nil"/>
              <w:tl2br w:val="nil"/>
              <w:tr2bl w:val="nil"/>
            </w:tcBorders>
            <w:shd w:val="solid" w:color="FFFFFF" w:fill="FFFFFF"/>
            <w:noWrap/>
            <w:vAlign w:val="bottom"/>
          </w:tcPr>
          <w:p w14:paraId="2D9F0EFA" w14:textId="77777777" w:rsidR="006E442A" w:rsidRDefault="006E442A" w:rsidP="006E442A">
            <w:pPr>
              <w:spacing w:after="1"/>
              <w:jc w:val="right"/>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noWrap/>
            <w:vAlign w:val="bottom"/>
          </w:tcPr>
          <w:p w14:paraId="4A0E46E4"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20C269E7"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w:t>
            </w:r>
          </w:p>
        </w:tc>
        <w:tc>
          <w:tcPr>
            <w:tcW w:w="532" w:type="pct"/>
            <w:tcBorders>
              <w:top w:val="nil"/>
              <w:left w:val="nil"/>
              <w:bottom w:val="nil"/>
              <w:right w:val="nil"/>
              <w:tl2br w:val="nil"/>
              <w:tr2bl w:val="nil"/>
            </w:tcBorders>
            <w:shd w:val="solid" w:color="FFFFFF" w:fill="FFFFFF"/>
            <w:noWrap/>
            <w:vAlign w:val="bottom"/>
          </w:tcPr>
          <w:p w14:paraId="5D658AEC"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557,507</w:t>
            </w:r>
          </w:p>
        </w:tc>
        <w:tc>
          <w:tcPr>
            <w:tcW w:w="103" w:type="pct"/>
            <w:tcBorders>
              <w:top w:val="nil"/>
              <w:left w:val="nil"/>
              <w:bottom w:val="nil"/>
              <w:right w:val="nil"/>
              <w:tl2br w:val="nil"/>
              <w:tr2bl w:val="nil"/>
            </w:tcBorders>
            <w:shd w:val="solid" w:color="FFFFFF" w:fill="FFFFFF"/>
            <w:noWrap/>
            <w:vAlign w:val="bottom"/>
          </w:tcPr>
          <w:p w14:paraId="1B8F6EEE" w14:textId="77777777" w:rsidR="006E442A" w:rsidRDefault="006E442A" w:rsidP="006E442A">
            <w:pPr>
              <w:spacing w:after="1"/>
              <w:jc w:val="right"/>
              <w:rPr>
                <w:rFonts w:ascii="Calibri" w:eastAsia="Calibri" w:hAnsi="Calibri" w:cs="Calibri"/>
                <w:color w:val="000000"/>
                <w:sz w:val="19"/>
              </w:rPr>
            </w:pPr>
          </w:p>
        </w:tc>
        <w:tc>
          <w:tcPr>
            <w:tcW w:w="65" w:type="pct"/>
            <w:tcBorders>
              <w:top w:val="nil"/>
              <w:left w:val="nil"/>
              <w:bottom w:val="nil"/>
              <w:right w:val="nil"/>
              <w:tl2br w:val="nil"/>
              <w:tr2bl w:val="nil"/>
            </w:tcBorders>
            <w:shd w:val="solid" w:color="FFFFFF" w:fill="FFFFFF"/>
            <w:noWrap/>
            <w:vAlign w:val="bottom"/>
          </w:tcPr>
          <w:p w14:paraId="689F6937" w14:textId="77777777" w:rsidR="006E442A" w:rsidRDefault="006E442A" w:rsidP="006E442A">
            <w:pPr>
              <w:spacing w:after="1"/>
              <w:rPr>
                <w:rFonts w:ascii="Calibri" w:eastAsia="Calibri" w:hAnsi="Calibri" w:cs="Calibri"/>
                <w:color w:val="000000"/>
                <w:sz w:val="19"/>
              </w:rPr>
            </w:pPr>
          </w:p>
        </w:tc>
      </w:tr>
      <w:tr w:rsidR="006E442A" w14:paraId="7515EC60" w14:textId="77777777" w:rsidTr="00F10DDD">
        <w:tc>
          <w:tcPr>
            <w:tcW w:w="3243" w:type="pct"/>
            <w:tcBorders>
              <w:top w:val="nil"/>
              <w:left w:val="nil"/>
              <w:bottom w:val="nil"/>
              <w:right w:val="nil"/>
              <w:tl2br w:val="nil"/>
              <w:tr2bl w:val="nil"/>
            </w:tcBorders>
            <w:shd w:val="solid" w:color="FFFFFF" w:fill="FFFFFF"/>
            <w:vAlign w:val="bottom"/>
          </w:tcPr>
          <w:p w14:paraId="42131D43"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Revenue growth (1) from prior period</w:t>
            </w:r>
          </w:p>
        </w:tc>
        <w:tc>
          <w:tcPr>
            <w:tcW w:w="128" w:type="pct"/>
            <w:tcBorders>
              <w:top w:val="nil"/>
              <w:left w:val="nil"/>
              <w:bottom w:val="nil"/>
              <w:right w:val="nil"/>
              <w:tl2br w:val="nil"/>
              <w:tr2bl w:val="nil"/>
            </w:tcBorders>
            <w:shd w:val="solid" w:color="FFFFFF" w:fill="FFFFFF"/>
            <w:vAlign w:val="bottom"/>
          </w:tcPr>
          <w:p w14:paraId="725658DF"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759C526D"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532" w:type="pct"/>
            <w:tcBorders>
              <w:top w:val="nil"/>
              <w:left w:val="nil"/>
              <w:bottom w:val="nil"/>
              <w:right w:val="nil"/>
              <w:tl2br w:val="nil"/>
              <w:tr2bl w:val="nil"/>
            </w:tcBorders>
            <w:shd w:val="solid" w:color="FFFFFF" w:fill="FFFFFF"/>
            <w:noWrap/>
            <w:vAlign w:val="bottom"/>
          </w:tcPr>
          <w:p w14:paraId="091323B3"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36.1</w:t>
            </w:r>
          </w:p>
        </w:tc>
        <w:tc>
          <w:tcPr>
            <w:tcW w:w="103" w:type="pct"/>
            <w:tcBorders>
              <w:top w:val="nil"/>
              <w:left w:val="nil"/>
              <w:bottom w:val="nil"/>
              <w:right w:val="nil"/>
              <w:tl2br w:val="nil"/>
              <w:tr2bl w:val="nil"/>
            </w:tcBorders>
            <w:shd w:val="solid" w:color="FFFFFF" w:fill="FFFFFF"/>
            <w:noWrap/>
            <w:vAlign w:val="bottom"/>
          </w:tcPr>
          <w:p w14:paraId="3E4D467F"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w:t>
            </w:r>
          </w:p>
        </w:tc>
        <w:tc>
          <w:tcPr>
            <w:tcW w:w="128" w:type="pct"/>
            <w:tcBorders>
              <w:top w:val="nil"/>
              <w:left w:val="nil"/>
              <w:bottom w:val="nil"/>
              <w:right w:val="nil"/>
              <w:tl2br w:val="nil"/>
              <w:tr2bl w:val="nil"/>
            </w:tcBorders>
            <w:shd w:val="solid" w:color="FFFFFF" w:fill="FFFFFF"/>
            <w:noWrap/>
            <w:vAlign w:val="bottom"/>
          </w:tcPr>
          <w:p w14:paraId="35964004"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6022B709"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532" w:type="pct"/>
            <w:tcBorders>
              <w:top w:val="nil"/>
              <w:left w:val="nil"/>
              <w:bottom w:val="nil"/>
              <w:right w:val="nil"/>
              <w:tl2br w:val="nil"/>
              <w:tr2bl w:val="nil"/>
            </w:tcBorders>
            <w:shd w:val="solid" w:color="FFFFFF" w:fill="FFFFFF"/>
            <w:noWrap/>
            <w:vAlign w:val="bottom"/>
          </w:tcPr>
          <w:p w14:paraId="2ED4CF74"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3.9</w:t>
            </w:r>
          </w:p>
        </w:tc>
        <w:tc>
          <w:tcPr>
            <w:tcW w:w="103" w:type="pct"/>
            <w:tcBorders>
              <w:top w:val="nil"/>
              <w:left w:val="nil"/>
              <w:bottom w:val="nil"/>
              <w:right w:val="nil"/>
              <w:tl2br w:val="nil"/>
              <w:tr2bl w:val="nil"/>
            </w:tcBorders>
            <w:shd w:val="solid" w:color="FFFFFF" w:fill="FFFFFF"/>
            <w:noWrap/>
            <w:vAlign w:val="bottom"/>
          </w:tcPr>
          <w:p w14:paraId="3527604B"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w:t>
            </w:r>
          </w:p>
        </w:tc>
        <w:tc>
          <w:tcPr>
            <w:tcW w:w="65" w:type="pct"/>
            <w:tcBorders>
              <w:top w:val="nil"/>
              <w:left w:val="nil"/>
              <w:bottom w:val="nil"/>
              <w:right w:val="nil"/>
              <w:tl2br w:val="nil"/>
              <w:tr2bl w:val="nil"/>
            </w:tcBorders>
            <w:shd w:val="solid" w:color="FFFFFF" w:fill="FFFFFF"/>
            <w:noWrap/>
            <w:vAlign w:val="bottom"/>
          </w:tcPr>
          <w:p w14:paraId="42A5FE34" w14:textId="77777777" w:rsidR="006E442A" w:rsidRDefault="006E442A" w:rsidP="006E442A">
            <w:pPr>
              <w:spacing w:after="1"/>
              <w:rPr>
                <w:rFonts w:ascii="Calibri" w:eastAsia="Calibri" w:hAnsi="Calibri" w:cs="Calibri"/>
                <w:color w:val="000000"/>
                <w:sz w:val="19"/>
              </w:rPr>
            </w:pPr>
          </w:p>
        </w:tc>
      </w:tr>
      <w:tr w:rsidR="006E442A" w14:paraId="555578A7" w14:textId="77777777" w:rsidTr="00F10DDD">
        <w:tc>
          <w:tcPr>
            <w:tcW w:w="3243" w:type="pct"/>
            <w:tcBorders>
              <w:top w:val="nil"/>
              <w:left w:val="nil"/>
              <w:bottom w:val="nil"/>
              <w:right w:val="nil"/>
              <w:tl2br w:val="nil"/>
              <w:tr2bl w:val="nil"/>
            </w:tcBorders>
            <w:shd w:val="solid" w:color="FFFFFF" w:fill="FFFFFF"/>
            <w:vAlign w:val="bottom"/>
          </w:tcPr>
          <w:p w14:paraId="651A16C2"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Organic revenue growth (2) from prior period</w:t>
            </w:r>
          </w:p>
        </w:tc>
        <w:tc>
          <w:tcPr>
            <w:tcW w:w="128" w:type="pct"/>
            <w:tcBorders>
              <w:top w:val="nil"/>
              <w:left w:val="nil"/>
              <w:bottom w:val="nil"/>
              <w:right w:val="nil"/>
              <w:tl2br w:val="nil"/>
              <w:tr2bl w:val="nil"/>
            </w:tcBorders>
            <w:shd w:val="solid" w:color="FFFFFF" w:fill="FFFFFF"/>
            <w:vAlign w:val="bottom"/>
          </w:tcPr>
          <w:p w14:paraId="34E8024B"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43ACCDB7"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532" w:type="pct"/>
            <w:tcBorders>
              <w:top w:val="nil"/>
              <w:left w:val="nil"/>
              <w:bottom w:val="nil"/>
              <w:right w:val="nil"/>
              <w:tl2br w:val="nil"/>
              <w:tr2bl w:val="nil"/>
            </w:tcBorders>
            <w:shd w:val="solid" w:color="FFFFFF" w:fill="FFFFFF"/>
            <w:noWrap/>
            <w:vAlign w:val="bottom"/>
          </w:tcPr>
          <w:p w14:paraId="575CB07C"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22.0</w:t>
            </w:r>
          </w:p>
        </w:tc>
        <w:tc>
          <w:tcPr>
            <w:tcW w:w="103" w:type="pct"/>
            <w:tcBorders>
              <w:top w:val="nil"/>
              <w:left w:val="nil"/>
              <w:bottom w:val="nil"/>
              <w:right w:val="nil"/>
              <w:tl2br w:val="nil"/>
              <w:tr2bl w:val="nil"/>
            </w:tcBorders>
            <w:shd w:val="solid" w:color="FFFFFF" w:fill="FFFFFF"/>
            <w:noWrap/>
            <w:vAlign w:val="bottom"/>
          </w:tcPr>
          <w:p w14:paraId="19EB5812"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w:t>
            </w:r>
          </w:p>
        </w:tc>
        <w:tc>
          <w:tcPr>
            <w:tcW w:w="128" w:type="pct"/>
            <w:tcBorders>
              <w:top w:val="nil"/>
              <w:left w:val="nil"/>
              <w:bottom w:val="nil"/>
              <w:right w:val="nil"/>
              <w:tl2br w:val="nil"/>
              <w:tr2bl w:val="nil"/>
            </w:tcBorders>
            <w:shd w:val="solid" w:color="FFFFFF" w:fill="FFFFFF"/>
            <w:noWrap/>
            <w:vAlign w:val="bottom"/>
          </w:tcPr>
          <w:p w14:paraId="749E67E7"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7C05000D"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532" w:type="pct"/>
            <w:tcBorders>
              <w:top w:val="nil"/>
              <w:left w:val="nil"/>
              <w:bottom w:val="nil"/>
              <w:right w:val="nil"/>
              <w:tl2br w:val="nil"/>
              <w:tr2bl w:val="nil"/>
            </w:tcBorders>
            <w:shd w:val="solid" w:color="FFFFFF" w:fill="FFFFFF"/>
            <w:noWrap/>
            <w:vAlign w:val="bottom"/>
          </w:tcPr>
          <w:p w14:paraId="66DFEBBB"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0.3</w:t>
            </w:r>
          </w:p>
        </w:tc>
        <w:tc>
          <w:tcPr>
            <w:tcW w:w="103" w:type="pct"/>
            <w:tcBorders>
              <w:top w:val="nil"/>
              <w:left w:val="nil"/>
              <w:bottom w:val="nil"/>
              <w:right w:val="nil"/>
              <w:tl2br w:val="nil"/>
              <w:tr2bl w:val="nil"/>
            </w:tcBorders>
            <w:shd w:val="solid" w:color="FFFFFF" w:fill="FFFFFF"/>
            <w:noWrap/>
            <w:vAlign w:val="bottom"/>
          </w:tcPr>
          <w:p w14:paraId="37634C43"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w:t>
            </w:r>
          </w:p>
        </w:tc>
        <w:tc>
          <w:tcPr>
            <w:tcW w:w="65" w:type="pct"/>
            <w:tcBorders>
              <w:top w:val="nil"/>
              <w:left w:val="nil"/>
              <w:bottom w:val="nil"/>
              <w:right w:val="nil"/>
              <w:tl2br w:val="nil"/>
              <w:tr2bl w:val="nil"/>
            </w:tcBorders>
            <w:shd w:val="solid" w:color="FFFFFF" w:fill="FFFFFF"/>
            <w:noWrap/>
            <w:vAlign w:val="bottom"/>
          </w:tcPr>
          <w:p w14:paraId="77716C52" w14:textId="77777777" w:rsidR="006E442A" w:rsidRDefault="006E442A" w:rsidP="006E442A">
            <w:pPr>
              <w:spacing w:after="1"/>
              <w:rPr>
                <w:rFonts w:ascii="Calibri" w:eastAsia="Calibri" w:hAnsi="Calibri" w:cs="Calibri"/>
                <w:color w:val="000000"/>
                <w:sz w:val="19"/>
              </w:rPr>
            </w:pPr>
          </w:p>
        </w:tc>
      </w:tr>
      <w:tr w:rsidR="006E442A" w14:paraId="492C5977" w14:textId="77777777" w:rsidTr="00F10DDD">
        <w:tc>
          <w:tcPr>
            <w:tcW w:w="3243" w:type="pct"/>
            <w:tcBorders>
              <w:top w:val="nil"/>
              <w:left w:val="nil"/>
              <w:bottom w:val="nil"/>
              <w:right w:val="nil"/>
              <w:tl2br w:val="nil"/>
              <w:tr2bl w:val="nil"/>
            </w:tcBorders>
            <w:shd w:val="solid" w:color="FFFFFF" w:fill="FFFFFF"/>
            <w:vAlign w:val="bottom"/>
          </w:tcPr>
          <w:p w14:paraId="4B028A0A" w14:textId="77777777" w:rsidR="006E442A" w:rsidRDefault="006E442A" w:rsidP="006E442A">
            <w:pPr>
              <w:spacing w:after="1"/>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vAlign w:val="bottom"/>
          </w:tcPr>
          <w:p w14:paraId="3B7686A3"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4D17EF5C"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2A467597" w14:textId="77777777" w:rsidR="006E442A" w:rsidRDefault="006E442A" w:rsidP="006E442A">
            <w:pPr>
              <w:spacing w:after="1"/>
              <w:jc w:val="right"/>
              <w:rPr>
                <w:rFonts w:ascii="Calibri" w:eastAsia="Calibri" w:hAnsi="Calibri" w:cs="Calibri"/>
                <w:color w:val="000000"/>
                <w:sz w:val="19"/>
              </w:rPr>
            </w:pPr>
          </w:p>
        </w:tc>
        <w:tc>
          <w:tcPr>
            <w:tcW w:w="103" w:type="pct"/>
            <w:tcBorders>
              <w:top w:val="nil"/>
              <w:left w:val="nil"/>
              <w:bottom w:val="nil"/>
              <w:right w:val="nil"/>
              <w:tl2br w:val="nil"/>
              <w:tr2bl w:val="nil"/>
            </w:tcBorders>
            <w:shd w:val="solid" w:color="FFFFFF" w:fill="FFFFFF"/>
            <w:noWrap/>
            <w:vAlign w:val="bottom"/>
          </w:tcPr>
          <w:p w14:paraId="6C19DB2C" w14:textId="77777777" w:rsidR="006E442A" w:rsidRDefault="006E442A" w:rsidP="006E442A">
            <w:pPr>
              <w:spacing w:after="1"/>
              <w:jc w:val="right"/>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noWrap/>
            <w:vAlign w:val="bottom"/>
          </w:tcPr>
          <w:p w14:paraId="36FA2577"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357C1116"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73A83E13" w14:textId="77777777" w:rsidR="006E442A" w:rsidRDefault="006E442A" w:rsidP="006E442A">
            <w:pPr>
              <w:spacing w:after="1"/>
              <w:jc w:val="right"/>
              <w:rPr>
                <w:rFonts w:ascii="Calibri" w:eastAsia="Calibri" w:hAnsi="Calibri" w:cs="Calibri"/>
                <w:color w:val="000000"/>
                <w:sz w:val="19"/>
              </w:rPr>
            </w:pPr>
          </w:p>
        </w:tc>
        <w:tc>
          <w:tcPr>
            <w:tcW w:w="103" w:type="pct"/>
            <w:tcBorders>
              <w:top w:val="nil"/>
              <w:left w:val="nil"/>
              <w:bottom w:val="nil"/>
              <w:right w:val="nil"/>
              <w:tl2br w:val="nil"/>
              <w:tr2bl w:val="nil"/>
            </w:tcBorders>
            <w:shd w:val="solid" w:color="FFFFFF" w:fill="FFFFFF"/>
            <w:noWrap/>
            <w:vAlign w:val="bottom"/>
          </w:tcPr>
          <w:p w14:paraId="18624AE0" w14:textId="77777777" w:rsidR="006E442A" w:rsidRDefault="006E442A" w:rsidP="006E442A">
            <w:pPr>
              <w:spacing w:after="1"/>
              <w:jc w:val="right"/>
              <w:rPr>
                <w:rFonts w:ascii="Calibri" w:eastAsia="Calibri" w:hAnsi="Calibri" w:cs="Calibri"/>
                <w:color w:val="000000"/>
                <w:sz w:val="19"/>
              </w:rPr>
            </w:pPr>
          </w:p>
        </w:tc>
        <w:tc>
          <w:tcPr>
            <w:tcW w:w="65" w:type="pct"/>
            <w:tcBorders>
              <w:top w:val="nil"/>
              <w:left w:val="nil"/>
              <w:bottom w:val="nil"/>
              <w:right w:val="nil"/>
              <w:tl2br w:val="nil"/>
              <w:tr2bl w:val="nil"/>
            </w:tcBorders>
            <w:shd w:val="solid" w:color="FFFFFF" w:fill="FFFFFF"/>
            <w:noWrap/>
            <w:vAlign w:val="bottom"/>
          </w:tcPr>
          <w:p w14:paraId="0DDF437A" w14:textId="77777777" w:rsidR="006E442A" w:rsidRDefault="006E442A" w:rsidP="006E442A">
            <w:pPr>
              <w:spacing w:after="1"/>
              <w:rPr>
                <w:rFonts w:ascii="Calibri" w:eastAsia="Calibri" w:hAnsi="Calibri" w:cs="Calibri"/>
                <w:color w:val="000000"/>
                <w:sz w:val="19"/>
              </w:rPr>
            </w:pPr>
          </w:p>
        </w:tc>
      </w:tr>
      <w:tr w:rsidR="006E442A" w14:paraId="3ABAB413" w14:textId="77777777" w:rsidTr="00F10DDD">
        <w:tc>
          <w:tcPr>
            <w:tcW w:w="3243" w:type="pct"/>
            <w:tcBorders>
              <w:top w:val="nil"/>
              <w:left w:val="nil"/>
              <w:bottom w:val="nil"/>
              <w:right w:val="nil"/>
              <w:tl2br w:val="nil"/>
              <w:tr2bl w:val="nil"/>
            </w:tcBorders>
            <w:shd w:val="solid" w:color="FFFFFF" w:fill="FFFFFF"/>
            <w:vAlign w:val="bottom"/>
          </w:tcPr>
          <w:p w14:paraId="45710245" w14:textId="77777777" w:rsidR="006E442A" w:rsidRDefault="006E442A" w:rsidP="006E442A">
            <w:pPr>
              <w:spacing w:after="1"/>
              <w:rPr>
                <w:rFonts w:ascii="Calibri" w:eastAsia="Calibri" w:hAnsi="Calibri" w:cs="Calibri"/>
                <w:b/>
                <w:color w:val="000000"/>
                <w:sz w:val="19"/>
              </w:rPr>
            </w:pPr>
            <w:r>
              <w:rPr>
                <w:rFonts w:ascii="Calibri" w:eastAsia="Calibri" w:hAnsi="Calibri" w:cs="Calibri"/>
                <w:b/>
                <w:color w:val="000000"/>
                <w:sz w:val="19"/>
              </w:rPr>
              <w:t>Management Fees Metrics (operating expense):</w:t>
            </w:r>
          </w:p>
        </w:tc>
        <w:tc>
          <w:tcPr>
            <w:tcW w:w="128" w:type="pct"/>
            <w:tcBorders>
              <w:top w:val="nil"/>
              <w:left w:val="nil"/>
              <w:bottom w:val="nil"/>
              <w:right w:val="nil"/>
              <w:tl2br w:val="nil"/>
              <w:tr2bl w:val="nil"/>
            </w:tcBorders>
            <w:shd w:val="solid" w:color="FFFFFF" w:fill="FFFFFF"/>
            <w:vAlign w:val="bottom"/>
          </w:tcPr>
          <w:p w14:paraId="1B70FB51" w14:textId="77777777" w:rsidR="006E442A" w:rsidRDefault="006E442A" w:rsidP="006E442A">
            <w:pPr>
              <w:spacing w:after="1"/>
              <w:rPr>
                <w:rFonts w:ascii="Calibri" w:eastAsia="Calibri" w:hAnsi="Calibri" w:cs="Calibri"/>
                <w:b/>
                <w:color w:val="000000"/>
                <w:sz w:val="19"/>
              </w:rPr>
            </w:pPr>
          </w:p>
        </w:tc>
        <w:tc>
          <w:tcPr>
            <w:tcW w:w="83" w:type="pct"/>
            <w:tcBorders>
              <w:top w:val="nil"/>
              <w:left w:val="nil"/>
              <w:bottom w:val="nil"/>
              <w:right w:val="nil"/>
              <w:tl2br w:val="nil"/>
              <w:tr2bl w:val="nil"/>
            </w:tcBorders>
            <w:shd w:val="solid" w:color="FFFFFF" w:fill="FFFFFF"/>
            <w:noWrap/>
            <w:vAlign w:val="bottom"/>
          </w:tcPr>
          <w:p w14:paraId="58661BA1"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603EDB15" w14:textId="77777777" w:rsidR="006E442A" w:rsidRDefault="006E442A" w:rsidP="006E442A">
            <w:pPr>
              <w:spacing w:after="1"/>
              <w:jc w:val="right"/>
              <w:rPr>
                <w:rFonts w:ascii="Calibri" w:eastAsia="Calibri" w:hAnsi="Calibri" w:cs="Calibri"/>
                <w:color w:val="000000"/>
                <w:sz w:val="19"/>
              </w:rPr>
            </w:pPr>
          </w:p>
        </w:tc>
        <w:tc>
          <w:tcPr>
            <w:tcW w:w="103" w:type="pct"/>
            <w:tcBorders>
              <w:top w:val="nil"/>
              <w:left w:val="nil"/>
              <w:bottom w:val="nil"/>
              <w:right w:val="nil"/>
              <w:tl2br w:val="nil"/>
              <w:tr2bl w:val="nil"/>
            </w:tcBorders>
            <w:shd w:val="solid" w:color="FFFFFF" w:fill="FFFFFF"/>
            <w:noWrap/>
            <w:vAlign w:val="bottom"/>
          </w:tcPr>
          <w:p w14:paraId="6667AE89" w14:textId="77777777" w:rsidR="006E442A" w:rsidRDefault="006E442A" w:rsidP="006E442A">
            <w:pPr>
              <w:spacing w:after="1"/>
              <w:jc w:val="right"/>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noWrap/>
            <w:vAlign w:val="bottom"/>
          </w:tcPr>
          <w:p w14:paraId="329FABEA"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32930A4C"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4DFEDABA" w14:textId="77777777" w:rsidR="006E442A" w:rsidRDefault="006E442A" w:rsidP="006E442A">
            <w:pPr>
              <w:spacing w:after="1"/>
              <w:jc w:val="right"/>
              <w:rPr>
                <w:rFonts w:ascii="Calibri" w:eastAsia="Calibri" w:hAnsi="Calibri" w:cs="Calibri"/>
                <w:color w:val="000000"/>
                <w:sz w:val="19"/>
              </w:rPr>
            </w:pPr>
          </w:p>
        </w:tc>
        <w:tc>
          <w:tcPr>
            <w:tcW w:w="103" w:type="pct"/>
            <w:tcBorders>
              <w:top w:val="nil"/>
              <w:left w:val="nil"/>
              <w:bottom w:val="nil"/>
              <w:right w:val="nil"/>
              <w:tl2br w:val="nil"/>
              <w:tr2bl w:val="nil"/>
            </w:tcBorders>
            <w:shd w:val="solid" w:color="FFFFFF" w:fill="FFFFFF"/>
            <w:noWrap/>
            <w:vAlign w:val="bottom"/>
          </w:tcPr>
          <w:p w14:paraId="4519F899" w14:textId="77777777" w:rsidR="006E442A" w:rsidRDefault="006E442A" w:rsidP="006E442A">
            <w:pPr>
              <w:spacing w:after="1"/>
              <w:jc w:val="right"/>
              <w:rPr>
                <w:rFonts w:ascii="Calibri" w:eastAsia="Calibri" w:hAnsi="Calibri" w:cs="Calibri"/>
                <w:color w:val="000000"/>
                <w:sz w:val="19"/>
              </w:rPr>
            </w:pPr>
          </w:p>
        </w:tc>
        <w:tc>
          <w:tcPr>
            <w:tcW w:w="65" w:type="pct"/>
            <w:tcBorders>
              <w:top w:val="nil"/>
              <w:left w:val="nil"/>
              <w:bottom w:val="nil"/>
              <w:right w:val="nil"/>
              <w:tl2br w:val="nil"/>
              <w:tr2bl w:val="nil"/>
            </w:tcBorders>
            <w:shd w:val="solid" w:color="FFFFFF" w:fill="FFFFFF"/>
            <w:noWrap/>
            <w:vAlign w:val="bottom"/>
          </w:tcPr>
          <w:p w14:paraId="1062D60F" w14:textId="77777777" w:rsidR="006E442A" w:rsidRDefault="006E442A" w:rsidP="006E442A">
            <w:pPr>
              <w:spacing w:after="1"/>
              <w:rPr>
                <w:rFonts w:ascii="Calibri" w:eastAsia="Calibri" w:hAnsi="Calibri" w:cs="Calibri"/>
                <w:color w:val="000000"/>
                <w:sz w:val="19"/>
              </w:rPr>
            </w:pPr>
          </w:p>
        </w:tc>
      </w:tr>
      <w:tr w:rsidR="006E442A" w14:paraId="2B3D2196" w14:textId="77777777" w:rsidTr="00F10DDD">
        <w:tc>
          <w:tcPr>
            <w:tcW w:w="3243" w:type="pct"/>
            <w:tcBorders>
              <w:top w:val="nil"/>
              <w:left w:val="nil"/>
              <w:bottom w:val="nil"/>
              <w:right w:val="nil"/>
              <w:tl2br w:val="nil"/>
              <w:tr2bl w:val="nil"/>
            </w:tcBorders>
            <w:shd w:val="solid" w:color="FFFFFF" w:fill="FFFFFF"/>
            <w:vAlign w:val="bottom"/>
          </w:tcPr>
          <w:p w14:paraId="279B0057"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Management fees</w:t>
            </w:r>
          </w:p>
        </w:tc>
        <w:tc>
          <w:tcPr>
            <w:tcW w:w="128" w:type="pct"/>
            <w:tcBorders>
              <w:top w:val="nil"/>
              <w:left w:val="nil"/>
              <w:bottom w:val="nil"/>
              <w:right w:val="nil"/>
              <w:tl2br w:val="nil"/>
              <w:tr2bl w:val="nil"/>
            </w:tcBorders>
            <w:shd w:val="solid" w:color="FFFFFF" w:fill="FFFFFF"/>
            <w:vAlign w:val="bottom"/>
          </w:tcPr>
          <w:p w14:paraId="0068CF5E"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4FE800BF"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w:t>
            </w:r>
          </w:p>
        </w:tc>
        <w:tc>
          <w:tcPr>
            <w:tcW w:w="532" w:type="pct"/>
            <w:tcBorders>
              <w:top w:val="nil"/>
              <w:left w:val="nil"/>
              <w:bottom w:val="nil"/>
              <w:right w:val="nil"/>
              <w:tl2br w:val="nil"/>
              <w:tr2bl w:val="nil"/>
            </w:tcBorders>
            <w:shd w:val="solid" w:color="FFFFFF" w:fill="FFFFFF"/>
            <w:noWrap/>
            <w:vAlign w:val="bottom"/>
          </w:tcPr>
          <w:p w14:paraId="127170B0"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137,839</w:t>
            </w:r>
          </w:p>
        </w:tc>
        <w:tc>
          <w:tcPr>
            <w:tcW w:w="103" w:type="pct"/>
            <w:tcBorders>
              <w:top w:val="nil"/>
              <w:left w:val="nil"/>
              <w:bottom w:val="nil"/>
              <w:right w:val="nil"/>
              <w:tl2br w:val="nil"/>
              <w:tr2bl w:val="nil"/>
            </w:tcBorders>
            <w:shd w:val="solid" w:color="FFFFFF" w:fill="FFFFFF"/>
            <w:noWrap/>
            <w:vAlign w:val="bottom"/>
          </w:tcPr>
          <w:p w14:paraId="24FCD4E0" w14:textId="77777777" w:rsidR="006E442A" w:rsidRDefault="006E442A" w:rsidP="006E442A">
            <w:pPr>
              <w:spacing w:after="1"/>
              <w:jc w:val="right"/>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noWrap/>
            <w:vAlign w:val="bottom"/>
          </w:tcPr>
          <w:p w14:paraId="127F4D0D"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38BB9DA0"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w:t>
            </w:r>
          </w:p>
        </w:tc>
        <w:tc>
          <w:tcPr>
            <w:tcW w:w="532" w:type="pct"/>
            <w:tcBorders>
              <w:top w:val="nil"/>
              <w:left w:val="nil"/>
              <w:bottom w:val="nil"/>
              <w:right w:val="nil"/>
              <w:tl2br w:val="nil"/>
              <w:tr2bl w:val="nil"/>
            </w:tcBorders>
            <w:shd w:val="solid" w:color="FFFFFF" w:fill="FFFFFF"/>
            <w:noWrap/>
            <w:vAlign w:val="bottom"/>
          </w:tcPr>
          <w:p w14:paraId="109ADBEB"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124,594</w:t>
            </w:r>
          </w:p>
        </w:tc>
        <w:tc>
          <w:tcPr>
            <w:tcW w:w="103" w:type="pct"/>
            <w:tcBorders>
              <w:top w:val="nil"/>
              <w:left w:val="nil"/>
              <w:bottom w:val="nil"/>
              <w:right w:val="nil"/>
              <w:tl2br w:val="nil"/>
              <w:tr2bl w:val="nil"/>
            </w:tcBorders>
            <w:shd w:val="solid" w:color="FFFFFF" w:fill="FFFFFF"/>
            <w:noWrap/>
            <w:vAlign w:val="bottom"/>
          </w:tcPr>
          <w:p w14:paraId="1FF38337" w14:textId="77777777" w:rsidR="006E442A" w:rsidRDefault="006E442A" w:rsidP="006E442A">
            <w:pPr>
              <w:spacing w:after="1"/>
              <w:jc w:val="right"/>
              <w:rPr>
                <w:rFonts w:ascii="Calibri" w:eastAsia="Calibri" w:hAnsi="Calibri" w:cs="Calibri"/>
                <w:color w:val="000000"/>
                <w:sz w:val="19"/>
              </w:rPr>
            </w:pPr>
          </w:p>
        </w:tc>
        <w:tc>
          <w:tcPr>
            <w:tcW w:w="65" w:type="pct"/>
            <w:tcBorders>
              <w:top w:val="nil"/>
              <w:left w:val="nil"/>
              <w:bottom w:val="nil"/>
              <w:right w:val="nil"/>
              <w:tl2br w:val="nil"/>
              <w:tr2bl w:val="nil"/>
            </w:tcBorders>
            <w:shd w:val="solid" w:color="FFFFFF" w:fill="FFFFFF"/>
            <w:noWrap/>
            <w:vAlign w:val="bottom"/>
          </w:tcPr>
          <w:p w14:paraId="5BFD9B56" w14:textId="77777777" w:rsidR="006E442A" w:rsidRDefault="006E442A" w:rsidP="006E442A">
            <w:pPr>
              <w:spacing w:after="1"/>
              <w:rPr>
                <w:rFonts w:ascii="Calibri" w:eastAsia="Calibri" w:hAnsi="Calibri" w:cs="Calibri"/>
                <w:color w:val="000000"/>
                <w:sz w:val="19"/>
              </w:rPr>
            </w:pPr>
          </w:p>
        </w:tc>
      </w:tr>
      <w:tr w:rsidR="006E442A" w14:paraId="29C525FF" w14:textId="77777777" w:rsidTr="00F10DDD">
        <w:tc>
          <w:tcPr>
            <w:tcW w:w="3243" w:type="pct"/>
            <w:tcBorders>
              <w:top w:val="nil"/>
              <w:left w:val="nil"/>
              <w:bottom w:val="nil"/>
              <w:right w:val="nil"/>
              <w:tl2br w:val="nil"/>
              <w:tr2bl w:val="nil"/>
            </w:tcBorders>
            <w:shd w:val="solid" w:color="FFFFFF" w:fill="FFFFFF"/>
            <w:vAlign w:val="bottom"/>
          </w:tcPr>
          <w:p w14:paraId="633E4E2F"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Management fees growth (3) from prior period</w:t>
            </w:r>
          </w:p>
        </w:tc>
        <w:tc>
          <w:tcPr>
            <w:tcW w:w="128" w:type="pct"/>
            <w:tcBorders>
              <w:top w:val="nil"/>
              <w:left w:val="nil"/>
              <w:bottom w:val="nil"/>
              <w:right w:val="nil"/>
              <w:tl2br w:val="nil"/>
              <w:tr2bl w:val="nil"/>
            </w:tcBorders>
            <w:shd w:val="solid" w:color="FFFFFF" w:fill="FFFFFF"/>
            <w:vAlign w:val="bottom"/>
          </w:tcPr>
          <w:p w14:paraId="684A40FB"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03ABCA35"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532" w:type="pct"/>
            <w:tcBorders>
              <w:top w:val="nil"/>
              <w:left w:val="nil"/>
              <w:bottom w:val="nil"/>
              <w:right w:val="nil"/>
              <w:tl2br w:val="nil"/>
              <w:tr2bl w:val="nil"/>
            </w:tcBorders>
            <w:shd w:val="solid" w:color="FFFFFF" w:fill="FFFFFF"/>
            <w:noWrap/>
            <w:vAlign w:val="bottom"/>
          </w:tcPr>
          <w:p w14:paraId="707911BE"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35.0</w:t>
            </w:r>
          </w:p>
        </w:tc>
        <w:tc>
          <w:tcPr>
            <w:tcW w:w="103" w:type="pct"/>
            <w:tcBorders>
              <w:top w:val="nil"/>
              <w:left w:val="nil"/>
              <w:bottom w:val="nil"/>
              <w:right w:val="nil"/>
              <w:tl2br w:val="nil"/>
              <w:tr2bl w:val="nil"/>
            </w:tcBorders>
            <w:shd w:val="solid" w:color="FFFFFF" w:fill="FFFFFF"/>
            <w:noWrap/>
            <w:vAlign w:val="bottom"/>
          </w:tcPr>
          <w:p w14:paraId="6FAA9298"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w:t>
            </w:r>
          </w:p>
        </w:tc>
        <w:tc>
          <w:tcPr>
            <w:tcW w:w="128" w:type="pct"/>
            <w:tcBorders>
              <w:top w:val="nil"/>
              <w:left w:val="nil"/>
              <w:bottom w:val="nil"/>
              <w:right w:val="nil"/>
              <w:tl2br w:val="nil"/>
              <w:tr2bl w:val="nil"/>
            </w:tcBorders>
            <w:shd w:val="solid" w:color="FFFFFF" w:fill="FFFFFF"/>
            <w:noWrap/>
            <w:vAlign w:val="bottom"/>
          </w:tcPr>
          <w:p w14:paraId="7DC6B2B2"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4AC26301"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532" w:type="pct"/>
            <w:tcBorders>
              <w:top w:val="nil"/>
              <w:left w:val="nil"/>
              <w:bottom w:val="nil"/>
              <w:right w:val="nil"/>
              <w:tl2br w:val="nil"/>
              <w:tr2bl w:val="nil"/>
            </w:tcBorders>
            <w:shd w:val="solid" w:color="FFFFFF" w:fill="FFFFFF"/>
            <w:noWrap/>
            <w:vAlign w:val="bottom"/>
          </w:tcPr>
          <w:p w14:paraId="1E5CFF72"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xml:space="preserve"> (9.6)</w:t>
            </w:r>
          </w:p>
        </w:tc>
        <w:tc>
          <w:tcPr>
            <w:tcW w:w="103" w:type="pct"/>
            <w:tcBorders>
              <w:top w:val="nil"/>
              <w:left w:val="nil"/>
              <w:bottom w:val="nil"/>
              <w:right w:val="nil"/>
              <w:tl2br w:val="nil"/>
              <w:tr2bl w:val="nil"/>
            </w:tcBorders>
            <w:shd w:val="solid" w:color="FFFFFF" w:fill="FFFFFF"/>
            <w:noWrap/>
            <w:vAlign w:val="bottom"/>
          </w:tcPr>
          <w:p w14:paraId="70C08955"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w:t>
            </w:r>
          </w:p>
        </w:tc>
        <w:tc>
          <w:tcPr>
            <w:tcW w:w="65" w:type="pct"/>
            <w:tcBorders>
              <w:top w:val="nil"/>
              <w:left w:val="nil"/>
              <w:bottom w:val="nil"/>
              <w:right w:val="nil"/>
              <w:tl2br w:val="nil"/>
              <w:tr2bl w:val="nil"/>
            </w:tcBorders>
            <w:shd w:val="solid" w:color="FFFFFF" w:fill="FFFFFF"/>
            <w:noWrap/>
            <w:vAlign w:val="bottom"/>
          </w:tcPr>
          <w:p w14:paraId="256188AD" w14:textId="77777777" w:rsidR="006E442A" w:rsidRDefault="006E442A" w:rsidP="006E442A">
            <w:pPr>
              <w:spacing w:after="1"/>
              <w:rPr>
                <w:rFonts w:ascii="Calibri" w:eastAsia="Calibri" w:hAnsi="Calibri" w:cs="Calibri"/>
                <w:color w:val="000000"/>
                <w:sz w:val="19"/>
              </w:rPr>
            </w:pPr>
          </w:p>
        </w:tc>
      </w:tr>
      <w:tr w:rsidR="006E442A" w14:paraId="74633967" w14:textId="77777777" w:rsidTr="00F10DDD">
        <w:tc>
          <w:tcPr>
            <w:tcW w:w="3243" w:type="pct"/>
            <w:tcBorders>
              <w:top w:val="nil"/>
              <w:left w:val="nil"/>
              <w:bottom w:val="nil"/>
              <w:right w:val="nil"/>
              <w:tl2br w:val="nil"/>
              <w:tr2bl w:val="nil"/>
            </w:tcBorders>
            <w:shd w:val="solid" w:color="FFFFFF" w:fill="FFFFFF"/>
            <w:vAlign w:val="bottom"/>
          </w:tcPr>
          <w:p w14:paraId="0B4F769D"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Organic management fees growth (4)</w:t>
            </w:r>
          </w:p>
        </w:tc>
        <w:tc>
          <w:tcPr>
            <w:tcW w:w="128" w:type="pct"/>
            <w:tcBorders>
              <w:top w:val="nil"/>
              <w:left w:val="nil"/>
              <w:bottom w:val="nil"/>
              <w:right w:val="nil"/>
              <w:tl2br w:val="nil"/>
              <w:tr2bl w:val="nil"/>
            </w:tcBorders>
            <w:shd w:val="solid" w:color="FFFFFF" w:fill="FFFFFF"/>
            <w:vAlign w:val="bottom"/>
          </w:tcPr>
          <w:p w14:paraId="028629C0"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6FFC4D84"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3D36A596" w14:textId="77777777" w:rsidR="006E442A" w:rsidRDefault="006E442A" w:rsidP="006E442A">
            <w:pPr>
              <w:spacing w:after="1"/>
              <w:jc w:val="right"/>
              <w:rPr>
                <w:rFonts w:ascii="Calibri" w:eastAsia="Calibri" w:hAnsi="Calibri" w:cs="Calibri"/>
                <w:color w:val="000000"/>
                <w:sz w:val="19"/>
              </w:rPr>
            </w:pPr>
          </w:p>
        </w:tc>
        <w:tc>
          <w:tcPr>
            <w:tcW w:w="103" w:type="pct"/>
            <w:tcBorders>
              <w:top w:val="nil"/>
              <w:left w:val="nil"/>
              <w:bottom w:val="nil"/>
              <w:right w:val="nil"/>
              <w:tl2br w:val="nil"/>
              <w:tr2bl w:val="nil"/>
            </w:tcBorders>
            <w:shd w:val="solid" w:color="FFFFFF" w:fill="FFFFFF"/>
            <w:noWrap/>
            <w:vAlign w:val="bottom"/>
          </w:tcPr>
          <w:p w14:paraId="747B33CC" w14:textId="77777777" w:rsidR="006E442A" w:rsidRDefault="006E442A" w:rsidP="006E442A">
            <w:pPr>
              <w:spacing w:after="1"/>
              <w:jc w:val="right"/>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noWrap/>
            <w:vAlign w:val="bottom"/>
          </w:tcPr>
          <w:p w14:paraId="357EFDD0"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63DBF332"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080DAED1" w14:textId="77777777" w:rsidR="006E442A" w:rsidRDefault="006E442A" w:rsidP="006E442A">
            <w:pPr>
              <w:spacing w:after="1"/>
              <w:jc w:val="right"/>
              <w:rPr>
                <w:rFonts w:ascii="Calibri" w:eastAsia="Calibri" w:hAnsi="Calibri" w:cs="Calibri"/>
                <w:color w:val="000000"/>
                <w:sz w:val="19"/>
              </w:rPr>
            </w:pPr>
          </w:p>
        </w:tc>
        <w:tc>
          <w:tcPr>
            <w:tcW w:w="103" w:type="pct"/>
            <w:tcBorders>
              <w:top w:val="nil"/>
              <w:left w:val="nil"/>
              <w:bottom w:val="nil"/>
              <w:right w:val="nil"/>
              <w:tl2br w:val="nil"/>
              <w:tr2bl w:val="nil"/>
            </w:tcBorders>
            <w:shd w:val="solid" w:color="FFFFFF" w:fill="FFFFFF"/>
            <w:noWrap/>
            <w:vAlign w:val="bottom"/>
          </w:tcPr>
          <w:p w14:paraId="0FF83FC0" w14:textId="77777777" w:rsidR="006E442A" w:rsidRDefault="006E442A" w:rsidP="006E442A">
            <w:pPr>
              <w:spacing w:after="1"/>
              <w:jc w:val="right"/>
              <w:rPr>
                <w:rFonts w:ascii="Calibri" w:eastAsia="Calibri" w:hAnsi="Calibri" w:cs="Calibri"/>
                <w:color w:val="000000"/>
                <w:sz w:val="19"/>
              </w:rPr>
            </w:pPr>
          </w:p>
        </w:tc>
        <w:tc>
          <w:tcPr>
            <w:tcW w:w="65" w:type="pct"/>
            <w:tcBorders>
              <w:top w:val="nil"/>
              <w:left w:val="nil"/>
              <w:bottom w:val="nil"/>
              <w:right w:val="nil"/>
              <w:tl2br w:val="nil"/>
              <w:tr2bl w:val="nil"/>
            </w:tcBorders>
            <w:shd w:val="solid" w:color="FFFFFF" w:fill="FFFFFF"/>
            <w:noWrap/>
            <w:vAlign w:val="bottom"/>
          </w:tcPr>
          <w:p w14:paraId="41B26897" w14:textId="77777777" w:rsidR="006E442A" w:rsidRDefault="006E442A" w:rsidP="006E442A">
            <w:pPr>
              <w:spacing w:after="1"/>
              <w:rPr>
                <w:rFonts w:ascii="Calibri" w:eastAsia="Calibri" w:hAnsi="Calibri" w:cs="Calibri"/>
                <w:color w:val="000000"/>
                <w:sz w:val="19"/>
              </w:rPr>
            </w:pPr>
          </w:p>
        </w:tc>
      </w:tr>
      <w:tr w:rsidR="006E442A" w14:paraId="1A659A0F" w14:textId="77777777" w:rsidTr="00F10DDD">
        <w:tc>
          <w:tcPr>
            <w:tcW w:w="3243" w:type="pct"/>
            <w:tcBorders>
              <w:top w:val="nil"/>
              <w:left w:val="nil"/>
              <w:bottom w:val="nil"/>
              <w:right w:val="nil"/>
              <w:tl2br w:val="nil"/>
              <w:tr2bl w:val="nil"/>
            </w:tcBorders>
            <w:shd w:val="solid" w:color="FFFFFF" w:fill="FFFFFF"/>
            <w:vAlign w:val="bottom"/>
          </w:tcPr>
          <w:p w14:paraId="1D9E0860" w14:textId="77777777" w:rsidR="006E442A" w:rsidRDefault="006E442A" w:rsidP="006E442A">
            <w:pPr>
              <w:spacing w:after="1"/>
              <w:ind w:left="120"/>
              <w:rPr>
                <w:rFonts w:ascii="Calibri" w:eastAsia="Calibri" w:hAnsi="Calibri" w:cs="Calibri"/>
                <w:color w:val="000000"/>
                <w:sz w:val="19"/>
              </w:rPr>
            </w:pPr>
            <w:r>
              <w:rPr>
                <w:rFonts w:ascii="Calibri" w:eastAsia="Calibri" w:hAnsi="Calibri" w:cs="Calibri"/>
                <w:color w:val="000000"/>
                <w:sz w:val="19"/>
              </w:rPr>
              <w:t>from prior period</w:t>
            </w:r>
          </w:p>
        </w:tc>
        <w:tc>
          <w:tcPr>
            <w:tcW w:w="128" w:type="pct"/>
            <w:tcBorders>
              <w:top w:val="nil"/>
              <w:left w:val="nil"/>
              <w:bottom w:val="nil"/>
              <w:right w:val="nil"/>
              <w:tl2br w:val="nil"/>
              <w:tr2bl w:val="nil"/>
            </w:tcBorders>
            <w:shd w:val="solid" w:color="FFFFFF" w:fill="FFFFFF"/>
            <w:vAlign w:val="bottom"/>
          </w:tcPr>
          <w:p w14:paraId="52B40A57"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5FFD7FAC"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532" w:type="pct"/>
            <w:tcBorders>
              <w:top w:val="nil"/>
              <w:left w:val="nil"/>
              <w:bottom w:val="nil"/>
              <w:right w:val="nil"/>
              <w:tl2br w:val="nil"/>
              <w:tr2bl w:val="nil"/>
            </w:tcBorders>
            <w:shd w:val="solid" w:color="FFFFFF" w:fill="FFFFFF"/>
            <w:noWrap/>
            <w:vAlign w:val="bottom"/>
          </w:tcPr>
          <w:p w14:paraId="1B17E20C"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21.6</w:t>
            </w:r>
          </w:p>
        </w:tc>
        <w:tc>
          <w:tcPr>
            <w:tcW w:w="103" w:type="pct"/>
            <w:tcBorders>
              <w:top w:val="nil"/>
              <w:left w:val="nil"/>
              <w:bottom w:val="nil"/>
              <w:right w:val="nil"/>
              <w:tl2br w:val="nil"/>
              <w:tr2bl w:val="nil"/>
            </w:tcBorders>
            <w:shd w:val="solid" w:color="FFFFFF" w:fill="FFFFFF"/>
            <w:noWrap/>
            <w:vAlign w:val="bottom"/>
          </w:tcPr>
          <w:p w14:paraId="7E47A3CC"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w:t>
            </w:r>
          </w:p>
        </w:tc>
        <w:tc>
          <w:tcPr>
            <w:tcW w:w="128" w:type="pct"/>
            <w:tcBorders>
              <w:top w:val="nil"/>
              <w:left w:val="nil"/>
              <w:bottom w:val="nil"/>
              <w:right w:val="nil"/>
              <w:tl2br w:val="nil"/>
              <w:tr2bl w:val="nil"/>
            </w:tcBorders>
            <w:shd w:val="solid" w:color="FFFFFF" w:fill="FFFFFF"/>
            <w:noWrap/>
            <w:vAlign w:val="bottom"/>
          </w:tcPr>
          <w:p w14:paraId="1D63C737"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17DE576F"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532" w:type="pct"/>
            <w:tcBorders>
              <w:top w:val="nil"/>
              <w:left w:val="nil"/>
              <w:bottom w:val="nil"/>
              <w:right w:val="nil"/>
              <w:tl2br w:val="nil"/>
              <w:tr2bl w:val="nil"/>
            </w:tcBorders>
            <w:shd w:val="solid" w:color="FFFFFF" w:fill="FFFFFF"/>
            <w:noWrap/>
            <w:vAlign w:val="bottom"/>
          </w:tcPr>
          <w:p w14:paraId="47CCF79E"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xml:space="preserve"> (11.1)</w:t>
            </w:r>
          </w:p>
        </w:tc>
        <w:tc>
          <w:tcPr>
            <w:tcW w:w="103" w:type="pct"/>
            <w:tcBorders>
              <w:top w:val="nil"/>
              <w:left w:val="nil"/>
              <w:bottom w:val="nil"/>
              <w:right w:val="nil"/>
              <w:tl2br w:val="nil"/>
              <w:tr2bl w:val="nil"/>
            </w:tcBorders>
            <w:shd w:val="solid" w:color="FFFFFF" w:fill="FFFFFF"/>
            <w:noWrap/>
            <w:vAlign w:val="bottom"/>
          </w:tcPr>
          <w:p w14:paraId="1D444E61"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w:t>
            </w:r>
          </w:p>
        </w:tc>
        <w:tc>
          <w:tcPr>
            <w:tcW w:w="65" w:type="pct"/>
            <w:tcBorders>
              <w:top w:val="nil"/>
              <w:left w:val="nil"/>
              <w:bottom w:val="nil"/>
              <w:right w:val="nil"/>
              <w:tl2br w:val="nil"/>
              <w:tr2bl w:val="nil"/>
            </w:tcBorders>
            <w:shd w:val="solid" w:color="FFFFFF" w:fill="FFFFFF"/>
            <w:noWrap/>
            <w:vAlign w:val="bottom"/>
          </w:tcPr>
          <w:p w14:paraId="607F9AE1" w14:textId="77777777" w:rsidR="006E442A" w:rsidRDefault="006E442A" w:rsidP="006E442A">
            <w:pPr>
              <w:spacing w:after="1"/>
              <w:rPr>
                <w:rFonts w:ascii="Calibri" w:eastAsia="Calibri" w:hAnsi="Calibri" w:cs="Calibri"/>
                <w:color w:val="000000"/>
                <w:sz w:val="19"/>
              </w:rPr>
            </w:pPr>
          </w:p>
        </w:tc>
      </w:tr>
      <w:tr w:rsidR="006E442A" w14:paraId="493FDEEC" w14:textId="77777777" w:rsidTr="00F10DDD">
        <w:tc>
          <w:tcPr>
            <w:tcW w:w="3243" w:type="pct"/>
            <w:tcBorders>
              <w:top w:val="nil"/>
              <w:left w:val="nil"/>
              <w:bottom w:val="nil"/>
              <w:right w:val="nil"/>
              <w:tl2br w:val="nil"/>
              <w:tr2bl w:val="nil"/>
            </w:tcBorders>
            <w:shd w:val="solid" w:color="FFFFFF" w:fill="FFFFFF"/>
            <w:vAlign w:val="bottom"/>
          </w:tcPr>
          <w:p w14:paraId="46D3EFA4" w14:textId="77777777" w:rsidR="006E442A" w:rsidRDefault="006E442A" w:rsidP="006E442A">
            <w:pPr>
              <w:spacing w:after="1"/>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vAlign w:val="bottom"/>
          </w:tcPr>
          <w:p w14:paraId="4B9D3747"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695E6A52"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6621A939" w14:textId="77777777" w:rsidR="006E442A" w:rsidRDefault="006E442A" w:rsidP="006E442A">
            <w:pPr>
              <w:spacing w:after="1"/>
              <w:jc w:val="right"/>
              <w:rPr>
                <w:rFonts w:ascii="Calibri" w:eastAsia="Calibri" w:hAnsi="Calibri" w:cs="Calibri"/>
                <w:color w:val="000000"/>
                <w:sz w:val="19"/>
              </w:rPr>
            </w:pPr>
          </w:p>
        </w:tc>
        <w:tc>
          <w:tcPr>
            <w:tcW w:w="103" w:type="pct"/>
            <w:tcBorders>
              <w:top w:val="nil"/>
              <w:left w:val="nil"/>
              <w:bottom w:val="nil"/>
              <w:right w:val="nil"/>
              <w:tl2br w:val="nil"/>
              <w:tr2bl w:val="nil"/>
            </w:tcBorders>
            <w:shd w:val="solid" w:color="FFFFFF" w:fill="FFFFFF"/>
            <w:noWrap/>
            <w:vAlign w:val="bottom"/>
          </w:tcPr>
          <w:p w14:paraId="3465DCF4" w14:textId="77777777" w:rsidR="006E442A" w:rsidRDefault="006E442A" w:rsidP="006E442A">
            <w:pPr>
              <w:spacing w:after="1"/>
              <w:jc w:val="right"/>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noWrap/>
            <w:vAlign w:val="bottom"/>
          </w:tcPr>
          <w:p w14:paraId="42DA5009"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4C3D497A"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6638AFD9" w14:textId="77777777" w:rsidR="006E442A" w:rsidRDefault="006E442A" w:rsidP="006E442A">
            <w:pPr>
              <w:spacing w:after="1"/>
              <w:jc w:val="right"/>
              <w:rPr>
                <w:rFonts w:ascii="Calibri" w:eastAsia="Calibri" w:hAnsi="Calibri" w:cs="Calibri"/>
                <w:color w:val="000000"/>
                <w:sz w:val="19"/>
              </w:rPr>
            </w:pPr>
          </w:p>
        </w:tc>
        <w:tc>
          <w:tcPr>
            <w:tcW w:w="103" w:type="pct"/>
            <w:tcBorders>
              <w:top w:val="nil"/>
              <w:left w:val="nil"/>
              <w:bottom w:val="nil"/>
              <w:right w:val="nil"/>
              <w:tl2br w:val="nil"/>
              <w:tr2bl w:val="nil"/>
            </w:tcBorders>
            <w:shd w:val="solid" w:color="FFFFFF" w:fill="FFFFFF"/>
            <w:noWrap/>
            <w:vAlign w:val="bottom"/>
          </w:tcPr>
          <w:p w14:paraId="27BF1291" w14:textId="77777777" w:rsidR="006E442A" w:rsidRDefault="006E442A" w:rsidP="006E442A">
            <w:pPr>
              <w:spacing w:after="1"/>
              <w:jc w:val="right"/>
              <w:rPr>
                <w:rFonts w:ascii="Calibri" w:eastAsia="Calibri" w:hAnsi="Calibri" w:cs="Calibri"/>
                <w:color w:val="000000"/>
                <w:sz w:val="19"/>
              </w:rPr>
            </w:pPr>
          </w:p>
        </w:tc>
        <w:tc>
          <w:tcPr>
            <w:tcW w:w="65" w:type="pct"/>
            <w:tcBorders>
              <w:top w:val="nil"/>
              <w:left w:val="nil"/>
              <w:bottom w:val="nil"/>
              <w:right w:val="nil"/>
              <w:tl2br w:val="nil"/>
              <w:tr2bl w:val="nil"/>
            </w:tcBorders>
            <w:shd w:val="solid" w:color="FFFFFF" w:fill="FFFFFF"/>
            <w:noWrap/>
            <w:vAlign w:val="bottom"/>
          </w:tcPr>
          <w:p w14:paraId="68380C61" w14:textId="77777777" w:rsidR="006E442A" w:rsidRDefault="006E442A" w:rsidP="006E442A">
            <w:pPr>
              <w:spacing w:after="1"/>
              <w:rPr>
                <w:rFonts w:ascii="Calibri" w:eastAsia="Calibri" w:hAnsi="Calibri" w:cs="Calibri"/>
                <w:color w:val="000000"/>
                <w:sz w:val="19"/>
              </w:rPr>
            </w:pPr>
          </w:p>
        </w:tc>
      </w:tr>
      <w:tr w:rsidR="006E442A" w14:paraId="1AD15A29" w14:textId="77777777" w:rsidTr="00F10DDD">
        <w:tc>
          <w:tcPr>
            <w:tcW w:w="3243" w:type="pct"/>
            <w:tcBorders>
              <w:top w:val="nil"/>
              <w:left w:val="nil"/>
              <w:bottom w:val="nil"/>
              <w:right w:val="nil"/>
              <w:tl2br w:val="nil"/>
              <w:tr2bl w:val="nil"/>
            </w:tcBorders>
            <w:shd w:val="solid" w:color="FFFFFF" w:fill="FFFFFF"/>
            <w:vAlign w:val="bottom"/>
          </w:tcPr>
          <w:p w14:paraId="3257DCFA" w14:textId="77777777" w:rsidR="006E442A" w:rsidRDefault="006E442A" w:rsidP="006E442A">
            <w:pPr>
              <w:spacing w:after="1"/>
              <w:rPr>
                <w:rFonts w:ascii="Calibri" w:eastAsia="Calibri" w:hAnsi="Calibri" w:cs="Calibri"/>
                <w:b/>
                <w:color w:val="000000"/>
                <w:sz w:val="19"/>
              </w:rPr>
            </w:pPr>
            <w:r>
              <w:rPr>
                <w:rFonts w:ascii="Calibri" w:eastAsia="Calibri" w:hAnsi="Calibri" w:cs="Calibri"/>
                <w:b/>
                <w:color w:val="000000"/>
                <w:sz w:val="19"/>
              </w:rPr>
              <w:t>Net Income (loss) Metrics:</w:t>
            </w:r>
          </w:p>
        </w:tc>
        <w:tc>
          <w:tcPr>
            <w:tcW w:w="128" w:type="pct"/>
            <w:tcBorders>
              <w:top w:val="nil"/>
              <w:left w:val="nil"/>
              <w:bottom w:val="nil"/>
              <w:right w:val="nil"/>
              <w:tl2br w:val="nil"/>
              <w:tr2bl w:val="nil"/>
            </w:tcBorders>
            <w:shd w:val="solid" w:color="FFFFFF" w:fill="FFFFFF"/>
            <w:vAlign w:val="bottom"/>
          </w:tcPr>
          <w:p w14:paraId="6FC5231B"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78E0BD2A"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60C5E5EC" w14:textId="77777777" w:rsidR="006E442A" w:rsidRDefault="006E442A" w:rsidP="006E442A">
            <w:pPr>
              <w:spacing w:after="1"/>
              <w:jc w:val="right"/>
              <w:rPr>
                <w:rFonts w:ascii="Calibri" w:eastAsia="Calibri" w:hAnsi="Calibri" w:cs="Calibri"/>
                <w:color w:val="000000"/>
                <w:sz w:val="19"/>
              </w:rPr>
            </w:pPr>
          </w:p>
        </w:tc>
        <w:tc>
          <w:tcPr>
            <w:tcW w:w="103" w:type="pct"/>
            <w:tcBorders>
              <w:top w:val="nil"/>
              <w:left w:val="nil"/>
              <w:bottom w:val="nil"/>
              <w:right w:val="nil"/>
              <w:tl2br w:val="nil"/>
              <w:tr2bl w:val="nil"/>
            </w:tcBorders>
            <w:shd w:val="solid" w:color="FFFFFF" w:fill="FFFFFF"/>
            <w:noWrap/>
            <w:vAlign w:val="bottom"/>
          </w:tcPr>
          <w:p w14:paraId="23127DB5" w14:textId="77777777" w:rsidR="006E442A" w:rsidRDefault="006E442A" w:rsidP="006E442A">
            <w:pPr>
              <w:spacing w:after="1"/>
              <w:jc w:val="right"/>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noWrap/>
            <w:vAlign w:val="bottom"/>
          </w:tcPr>
          <w:p w14:paraId="176D3C9B"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54BAD475"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1E7577A7" w14:textId="77777777" w:rsidR="006E442A" w:rsidRDefault="006E442A" w:rsidP="006E442A">
            <w:pPr>
              <w:spacing w:after="1"/>
              <w:jc w:val="right"/>
              <w:rPr>
                <w:rFonts w:ascii="Calibri" w:eastAsia="Calibri" w:hAnsi="Calibri" w:cs="Calibri"/>
                <w:color w:val="000000"/>
                <w:sz w:val="19"/>
              </w:rPr>
            </w:pPr>
          </w:p>
        </w:tc>
        <w:tc>
          <w:tcPr>
            <w:tcW w:w="103" w:type="pct"/>
            <w:tcBorders>
              <w:top w:val="nil"/>
              <w:left w:val="nil"/>
              <w:bottom w:val="nil"/>
              <w:right w:val="nil"/>
              <w:tl2br w:val="nil"/>
              <w:tr2bl w:val="nil"/>
            </w:tcBorders>
            <w:shd w:val="solid" w:color="FFFFFF" w:fill="FFFFFF"/>
            <w:noWrap/>
            <w:vAlign w:val="bottom"/>
          </w:tcPr>
          <w:p w14:paraId="1B7C11C5" w14:textId="77777777" w:rsidR="006E442A" w:rsidRDefault="006E442A" w:rsidP="006E442A">
            <w:pPr>
              <w:spacing w:after="1"/>
              <w:jc w:val="right"/>
              <w:rPr>
                <w:rFonts w:ascii="Calibri" w:eastAsia="Calibri" w:hAnsi="Calibri" w:cs="Calibri"/>
                <w:color w:val="000000"/>
                <w:sz w:val="19"/>
              </w:rPr>
            </w:pPr>
          </w:p>
        </w:tc>
        <w:tc>
          <w:tcPr>
            <w:tcW w:w="65" w:type="pct"/>
            <w:tcBorders>
              <w:top w:val="nil"/>
              <w:left w:val="nil"/>
              <w:bottom w:val="nil"/>
              <w:right w:val="nil"/>
              <w:tl2br w:val="nil"/>
              <w:tr2bl w:val="nil"/>
            </w:tcBorders>
            <w:shd w:val="solid" w:color="FFFFFF" w:fill="FFFFFF"/>
            <w:noWrap/>
            <w:vAlign w:val="bottom"/>
          </w:tcPr>
          <w:p w14:paraId="01C26CB7" w14:textId="77777777" w:rsidR="006E442A" w:rsidRDefault="006E442A" w:rsidP="006E442A">
            <w:pPr>
              <w:spacing w:after="1"/>
              <w:rPr>
                <w:rFonts w:ascii="Calibri" w:eastAsia="Calibri" w:hAnsi="Calibri" w:cs="Calibri"/>
                <w:color w:val="000000"/>
                <w:sz w:val="19"/>
              </w:rPr>
            </w:pPr>
          </w:p>
        </w:tc>
      </w:tr>
      <w:tr w:rsidR="006E442A" w14:paraId="47DE0284" w14:textId="77777777" w:rsidTr="00F10DDD">
        <w:tc>
          <w:tcPr>
            <w:tcW w:w="3243" w:type="pct"/>
            <w:tcBorders>
              <w:top w:val="nil"/>
              <w:left w:val="nil"/>
              <w:bottom w:val="nil"/>
              <w:right w:val="nil"/>
              <w:tl2br w:val="nil"/>
              <w:tr2bl w:val="nil"/>
            </w:tcBorders>
            <w:shd w:val="solid" w:color="FFFFFF" w:fill="FFFFFF"/>
            <w:vAlign w:val="bottom"/>
          </w:tcPr>
          <w:p w14:paraId="6C7C9AC8"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Net income (loss)</w:t>
            </w:r>
          </w:p>
        </w:tc>
        <w:tc>
          <w:tcPr>
            <w:tcW w:w="128" w:type="pct"/>
            <w:tcBorders>
              <w:top w:val="nil"/>
              <w:left w:val="nil"/>
              <w:bottom w:val="nil"/>
              <w:right w:val="nil"/>
              <w:tl2br w:val="nil"/>
              <w:tr2bl w:val="nil"/>
            </w:tcBorders>
            <w:shd w:val="solid" w:color="FFFFFF" w:fill="FFFFFF"/>
            <w:vAlign w:val="bottom"/>
          </w:tcPr>
          <w:p w14:paraId="034ACADE"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675562D0"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w:t>
            </w:r>
          </w:p>
        </w:tc>
        <w:tc>
          <w:tcPr>
            <w:tcW w:w="532" w:type="pct"/>
            <w:tcBorders>
              <w:top w:val="nil"/>
              <w:left w:val="nil"/>
              <w:bottom w:val="nil"/>
              <w:right w:val="nil"/>
              <w:tl2br w:val="nil"/>
              <w:tr2bl w:val="nil"/>
            </w:tcBorders>
            <w:shd w:val="solid" w:color="FFFFFF" w:fill="FFFFFF"/>
            <w:noWrap/>
            <w:vAlign w:val="bottom"/>
          </w:tcPr>
          <w:p w14:paraId="51BCC04C"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39,082</w:t>
            </w:r>
          </w:p>
        </w:tc>
        <w:tc>
          <w:tcPr>
            <w:tcW w:w="103" w:type="pct"/>
            <w:tcBorders>
              <w:top w:val="nil"/>
              <w:left w:val="nil"/>
              <w:bottom w:val="nil"/>
              <w:right w:val="nil"/>
              <w:tl2br w:val="nil"/>
              <w:tr2bl w:val="nil"/>
            </w:tcBorders>
            <w:shd w:val="solid" w:color="FFFFFF" w:fill="FFFFFF"/>
            <w:noWrap/>
            <w:vAlign w:val="bottom"/>
          </w:tcPr>
          <w:p w14:paraId="512A0251" w14:textId="77777777" w:rsidR="006E442A" w:rsidRDefault="006E442A" w:rsidP="006E442A">
            <w:pPr>
              <w:spacing w:after="1"/>
              <w:jc w:val="right"/>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noWrap/>
            <w:vAlign w:val="bottom"/>
          </w:tcPr>
          <w:p w14:paraId="53A7CE0B"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6798560F"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w:t>
            </w:r>
          </w:p>
        </w:tc>
        <w:tc>
          <w:tcPr>
            <w:tcW w:w="532" w:type="pct"/>
            <w:tcBorders>
              <w:top w:val="nil"/>
              <w:left w:val="nil"/>
              <w:bottom w:val="nil"/>
              <w:right w:val="nil"/>
              <w:tl2br w:val="nil"/>
              <w:tr2bl w:val="nil"/>
            </w:tcBorders>
            <w:shd w:val="solid" w:color="FFFFFF" w:fill="FFFFFF"/>
            <w:noWrap/>
            <w:vAlign w:val="bottom"/>
          </w:tcPr>
          <w:p w14:paraId="5A2A6406"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xml:space="preserve"> (6,977)</w:t>
            </w:r>
          </w:p>
        </w:tc>
        <w:tc>
          <w:tcPr>
            <w:tcW w:w="103" w:type="pct"/>
            <w:tcBorders>
              <w:top w:val="nil"/>
              <w:left w:val="nil"/>
              <w:bottom w:val="nil"/>
              <w:right w:val="nil"/>
              <w:tl2br w:val="nil"/>
              <w:tr2bl w:val="nil"/>
            </w:tcBorders>
            <w:shd w:val="solid" w:color="FFFFFF" w:fill="FFFFFF"/>
            <w:noWrap/>
            <w:vAlign w:val="bottom"/>
          </w:tcPr>
          <w:p w14:paraId="274C2D92" w14:textId="77777777" w:rsidR="006E442A" w:rsidRDefault="006E442A" w:rsidP="006E442A">
            <w:pPr>
              <w:spacing w:after="1"/>
              <w:jc w:val="right"/>
              <w:rPr>
                <w:rFonts w:ascii="Calibri" w:eastAsia="Calibri" w:hAnsi="Calibri" w:cs="Calibri"/>
                <w:color w:val="000000"/>
                <w:sz w:val="19"/>
              </w:rPr>
            </w:pPr>
          </w:p>
        </w:tc>
        <w:tc>
          <w:tcPr>
            <w:tcW w:w="65" w:type="pct"/>
            <w:tcBorders>
              <w:top w:val="nil"/>
              <w:left w:val="nil"/>
              <w:bottom w:val="nil"/>
              <w:right w:val="nil"/>
              <w:tl2br w:val="nil"/>
              <w:tr2bl w:val="nil"/>
            </w:tcBorders>
            <w:shd w:val="solid" w:color="FFFFFF" w:fill="FFFFFF"/>
            <w:noWrap/>
            <w:vAlign w:val="bottom"/>
          </w:tcPr>
          <w:p w14:paraId="307D0964" w14:textId="77777777" w:rsidR="006E442A" w:rsidRDefault="006E442A" w:rsidP="006E442A">
            <w:pPr>
              <w:spacing w:after="1"/>
              <w:rPr>
                <w:rFonts w:ascii="Calibri" w:eastAsia="Calibri" w:hAnsi="Calibri" w:cs="Calibri"/>
                <w:color w:val="000000"/>
                <w:sz w:val="19"/>
              </w:rPr>
            </w:pPr>
          </w:p>
        </w:tc>
      </w:tr>
      <w:tr w:rsidR="006E442A" w14:paraId="2036007F" w14:textId="77777777" w:rsidTr="00F10DDD">
        <w:tc>
          <w:tcPr>
            <w:tcW w:w="3243" w:type="pct"/>
            <w:tcBorders>
              <w:top w:val="nil"/>
              <w:left w:val="nil"/>
              <w:bottom w:val="nil"/>
              <w:right w:val="nil"/>
              <w:tl2br w:val="nil"/>
              <w:tr2bl w:val="nil"/>
            </w:tcBorders>
            <w:shd w:val="solid" w:color="FFFFFF" w:fill="FFFFFF"/>
            <w:vAlign w:val="bottom"/>
          </w:tcPr>
          <w:p w14:paraId="2B135CD8"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Net income (loss) growth from prior period</w:t>
            </w:r>
          </w:p>
        </w:tc>
        <w:tc>
          <w:tcPr>
            <w:tcW w:w="128" w:type="pct"/>
            <w:tcBorders>
              <w:top w:val="nil"/>
              <w:left w:val="nil"/>
              <w:bottom w:val="nil"/>
              <w:right w:val="nil"/>
              <w:tl2br w:val="nil"/>
              <w:tr2bl w:val="nil"/>
            </w:tcBorders>
            <w:shd w:val="solid" w:color="FFFFFF" w:fill="FFFFFF"/>
            <w:vAlign w:val="bottom"/>
          </w:tcPr>
          <w:p w14:paraId="20DD8A9C"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6E1B48BA"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27C20168"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w:t>
            </w:r>
          </w:p>
        </w:tc>
        <w:tc>
          <w:tcPr>
            <w:tcW w:w="103" w:type="pct"/>
            <w:tcBorders>
              <w:top w:val="nil"/>
              <w:left w:val="nil"/>
              <w:bottom w:val="nil"/>
              <w:right w:val="nil"/>
              <w:tl2br w:val="nil"/>
              <w:tr2bl w:val="nil"/>
            </w:tcBorders>
            <w:shd w:val="solid" w:color="FFFFFF" w:fill="FFFFFF"/>
            <w:noWrap/>
            <w:vAlign w:val="bottom"/>
          </w:tcPr>
          <w:p w14:paraId="58BCB3BE" w14:textId="77777777" w:rsidR="006E442A" w:rsidRDefault="006E442A" w:rsidP="006E442A">
            <w:pPr>
              <w:spacing w:after="1"/>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noWrap/>
            <w:vAlign w:val="bottom"/>
          </w:tcPr>
          <w:p w14:paraId="5A486C5E"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27724504"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65CE6F63"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w:t>
            </w:r>
          </w:p>
        </w:tc>
        <w:tc>
          <w:tcPr>
            <w:tcW w:w="103" w:type="pct"/>
            <w:tcBorders>
              <w:top w:val="nil"/>
              <w:left w:val="nil"/>
              <w:bottom w:val="nil"/>
              <w:right w:val="nil"/>
              <w:tl2br w:val="nil"/>
              <w:tr2bl w:val="nil"/>
            </w:tcBorders>
            <w:shd w:val="solid" w:color="FFFFFF" w:fill="FFFFFF"/>
            <w:noWrap/>
            <w:vAlign w:val="bottom"/>
          </w:tcPr>
          <w:p w14:paraId="3B940700" w14:textId="77777777" w:rsidR="006E442A" w:rsidRDefault="006E442A" w:rsidP="006E442A">
            <w:pPr>
              <w:spacing w:after="1"/>
              <w:rPr>
                <w:rFonts w:ascii="Calibri" w:eastAsia="Calibri" w:hAnsi="Calibri" w:cs="Calibri"/>
                <w:color w:val="000000"/>
                <w:sz w:val="19"/>
              </w:rPr>
            </w:pPr>
          </w:p>
        </w:tc>
        <w:tc>
          <w:tcPr>
            <w:tcW w:w="65" w:type="pct"/>
            <w:tcBorders>
              <w:top w:val="nil"/>
              <w:left w:val="nil"/>
              <w:bottom w:val="nil"/>
              <w:right w:val="nil"/>
              <w:tl2br w:val="nil"/>
              <w:tr2bl w:val="nil"/>
            </w:tcBorders>
            <w:shd w:val="solid" w:color="FFFFFF" w:fill="FFFFFF"/>
            <w:noWrap/>
            <w:vAlign w:val="bottom"/>
          </w:tcPr>
          <w:p w14:paraId="38DD6344" w14:textId="77777777" w:rsidR="006E442A" w:rsidRDefault="006E442A" w:rsidP="006E442A">
            <w:pPr>
              <w:spacing w:after="1"/>
              <w:rPr>
                <w:rFonts w:ascii="Calibri" w:eastAsia="Calibri" w:hAnsi="Calibri" w:cs="Calibri"/>
                <w:color w:val="000000"/>
                <w:sz w:val="19"/>
              </w:rPr>
            </w:pPr>
          </w:p>
        </w:tc>
      </w:tr>
      <w:tr w:rsidR="006E442A" w14:paraId="29D5BB00" w14:textId="77777777" w:rsidTr="00F10DDD">
        <w:tc>
          <w:tcPr>
            <w:tcW w:w="3243" w:type="pct"/>
            <w:tcBorders>
              <w:top w:val="nil"/>
              <w:left w:val="nil"/>
              <w:bottom w:val="nil"/>
              <w:right w:val="nil"/>
              <w:tl2br w:val="nil"/>
              <w:tr2bl w:val="nil"/>
            </w:tcBorders>
            <w:shd w:val="solid" w:color="FFFFFF" w:fill="FFFFFF"/>
            <w:vAlign w:val="bottom"/>
          </w:tcPr>
          <w:p w14:paraId="52BDC4FA"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Income (loss) per share of Class A common stock:</w:t>
            </w:r>
          </w:p>
        </w:tc>
        <w:tc>
          <w:tcPr>
            <w:tcW w:w="128" w:type="pct"/>
            <w:tcBorders>
              <w:top w:val="nil"/>
              <w:left w:val="nil"/>
              <w:bottom w:val="nil"/>
              <w:right w:val="nil"/>
              <w:tl2br w:val="nil"/>
              <w:tr2bl w:val="nil"/>
            </w:tcBorders>
            <w:shd w:val="solid" w:color="FFFFFF" w:fill="FFFFFF"/>
            <w:vAlign w:val="bottom"/>
          </w:tcPr>
          <w:p w14:paraId="553A978A"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43D4787A"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491EB703" w14:textId="77777777" w:rsidR="006E442A" w:rsidRDefault="006E442A" w:rsidP="006E442A">
            <w:pPr>
              <w:spacing w:after="1"/>
              <w:jc w:val="right"/>
              <w:rPr>
                <w:rFonts w:ascii="Calibri" w:eastAsia="Calibri" w:hAnsi="Calibri" w:cs="Calibri"/>
                <w:color w:val="000000"/>
                <w:sz w:val="19"/>
              </w:rPr>
            </w:pPr>
          </w:p>
        </w:tc>
        <w:tc>
          <w:tcPr>
            <w:tcW w:w="103" w:type="pct"/>
            <w:tcBorders>
              <w:top w:val="nil"/>
              <w:left w:val="nil"/>
              <w:bottom w:val="nil"/>
              <w:right w:val="nil"/>
              <w:tl2br w:val="nil"/>
              <w:tr2bl w:val="nil"/>
            </w:tcBorders>
            <w:shd w:val="solid" w:color="FFFFFF" w:fill="FFFFFF"/>
            <w:noWrap/>
            <w:vAlign w:val="bottom"/>
          </w:tcPr>
          <w:p w14:paraId="3A5FCE00" w14:textId="77777777" w:rsidR="006E442A" w:rsidRDefault="006E442A" w:rsidP="006E442A">
            <w:pPr>
              <w:spacing w:after="1"/>
              <w:jc w:val="right"/>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noWrap/>
            <w:vAlign w:val="bottom"/>
          </w:tcPr>
          <w:p w14:paraId="086E9CA9"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167CBDE3"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4A8D73AC" w14:textId="77777777" w:rsidR="006E442A" w:rsidRDefault="006E442A" w:rsidP="006E442A">
            <w:pPr>
              <w:spacing w:after="1"/>
              <w:jc w:val="right"/>
              <w:rPr>
                <w:rFonts w:ascii="Calibri" w:eastAsia="Calibri" w:hAnsi="Calibri" w:cs="Calibri"/>
                <w:color w:val="000000"/>
                <w:sz w:val="19"/>
              </w:rPr>
            </w:pPr>
          </w:p>
        </w:tc>
        <w:tc>
          <w:tcPr>
            <w:tcW w:w="103" w:type="pct"/>
            <w:tcBorders>
              <w:top w:val="nil"/>
              <w:left w:val="nil"/>
              <w:bottom w:val="nil"/>
              <w:right w:val="nil"/>
              <w:tl2br w:val="nil"/>
              <w:tr2bl w:val="nil"/>
            </w:tcBorders>
            <w:shd w:val="solid" w:color="FFFFFF" w:fill="FFFFFF"/>
            <w:noWrap/>
            <w:vAlign w:val="bottom"/>
          </w:tcPr>
          <w:p w14:paraId="2F9B6EE4" w14:textId="77777777" w:rsidR="006E442A" w:rsidRDefault="006E442A" w:rsidP="006E442A">
            <w:pPr>
              <w:spacing w:after="1"/>
              <w:jc w:val="right"/>
              <w:rPr>
                <w:rFonts w:ascii="Calibri" w:eastAsia="Calibri" w:hAnsi="Calibri" w:cs="Calibri"/>
                <w:color w:val="000000"/>
                <w:sz w:val="19"/>
              </w:rPr>
            </w:pPr>
          </w:p>
        </w:tc>
        <w:tc>
          <w:tcPr>
            <w:tcW w:w="65" w:type="pct"/>
            <w:tcBorders>
              <w:top w:val="nil"/>
              <w:left w:val="nil"/>
              <w:bottom w:val="nil"/>
              <w:right w:val="nil"/>
              <w:tl2br w:val="nil"/>
              <w:tr2bl w:val="nil"/>
            </w:tcBorders>
            <w:shd w:val="solid" w:color="FFFFFF" w:fill="FFFFFF"/>
            <w:noWrap/>
            <w:vAlign w:val="bottom"/>
          </w:tcPr>
          <w:p w14:paraId="78F9FFC2" w14:textId="77777777" w:rsidR="006E442A" w:rsidRDefault="006E442A" w:rsidP="006E442A">
            <w:pPr>
              <w:spacing w:after="1"/>
              <w:rPr>
                <w:rFonts w:ascii="Calibri" w:eastAsia="Calibri" w:hAnsi="Calibri" w:cs="Calibri"/>
                <w:color w:val="000000"/>
                <w:sz w:val="19"/>
              </w:rPr>
            </w:pPr>
          </w:p>
        </w:tc>
      </w:tr>
      <w:tr w:rsidR="006E442A" w14:paraId="0E64CBF7" w14:textId="77777777" w:rsidTr="00F10DDD">
        <w:tc>
          <w:tcPr>
            <w:tcW w:w="3243" w:type="pct"/>
            <w:tcBorders>
              <w:top w:val="nil"/>
              <w:left w:val="nil"/>
              <w:bottom w:val="nil"/>
              <w:right w:val="nil"/>
              <w:tl2br w:val="nil"/>
              <w:tr2bl w:val="nil"/>
            </w:tcBorders>
            <w:shd w:val="solid" w:color="FFFFFF" w:fill="FFFFFF"/>
            <w:vAlign w:val="bottom"/>
          </w:tcPr>
          <w:p w14:paraId="0773BCDB" w14:textId="77777777" w:rsidR="006E442A" w:rsidRDefault="006E442A" w:rsidP="006E442A">
            <w:pPr>
              <w:spacing w:after="1"/>
              <w:ind w:left="120"/>
              <w:rPr>
                <w:rFonts w:ascii="Calibri" w:eastAsia="Calibri" w:hAnsi="Calibri" w:cs="Calibri"/>
                <w:color w:val="000000"/>
                <w:sz w:val="19"/>
              </w:rPr>
            </w:pPr>
            <w:r>
              <w:rPr>
                <w:rFonts w:ascii="Calibri" w:eastAsia="Calibri" w:hAnsi="Calibri" w:cs="Calibri"/>
                <w:color w:val="000000"/>
                <w:sz w:val="19"/>
              </w:rPr>
              <w:t>Basic</w:t>
            </w:r>
          </w:p>
        </w:tc>
        <w:tc>
          <w:tcPr>
            <w:tcW w:w="128" w:type="pct"/>
            <w:tcBorders>
              <w:top w:val="nil"/>
              <w:left w:val="nil"/>
              <w:bottom w:val="nil"/>
              <w:right w:val="nil"/>
              <w:tl2br w:val="nil"/>
              <w:tr2bl w:val="nil"/>
            </w:tcBorders>
            <w:shd w:val="solid" w:color="FFFFFF" w:fill="FFFFFF"/>
            <w:vAlign w:val="bottom"/>
          </w:tcPr>
          <w:p w14:paraId="7E20C677"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4A6ACA2D"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w:t>
            </w:r>
          </w:p>
        </w:tc>
        <w:tc>
          <w:tcPr>
            <w:tcW w:w="532" w:type="pct"/>
            <w:tcBorders>
              <w:top w:val="nil"/>
              <w:left w:val="nil"/>
              <w:bottom w:val="nil"/>
              <w:right w:val="nil"/>
              <w:tl2br w:val="nil"/>
              <w:tr2bl w:val="nil"/>
            </w:tcBorders>
            <w:shd w:val="solid" w:color="FFFFFF" w:fill="FFFFFF"/>
            <w:noWrap/>
            <w:vAlign w:val="bottom"/>
          </w:tcPr>
          <w:p w14:paraId="7DDAFF6E"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0.45</w:t>
            </w:r>
          </w:p>
        </w:tc>
        <w:tc>
          <w:tcPr>
            <w:tcW w:w="103" w:type="pct"/>
            <w:tcBorders>
              <w:top w:val="nil"/>
              <w:left w:val="nil"/>
              <w:bottom w:val="nil"/>
              <w:right w:val="nil"/>
              <w:tl2br w:val="nil"/>
              <w:tr2bl w:val="nil"/>
            </w:tcBorders>
            <w:shd w:val="solid" w:color="FFFFFF" w:fill="FFFFFF"/>
            <w:noWrap/>
            <w:vAlign w:val="bottom"/>
          </w:tcPr>
          <w:p w14:paraId="55860C0E" w14:textId="77777777" w:rsidR="006E442A" w:rsidRDefault="006E442A" w:rsidP="006E442A">
            <w:pPr>
              <w:spacing w:after="1"/>
              <w:jc w:val="right"/>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noWrap/>
            <w:vAlign w:val="bottom"/>
          </w:tcPr>
          <w:p w14:paraId="128960E9"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3B578CBB"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w:t>
            </w:r>
          </w:p>
        </w:tc>
        <w:tc>
          <w:tcPr>
            <w:tcW w:w="532" w:type="pct"/>
            <w:tcBorders>
              <w:top w:val="nil"/>
              <w:left w:val="nil"/>
              <w:bottom w:val="nil"/>
              <w:right w:val="nil"/>
              <w:tl2br w:val="nil"/>
              <w:tr2bl w:val="nil"/>
            </w:tcBorders>
            <w:shd w:val="solid" w:color="FFFFFF" w:fill="FFFFFF"/>
            <w:noWrap/>
            <w:vAlign w:val="bottom"/>
          </w:tcPr>
          <w:p w14:paraId="28BEC3B7"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xml:space="preserve"> (0.01)</w:t>
            </w:r>
          </w:p>
        </w:tc>
        <w:tc>
          <w:tcPr>
            <w:tcW w:w="103" w:type="pct"/>
            <w:tcBorders>
              <w:top w:val="nil"/>
              <w:left w:val="nil"/>
              <w:bottom w:val="nil"/>
              <w:right w:val="nil"/>
              <w:tl2br w:val="nil"/>
              <w:tr2bl w:val="nil"/>
            </w:tcBorders>
            <w:shd w:val="solid" w:color="FFFFFF" w:fill="FFFFFF"/>
            <w:noWrap/>
            <w:vAlign w:val="bottom"/>
          </w:tcPr>
          <w:p w14:paraId="39671EE5" w14:textId="77777777" w:rsidR="006E442A" w:rsidRDefault="006E442A" w:rsidP="006E442A">
            <w:pPr>
              <w:spacing w:after="1"/>
              <w:jc w:val="right"/>
              <w:rPr>
                <w:rFonts w:ascii="Calibri" w:eastAsia="Calibri" w:hAnsi="Calibri" w:cs="Calibri"/>
                <w:color w:val="000000"/>
                <w:sz w:val="19"/>
              </w:rPr>
            </w:pPr>
          </w:p>
        </w:tc>
        <w:tc>
          <w:tcPr>
            <w:tcW w:w="65" w:type="pct"/>
            <w:tcBorders>
              <w:top w:val="nil"/>
              <w:left w:val="nil"/>
              <w:bottom w:val="nil"/>
              <w:right w:val="nil"/>
              <w:tl2br w:val="nil"/>
              <w:tr2bl w:val="nil"/>
            </w:tcBorders>
            <w:shd w:val="solid" w:color="FFFFFF" w:fill="FFFFFF"/>
            <w:noWrap/>
            <w:vAlign w:val="bottom"/>
          </w:tcPr>
          <w:p w14:paraId="441901BF" w14:textId="77777777" w:rsidR="006E442A" w:rsidRDefault="006E442A" w:rsidP="006E442A">
            <w:pPr>
              <w:spacing w:after="1"/>
              <w:rPr>
                <w:rFonts w:ascii="Calibri" w:eastAsia="Calibri" w:hAnsi="Calibri" w:cs="Calibri"/>
                <w:color w:val="000000"/>
                <w:sz w:val="19"/>
              </w:rPr>
            </w:pPr>
          </w:p>
        </w:tc>
      </w:tr>
      <w:tr w:rsidR="006E442A" w14:paraId="167B3394" w14:textId="77777777" w:rsidTr="00F10DDD">
        <w:tc>
          <w:tcPr>
            <w:tcW w:w="3243" w:type="pct"/>
            <w:tcBorders>
              <w:top w:val="nil"/>
              <w:left w:val="nil"/>
              <w:bottom w:val="nil"/>
              <w:right w:val="nil"/>
              <w:tl2br w:val="nil"/>
              <w:tr2bl w:val="nil"/>
            </w:tcBorders>
            <w:shd w:val="solid" w:color="FFFFFF" w:fill="FFFFFF"/>
            <w:vAlign w:val="bottom"/>
          </w:tcPr>
          <w:p w14:paraId="4BF17276" w14:textId="77777777" w:rsidR="006E442A" w:rsidRDefault="006E442A" w:rsidP="006E442A">
            <w:pPr>
              <w:spacing w:after="1"/>
              <w:ind w:left="120"/>
              <w:rPr>
                <w:rFonts w:ascii="Calibri" w:eastAsia="Calibri" w:hAnsi="Calibri" w:cs="Calibri"/>
                <w:color w:val="000000"/>
                <w:sz w:val="19"/>
              </w:rPr>
            </w:pPr>
            <w:r>
              <w:rPr>
                <w:rFonts w:ascii="Calibri" w:eastAsia="Calibri" w:hAnsi="Calibri" w:cs="Calibri"/>
                <w:color w:val="000000"/>
                <w:sz w:val="19"/>
              </w:rPr>
              <w:t>Diluted</w:t>
            </w:r>
          </w:p>
        </w:tc>
        <w:tc>
          <w:tcPr>
            <w:tcW w:w="128" w:type="pct"/>
            <w:tcBorders>
              <w:top w:val="nil"/>
              <w:left w:val="nil"/>
              <w:bottom w:val="nil"/>
              <w:right w:val="nil"/>
              <w:tl2br w:val="nil"/>
              <w:tr2bl w:val="nil"/>
            </w:tcBorders>
            <w:shd w:val="solid" w:color="FFFFFF" w:fill="FFFFFF"/>
            <w:vAlign w:val="bottom"/>
          </w:tcPr>
          <w:p w14:paraId="08C0E765"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6B79CEF4"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w:t>
            </w:r>
          </w:p>
        </w:tc>
        <w:tc>
          <w:tcPr>
            <w:tcW w:w="532" w:type="pct"/>
            <w:tcBorders>
              <w:top w:val="nil"/>
              <w:left w:val="nil"/>
              <w:bottom w:val="nil"/>
              <w:right w:val="nil"/>
              <w:tl2br w:val="nil"/>
              <w:tr2bl w:val="nil"/>
            </w:tcBorders>
            <w:shd w:val="solid" w:color="FFFFFF" w:fill="FFFFFF"/>
            <w:noWrap/>
            <w:vAlign w:val="bottom"/>
          </w:tcPr>
          <w:p w14:paraId="3B05487F"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0.44</w:t>
            </w:r>
          </w:p>
        </w:tc>
        <w:tc>
          <w:tcPr>
            <w:tcW w:w="103" w:type="pct"/>
            <w:tcBorders>
              <w:top w:val="nil"/>
              <w:left w:val="nil"/>
              <w:bottom w:val="nil"/>
              <w:right w:val="nil"/>
              <w:tl2br w:val="nil"/>
              <w:tr2bl w:val="nil"/>
            </w:tcBorders>
            <w:shd w:val="solid" w:color="FFFFFF" w:fill="FFFFFF"/>
            <w:noWrap/>
            <w:vAlign w:val="bottom"/>
          </w:tcPr>
          <w:p w14:paraId="54BB12AB" w14:textId="77777777" w:rsidR="006E442A" w:rsidRDefault="006E442A" w:rsidP="006E442A">
            <w:pPr>
              <w:spacing w:after="1"/>
              <w:jc w:val="right"/>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noWrap/>
            <w:vAlign w:val="bottom"/>
          </w:tcPr>
          <w:p w14:paraId="27C7FE7E"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3E7AEF7B"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w:t>
            </w:r>
          </w:p>
        </w:tc>
        <w:tc>
          <w:tcPr>
            <w:tcW w:w="532" w:type="pct"/>
            <w:tcBorders>
              <w:top w:val="nil"/>
              <w:left w:val="nil"/>
              <w:bottom w:val="nil"/>
              <w:right w:val="nil"/>
              <w:tl2br w:val="nil"/>
              <w:tr2bl w:val="nil"/>
            </w:tcBorders>
            <w:shd w:val="solid" w:color="FFFFFF" w:fill="FFFFFF"/>
            <w:noWrap/>
            <w:vAlign w:val="bottom"/>
          </w:tcPr>
          <w:p w14:paraId="0D421502" w14:textId="20C6E686"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xml:space="preserve"> (0.</w:t>
            </w:r>
            <w:r w:rsidR="005C2225">
              <w:rPr>
                <w:rFonts w:ascii="Calibri" w:eastAsia="Calibri" w:hAnsi="Calibri" w:cs="Calibri"/>
                <w:color w:val="000000"/>
                <w:sz w:val="19"/>
              </w:rPr>
              <w:t>22</w:t>
            </w:r>
            <w:r>
              <w:rPr>
                <w:rFonts w:ascii="Calibri" w:eastAsia="Calibri" w:hAnsi="Calibri" w:cs="Calibri"/>
                <w:color w:val="000000"/>
                <w:sz w:val="19"/>
              </w:rPr>
              <w:t>)</w:t>
            </w:r>
          </w:p>
        </w:tc>
        <w:tc>
          <w:tcPr>
            <w:tcW w:w="103" w:type="pct"/>
            <w:tcBorders>
              <w:top w:val="nil"/>
              <w:left w:val="nil"/>
              <w:bottom w:val="nil"/>
              <w:right w:val="nil"/>
              <w:tl2br w:val="nil"/>
              <w:tr2bl w:val="nil"/>
            </w:tcBorders>
            <w:shd w:val="solid" w:color="FFFFFF" w:fill="FFFFFF"/>
            <w:noWrap/>
            <w:vAlign w:val="bottom"/>
          </w:tcPr>
          <w:p w14:paraId="3B2CA09A" w14:textId="77777777" w:rsidR="006E442A" w:rsidRDefault="006E442A" w:rsidP="006E442A">
            <w:pPr>
              <w:spacing w:after="1"/>
              <w:jc w:val="right"/>
              <w:rPr>
                <w:rFonts w:ascii="Calibri" w:eastAsia="Calibri" w:hAnsi="Calibri" w:cs="Calibri"/>
                <w:color w:val="000000"/>
                <w:sz w:val="19"/>
              </w:rPr>
            </w:pPr>
          </w:p>
        </w:tc>
        <w:tc>
          <w:tcPr>
            <w:tcW w:w="65" w:type="pct"/>
            <w:tcBorders>
              <w:top w:val="nil"/>
              <w:left w:val="nil"/>
              <w:bottom w:val="nil"/>
              <w:right w:val="nil"/>
              <w:tl2br w:val="nil"/>
              <w:tr2bl w:val="nil"/>
            </w:tcBorders>
            <w:shd w:val="solid" w:color="FFFFFF" w:fill="FFFFFF"/>
            <w:noWrap/>
            <w:vAlign w:val="bottom"/>
          </w:tcPr>
          <w:p w14:paraId="3A1A1A99" w14:textId="77777777" w:rsidR="006E442A" w:rsidRDefault="006E442A" w:rsidP="006E442A">
            <w:pPr>
              <w:spacing w:after="1"/>
              <w:rPr>
                <w:rFonts w:ascii="Calibri" w:eastAsia="Calibri" w:hAnsi="Calibri" w:cs="Calibri"/>
                <w:color w:val="000000"/>
                <w:sz w:val="19"/>
              </w:rPr>
            </w:pPr>
          </w:p>
        </w:tc>
      </w:tr>
      <w:tr w:rsidR="006E442A" w14:paraId="55A0DD5E" w14:textId="77777777" w:rsidTr="00F10DDD">
        <w:tc>
          <w:tcPr>
            <w:tcW w:w="3243" w:type="pct"/>
            <w:tcBorders>
              <w:top w:val="nil"/>
              <w:left w:val="nil"/>
              <w:bottom w:val="nil"/>
              <w:right w:val="nil"/>
              <w:tl2br w:val="nil"/>
              <w:tr2bl w:val="nil"/>
            </w:tcBorders>
            <w:shd w:val="solid" w:color="FFFFFF" w:fill="FFFFFF"/>
            <w:vAlign w:val="bottom"/>
          </w:tcPr>
          <w:p w14:paraId="0F767FFF"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xml:space="preserve">Income (loss) per share of Class A common stock </w:t>
            </w:r>
          </w:p>
        </w:tc>
        <w:tc>
          <w:tcPr>
            <w:tcW w:w="128" w:type="pct"/>
            <w:tcBorders>
              <w:top w:val="nil"/>
              <w:left w:val="nil"/>
              <w:bottom w:val="nil"/>
              <w:right w:val="nil"/>
              <w:tl2br w:val="nil"/>
              <w:tr2bl w:val="nil"/>
            </w:tcBorders>
            <w:shd w:val="solid" w:color="FFFFFF" w:fill="FFFFFF"/>
            <w:vAlign w:val="bottom"/>
          </w:tcPr>
          <w:p w14:paraId="50191B33"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6E354AE4"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0D870517" w14:textId="77777777" w:rsidR="006E442A" w:rsidRDefault="006E442A" w:rsidP="006E442A">
            <w:pPr>
              <w:spacing w:after="1"/>
              <w:jc w:val="right"/>
              <w:rPr>
                <w:rFonts w:ascii="Calibri" w:eastAsia="Calibri" w:hAnsi="Calibri" w:cs="Calibri"/>
                <w:color w:val="000000"/>
                <w:sz w:val="19"/>
              </w:rPr>
            </w:pPr>
          </w:p>
        </w:tc>
        <w:tc>
          <w:tcPr>
            <w:tcW w:w="103" w:type="pct"/>
            <w:tcBorders>
              <w:top w:val="nil"/>
              <w:left w:val="nil"/>
              <w:bottom w:val="nil"/>
              <w:right w:val="nil"/>
              <w:tl2br w:val="nil"/>
              <w:tr2bl w:val="nil"/>
            </w:tcBorders>
            <w:shd w:val="solid" w:color="FFFFFF" w:fill="FFFFFF"/>
            <w:noWrap/>
            <w:vAlign w:val="bottom"/>
          </w:tcPr>
          <w:p w14:paraId="0FDB0B5D" w14:textId="77777777" w:rsidR="006E442A" w:rsidRDefault="006E442A" w:rsidP="006E442A">
            <w:pPr>
              <w:spacing w:after="1"/>
              <w:jc w:val="right"/>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noWrap/>
            <w:vAlign w:val="bottom"/>
          </w:tcPr>
          <w:p w14:paraId="614FB79D"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4A43F127"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2B874D52" w14:textId="77777777" w:rsidR="006E442A" w:rsidRDefault="006E442A" w:rsidP="006E442A">
            <w:pPr>
              <w:spacing w:after="1"/>
              <w:jc w:val="right"/>
              <w:rPr>
                <w:rFonts w:ascii="Calibri" w:eastAsia="Calibri" w:hAnsi="Calibri" w:cs="Calibri"/>
                <w:color w:val="000000"/>
                <w:sz w:val="19"/>
              </w:rPr>
            </w:pPr>
          </w:p>
        </w:tc>
        <w:tc>
          <w:tcPr>
            <w:tcW w:w="103" w:type="pct"/>
            <w:tcBorders>
              <w:top w:val="nil"/>
              <w:left w:val="nil"/>
              <w:bottom w:val="nil"/>
              <w:right w:val="nil"/>
              <w:tl2br w:val="nil"/>
              <w:tr2bl w:val="nil"/>
            </w:tcBorders>
            <w:shd w:val="solid" w:color="FFFFFF" w:fill="FFFFFF"/>
            <w:noWrap/>
            <w:vAlign w:val="bottom"/>
          </w:tcPr>
          <w:p w14:paraId="00AE08B4" w14:textId="77777777" w:rsidR="006E442A" w:rsidRDefault="006E442A" w:rsidP="006E442A">
            <w:pPr>
              <w:spacing w:after="1"/>
              <w:jc w:val="right"/>
              <w:rPr>
                <w:rFonts w:ascii="Calibri" w:eastAsia="Calibri" w:hAnsi="Calibri" w:cs="Calibri"/>
                <w:color w:val="000000"/>
                <w:sz w:val="19"/>
              </w:rPr>
            </w:pPr>
          </w:p>
        </w:tc>
        <w:tc>
          <w:tcPr>
            <w:tcW w:w="65" w:type="pct"/>
            <w:tcBorders>
              <w:top w:val="nil"/>
              <w:left w:val="nil"/>
              <w:bottom w:val="nil"/>
              <w:right w:val="nil"/>
              <w:tl2br w:val="nil"/>
              <w:tr2bl w:val="nil"/>
            </w:tcBorders>
            <w:shd w:val="solid" w:color="FFFFFF" w:fill="FFFFFF"/>
            <w:noWrap/>
            <w:vAlign w:val="bottom"/>
          </w:tcPr>
          <w:p w14:paraId="2F908090" w14:textId="77777777" w:rsidR="006E442A" w:rsidRDefault="006E442A" w:rsidP="006E442A">
            <w:pPr>
              <w:spacing w:after="1"/>
              <w:rPr>
                <w:rFonts w:ascii="Calibri" w:eastAsia="Calibri" w:hAnsi="Calibri" w:cs="Calibri"/>
                <w:color w:val="000000"/>
                <w:sz w:val="19"/>
              </w:rPr>
            </w:pPr>
          </w:p>
        </w:tc>
      </w:tr>
      <w:tr w:rsidR="006E442A" w14:paraId="20299F67" w14:textId="77777777" w:rsidTr="00F10DDD">
        <w:tc>
          <w:tcPr>
            <w:tcW w:w="3243" w:type="pct"/>
            <w:tcBorders>
              <w:top w:val="nil"/>
              <w:left w:val="nil"/>
              <w:bottom w:val="nil"/>
              <w:right w:val="nil"/>
              <w:tl2br w:val="nil"/>
              <w:tr2bl w:val="nil"/>
            </w:tcBorders>
            <w:shd w:val="solid" w:color="FFFFFF" w:fill="FFFFFF"/>
            <w:vAlign w:val="bottom"/>
          </w:tcPr>
          <w:p w14:paraId="17594850"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growth from prior period:</w:t>
            </w:r>
          </w:p>
        </w:tc>
        <w:tc>
          <w:tcPr>
            <w:tcW w:w="128" w:type="pct"/>
            <w:tcBorders>
              <w:top w:val="nil"/>
              <w:left w:val="nil"/>
              <w:bottom w:val="nil"/>
              <w:right w:val="nil"/>
              <w:tl2br w:val="nil"/>
              <w:tr2bl w:val="nil"/>
            </w:tcBorders>
            <w:shd w:val="solid" w:color="FFFFFF" w:fill="FFFFFF"/>
            <w:vAlign w:val="bottom"/>
          </w:tcPr>
          <w:p w14:paraId="5737E919"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16F63B3A"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7F4ADD0F" w14:textId="77777777" w:rsidR="006E442A" w:rsidRDefault="006E442A" w:rsidP="006E442A">
            <w:pPr>
              <w:spacing w:after="1"/>
              <w:jc w:val="right"/>
              <w:rPr>
                <w:rFonts w:ascii="Calibri" w:eastAsia="Calibri" w:hAnsi="Calibri" w:cs="Calibri"/>
                <w:color w:val="000000"/>
                <w:sz w:val="19"/>
              </w:rPr>
            </w:pPr>
          </w:p>
        </w:tc>
        <w:tc>
          <w:tcPr>
            <w:tcW w:w="103" w:type="pct"/>
            <w:tcBorders>
              <w:top w:val="nil"/>
              <w:left w:val="nil"/>
              <w:bottom w:val="nil"/>
              <w:right w:val="nil"/>
              <w:tl2br w:val="nil"/>
              <w:tr2bl w:val="nil"/>
            </w:tcBorders>
            <w:shd w:val="solid" w:color="FFFFFF" w:fill="FFFFFF"/>
            <w:noWrap/>
            <w:vAlign w:val="bottom"/>
          </w:tcPr>
          <w:p w14:paraId="760F831B" w14:textId="77777777" w:rsidR="006E442A" w:rsidRDefault="006E442A" w:rsidP="006E442A">
            <w:pPr>
              <w:spacing w:after="1"/>
              <w:jc w:val="right"/>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noWrap/>
            <w:vAlign w:val="bottom"/>
          </w:tcPr>
          <w:p w14:paraId="4C2589FC"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572B6708"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371C799F" w14:textId="77777777" w:rsidR="006E442A" w:rsidRDefault="006E442A" w:rsidP="006E442A">
            <w:pPr>
              <w:spacing w:after="1"/>
              <w:jc w:val="right"/>
              <w:rPr>
                <w:rFonts w:ascii="Calibri" w:eastAsia="Calibri" w:hAnsi="Calibri" w:cs="Calibri"/>
                <w:color w:val="000000"/>
                <w:sz w:val="19"/>
              </w:rPr>
            </w:pPr>
          </w:p>
        </w:tc>
        <w:tc>
          <w:tcPr>
            <w:tcW w:w="103" w:type="pct"/>
            <w:tcBorders>
              <w:top w:val="nil"/>
              <w:left w:val="nil"/>
              <w:bottom w:val="nil"/>
              <w:right w:val="nil"/>
              <w:tl2br w:val="nil"/>
              <w:tr2bl w:val="nil"/>
            </w:tcBorders>
            <w:shd w:val="solid" w:color="FFFFFF" w:fill="FFFFFF"/>
            <w:noWrap/>
            <w:vAlign w:val="bottom"/>
          </w:tcPr>
          <w:p w14:paraId="5A7288D3" w14:textId="77777777" w:rsidR="006E442A" w:rsidRDefault="006E442A" w:rsidP="006E442A">
            <w:pPr>
              <w:spacing w:after="1"/>
              <w:jc w:val="right"/>
              <w:rPr>
                <w:rFonts w:ascii="Calibri" w:eastAsia="Calibri" w:hAnsi="Calibri" w:cs="Calibri"/>
                <w:color w:val="000000"/>
                <w:sz w:val="19"/>
              </w:rPr>
            </w:pPr>
          </w:p>
        </w:tc>
        <w:tc>
          <w:tcPr>
            <w:tcW w:w="65" w:type="pct"/>
            <w:tcBorders>
              <w:top w:val="nil"/>
              <w:left w:val="nil"/>
              <w:bottom w:val="nil"/>
              <w:right w:val="nil"/>
              <w:tl2br w:val="nil"/>
              <w:tr2bl w:val="nil"/>
            </w:tcBorders>
            <w:shd w:val="solid" w:color="FFFFFF" w:fill="FFFFFF"/>
            <w:noWrap/>
            <w:vAlign w:val="bottom"/>
          </w:tcPr>
          <w:p w14:paraId="76F7EC1A" w14:textId="77777777" w:rsidR="006E442A" w:rsidRDefault="006E442A" w:rsidP="006E442A">
            <w:pPr>
              <w:spacing w:after="1"/>
              <w:rPr>
                <w:rFonts w:ascii="Calibri" w:eastAsia="Calibri" w:hAnsi="Calibri" w:cs="Calibri"/>
                <w:color w:val="000000"/>
                <w:sz w:val="19"/>
              </w:rPr>
            </w:pPr>
          </w:p>
        </w:tc>
      </w:tr>
      <w:tr w:rsidR="006E442A" w14:paraId="27BC0080" w14:textId="77777777" w:rsidTr="00F10DDD">
        <w:tc>
          <w:tcPr>
            <w:tcW w:w="3243" w:type="pct"/>
            <w:tcBorders>
              <w:top w:val="nil"/>
              <w:left w:val="nil"/>
              <w:bottom w:val="nil"/>
              <w:right w:val="nil"/>
              <w:tl2br w:val="nil"/>
              <w:tr2bl w:val="nil"/>
            </w:tcBorders>
            <w:shd w:val="solid" w:color="FFFFFF" w:fill="FFFFFF"/>
            <w:vAlign w:val="bottom"/>
          </w:tcPr>
          <w:p w14:paraId="77D4F2EE" w14:textId="77777777" w:rsidR="006E442A" w:rsidRDefault="006E442A" w:rsidP="006E442A">
            <w:pPr>
              <w:spacing w:after="1"/>
              <w:ind w:left="120"/>
              <w:rPr>
                <w:rFonts w:ascii="Calibri" w:eastAsia="Calibri" w:hAnsi="Calibri" w:cs="Calibri"/>
                <w:color w:val="000000"/>
                <w:sz w:val="19"/>
              </w:rPr>
            </w:pPr>
            <w:r>
              <w:rPr>
                <w:rFonts w:ascii="Calibri" w:eastAsia="Calibri" w:hAnsi="Calibri" w:cs="Calibri"/>
                <w:color w:val="000000"/>
                <w:sz w:val="19"/>
              </w:rPr>
              <w:t>Basic</w:t>
            </w:r>
          </w:p>
        </w:tc>
        <w:tc>
          <w:tcPr>
            <w:tcW w:w="128" w:type="pct"/>
            <w:tcBorders>
              <w:top w:val="nil"/>
              <w:left w:val="nil"/>
              <w:bottom w:val="nil"/>
              <w:right w:val="nil"/>
              <w:tl2br w:val="nil"/>
              <w:tr2bl w:val="nil"/>
            </w:tcBorders>
            <w:shd w:val="solid" w:color="FFFFFF" w:fill="FFFFFF"/>
            <w:vAlign w:val="bottom"/>
          </w:tcPr>
          <w:p w14:paraId="3F787D5C"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0C6E17A7"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768E245A"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w:t>
            </w:r>
          </w:p>
        </w:tc>
        <w:tc>
          <w:tcPr>
            <w:tcW w:w="103" w:type="pct"/>
            <w:tcBorders>
              <w:top w:val="nil"/>
              <w:left w:val="nil"/>
              <w:bottom w:val="nil"/>
              <w:right w:val="nil"/>
              <w:tl2br w:val="nil"/>
              <w:tr2bl w:val="nil"/>
            </w:tcBorders>
            <w:shd w:val="solid" w:color="FFFFFF" w:fill="FFFFFF"/>
            <w:noWrap/>
            <w:vAlign w:val="bottom"/>
          </w:tcPr>
          <w:p w14:paraId="461583DC" w14:textId="77777777" w:rsidR="006E442A" w:rsidRDefault="006E442A" w:rsidP="006E442A">
            <w:pPr>
              <w:spacing w:after="1"/>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noWrap/>
            <w:vAlign w:val="bottom"/>
          </w:tcPr>
          <w:p w14:paraId="42706FCE"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6E7E065A"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73C6A6B3"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w:t>
            </w:r>
          </w:p>
        </w:tc>
        <w:tc>
          <w:tcPr>
            <w:tcW w:w="103" w:type="pct"/>
            <w:tcBorders>
              <w:top w:val="nil"/>
              <w:left w:val="nil"/>
              <w:bottom w:val="nil"/>
              <w:right w:val="nil"/>
              <w:tl2br w:val="nil"/>
              <w:tr2bl w:val="nil"/>
            </w:tcBorders>
            <w:shd w:val="solid" w:color="FFFFFF" w:fill="FFFFFF"/>
            <w:noWrap/>
            <w:vAlign w:val="bottom"/>
          </w:tcPr>
          <w:p w14:paraId="26F6128C" w14:textId="77777777" w:rsidR="006E442A" w:rsidRDefault="006E442A" w:rsidP="006E442A">
            <w:pPr>
              <w:spacing w:after="1"/>
              <w:rPr>
                <w:rFonts w:ascii="Calibri" w:eastAsia="Calibri" w:hAnsi="Calibri" w:cs="Calibri"/>
                <w:color w:val="000000"/>
                <w:sz w:val="19"/>
              </w:rPr>
            </w:pPr>
          </w:p>
        </w:tc>
        <w:tc>
          <w:tcPr>
            <w:tcW w:w="65" w:type="pct"/>
            <w:tcBorders>
              <w:top w:val="nil"/>
              <w:left w:val="nil"/>
              <w:bottom w:val="nil"/>
              <w:right w:val="nil"/>
              <w:tl2br w:val="nil"/>
              <w:tr2bl w:val="nil"/>
            </w:tcBorders>
            <w:shd w:val="solid" w:color="FFFFFF" w:fill="FFFFFF"/>
            <w:noWrap/>
            <w:vAlign w:val="bottom"/>
          </w:tcPr>
          <w:p w14:paraId="49323F87" w14:textId="77777777" w:rsidR="006E442A" w:rsidRDefault="006E442A" w:rsidP="006E442A">
            <w:pPr>
              <w:spacing w:after="1"/>
              <w:rPr>
                <w:rFonts w:ascii="Calibri" w:eastAsia="Calibri" w:hAnsi="Calibri" w:cs="Calibri"/>
                <w:color w:val="000000"/>
                <w:sz w:val="19"/>
              </w:rPr>
            </w:pPr>
          </w:p>
        </w:tc>
      </w:tr>
      <w:tr w:rsidR="006E442A" w14:paraId="01CC659A" w14:textId="77777777" w:rsidTr="00F10DDD">
        <w:tc>
          <w:tcPr>
            <w:tcW w:w="3243" w:type="pct"/>
            <w:tcBorders>
              <w:top w:val="nil"/>
              <w:left w:val="nil"/>
              <w:bottom w:val="nil"/>
              <w:right w:val="nil"/>
              <w:tl2br w:val="nil"/>
              <w:tr2bl w:val="nil"/>
            </w:tcBorders>
            <w:shd w:val="solid" w:color="FFFFFF" w:fill="FFFFFF"/>
            <w:vAlign w:val="bottom"/>
          </w:tcPr>
          <w:p w14:paraId="726BFBE6" w14:textId="77777777" w:rsidR="006E442A" w:rsidRDefault="006E442A" w:rsidP="006E442A">
            <w:pPr>
              <w:spacing w:after="1"/>
              <w:ind w:left="120"/>
              <w:rPr>
                <w:rFonts w:ascii="Calibri" w:eastAsia="Calibri" w:hAnsi="Calibri" w:cs="Calibri"/>
                <w:color w:val="000000"/>
                <w:sz w:val="19"/>
              </w:rPr>
            </w:pPr>
            <w:r>
              <w:rPr>
                <w:rFonts w:ascii="Calibri" w:eastAsia="Calibri" w:hAnsi="Calibri" w:cs="Calibri"/>
                <w:color w:val="000000"/>
                <w:sz w:val="19"/>
              </w:rPr>
              <w:t>Diluted</w:t>
            </w:r>
          </w:p>
        </w:tc>
        <w:tc>
          <w:tcPr>
            <w:tcW w:w="128" w:type="pct"/>
            <w:tcBorders>
              <w:top w:val="nil"/>
              <w:left w:val="nil"/>
              <w:bottom w:val="nil"/>
              <w:right w:val="nil"/>
              <w:tl2br w:val="nil"/>
              <w:tr2bl w:val="nil"/>
            </w:tcBorders>
            <w:shd w:val="solid" w:color="FFFFFF" w:fill="FFFFFF"/>
            <w:vAlign w:val="bottom"/>
          </w:tcPr>
          <w:p w14:paraId="33AB98BF"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590FAA55"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49065BA4"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w:t>
            </w:r>
          </w:p>
        </w:tc>
        <w:tc>
          <w:tcPr>
            <w:tcW w:w="103" w:type="pct"/>
            <w:tcBorders>
              <w:top w:val="nil"/>
              <w:left w:val="nil"/>
              <w:bottom w:val="nil"/>
              <w:right w:val="nil"/>
              <w:tl2br w:val="nil"/>
              <w:tr2bl w:val="nil"/>
            </w:tcBorders>
            <w:shd w:val="solid" w:color="FFFFFF" w:fill="FFFFFF"/>
            <w:noWrap/>
            <w:vAlign w:val="bottom"/>
          </w:tcPr>
          <w:p w14:paraId="13F6777A" w14:textId="77777777" w:rsidR="006E442A" w:rsidRDefault="006E442A" w:rsidP="006E442A">
            <w:pPr>
              <w:spacing w:after="1"/>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noWrap/>
            <w:vAlign w:val="bottom"/>
          </w:tcPr>
          <w:p w14:paraId="71522F13"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78E4EF19"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01B59463"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w:t>
            </w:r>
          </w:p>
        </w:tc>
        <w:tc>
          <w:tcPr>
            <w:tcW w:w="103" w:type="pct"/>
            <w:tcBorders>
              <w:top w:val="nil"/>
              <w:left w:val="nil"/>
              <w:bottom w:val="nil"/>
              <w:right w:val="nil"/>
              <w:tl2br w:val="nil"/>
              <w:tr2bl w:val="nil"/>
            </w:tcBorders>
            <w:shd w:val="solid" w:color="FFFFFF" w:fill="FFFFFF"/>
            <w:noWrap/>
            <w:vAlign w:val="bottom"/>
          </w:tcPr>
          <w:p w14:paraId="2E0A48A6" w14:textId="77777777" w:rsidR="006E442A" w:rsidRDefault="006E442A" w:rsidP="006E442A">
            <w:pPr>
              <w:spacing w:after="1"/>
              <w:rPr>
                <w:rFonts w:ascii="Calibri" w:eastAsia="Calibri" w:hAnsi="Calibri" w:cs="Calibri"/>
                <w:color w:val="000000"/>
                <w:sz w:val="19"/>
              </w:rPr>
            </w:pPr>
          </w:p>
        </w:tc>
        <w:tc>
          <w:tcPr>
            <w:tcW w:w="65" w:type="pct"/>
            <w:tcBorders>
              <w:top w:val="nil"/>
              <w:left w:val="nil"/>
              <w:bottom w:val="nil"/>
              <w:right w:val="nil"/>
              <w:tl2br w:val="nil"/>
              <w:tr2bl w:val="nil"/>
            </w:tcBorders>
            <w:shd w:val="solid" w:color="FFFFFF" w:fill="FFFFFF"/>
            <w:noWrap/>
            <w:vAlign w:val="bottom"/>
          </w:tcPr>
          <w:p w14:paraId="5B91C200" w14:textId="77777777" w:rsidR="006E442A" w:rsidRDefault="006E442A" w:rsidP="006E442A">
            <w:pPr>
              <w:spacing w:after="1"/>
              <w:rPr>
                <w:rFonts w:ascii="Calibri" w:eastAsia="Calibri" w:hAnsi="Calibri" w:cs="Calibri"/>
                <w:color w:val="000000"/>
                <w:sz w:val="19"/>
              </w:rPr>
            </w:pPr>
          </w:p>
        </w:tc>
      </w:tr>
      <w:tr w:rsidR="006E442A" w14:paraId="3FE5D8D5" w14:textId="77777777" w:rsidTr="00F10DDD">
        <w:tc>
          <w:tcPr>
            <w:tcW w:w="3243" w:type="pct"/>
            <w:tcBorders>
              <w:top w:val="nil"/>
              <w:left w:val="nil"/>
              <w:bottom w:val="nil"/>
              <w:right w:val="nil"/>
              <w:tl2br w:val="nil"/>
              <w:tr2bl w:val="nil"/>
            </w:tcBorders>
            <w:shd w:val="solid" w:color="FFFFFF" w:fill="FFFFFF"/>
            <w:vAlign w:val="bottom"/>
          </w:tcPr>
          <w:p w14:paraId="19627221" w14:textId="77777777" w:rsidR="006E442A" w:rsidRDefault="006E442A" w:rsidP="006E442A">
            <w:pPr>
              <w:spacing w:after="1"/>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vAlign w:val="bottom"/>
          </w:tcPr>
          <w:p w14:paraId="70C123C5"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3C862DDC"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029A1CFA" w14:textId="77777777" w:rsidR="006E442A" w:rsidRDefault="006E442A" w:rsidP="006E442A">
            <w:pPr>
              <w:spacing w:after="1"/>
              <w:jc w:val="right"/>
              <w:rPr>
                <w:rFonts w:ascii="Calibri" w:eastAsia="Calibri" w:hAnsi="Calibri" w:cs="Calibri"/>
                <w:color w:val="000000"/>
                <w:sz w:val="19"/>
              </w:rPr>
            </w:pPr>
          </w:p>
        </w:tc>
        <w:tc>
          <w:tcPr>
            <w:tcW w:w="103" w:type="pct"/>
            <w:tcBorders>
              <w:top w:val="nil"/>
              <w:left w:val="nil"/>
              <w:bottom w:val="nil"/>
              <w:right w:val="nil"/>
              <w:tl2br w:val="nil"/>
              <w:tr2bl w:val="nil"/>
            </w:tcBorders>
            <w:shd w:val="solid" w:color="FFFFFF" w:fill="FFFFFF"/>
            <w:noWrap/>
            <w:vAlign w:val="bottom"/>
          </w:tcPr>
          <w:p w14:paraId="6D56644E" w14:textId="77777777" w:rsidR="006E442A" w:rsidRDefault="006E442A" w:rsidP="006E442A">
            <w:pPr>
              <w:spacing w:after="1"/>
              <w:jc w:val="right"/>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noWrap/>
            <w:vAlign w:val="bottom"/>
          </w:tcPr>
          <w:p w14:paraId="2652FB1A"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5877DB1A"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091D594D" w14:textId="77777777" w:rsidR="006E442A" w:rsidRDefault="006E442A" w:rsidP="006E442A">
            <w:pPr>
              <w:spacing w:after="1"/>
              <w:jc w:val="right"/>
              <w:rPr>
                <w:rFonts w:ascii="Calibri" w:eastAsia="Calibri" w:hAnsi="Calibri" w:cs="Calibri"/>
                <w:color w:val="000000"/>
                <w:sz w:val="19"/>
              </w:rPr>
            </w:pPr>
          </w:p>
        </w:tc>
        <w:tc>
          <w:tcPr>
            <w:tcW w:w="103" w:type="pct"/>
            <w:tcBorders>
              <w:top w:val="nil"/>
              <w:left w:val="nil"/>
              <w:bottom w:val="nil"/>
              <w:right w:val="nil"/>
              <w:tl2br w:val="nil"/>
              <w:tr2bl w:val="nil"/>
            </w:tcBorders>
            <w:shd w:val="solid" w:color="FFFFFF" w:fill="FFFFFF"/>
            <w:noWrap/>
            <w:vAlign w:val="bottom"/>
          </w:tcPr>
          <w:p w14:paraId="45F7A52E" w14:textId="77777777" w:rsidR="006E442A" w:rsidRDefault="006E442A" w:rsidP="006E442A">
            <w:pPr>
              <w:spacing w:after="1"/>
              <w:jc w:val="right"/>
              <w:rPr>
                <w:rFonts w:ascii="Calibri" w:eastAsia="Calibri" w:hAnsi="Calibri" w:cs="Calibri"/>
                <w:color w:val="000000"/>
                <w:sz w:val="19"/>
              </w:rPr>
            </w:pPr>
          </w:p>
        </w:tc>
        <w:tc>
          <w:tcPr>
            <w:tcW w:w="65" w:type="pct"/>
            <w:tcBorders>
              <w:top w:val="nil"/>
              <w:left w:val="nil"/>
              <w:bottom w:val="nil"/>
              <w:right w:val="nil"/>
              <w:tl2br w:val="nil"/>
              <w:tr2bl w:val="nil"/>
            </w:tcBorders>
            <w:shd w:val="solid" w:color="FFFFFF" w:fill="FFFFFF"/>
            <w:noWrap/>
            <w:vAlign w:val="bottom"/>
          </w:tcPr>
          <w:p w14:paraId="4888B71E" w14:textId="77777777" w:rsidR="006E442A" w:rsidRDefault="006E442A" w:rsidP="006E442A">
            <w:pPr>
              <w:spacing w:after="1"/>
              <w:rPr>
                <w:rFonts w:ascii="Calibri" w:eastAsia="Calibri" w:hAnsi="Calibri" w:cs="Calibri"/>
                <w:color w:val="000000"/>
                <w:sz w:val="19"/>
              </w:rPr>
            </w:pPr>
          </w:p>
        </w:tc>
      </w:tr>
      <w:tr w:rsidR="006E442A" w14:paraId="3B1B743E" w14:textId="77777777" w:rsidTr="00F10DDD">
        <w:tc>
          <w:tcPr>
            <w:tcW w:w="3243" w:type="pct"/>
            <w:tcBorders>
              <w:top w:val="nil"/>
              <w:left w:val="nil"/>
              <w:bottom w:val="nil"/>
              <w:right w:val="nil"/>
              <w:tl2br w:val="nil"/>
              <w:tr2bl w:val="nil"/>
            </w:tcBorders>
            <w:shd w:val="solid" w:color="FFFFFF" w:fill="FFFFFF"/>
            <w:vAlign w:val="bottom"/>
          </w:tcPr>
          <w:p w14:paraId="6FBC4289" w14:textId="77777777" w:rsidR="006E442A" w:rsidRDefault="006E442A" w:rsidP="006E442A">
            <w:pPr>
              <w:spacing w:after="1"/>
              <w:rPr>
                <w:rFonts w:ascii="Calibri" w:eastAsia="Calibri" w:hAnsi="Calibri" w:cs="Calibri"/>
                <w:b/>
                <w:color w:val="000000"/>
                <w:sz w:val="19"/>
              </w:rPr>
            </w:pPr>
            <w:r>
              <w:rPr>
                <w:rFonts w:ascii="Calibri" w:eastAsia="Calibri" w:hAnsi="Calibri" w:cs="Calibri"/>
                <w:b/>
                <w:color w:val="000000"/>
                <w:sz w:val="19"/>
              </w:rPr>
              <w:t>Adjusted EBITDA Metrics:</w:t>
            </w:r>
          </w:p>
        </w:tc>
        <w:tc>
          <w:tcPr>
            <w:tcW w:w="128" w:type="pct"/>
            <w:tcBorders>
              <w:top w:val="nil"/>
              <w:left w:val="nil"/>
              <w:bottom w:val="nil"/>
              <w:right w:val="nil"/>
              <w:tl2br w:val="nil"/>
              <w:tr2bl w:val="nil"/>
            </w:tcBorders>
            <w:shd w:val="solid" w:color="FFFFFF" w:fill="FFFFFF"/>
            <w:vAlign w:val="bottom"/>
          </w:tcPr>
          <w:p w14:paraId="245175D6" w14:textId="77777777" w:rsidR="006E442A" w:rsidRDefault="006E442A" w:rsidP="006E442A">
            <w:pPr>
              <w:spacing w:after="1"/>
              <w:rPr>
                <w:rFonts w:ascii="Calibri" w:eastAsia="Calibri" w:hAnsi="Calibri" w:cs="Calibri"/>
                <w:b/>
                <w:color w:val="000000"/>
                <w:sz w:val="19"/>
              </w:rPr>
            </w:pPr>
          </w:p>
        </w:tc>
        <w:tc>
          <w:tcPr>
            <w:tcW w:w="83" w:type="pct"/>
            <w:tcBorders>
              <w:top w:val="nil"/>
              <w:left w:val="nil"/>
              <w:bottom w:val="nil"/>
              <w:right w:val="nil"/>
              <w:tl2br w:val="nil"/>
              <w:tr2bl w:val="nil"/>
            </w:tcBorders>
            <w:shd w:val="solid" w:color="FFFFFF" w:fill="FFFFFF"/>
            <w:noWrap/>
            <w:vAlign w:val="bottom"/>
          </w:tcPr>
          <w:p w14:paraId="64225427"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14034BF7" w14:textId="77777777" w:rsidR="006E442A" w:rsidRDefault="006E442A" w:rsidP="006E442A">
            <w:pPr>
              <w:spacing w:after="1"/>
              <w:jc w:val="right"/>
              <w:rPr>
                <w:rFonts w:ascii="Calibri" w:eastAsia="Calibri" w:hAnsi="Calibri" w:cs="Calibri"/>
                <w:color w:val="000000"/>
                <w:sz w:val="19"/>
              </w:rPr>
            </w:pPr>
          </w:p>
        </w:tc>
        <w:tc>
          <w:tcPr>
            <w:tcW w:w="103" w:type="pct"/>
            <w:tcBorders>
              <w:top w:val="nil"/>
              <w:left w:val="nil"/>
              <w:bottom w:val="nil"/>
              <w:right w:val="nil"/>
              <w:tl2br w:val="nil"/>
              <w:tr2bl w:val="nil"/>
            </w:tcBorders>
            <w:shd w:val="solid" w:color="FFFFFF" w:fill="FFFFFF"/>
            <w:noWrap/>
            <w:vAlign w:val="bottom"/>
          </w:tcPr>
          <w:p w14:paraId="5D85F681" w14:textId="77777777" w:rsidR="006E442A" w:rsidRDefault="006E442A" w:rsidP="006E442A">
            <w:pPr>
              <w:spacing w:after="1"/>
              <w:jc w:val="right"/>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noWrap/>
            <w:vAlign w:val="bottom"/>
          </w:tcPr>
          <w:p w14:paraId="774EA068"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1E6CA50D"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4904B385" w14:textId="77777777" w:rsidR="006E442A" w:rsidRDefault="006E442A" w:rsidP="006E442A">
            <w:pPr>
              <w:spacing w:after="1"/>
              <w:jc w:val="right"/>
              <w:rPr>
                <w:rFonts w:ascii="Calibri" w:eastAsia="Calibri" w:hAnsi="Calibri" w:cs="Calibri"/>
                <w:color w:val="000000"/>
                <w:sz w:val="19"/>
              </w:rPr>
            </w:pPr>
          </w:p>
        </w:tc>
        <w:tc>
          <w:tcPr>
            <w:tcW w:w="103" w:type="pct"/>
            <w:tcBorders>
              <w:top w:val="nil"/>
              <w:left w:val="nil"/>
              <w:bottom w:val="nil"/>
              <w:right w:val="nil"/>
              <w:tl2br w:val="nil"/>
              <w:tr2bl w:val="nil"/>
            </w:tcBorders>
            <w:shd w:val="solid" w:color="FFFFFF" w:fill="FFFFFF"/>
            <w:noWrap/>
            <w:vAlign w:val="bottom"/>
          </w:tcPr>
          <w:p w14:paraId="5467E050" w14:textId="77777777" w:rsidR="006E442A" w:rsidRDefault="006E442A" w:rsidP="006E442A">
            <w:pPr>
              <w:spacing w:after="1"/>
              <w:jc w:val="right"/>
              <w:rPr>
                <w:rFonts w:ascii="Calibri" w:eastAsia="Calibri" w:hAnsi="Calibri" w:cs="Calibri"/>
                <w:color w:val="000000"/>
                <w:sz w:val="19"/>
              </w:rPr>
            </w:pPr>
          </w:p>
        </w:tc>
        <w:tc>
          <w:tcPr>
            <w:tcW w:w="65" w:type="pct"/>
            <w:tcBorders>
              <w:top w:val="nil"/>
              <w:left w:val="nil"/>
              <w:bottom w:val="nil"/>
              <w:right w:val="nil"/>
              <w:tl2br w:val="nil"/>
              <w:tr2bl w:val="nil"/>
            </w:tcBorders>
            <w:shd w:val="solid" w:color="FFFFFF" w:fill="FFFFFF"/>
            <w:noWrap/>
            <w:vAlign w:val="bottom"/>
          </w:tcPr>
          <w:p w14:paraId="30154597" w14:textId="77777777" w:rsidR="006E442A" w:rsidRDefault="006E442A" w:rsidP="006E442A">
            <w:pPr>
              <w:spacing w:after="1"/>
              <w:rPr>
                <w:rFonts w:ascii="Calibri" w:eastAsia="Calibri" w:hAnsi="Calibri" w:cs="Calibri"/>
                <w:color w:val="000000"/>
                <w:sz w:val="19"/>
              </w:rPr>
            </w:pPr>
          </w:p>
        </w:tc>
      </w:tr>
      <w:tr w:rsidR="006E442A" w14:paraId="335C8997" w14:textId="77777777" w:rsidTr="00F10DDD">
        <w:tc>
          <w:tcPr>
            <w:tcW w:w="3243" w:type="pct"/>
            <w:tcBorders>
              <w:top w:val="nil"/>
              <w:left w:val="nil"/>
              <w:bottom w:val="nil"/>
              <w:right w:val="nil"/>
              <w:tl2br w:val="nil"/>
              <w:tr2bl w:val="nil"/>
            </w:tcBorders>
            <w:shd w:val="solid" w:color="FFFFFF" w:fill="FFFFFF"/>
            <w:vAlign w:val="bottom"/>
          </w:tcPr>
          <w:p w14:paraId="274745D1"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Adjusted EBITDA (5)</w:t>
            </w:r>
          </w:p>
        </w:tc>
        <w:tc>
          <w:tcPr>
            <w:tcW w:w="128" w:type="pct"/>
            <w:tcBorders>
              <w:top w:val="nil"/>
              <w:left w:val="nil"/>
              <w:bottom w:val="nil"/>
              <w:right w:val="nil"/>
              <w:tl2br w:val="nil"/>
              <w:tr2bl w:val="nil"/>
            </w:tcBorders>
            <w:shd w:val="solid" w:color="FFFFFF" w:fill="FFFFFF"/>
            <w:vAlign w:val="bottom"/>
          </w:tcPr>
          <w:p w14:paraId="744E2DDA"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7641F69C"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w:t>
            </w:r>
          </w:p>
        </w:tc>
        <w:tc>
          <w:tcPr>
            <w:tcW w:w="532" w:type="pct"/>
            <w:tcBorders>
              <w:top w:val="nil"/>
              <w:left w:val="nil"/>
              <w:bottom w:val="nil"/>
              <w:right w:val="nil"/>
              <w:tl2br w:val="nil"/>
              <w:tr2bl w:val="nil"/>
            </w:tcBorders>
            <w:shd w:val="solid" w:color="FFFFFF" w:fill="FFFFFF"/>
            <w:noWrap/>
            <w:vAlign w:val="bottom"/>
          </w:tcPr>
          <w:p w14:paraId="5B9EA699"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135,080</w:t>
            </w:r>
          </w:p>
        </w:tc>
        <w:tc>
          <w:tcPr>
            <w:tcW w:w="103" w:type="pct"/>
            <w:tcBorders>
              <w:top w:val="nil"/>
              <w:left w:val="nil"/>
              <w:bottom w:val="nil"/>
              <w:right w:val="nil"/>
              <w:tl2br w:val="nil"/>
              <w:tr2bl w:val="nil"/>
            </w:tcBorders>
            <w:shd w:val="solid" w:color="FFFFFF" w:fill="FFFFFF"/>
            <w:noWrap/>
            <w:vAlign w:val="bottom"/>
          </w:tcPr>
          <w:p w14:paraId="706A1305" w14:textId="77777777" w:rsidR="006E442A" w:rsidRDefault="006E442A" w:rsidP="006E442A">
            <w:pPr>
              <w:spacing w:after="1"/>
              <w:jc w:val="right"/>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noWrap/>
            <w:vAlign w:val="bottom"/>
          </w:tcPr>
          <w:p w14:paraId="3068A60C"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39B6DE52"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w:t>
            </w:r>
          </w:p>
        </w:tc>
        <w:tc>
          <w:tcPr>
            <w:tcW w:w="532" w:type="pct"/>
            <w:tcBorders>
              <w:top w:val="nil"/>
              <w:left w:val="nil"/>
              <w:bottom w:val="nil"/>
              <w:right w:val="nil"/>
              <w:tl2br w:val="nil"/>
              <w:tr2bl w:val="nil"/>
            </w:tcBorders>
            <w:shd w:val="solid" w:color="FFFFFF" w:fill="FFFFFF"/>
            <w:noWrap/>
            <w:vAlign w:val="bottom"/>
          </w:tcPr>
          <w:p w14:paraId="377BBFF7"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132,518</w:t>
            </w:r>
          </w:p>
        </w:tc>
        <w:tc>
          <w:tcPr>
            <w:tcW w:w="103" w:type="pct"/>
            <w:tcBorders>
              <w:top w:val="nil"/>
              <w:left w:val="nil"/>
              <w:bottom w:val="nil"/>
              <w:right w:val="nil"/>
              <w:tl2br w:val="nil"/>
              <w:tr2bl w:val="nil"/>
            </w:tcBorders>
            <w:shd w:val="solid" w:color="FFFFFF" w:fill="FFFFFF"/>
            <w:noWrap/>
            <w:vAlign w:val="bottom"/>
          </w:tcPr>
          <w:p w14:paraId="218027D8" w14:textId="77777777" w:rsidR="006E442A" w:rsidRDefault="006E442A" w:rsidP="006E442A">
            <w:pPr>
              <w:spacing w:after="1"/>
              <w:jc w:val="right"/>
              <w:rPr>
                <w:rFonts w:ascii="Calibri" w:eastAsia="Calibri" w:hAnsi="Calibri" w:cs="Calibri"/>
                <w:color w:val="000000"/>
                <w:sz w:val="19"/>
              </w:rPr>
            </w:pPr>
          </w:p>
        </w:tc>
        <w:tc>
          <w:tcPr>
            <w:tcW w:w="65" w:type="pct"/>
            <w:tcBorders>
              <w:top w:val="nil"/>
              <w:left w:val="nil"/>
              <w:bottom w:val="nil"/>
              <w:right w:val="nil"/>
              <w:tl2br w:val="nil"/>
              <w:tr2bl w:val="nil"/>
            </w:tcBorders>
            <w:shd w:val="solid" w:color="FFFFFF" w:fill="FFFFFF"/>
            <w:noWrap/>
            <w:vAlign w:val="bottom"/>
          </w:tcPr>
          <w:p w14:paraId="4C855D63" w14:textId="77777777" w:rsidR="006E442A" w:rsidRDefault="006E442A" w:rsidP="006E442A">
            <w:pPr>
              <w:spacing w:after="1"/>
              <w:rPr>
                <w:rFonts w:ascii="Calibri" w:eastAsia="Calibri" w:hAnsi="Calibri" w:cs="Calibri"/>
                <w:color w:val="000000"/>
                <w:sz w:val="19"/>
              </w:rPr>
            </w:pPr>
          </w:p>
        </w:tc>
      </w:tr>
      <w:tr w:rsidR="006E442A" w14:paraId="0ACDD598" w14:textId="77777777" w:rsidTr="00F10DDD">
        <w:tc>
          <w:tcPr>
            <w:tcW w:w="3243" w:type="pct"/>
            <w:tcBorders>
              <w:top w:val="nil"/>
              <w:left w:val="nil"/>
              <w:bottom w:val="nil"/>
              <w:right w:val="nil"/>
              <w:tl2br w:val="nil"/>
              <w:tr2bl w:val="nil"/>
            </w:tcBorders>
            <w:shd w:val="solid" w:color="FFFFFF" w:fill="FFFFFF"/>
            <w:vAlign w:val="bottom"/>
          </w:tcPr>
          <w:p w14:paraId="00172B8B"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Adjusted EBITDA growth (5) from prior period</w:t>
            </w:r>
          </w:p>
        </w:tc>
        <w:tc>
          <w:tcPr>
            <w:tcW w:w="128" w:type="pct"/>
            <w:tcBorders>
              <w:top w:val="nil"/>
              <w:left w:val="nil"/>
              <w:bottom w:val="nil"/>
              <w:right w:val="nil"/>
              <w:tl2br w:val="nil"/>
              <w:tr2bl w:val="nil"/>
            </w:tcBorders>
            <w:shd w:val="solid" w:color="FFFFFF" w:fill="FFFFFF"/>
            <w:vAlign w:val="bottom"/>
          </w:tcPr>
          <w:p w14:paraId="13EE2421"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31ECB50C"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532" w:type="pct"/>
            <w:tcBorders>
              <w:top w:val="nil"/>
              <w:left w:val="nil"/>
              <w:bottom w:val="nil"/>
              <w:right w:val="nil"/>
              <w:tl2br w:val="nil"/>
              <w:tr2bl w:val="nil"/>
            </w:tcBorders>
            <w:shd w:val="solid" w:color="FFFFFF" w:fill="FFFFFF"/>
            <w:noWrap/>
            <w:vAlign w:val="bottom"/>
          </w:tcPr>
          <w:p w14:paraId="60EA5130"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33.7</w:t>
            </w:r>
          </w:p>
        </w:tc>
        <w:tc>
          <w:tcPr>
            <w:tcW w:w="103" w:type="pct"/>
            <w:tcBorders>
              <w:top w:val="nil"/>
              <w:left w:val="nil"/>
              <w:bottom w:val="nil"/>
              <w:right w:val="nil"/>
              <w:tl2br w:val="nil"/>
              <w:tr2bl w:val="nil"/>
            </w:tcBorders>
            <w:shd w:val="solid" w:color="FFFFFF" w:fill="FFFFFF"/>
            <w:noWrap/>
            <w:vAlign w:val="bottom"/>
          </w:tcPr>
          <w:p w14:paraId="18397F2C"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w:t>
            </w:r>
          </w:p>
        </w:tc>
        <w:tc>
          <w:tcPr>
            <w:tcW w:w="128" w:type="pct"/>
            <w:tcBorders>
              <w:top w:val="nil"/>
              <w:left w:val="nil"/>
              <w:bottom w:val="nil"/>
              <w:right w:val="nil"/>
              <w:tl2br w:val="nil"/>
              <w:tr2bl w:val="nil"/>
            </w:tcBorders>
            <w:shd w:val="solid" w:color="FFFFFF" w:fill="FFFFFF"/>
            <w:noWrap/>
            <w:vAlign w:val="bottom"/>
          </w:tcPr>
          <w:p w14:paraId="70D08190"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0A077591"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532" w:type="pct"/>
            <w:tcBorders>
              <w:top w:val="nil"/>
              <w:left w:val="nil"/>
              <w:bottom w:val="nil"/>
              <w:right w:val="nil"/>
              <w:tl2br w:val="nil"/>
              <w:tr2bl w:val="nil"/>
            </w:tcBorders>
            <w:shd w:val="solid" w:color="FFFFFF" w:fill="FFFFFF"/>
            <w:noWrap/>
            <w:vAlign w:val="bottom"/>
          </w:tcPr>
          <w:p w14:paraId="5B35DFB7"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xml:space="preserve"> (1.9)</w:t>
            </w:r>
          </w:p>
        </w:tc>
        <w:tc>
          <w:tcPr>
            <w:tcW w:w="103" w:type="pct"/>
            <w:tcBorders>
              <w:top w:val="nil"/>
              <w:left w:val="nil"/>
              <w:bottom w:val="nil"/>
              <w:right w:val="nil"/>
              <w:tl2br w:val="nil"/>
              <w:tr2bl w:val="nil"/>
            </w:tcBorders>
            <w:shd w:val="solid" w:color="FFFFFF" w:fill="FFFFFF"/>
            <w:noWrap/>
            <w:vAlign w:val="bottom"/>
          </w:tcPr>
          <w:p w14:paraId="3CD4577B"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w:t>
            </w:r>
          </w:p>
        </w:tc>
        <w:tc>
          <w:tcPr>
            <w:tcW w:w="65" w:type="pct"/>
            <w:tcBorders>
              <w:top w:val="nil"/>
              <w:left w:val="nil"/>
              <w:bottom w:val="nil"/>
              <w:right w:val="nil"/>
              <w:tl2br w:val="nil"/>
              <w:tr2bl w:val="nil"/>
            </w:tcBorders>
            <w:shd w:val="solid" w:color="FFFFFF" w:fill="FFFFFF"/>
            <w:noWrap/>
            <w:vAlign w:val="bottom"/>
          </w:tcPr>
          <w:p w14:paraId="392CE805" w14:textId="77777777" w:rsidR="006E442A" w:rsidRDefault="006E442A" w:rsidP="006E442A">
            <w:pPr>
              <w:spacing w:after="1"/>
              <w:rPr>
                <w:rFonts w:ascii="Calibri" w:eastAsia="Calibri" w:hAnsi="Calibri" w:cs="Calibri"/>
                <w:color w:val="000000"/>
                <w:sz w:val="19"/>
              </w:rPr>
            </w:pPr>
          </w:p>
        </w:tc>
      </w:tr>
      <w:tr w:rsidR="006E442A" w14:paraId="6859048D" w14:textId="77777777" w:rsidTr="00F10DDD">
        <w:tc>
          <w:tcPr>
            <w:tcW w:w="3243" w:type="pct"/>
            <w:tcBorders>
              <w:top w:val="nil"/>
              <w:left w:val="nil"/>
              <w:bottom w:val="nil"/>
              <w:right w:val="nil"/>
              <w:tl2br w:val="nil"/>
              <w:tr2bl w:val="nil"/>
            </w:tcBorders>
            <w:shd w:val="solid" w:color="FFFFFF" w:fill="FFFFFF"/>
            <w:vAlign w:val="bottom"/>
          </w:tcPr>
          <w:p w14:paraId="1587F087" w14:textId="77777777" w:rsidR="006E442A" w:rsidRDefault="006E442A" w:rsidP="006E442A">
            <w:pPr>
              <w:spacing w:after="1"/>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vAlign w:val="bottom"/>
          </w:tcPr>
          <w:p w14:paraId="1B232963"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2EF7733D"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660CAE72" w14:textId="77777777" w:rsidR="006E442A" w:rsidRDefault="006E442A" w:rsidP="006E442A">
            <w:pPr>
              <w:spacing w:after="1"/>
              <w:jc w:val="right"/>
              <w:rPr>
                <w:rFonts w:ascii="Calibri" w:eastAsia="Calibri" w:hAnsi="Calibri" w:cs="Calibri"/>
                <w:color w:val="000000"/>
                <w:sz w:val="19"/>
              </w:rPr>
            </w:pPr>
          </w:p>
        </w:tc>
        <w:tc>
          <w:tcPr>
            <w:tcW w:w="103" w:type="pct"/>
            <w:tcBorders>
              <w:top w:val="nil"/>
              <w:left w:val="nil"/>
              <w:bottom w:val="nil"/>
              <w:right w:val="nil"/>
              <w:tl2br w:val="nil"/>
              <w:tr2bl w:val="nil"/>
            </w:tcBorders>
            <w:shd w:val="solid" w:color="FFFFFF" w:fill="FFFFFF"/>
            <w:noWrap/>
            <w:vAlign w:val="bottom"/>
          </w:tcPr>
          <w:p w14:paraId="0F8D299A" w14:textId="77777777" w:rsidR="006E442A" w:rsidRDefault="006E442A" w:rsidP="006E442A">
            <w:pPr>
              <w:spacing w:after="1"/>
              <w:jc w:val="right"/>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noWrap/>
            <w:vAlign w:val="bottom"/>
          </w:tcPr>
          <w:p w14:paraId="3581B8C9"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4C9AC791"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68E6E9A1" w14:textId="77777777" w:rsidR="006E442A" w:rsidRDefault="006E442A" w:rsidP="006E442A">
            <w:pPr>
              <w:spacing w:after="1"/>
              <w:jc w:val="right"/>
              <w:rPr>
                <w:rFonts w:ascii="Calibri" w:eastAsia="Calibri" w:hAnsi="Calibri" w:cs="Calibri"/>
                <w:color w:val="000000"/>
                <w:sz w:val="19"/>
              </w:rPr>
            </w:pPr>
          </w:p>
        </w:tc>
        <w:tc>
          <w:tcPr>
            <w:tcW w:w="103" w:type="pct"/>
            <w:tcBorders>
              <w:top w:val="nil"/>
              <w:left w:val="nil"/>
              <w:bottom w:val="nil"/>
              <w:right w:val="nil"/>
              <w:tl2br w:val="nil"/>
              <w:tr2bl w:val="nil"/>
            </w:tcBorders>
            <w:shd w:val="solid" w:color="FFFFFF" w:fill="FFFFFF"/>
            <w:noWrap/>
            <w:vAlign w:val="bottom"/>
          </w:tcPr>
          <w:p w14:paraId="7D9DAB2A" w14:textId="77777777" w:rsidR="006E442A" w:rsidRDefault="006E442A" w:rsidP="006E442A">
            <w:pPr>
              <w:spacing w:after="1"/>
              <w:jc w:val="right"/>
              <w:rPr>
                <w:rFonts w:ascii="Calibri" w:eastAsia="Calibri" w:hAnsi="Calibri" w:cs="Calibri"/>
                <w:color w:val="000000"/>
                <w:sz w:val="19"/>
              </w:rPr>
            </w:pPr>
          </w:p>
        </w:tc>
        <w:tc>
          <w:tcPr>
            <w:tcW w:w="65" w:type="pct"/>
            <w:tcBorders>
              <w:top w:val="nil"/>
              <w:left w:val="nil"/>
              <w:bottom w:val="nil"/>
              <w:right w:val="nil"/>
              <w:tl2br w:val="nil"/>
              <w:tr2bl w:val="nil"/>
            </w:tcBorders>
            <w:shd w:val="solid" w:color="FFFFFF" w:fill="FFFFFF"/>
            <w:noWrap/>
            <w:vAlign w:val="bottom"/>
          </w:tcPr>
          <w:p w14:paraId="24BC56C2" w14:textId="77777777" w:rsidR="006E442A" w:rsidRDefault="006E442A" w:rsidP="006E442A">
            <w:pPr>
              <w:spacing w:after="1"/>
              <w:rPr>
                <w:rFonts w:ascii="Calibri" w:eastAsia="Calibri" w:hAnsi="Calibri" w:cs="Calibri"/>
                <w:color w:val="000000"/>
                <w:sz w:val="19"/>
              </w:rPr>
            </w:pPr>
          </w:p>
        </w:tc>
      </w:tr>
      <w:tr w:rsidR="006E442A" w14:paraId="7DF8CC27" w14:textId="77777777" w:rsidTr="00F10DDD">
        <w:tc>
          <w:tcPr>
            <w:tcW w:w="3243" w:type="pct"/>
            <w:tcBorders>
              <w:top w:val="nil"/>
              <w:left w:val="nil"/>
              <w:bottom w:val="nil"/>
              <w:right w:val="nil"/>
              <w:tl2br w:val="nil"/>
              <w:tr2bl w:val="nil"/>
            </w:tcBorders>
            <w:shd w:val="solid" w:color="FFFFFF" w:fill="FFFFFF"/>
            <w:vAlign w:val="bottom"/>
          </w:tcPr>
          <w:p w14:paraId="3A107847" w14:textId="77777777" w:rsidR="006E442A" w:rsidRDefault="006E442A" w:rsidP="006E442A">
            <w:pPr>
              <w:spacing w:after="1"/>
              <w:rPr>
                <w:rFonts w:ascii="Calibri" w:eastAsia="Calibri" w:hAnsi="Calibri" w:cs="Calibri"/>
                <w:b/>
                <w:color w:val="000000"/>
                <w:sz w:val="19"/>
              </w:rPr>
            </w:pPr>
            <w:r>
              <w:rPr>
                <w:rFonts w:ascii="Calibri" w:eastAsia="Calibri" w:hAnsi="Calibri" w:cs="Calibri"/>
                <w:b/>
                <w:color w:val="000000"/>
                <w:sz w:val="19"/>
              </w:rPr>
              <w:t>Adjusted Net Income Excluding Tax Adjustments Metrics:</w:t>
            </w:r>
          </w:p>
        </w:tc>
        <w:tc>
          <w:tcPr>
            <w:tcW w:w="128" w:type="pct"/>
            <w:tcBorders>
              <w:top w:val="nil"/>
              <w:left w:val="nil"/>
              <w:bottom w:val="nil"/>
              <w:right w:val="nil"/>
              <w:tl2br w:val="nil"/>
              <w:tr2bl w:val="nil"/>
            </w:tcBorders>
            <w:shd w:val="solid" w:color="FFFFFF" w:fill="FFFFFF"/>
            <w:vAlign w:val="bottom"/>
          </w:tcPr>
          <w:p w14:paraId="24E31A94" w14:textId="77777777" w:rsidR="006E442A" w:rsidRDefault="006E442A" w:rsidP="006E442A">
            <w:pPr>
              <w:spacing w:after="1"/>
              <w:rPr>
                <w:rFonts w:ascii="Calibri" w:eastAsia="Calibri" w:hAnsi="Calibri" w:cs="Calibri"/>
                <w:b/>
                <w:color w:val="000000"/>
                <w:sz w:val="19"/>
              </w:rPr>
            </w:pPr>
          </w:p>
        </w:tc>
        <w:tc>
          <w:tcPr>
            <w:tcW w:w="83" w:type="pct"/>
            <w:tcBorders>
              <w:top w:val="nil"/>
              <w:left w:val="nil"/>
              <w:bottom w:val="nil"/>
              <w:right w:val="nil"/>
              <w:tl2br w:val="nil"/>
              <w:tr2bl w:val="nil"/>
            </w:tcBorders>
            <w:shd w:val="solid" w:color="FFFFFF" w:fill="FFFFFF"/>
            <w:noWrap/>
            <w:vAlign w:val="bottom"/>
          </w:tcPr>
          <w:p w14:paraId="377F70FD"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2F1E6FDB" w14:textId="77777777" w:rsidR="006E442A" w:rsidRDefault="006E442A" w:rsidP="006E442A">
            <w:pPr>
              <w:spacing w:after="1"/>
              <w:jc w:val="right"/>
              <w:rPr>
                <w:rFonts w:ascii="Calibri" w:eastAsia="Calibri" w:hAnsi="Calibri" w:cs="Calibri"/>
                <w:color w:val="000000"/>
                <w:sz w:val="19"/>
              </w:rPr>
            </w:pPr>
          </w:p>
        </w:tc>
        <w:tc>
          <w:tcPr>
            <w:tcW w:w="103" w:type="pct"/>
            <w:tcBorders>
              <w:top w:val="nil"/>
              <w:left w:val="nil"/>
              <w:bottom w:val="nil"/>
              <w:right w:val="nil"/>
              <w:tl2br w:val="nil"/>
              <w:tr2bl w:val="nil"/>
            </w:tcBorders>
            <w:shd w:val="solid" w:color="FFFFFF" w:fill="FFFFFF"/>
            <w:noWrap/>
            <w:vAlign w:val="bottom"/>
          </w:tcPr>
          <w:p w14:paraId="3DB5E526" w14:textId="77777777" w:rsidR="006E442A" w:rsidRDefault="006E442A" w:rsidP="006E442A">
            <w:pPr>
              <w:spacing w:after="1"/>
              <w:jc w:val="right"/>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noWrap/>
            <w:vAlign w:val="bottom"/>
          </w:tcPr>
          <w:p w14:paraId="0624AC50"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47F333CE"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58174F42" w14:textId="77777777" w:rsidR="006E442A" w:rsidRDefault="006E442A" w:rsidP="006E442A">
            <w:pPr>
              <w:spacing w:after="1"/>
              <w:jc w:val="right"/>
              <w:rPr>
                <w:rFonts w:ascii="Calibri" w:eastAsia="Calibri" w:hAnsi="Calibri" w:cs="Calibri"/>
                <w:color w:val="000000"/>
                <w:sz w:val="19"/>
              </w:rPr>
            </w:pPr>
          </w:p>
        </w:tc>
        <w:tc>
          <w:tcPr>
            <w:tcW w:w="103" w:type="pct"/>
            <w:tcBorders>
              <w:top w:val="nil"/>
              <w:left w:val="nil"/>
              <w:bottom w:val="nil"/>
              <w:right w:val="nil"/>
              <w:tl2br w:val="nil"/>
              <w:tr2bl w:val="nil"/>
            </w:tcBorders>
            <w:shd w:val="solid" w:color="FFFFFF" w:fill="FFFFFF"/>
            <w:noWrap/>
            <w:vAlign w:val="bottom"/>
          </w:tcPr>
          <w:p w14:paraId="1148869F" w14:textId="77777777" w:rsidR="006E442A" w:rsidRDefault="006E442A" w:rsidP="006E442A">
            <w:pPr>
              <w:spacing w:after="1"/>
              <w:jc w:val="right"/>
              <w:rPr>
                <w:rFonts w:ascii="Calibri" w:eastAsia="Calibri" w:hAnsi="Calibri" w:cs="Calibri"/>
                <w:color w:val="000000"/>
                <w:sz w:val="19"/>
              </w:rPr>
            </w:pPr>
          </w:p>
        </w:tc>
        <w:tc>
          <w:tcPr>
            <w:tcW w:w="65" w:type="pct"/>
            <w:tcBorders>
              <w:top w:val="nil"/>
              <w:left w:val="nil"/>
              <w:bottom w:val="nil"/>
              <w:right w:val="nil"/>
              <w:tl2br w:val="nil"/>
              <w:tr2bl w:val="nil"/>
            </w:tcBorders>
            <w:shd w:val="solid" w:color="FFFFFF" w:fill="FFFFFF"/>
            <w:noWrap/>
            <w:vAlign w:val="bottom"/>
          </w:tcPr>
          <w:p w14:paraId="26614DF7" w14:textId="77777777" w:rsidR="006E442A" w:rsidRDefault="006E442A" w:rsidP="006E442A">
            <w:pPr>
              <w:spacing w:after="1"/>
              <w:rPr>
                <w:rFonts w:ascii="Calibri" w:eastAsia="Calibri" w:hAnsi="Calibri" w:cs="Calibri"/>
                <w:color w:val="000000"/>
                <w:sz w:val="19"/>
              </w:rPr>
            </w:pPr>
          </w:p>
        </w:tc>
      </w:tr>
      <w:tr w:rsidR="006E442A" w14:paraId="340771D4" w14:textId="77777777" w:rsidTr="00F10DDD">
        <w:tc>
          <w:tcPr>
            <w:tcW w:w="3243" w:type="pct"/>
            <w:tcBorders>
              <w:top w:val="nil"/>
              <w:left w:val="nil"/>
              <w:bottom w:val="nil"/>
              <w:right w:val="nil"/>
              <w:tl2br w:val="nil"/>
              <w:tr2bl w:val="nil"/>
            </w:tcBorders>
            <w:shd w:val="solid" w:color="FFFFFF" w:fill="FFFFFF"/>
            <w:vAlign w:val="bottom"/>
          </w:tcPr>
          <w:p w14:paraId="4CBCE2B0"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Adjusted Net Income Excluding Tax Adjustments (5)</w:t>
            </w:r>
          </w:p>
        </w:tc>
        <w:tc>
          <w:tcPr>
            <w:tcW w:w="128" w:type="pct"/>
            <w:tcBorders>
              <w:top w:val="nil"/>
              <w:left w:val="nil"/>
              <w:bottom w:val="nil"/>
              <w:right w:val="nil"/>
              <w:tl2br w:val="nil"/>
              <w:tr2bl w:val="nil"/>
            </w:tcBorders>
            <w:shd w:val="solid" w:color="FFFFFF" w:fill="FFFFFF"/>
            <w:vAlign w:val="bottom"/>
          </w:tcPr>
          <w:p w14:paraId="055150C9"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1B94D024"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w:t>
            </w:r>
          </w:p>
        </w:tc>
        <w:tc>
          <w:tcPr>
            <w:tcW w:w="532" w:type="pct"/>
            <w:tcBorders>
              <w:top w:val="nil"/>
              <w:left w:val="nil"/>
              <w:bottom w:val="nil"/>
              <w:right w:val="nil"/>
              <w:tl2br w:val="nil"/>
              <w:tr2bl w:val="nil"/>
            </w:tcBorders>
            <w:shd w:val="solid" w:color="FFFFFF" w:fill="FFFFFF"/>
            <w:noWrap/>
            <w:vAlign w:val="bottom"/>
          </w:tcPr>
          <w:p w14:paraId="3701B37F"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83,073</w:t>
            </w:r>
          </w:p>
        </w:tc>
        <w:tc>
          <w:tcPr>
            <w:tcW w:w="103" w:type="pct"/>
            <w:tcBorders>
              <w:top w:val="nil"/>
              <w:left w:val="nil"/>
              <w:bottom w:val="nil"/>
              <w:right w:val="nil"/>
              <w:tl2br w:val="nil"/>
              <w:tr2bl w:val="nil"/>
            </w:tcBorders>
            <w:shd w:val="solid" w:color="FFFFFF" w:fill="FFFFFF"/>
            <w:noWrap/>
            <w:vAlign w:val="bottom"/>
          </w:tcPr>
          <w:p w14:paraId="574FCE60" w14:textId="77777777" w:rsidR="006E442A" w:rsidRDefault="006E442A" w:rsidP="006E442A">
            <w:pPr>
              <w:spacing w:after="1"/>
              <w:jc w:val="right"/>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noWrap/>
            <w:vAlign w:val="bottom"/>
          </w:tcPr>
          <w:p w14:paraId="2BAD1E68"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2B7433FB"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w:t>
            </w:r>
          </w:p>
        </w:tc>
        <w:tc>
          <w:tcPr>
            <w:tcW w:w="532" w:type="pct"/>
            <w:tcBorders>
              <w:top w:val="nil"/>
              <w:left w:val="nil"/>
              <w:bottom w:val="nil"/>
              <w:right w:val="nil"/>
              <w:tl2br w:val="nil"/>
              <w:tr2bl w:val="nil"/>
            </w:tcBorders>
            <w:shd w:val="solid" w:color="FFFFFF" w:fill="FFFFFF"/>
            <w:noWrap/>
            <w:vAlign w:val="bottom"/>
          </w:tcPr>
          <w:p w14:paraId="23FAE081"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60,124</w:t>
            </w:r>
          </w:p>
        </w:tc>
        <w:tc>
          <w:tcPr>
            <w:tcW w:w="103" w:type="pct"/>
            <w:tcBorders>
              <w:top w:val="nil"/>
              <w:left w:val="nil"/>
              <w:bottom w:val="nil"/>
              <w:right w:val="nil"/>
              <w:tl2br w:val="nil"/>
              <w:tr2bl w:val="nil"/>
            </w:tcBorders>
            <w:shd w:val="solid" w:color="FFFFFF" w:fill="FFFFFF"/>
            <w:noWrap/>
            <w:vAlign w:val="bottom"/>
          </w:tcPr>
          <w:p w14:paraId="6A8370CE" w14:textId="77777777" w:rsidR="006E442A" w:rsidRDefault="006E442A" w:rsidP="006E442A">
            <w:pPr>
              <w:spacing w:after="1"/>
              <w:jc w:val="right"/>
              <w:rPr>
                <w:rFonts w:ascii="Calibri" w:eastAsia="Calibri" w:hAnsi="Calibri" w:cs="Calibri"/>
                <w:color w:val="000000"/>
                <w:sz w:val="19"/>
              </w:rPr>
            </w:pPr>
          </w:p>
        </w:tc>
        <w:tc>
          <w:tcPr>
            <w:tcW w:w="65" w:type="pct"/>
            <w:tcBorders>
              <w:top w:val="nil"/>
              <w:left w:val="nil"/>
              <w:bottom w:val="nil"/>
              <w:right w:val="nil"/>
              <w:tl2br w:val="nil"/>
              <w:tr2bl w:val="nil"/>
            </w:tcBorders>
            <w:shd w:val="solid" w:color="FFFFFF" w:fill="FFFFFF"/>
            <w:noWrap/>
            <w:vAlign w:val="bottom"/>
          </w:tcPr>
          <w:p w14:paraId="4F8B74AA" w14:textId="77777777" w:rsidR="006E442A" w:rsidRDefault="006E442A" w:rsidP="006E442A">
            <w:pPr>
              <w:spacing w:after="1"/>
              <w:rPr>
                <w:rFonts w:ascii="Calibri" w:eastAsia="Calibri" w:hAnsi="Calibri" w:cs="Calibri"/>
                <w:color w:val="000000"/>
                <w:sz w:val="19"/>
              </w:rPr>
            </w:pPr>
          </w:p>
        </w:tc>
      </w:tr>
      <w:tr w:rsidR="006E442A" w14:paraId="444F2AA4" w14:textId="77777777" w:rsidTr="00F10DDD">
        <w:tc>
          <w:tcPr>
            <w:tcW w:w="3243" w:type="pct"/>
            <w:tcBorders>
              <w:top w:val="nil"/>
              <w:left w:val="nil"/>
              <w:bottom w:val="nil"/>
              <w:right w:val="nil"/>
              <w:tl2br w:val="nil"/>
              <w:tr2bl w:val="nil"/>
            </w:tcBorders>
            <w:shd w:val="solid" w:color="FFFFFF" w:fill="FFFFFF"/>
            <w:vAlign w:val="bottom"/>
          </w:tcPr>
          <w:p w14:paraId="1CA6A437"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xml:space="preserve">Adjusted Net Income Excluding Tax Adjustments </w:t>
            </w:r>
          </w:p>
        </w:tc>
        <w:tc>
          <w:tcPr>
            <w:tcW w:w="128" w:type="pct"/>
            <w:tcBorders>
              <w:top w:val="nil"/>
              <w:left w:val="nil"/>
              <w:bottom w:val="nil"/>
              <w:right w:val="nil"/>
              <w:tl2br w:val="nil"/>
              <w:tr2bl w:val="nil"/>
            </w:tcBorders>
            <w:shd w:val="solid" w:color="FFFFFF" w:fill="FFFFFF"/>
            <w:vAlign w:val="bottom"/>
          </w:tcPr>
          <w:p w14:paraId="3FF68F6C"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70E8F9F9"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34CABA32" w14:textId="77777777" w:rsidR="006E442A" w:rsidRDefault="006E442A" w:rsidP="006E442A">
            <w:pPr>
              <w:spacing w:after="1"/>
              <w:jc w:val="right"/>
              <w:rPr>
                <w:rFonts w:ascii="Calibri" w:eastAsia="Calibri" w:hAnsi="Calibri" w:cs="Calibri"/>
                <w:color w:val="000000"/>
                <w:sz w:val="19"/>
              </w:rPr>
            </w:pPr>
          </w:p>
        </w:tc>
        <w:tc>
          <w:tcPr>
            <w:tcW w:w="103" w:type="pct"/>
            <w:tcBorders>
              <w:top w:val="nil"/>
              <w:left w:val="nil"/>
              <w:bottom w:val="nil"/>
              <w:right w:val="nil"/>
              <w:tl2br w:val="nil"/>
              <w:tr2bl w:val="nil"/>
            </w:tcBorders>
            <w:shd w:val="solid" w:color="FFFFFF" w:fill="FFFFFF"/>
            <w:noWrap/>
            <w:vAlign w:val="bottom"/>
          </w:tcPr>
          <w:p w14:paraId="6055EA00" w14:textId="77777777" w:rsidR="006E442A" w:rsidRDefault="006E442A" w:rsidP="006E442A">
            <w:pPr>
              <w:spacing w:after="1"/>
              <w:jc w:val="right"/>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noWrap/>
            <w:vAlign w:val="bottom"/>
          </w:tcPr>
          <w:p w14:paraId="5AFEFA09"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02CB04AA"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417E959F" w14:textId="77777777" w:rsidR="006E442A" w:rsidRDefault="006E442A" w:rsidP="006E442A">
            <w:pPr>
              <w:spacing w:after="1"/>
              <w:jc w:val="right"/>
              <w:rPr>
                <w:rFonts w:ascii="Calibri" w:eastAsia="Calibri" w:hAnsi="Calibri" w:cs="Calibri"/>
                <w:color w:val="000000"/>
                <w:sz w:val="19"/>
              </w:rPr>
            </w:pPr>
          </w:p>
        </w:tc>
        <w:tc>
          <w:tcPr>
            <w:tcW w:w="103" w:type="pct"/>
            <w:tcBorders>
              <w:top w:val="nil"/>
              <w:left w:val="nil"/>
              <w:bottom w:val="nil"/>
              <w:right w:val="nil"/>
              <w:tl2br w:val="nil"/>
              <w:tr2bl w:val="nil"/>
            </w:tcBorders>
            <w:shd w:val="solid" w:color="FFFFFF" w:fill="FFFFFF"/>
            <w:noWrap/>
            <w:vAlign w:val="bottom"/>
          </w:tcPr>
          <w:p w14:paraId="303EC085" w14:textId="77777777" w:rsidR="006E442A" w:rsidRDefault="006E442A" w:rsidP="006E442A">
            <w:pPr>
              <w:spacing w:after="1"/>
              <w:jc w:val="right"/>
              <w:rPr>
                <w:rFonts w:ascii="Calibri" w:eastAsia="Calibri" w:hAnsi="Calibri" w:cs="Calibri"/>
                <w:color w:val="000000"/>
                <w:sz w:val="19"/>
              </w:rPr>
            </w:pPr>
          </w:p>
        </w:tc>
        <w:tc>
          <w:tcPr>
            <w:tcW w:w="65" w:type="pct"/>
            <w:tcBorders>
              <w:top w:val="nil"/>
              <w:left w:val="nil"/>
              <w:bottom w:val="nil"/>
              <w:right w:val="nil"/>
              <w:tl2br w:val="nil"/>
              <w:tr2bl w:val="nil"/>
            </w:tcBorders>
            <w:shd w:val="solid" w:color="FFFFFF" w:fill="FFFFFF"/>
            <w:noWrap/>
            <w:vAlign w:val="bottom"/>
          </w:tcPr>
          <w:p w14:paraId="726C6AEE" w14:textId="77777777" w:rsidR="006E442A" w:rsidRDefault="006E442A" w:rsidP="006E442A">
            <w:pPr>
              <w:spacing w:after="1"/>
              <w:rPr>
                <w:rFonts w:ascii="Calibri" w:eastAsia="Calibri" w:hAnsi="Calibri" w:cs="Calibri"/>
                <w:color w:val="000000"/>
                <w:sz w:val="19"/>
              </w:rPr>
            </w:pPr>
          </w:p>
        </w:tc>
      </w:tr>
      <w:tr w:rsidR="006E442A" w14:paraId="6DF93336" w14:textId="77777777" w:rsidTr="00F10DDD">
        <w:tc>
          <w:tcPr>
            <w:tcW w:w="3243" w:type="pct"/>
            <w:tcBorders>
              <w:top w:val="nil"/>
              <w:left w:val="nil"/>
              <w:bottom w:val="nil"/>
              <w:right w:val="nil"/>
              <w:tl2br w:val="nil"/>
              <w:tr2bl w:val="nil"/>
            </w:tcBorders>
            <w:shd w:val="solid" w:color="FFFFFF" w:fill="FFFFFF"/>
            <w:vAlign w:val="bottom"/>
          </w:tcPr>
          <w:p w14:paraId="2C23AAEC" w14:textId="77777777" w:rsidR="006E442A" w:rsidRDefault="006E442A" w:rsidP="006E442A">
            <w:pPr>
              <w:spacing w:after="1"/>
              <w:ind w:left="120"/>
              <w:rPr>
                <w:rFonts w:ascii="Calibri" w:eastAsia="Calibri" w:hAnsi="Calibri" w:cs="Calibri"/>
                <w:color w:val="000000"/>
                <w:sz w:val="19"/>
              </w:rPr>
            </w:pPr>
            <w:r>
              <w:rPr>
                <w:rFonts w:ascii="Calibri" w:eastAsia="Calibri" w:hAnsi="Calibri" w:cs="Calibri"/>
                <w:color w:val="000000"/>
                <w:sz w:val="19"/>
              </w:rPr>
              <w:t>growth (5) from prior period</w:t>
            </w:r>
          </w:p>
        </w:tc>
        <w:tc>
          <w:tcPr>
            <w:tcW w:w="128" w:type="pct"/>
            <w:tcBorders>
              <w:top w:val="nil"/>
              <w:left w:val="nil"/>
              <w:bottom w:val="nil"/>
              <w:right w:val="nil"/>
              <w:tl2br w:val="nil"/>
              <w:tr2bl w:val="nil"/>
            </w:tcBorders>
            <w:shd w:val="solid" w:color="FFFFFF" w:fill="FFFFFF"/>
            <w:vAlign w:val="bottom"/>
          </w:tcPr>
          <w:p w14:paraId="6F60F54D"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75AF7571"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532" w:type="pct"/>
            <w:tcBorders>
              <w:top w:val="nil"/>
              <w:left w:val="nil"/>
              <w:bottom w:val="nil"/>
              <w:right w:val="nil"/>
              <w:tl2br w:val="nil"/>
              <w:tr2bl w:val="nil"/>
            </w:tcBorders>
            <w:shd w:val="solid" w:color="FFFFFF" w:fill="FFFFFF"/>
            <w:noWrap/>
            <w:vAlign w:val="bottom"/>
          </w:tcPr>
          <w:p w14:paraId="67397499"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30.9</w:t>
            </w:r>
          </w:p>
        </w:tc>
        <w:tc>
          <w:tcPr>
            <w:tcW w:w="103" w:type="pct"/>
            <w:tcBorders>
              <w:top w:val="nil"/>
              <w:left w:val="nil"/>
              <w:bottom w:val="nil"/>
              <w:right w:val="nil"/>
              <w:tl2br w:val="nil"/>
              <w:tr2bl w:val="nil"/>
            </w:tcBorders>
            <w:shd w:val="solid" w:color="FFFFFF" w:fill="FFFFFF"/>
            <w:noWrap/>
            <w:vAlign w:val="bottom"/>
          </w:tcPr>
          <w:p w14:paraId="223AF7DC"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w:t>
            </w:r>
          </w:p>
        </w:tc>
        <w:tc>
          <w:tcPr>
            <w:tcW w:w="128" w:type="pct"/>
            <w:tcBorders>
              <w:top w:val="nil"/>
              <w:left w:val="nil"/>
              <w:bottom w:val="nil"/>
              <w:right w:val="nil"/>
              <w:tl2br w:val="nil"/>
              <w:tr2bl w:val="nil"/>
            </w:tcBorders>
            <w:shd w:val="solid" w:color="FFFFFF" w:fill="FFFFFF"/>
            <w:noWrap/>
            <w:vAlign w:val="bottom"/>
          </w:tcPr>
          <w:p w14:paraId="4B438A70"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7922CA85"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532" w:type="pct"/>
            <w:tcBorders>
              <w:top w:val="nil"/>
              <w:left w:val="nil"/>
              <w:bottom w:val="nil"/>
              <w:right w:val="nil"/>
              <w:tl2br w:val="nil"/>
              <w:tr2bl w:val="nil"/>
            </w:tcBorders>
            <w:shd w:val="solid" w:color="FFFFFF" w:fill="FFFFFF"/>
            <w:noWrap/>
            <w:vAlign w:val="bottom"/>
          </w:tcPr>
          <w:p w14:paraId="46C0365E"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xml:space="preserve"> (27.6)</w:t>
            </w:r>
          </w:p>
        </w:tc>
        <w:tc>
          <w:tcPr>
            <w:tcW w:w="103" w:type="pct"/>
            <w:tcBorders>
              <w:top w:val="nil"/>
              <w:left w:val="nil"/>
              <w:bottom w:val="nil"/>
              <w:right w:val="nil"/>
              <w:tl2br w:val="nil"/>
              <w:tr2bl w:val="nil"/>
            </w:tcBorders>
            <w:shd w:val="solid" w:color="FFFFFF" w:fill="FFFFFF"/>
            <w:noWrap/>
            <w:vAlign w:val="bottom"/>
          </w:tcPr>
          <w:p w14:paraId="56F29D46"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w:t>
            </w:r>
          </w:p>
        </w:tc>
        <w:tc>
          <w:tcPr>
            <w:tcW w:w="65" w:type="pct"/>
            <w:tcBorders>
              <w:top w:val="nil"/>
              <w:left w:val="nil"/>
              <w:bottom w:val="nil"/>
              <w:right w:val="nil"/>
              <w:tl2br w:val="nil"/>
              <w:tr2bl w:val="nil"/>
            </w:tcBorders>
            <w:shd w:val="solid" w:color="FFFFFF" w:fill="FFFFFF"/>
            <w:noWrap/>
            <w:vAlign w:val="bottom"/>
          </w:tcPr>
          <w:p w14:paraId="34885A33" w14:textId="77777777" w:rsidR="006E442A" w:rsidRDefault="006E442A" w:rsidP="006E442A">
            <w:pPr>
              <w:spacing w:after="1"/>
              <w:rPr>
                <w:rFonts w:ascii="Calibri" w:eastAsia="Calibri" w:hAnsi="Calibri" w:cs="Calibri"/>
                <w:color w:val="000000"/>
                <w:sz w:val="19"/>
              </w:rPr>
            </w:pPr>
          </w:p>
        </w:tc>
      </w:tr>
      <w:tr w:rsidR="006E442A" w14:paraId="3F8396FE" w14:textId="77777777" w:rsidTr="00F10DDD">
        <w:tc>
          <w:tcPr>
            <w:tcW w:w="3243" w:type="pct"/>
            <w:tcBorders>
              <w:top w:val="nil"/>
              <w:left w:val="nil"/>
              <w:bottom w:val="nil"/>
              <w:right w:val="nil"/>
              <w:tl2br w:val="nil"/>
              <w:tr2bl w:val="nil"/>
            </w:tcBorders>
            <w:shd w:val="solid" w:color="FFFFFF" w:fill="FFFFFF"/>
            <w:vAlign w:val="bottom"/>
          </w:tcPr>
          <w:p w14:paraId="0C2E92E9" w14:textId="77777777" w:rsidR="006E442A" w:rsidRDefault="006E442A" w:rsidP="006E442A">
            <w:pPr>
              <w:spacing w:after="1"/>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vAlign w:val="bottom"/>
          </w:tcPr>
          <w:p w14:paraId="71C6A485"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6CA28524"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31DA959D" w14:textId="77777777" w:rsidR="006E442A" w:rsidRDefault="006E442A" w:rsidP="006E442A">
            <w:pPr>
              <w:spacing w:after="1"/>
              <w:jc w:val="right"/>
              <w:rPr>
                <w:rFonts w:ascii="Calibri" w:eastAsia="Calibri" w:hAnsi="Calibri" w:cs="Calibri"/>
                <w:color w:val="000000"/>
                <w:sz w:val="19"/>
              </w:rPr>
            </w:pPr>
          </w:p>
        </w:tc>
        <w:tc>
          <w:tcPr>
            <w:tcW w:w="103" w:type="pct"/>
            <w:tcBorders>
              <w:top w:val="nil"/>
              <w:left w:val="nil"/>
              <w:bottom w:val="nil"/>
              <w:right w:val="nil"/>
              <w:tl2br w:val="nil"/>
              <w:tr2bl w:val="nil"/>
            </w:tcBorders>
            <w:shd w:val="solid" w:color="FFFFFF" w:fill="FFFFFF"/>
            <w:noWrap/>
            <w:vAlign w:val="bottom"/>
          </w:tcPr>
          <w:p w14:paraId="29AA724A" w14:textId="77777777" w:rsidR="006E442A" w:rsidRDefault="006E442A" w:rsidP="006E442A">
            <w:pPr>
              <w:spacing w:after="1"/>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noWrap/>
            <w:vAlign w:val="bottom"/>
          </w:tcPr>
          <w:p w14:paraId="0AEF5AF3"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1B80DC7E"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39979ACD" w14:textId="77777777" w:rsidR="006E442A" w:rsidRDefault="006E442A" w:rsidP="006E442A">
            <w:pPr>
              <w:spacing w:after="1"/>
              <w:jc w:val="right"/>
              <w:rPr>
                <w:rFonts w:ascii="Calibri" w:eastAsia="Calibri" w:hAnsi="Calibri" w:cs="Calibri"/>
                <w:color w:val="000000"/>
                <w:sz w:val="19"/>
              </w:rPr>
            </w:pPr>
          </w:p>
        </w:tc>
        <w:tc>
          <w:tcPr>
            <w:tcW w:w="103" w:type="pct"/>
            <w:tcBorders>
              <w:top w:val="nil"/>
              <w:left w:val="nil"/>
              <w:bottom w:val="nil"/>
              <w:right w:val="nil"/>
              <w:tl2br w:val="nil"/>
              <w:tr2bl w:val="nil"/>
            </w:tcBorders>
            <w:shd w:val="solid" w:color="FFFFFF" w:fill="FFFFFF"/>
            <w:noWrap/>
            <w:vAlign w:val="bottom"/>
          </w:tcPr>
          <w:p w14:paraId="081A79D3" w14:textId="77777777" w:rsidR="006E442A" w:rsidRDefault="006E442A" w:rsidP="006E442A">
            <w:pPr>
              <w:spacing w:after="1"/>
              <w:rPr>
                <w:rFonts w:ascii="Calibri" w:eastAsia="Calibri" w:hAnsi="Calibri" w:cs="Calibri"/>
                <w:color w:val="000000"/>
                <w:sz w:val="19"/>
              </w:rPr>
            </w:pPr>
          </w:p>
        </w:tc>
        <w:tc>
          <w:tcPr>
            <w:tcW w:w="65" w:type="pct"/>
            <w:tcBorders>
              <w:top w:val="nil"/>
              <w:left w:val="nil"/>
              <w:bottom w:val="nil"/>
              <w:right w:val="nil"/>
              <w:tl2br w:val="nil"/>
              <w:tr2bl w:val="nil"/>
            </w:tcBorders>
            <w:shd w:val="solid" w:color="FFFFFF" w:fill="FFFFFF"/>
            <w:noWrap/>
            <w:vAlign w:val="bottom"/>
          </w:tcPr>
          <w:p w14:paraId="7AC054D6" w14:textId="77777777" w:rsidR="006E442A" w:rsidRDefault="006E442A" w:rsidP="006E442A">
            <w:pPr>
              <w:spacing w:after="1"/>
              <w:rPr>
                <w:rFonts w:ascii="Calibri" w:eastAsia="Calibri" w:hAnsi="Calibri" w:cs="Calibri"/>
                <w:color w:val="000000"/>
                <w:sz w:val="19"/>
              </w:rPr>
            </w:pPr>
          </w:p>
        </w:tc>
      </w:tr>
      <w:tr w:rsidR="006E442A" w14:paraId="5990A7E4" w14:textId="77777777" w:rsidTr="00F10DDD">
        <w:tc>
          <w:tcPr>
            <w:tcW w:w="3243" w:type="pct"/>
            <w:tcBorders>
              <w:top w:val="nil"/>
              <w:left w:val="nil"/>
              <w:bottom w:val="nil"/>
              <w:right w:val="nil"/>
              <w:tl2br w:val="nil"/>
              <w:tr2bl w:val="nil"/>
            </w:tcBorders>
            <w:shd w:val="solid" w:color="FFFFFF" w:fill="FFFFFF"/>
            <w:vAlign w:val="bottom"/>
          </w:tcPr>
          <w:p w14:paraId="364474DA" w14:textId="77777777" w:rsidR="006E442A" w:rsidRDefault="006E442A" w:rsidP="006E442A">
            <w:pPr>
              <w:spacing w:after="1"/>
              <w:rPr>
                <w:rFonts w:ascii="Calibri" w:eastAsia="Calibri" w:hAnsi="Calibri" w:cs="Calibri"/>
                <w:b/>
                <w:color w:val="000000"/>
                <w:sz w:val="19"/>
              </w:rPr>
            </w:pPr>
            <w:r>
              <w:rPr>
                <w:rFonts w:ascii="Calibri" w:eastAsia="Calibri" w:hAnsi="Calibri" w:cs="Calibri"/>
                <w:b/>
                <w:color w:val="000000"/>
                <w:sz w:val="19"/>
              </w:rPr>
              <w:t>Tax Adjustments</w:t>
            </w:r>
          </w:p>
        </w:tc>
        <w:tc>
          <w:tcPr>
            <w:tcW w:w="128" w:type="pct"/>
            <w:tcBorders>
              <w:top w:val="nil"/>
              <w:left w:val="nil"/>
              <w:bottom w:val="nil"/>
              <w:right w:val="nil"/>
              <w:tl2br w:val="nil"/>
              <w:tr2bl w:val="nil"/>
            </w:tcBorders>
            <w:shd w:val="solid" w:color="FFFFFF" w:fill="FFFFFF"/>
            <w:vAlign w:val="bottom"/>
          </w:tcPr>
          <w:p w14:paraId="7B439C38"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6BCD060E"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336E2EB6" w14:textId="77777777" w:rsidR="006E442A" w:rsidRDefault="006E442A" w:rsidP="006E442A">
            <w:pPr>
              <w:spacing w:after="1"/>
              <w:rPr>
                <w:rFonts w:ascii="Calibri" w:eastAsia="Calibri" w:hAnsi="Calibri" w:cs="Calibri"/>
                <w:color w:val="000000"/>
                <w:sz w:val="19"/>
              </w:rPr>
            </w:pPr>
          </w:p>
        </w:tc>
        <w:tc>
          <w:tcPr>
            <w:tcW w:w="103" w:type="pct"/>
            <w:tcBorders>
              <w:top w:val="nil"/>
              <w:left w:val="nil"/>
              <w:bottom w:val="nil"/>
              <w:right w:val="nil"/>
              <w:tl2br w:val="nil"/>
              <w:tr2bl w:val="nil"/>
            </w:tcBorders>
            <w:shd w:val="solid" w:color="FFFFFF" w:fill="FFFFFF"/>
            <w:noWrap/>
            <w:vAlign w:val="bottom"/>
          </w:tcPr>
          <w:p w14:paraId="2502DE0D" w14:textId="77777777" w:rsidR="006E442A" w:rsidRDefault="006E442A" w:rsidP="006E442A">
            <w:pPr>
              <w:spacing w:after="1"/>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noWrap/>
            <w:vAlign w:val="bottom"/>
          </w:tcPr>
          <w:p w14:paraId="7A0D5BB5"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6D84176D"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7F83A75B" w14:textId="77777777" w:rsidR="006E442A" w:rsidRDefault="006E442A" w:rsidP="006E442A">
            <w:pPr>
              <w:spacing w:after="1"/>
              <w:rPr>
                <w:rFonts w:ascii="Calibri" w:eastAsia="Calibri" w:hAnsi="Calibri" w:cs="Calibri"/>
                <w:color w:val="000000"/>
                <w:sz w:val="19"/>
              </w:rPr>
            </w:pPr>
          </w:p>
        </w:tc>
        <w:tc>
          <w:tcPr>
            <w:tcW w:w="103" w:type="pct"/>
            <w:tcBorders>
              <w:top w:val="nil"/>
              <w:left w:val="nil"/>
              <w:bottom w:val="nil"/>
              <w:right w:val="nil"/>
              <w:tl2br w:val="nil"/>
              <w:tr2bl w:val="nil"/>
            </w:tcBorders>
            <w:shd w:val="solid" w:color="FFFFFF" w:fill="FFFFFF"/>
            <w:noWrap/>
            <w:vAlign w:val="bottom"/>
          </w:tcPr>
          <w:p w14:paraId="78B84A83" w14:textId="77777777" w:rsidR="006E442A" w:rsidRDefault="006E442A" w:rsidP="006E442A">
            <w:pPr>
              <w:spacing w:after="1"/>
              <w:rPr>
                <w:rFonts w:ascii="Calibri" w:eastAsia="Calibri" w:hAnsi="Calibri" w:cs="Calibri"/>
                <w:color w:val="000000"/>
                <w:sz w:val="19"/>
              </w:rPr>
            </w:pPr>
          </w:p>
        </w:tc>
        <w:tc>
          <w:tcPr>
            <w:tcW w:w="65" w:type="pct"/>
            <w:tcBorders>
              <w:top w:val="nil"/>
              <w:left w:val="nil"/>
              <w:bottom w:val="nil"/>
              <w:right w:val="nil"/>
              <w:tl2br w:val="nil"/>
              <w:tr2bl w:val="nil"/>
            </w:tcBorders>
            <w:shd w:val="solid" w:color="FFFFFF" w:fill="FFFFFF"/>
            <w:noWrap/>
            <w:vAlign w:val="bottom"/>
          </w:tcPr>
          <w:p w14:paraId="510F788D" w14:textId="77777777" w:rsidR="006E442A" w:rsidRDefault="006E442A" w:rsidP="006E442A">
            <w:pPr>
              <w:spacing w:after="1"/>
              <w:rPr>
                <w:rFonts w:ascii="Calibri" w:eastAsia="Calibri" w:hAnsi="Calibri" w:cs="Calibri"/>
                <w:color w:val="000000"/>
                <w:sz w:val="19"/>
              </w:rPr>
            </w:pPr>
          </w:p>
        </w:tc>
      </w:tr>
      <w:tr w:rsidR="006E442A" w14:paraId="0B1B7CC2" w14:textId="77777777" w:rsidTr="00F10DDD">
        <w:tc>
          <w:tcPr>
            <w:tcW w:w="3243" w:type="pct"/>
            <w:tcBorders>
              <w:top w:val="nil"/>
              <w:left w:val="nil"/>
              <w:bottom w:val="nil"/>
              <w:right w:val="nil"/>
              <w:tl2br w:val="nil"/>
              <w:tr2bl w:val="nil"/>
            </w:tcBorders>
            <w:shd w:val="solid" w:color="FFFFFF" w:fill="FFFFFF"/>
            <w:vAlign w:val="bottom"/>
          </w:tcPr>
          <w:p w14:paraId="1D85BA89"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Tax Adjustments (5)(6)</w:t>
            </w:r>
          </w:p>
        </w:tc>
        <w:tc>
          <w:tcPr>
            <w:tcW w:w="128" w:type="pct"/>
            <w:tcBorders>
              <w:top w:val="nil"/>
              <w:left w:val="nil"/>
              <w:bottom w:val="nil"/>
              <w:right w:val="nil"/>
              <w:tl2br w:val="nil"/>
              <w:tr2bl w:val="nil"/>
            </w:tcBorders>
            <w:shd w:val="solid" w:color="FFFFFF" w:fill="FFFFFF"/>
            <w:vAlign w:val="bottom"/>
          </w:tcPr>
          <w:p w14:paraId="2E51D20B"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13F3B349"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w:t>
            </w:r>
          </w:p>
        </w:tc>
        <w:tc>
          <w:tcPr>
            <w:tcW w:w="532" w:type="pct"/>
            <w:tcBorders>
              <w:top w:val="nil"/>
              <w:left w:val="nil"/>
              <w:bottom w:val="nil"/>
              <w:right w:val="nil"/>
              <w:tl2br w:val="nil"/>
              <w:tr2bl w:val="nil"/>
            </w:tcBorders>
            <w:shd w:val="solid" w:color="FFFFFF" w:fill="FFFFFF"/>
            <w:noWrap/>
            <w:vAlign w:val="bottom"/>
          </w:tcPr>
          <w:p w14:paraId="0731AF58"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14,813</w:t>
            </w:r>
          </w:p>
        </w:tc>
        <w:tc>
          <w:tcPr>
            <w:tcW w:w="103" w:type="pct"/>
            <w:tcBorders>
              <w:top w:val="nil"/>
              <w:left w:val="nil"/>
              <w:bottom w:val="nil"/>
              <w:right w:val="nil"/>
              <w:tl2br w:val="nil"/>
              <w:tr2bl w:val="nil"/>
            </w:tcBorders>
            <w:shd w:val="solid" w:color="FFFFFF" w:fill="FFFFFF"/>
            <w:noWrap/>
            <w:vAlign w:val="bottom"/>
          </w:tcPr>
          <w:p w14:paraId="182082CF" w14:textId="77777777" w:rsidR="006E442A" w:rsidRDefault="006E442A" w:rsidP="006E442A">
            <w:pPr>
              <w:spacing w:after="1"/>
              <w:jc w:val="right"/>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noWrap/>
            <w:vAlign w:val="bottom"/>
          </w:tcPr>
          <w:p w14:paraId="32470FC0"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6B33F657"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w:t>
            </w:r>
          </w:p>
        </w:tc>
        <w:tc>
          <w:tcPr>
            <w:tcW w:w="532" w:type="pct"/>
            <w:tcBorders>
              <w:top w:val="nil"/>
              <w:left w:val="nil"/>
              <w:bottom w:val="nil"/>
              <w:right w:val="nil"/>
              <w:tl2br w:val="nil"/>
              <w:tr2bl w:val="nil"/>
            </w:tcBorders>
            <w:shd w:val="solid" w:color="FFFFFF" w:fill="FFFFFF"/>
            <w:noWrap/>
            <w:vAlign w:val="bottom"/>
          </w:tcPr>
          <w:p w14:paraId="437E4D49"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17,378</w:t>
            </w:r>
          </w:p>
        </w:tc>
        <w:tc>
          <w:tcPr>
            <w:tcW w:w="103" w:type="pct"/>
            <w:tcBorders>
              <w:top w:val="nil"/>
              <w:left w:val="nil"/>
              <w:bottom w:val="nil"/>
              <w:right w:val="nil"/>
              <w:tl2br w:val="nil"/>
              <w:tr2bl w:val="nil"/>
            </w:tcBorders>
            <w:shd w:val="solid" w:color="FFFFFF" w:fill="FFFFFF"/>
            <w:noWrap/>
            <w:vAlign w:val="bottom"/>
          </w:tcPr>
          <w:p w14:paraId="5F67AFBA" w14:textId="77777777" w:rsidR="006E442A" w:rsidRDefault="006E442A" w:rsidP="006E442A">
            <w:pPr>
              <w:spacing w:after="1"/>
              <w:rPr>
                <w:rFonts w:ascii="Calibri" w:eastAsia="Calibri" w:hAnsi="Calibri" w:cs="Calibri"/>
                <w:color w:val="000000"/>
                <w:sz w:val="19"/>
              </w:rPr>
            </w:pPr>
          </w:p>
        </w:tc>
        <w:tc>
          <w:tcPr>
            <w:tcW w:w="65" w:type="pct"/>
            <w:tcBorders>
              <w:top w:val="nil"/>
              <w:left w:val="nil"/>
              <w:bottom w:val="nil"/>
              <w:right w:val="nil"/>
              <w:tl2br w:val="nil"/>
              <w:tr2bl w:val="nil"/>
            </w:tcBorders>
            <w:shd w:val="solid" w:color="FFFFFF" w:fill="FFFFFF"/>
            <w:noWrap/>
            <w:vAlign w:val="bottom"/>
          </w:tcPr>
          <w:p w14:paraId="27CD53FB" w14:textId="77777777" w:rsidR="006E442A" w:rsidRDefault="006E442A" w:rsidP="006E442A">
            <w:pPr>
              <w:spacing w:after="1"/>
              <w:rPr>
                <w:rFonts w:ascii="Calibri" w:eastAsia="Calibri" w:hAnsi="Calibri" w:cs="Calibri"/>
                <w:color w:val="000000"/>
                <w:sz w:val="19"/>
              </w:rPr>
            </w:pPr>
          </w:p>
        </w:tc>
      </w:tr>
      <w:tr w:rsidR="006E442A" w14:paraId="1E04AFB2" w14:textId="77777777" w:rsidTr="00F10DDD">
        <w:tc>
          <w:tcPr>
            <w:tcW w:w="3243" w:type="pct"/>
            <w:tcBorders>
              <w:top w:val="nil"/>
              <w:left w:val="nil"/>
              <w:bottom w:val="nil"/>
              <w:right w:val="nil"/>
              <w:tl2br w:val="nil"/>
              <w:tr2bl w:val="nil"/>
            </w:tcBorders>
            <w:shd w:val="solid" w:color="FFFFFF" w:fill="FFFFFF"/>
            <w:vAlign w:val="bottom"/>
          </w:tcPr>
          <w:p w14:paraId="388DD746"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Tax Adjustments growth from prior period (5)(6)</w:t>
            </w:r>
          </w:p>
        </w:tc>
        <w:tc>
          <w:tcPr>
            <w:tcW w:w="128" w:type="pct"/>
            <w:tcBorders>
              <w:top w:val="nil"/>
              <w:left w:val="nil"/>
              <w:bottom w:val="nil"/>
              <w:right w:val="nil"/>
              <w:tl2br w:val="nil"/>
              <w:tr2bl w:val="nil"/>
            </w:tcBorders>
            <w:shd w:val="solid" w:color="FFFFFF" w:fill="FFFFFF"/>
            <w:vAlign w:val="bottom"/>
          </w:tcPr>
          <w:p w14:paraId="34886622"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6FC2E7B0"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233F33C4"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41.2</w:t>
            </w:r>
          </w:p>
        </w:tc>
        <w:tc>
          <w:tcPr>
            <w:tcW w:w="103" w:type="pct"/>
            <w:tcBorders>
              <w:top w:val="nil"/>
              <w:left w:val="nil"/>
              <w:bottom w:val="nil"/>
              <w:right w:val="nil"/>
              <w:tl2br w:val="nil"/>
              <w:tr2bl w:val="nil"/>
            </w:tcBorders>
            <w:shd w:val="solid" w:color="FFFFFF" w:fill="FFFFFF"/>
            <w:noWrap/>
            <w:vAlign w:val="bottom"/>
          </w:tcPr>
          <w:p w14:paraId="4AB19E2D"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w:t>
            </w:r>
          </w:p>
        </w:tc>
        <w:tc>
          <w:tcPr>
            <w:tcW w:w="128" w:type="pct"/>
            <w:tcBorders>
              <w:top w:val="nil"/>
              <w:left w:val="nil"/>
              <w:bottom w:val="nil"/>
              <w:right w:val="nil"/>
              <w:tl2br w:val="nil"/>
              <w:tr2bl w:val="nil"/>
            </w:tcBorders>
            <w:shd w:val="solid" w:color="FFFFFF" w:fill="FFFFFF"/>
            <w:noWrap/>
            <w:vAlign w:val="bottom"/>
          </w:tcPr>
          <w:p w14:paraId="1B0DF220"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010E7DEF"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2401F82B"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17.3</w:t>
            </w:r>
          </w:p>
        </w:tc>
        <w:tc>
          <w:tcPr>
            <w:tcW w:w="103" w:type="pct"/>
            <w:tcBorders>
              <w:top w:val="nil"/>
              <w:left w:val="nil"/>
              <w:bottom w:val="nil"/>
              <w:right w:val="nil"/>
              <w:tl2br w:val="nil"/>
              <w:tr2bl w:val="nil"/>
            </w:tcBorders>
            <w:shd w:val="solid" w:color="FFFFFF" w:fill="FFFFFF"/>
            <w:noWrap/>
            <w:vAlign w:val="bottom"/>
          </w:tcPr>
          <w:p w14:paraId="7A9A41E4"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w:t>
            </w:r>
          </w:p>
        </w:tc>
        <w:tc>
          <w:tcPr>
            <w:tcW w:w="65" w:type="pct"/>
            <w:tcBorders>
              <w:top w:val="nil"/>
              <w:left w:val="nil"/>
              <w:bottom w:val="nil"/>
              <w:right w:val="nil"/>
              <w:tl2br w:val="nil"/>
              <w:tr2bl w:val="nil"/>
            </w:tcBorders>
            <w:shd w:val="solid" w:color="FFFFFF" w:fill="FFFFFF"/>
            <w:noWrap/>
            <w:vAlign w:val="bottom"/>
          </w:tcPr>
          <w:p w14:paraId="0ADEBCFB" w14:textId="77777777" w:rsidR="006E442A" w:rsidRDefault="006E442A" w:rsidP="006E442A">
            <w:pPr>
              <w:spacing w:after="1"/>
              <w:rPr>
                <w:rFonts w:ascii="Calibri" w:eastAsia="Calibri" w:hAnsi="Calibri" w:cs="Calibri"/>
                <w:color w:val="000000"/>
                <w:sz w:val="19"/>
              </w:rPr>
            </w:pPr>
          </w:p>
        </w:tc>
      </w:tr>
      <w:tr w:rsidR="006E442A" w14:paraId="4B53A15D" w14:textId="77777777" w:rsidTr="00F10DDD">
        <w:tc>
          <w:tcPr>
            <w:tcW w:w="3243" w:type="pct"/>
            <w:tcBorders>
              <w:top w:val="nil"/>
              <w:left w:val="nil"/>
              <w:bottom w:val="nil"/>
              <w:right w:val="nil"/>
              <w:tl2br w:val="nil"/>
              <w:tr2bl w:val="nil"/>
            </w:tcBorders>
            <w:shd w:val="solid" w:color="FFFFFF" w:fill="FFFFFF"/>
            <w:vAlign w:val="bottom"/>
          </w:tcPr>
          <w:p w14:paraId="34D4F038" w14:textId="77777777" w:rsidR="006E442A" w:rsidRDefault="006E442A" w:rsidP="006E442A">
            <w:pPr>
              <w:spacing w:after="1"/>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vAlign w:val="bottom"/>
          </w:tcPr>
          <w:p w14:paraId="681062CB"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57AAE667"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5255E365" w14:textId="77777777" w:rsidR="006E442A" w:rsidRDefault="006E442A" w:rsidP="006E442A">
            <w:pPr>
              <w:spacing w:after="1"/>
              <w:jc w:val="right"/>
              <w:rPr>
                <w:rFonts w:ascii="Calibri" w:eastAsia="Calibri" w:hAnsi="Calibri" w:cs="Calibri"/>
                <w:color w:val="000000"/>
                <w:sz w:val="19"/>
              </w:rPr>
            </w:pPr>
          </w:p>
        </w:tc>
        <w:tc>
          <w:tcPr>
            <w:tcW w:w="103" w:type="pct"/>
            <w:tcBorders>
              <w:top w:val="nil"/>
              <w:left w:val="nil"/>
              <w:bottom w:val="nil"/>
              <w:right w:val="nil"/>
              <w:tl2br w:val="nil"/>
              <w:tr2bl w:val="nil"/>
            </w:tcBorders>
            <w:shd w:val="solid" w:color="FFFFFF" w:fill="FFFFFF"/>
            <w:noWrap/>
            <w:vAlign w:val="bottom"/>
          </w:tcPr>
          <w:p w14:paraId="44017BB3" w14:textId="77777777" w:rsidR="006E442A" w:rsidRDefault="006E442A" w:rsidP="006E442A">
            <w:pPr>
              <w:spacing w:after="1"/>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noWrap/>
            <w:vAlign w:val="bottom"/>
          </w:tcPr>
          <w:p w14:paraId="07F34BFC"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1BB6C0BD"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4D0CE35C" w14:textId="77777777" w:rsidR="006E442A" w:rsidRDefault="006E442A" w:rsidP="006E442A">
            <w:pPr>
              <w:spacing w:after="1"/>
              <w:jc w:val="right"/>
              <w:rPr>
                <w:rFonts w:ascii="Calibri" w:eastAsia="Calibri" w:hAnsi="Calibri" w:cs="Calibri"/>
                <w:color w:val="000000"/>
                <w:sz w:val="19"/>
              </w:rPr>
            </w:pPr>
          </w:p>
        </w:tc>
        <w:tc>
          <w:tcPr>
            <w:tcW w:w="103" w:type="pct"/>
            <w:tcBorders>
              <w:top w:val="nil"/>
              <w:left w:val="nil"/>
              <w:bottom w:val="nil"/>
              <w:right w:val="nil"/>
              <w:tl2br w:val="nil"/>
              <w:tr2bl w:val="nil"/>
            </w:tcBorders>
            <w:shd w:val="solid" w:color="FFFFFF" w:fill="FFFFFF"/>
            <w:noWrap/>
            <w:vAlign w:val="bottom"/>
          </w:tcPr>
          <w:p w14:paraId="027B0BF4" w14:textId="77777777" w:rsidR="006E442A" w:rsidRDefault="006E442A" w:rsidP="006E442A">
            <w:pPr>
              <w:spacing w:after="1"/>
              <w:rPr>
                <w:rFonts w:ascii="Calibri" w:eastAsia="Calibri" w:hAnsi="Calibri" w:cs="Calibri"/>
                <w:color w:val="000000"/>
                <w:sz w:val="19"/>
              </w:rPr>
            </w:pPr>
          </w:p>
        </w:tc>
        <w:tc>
          <w:tcPr>
            <w:tcW w:w="65" w:type="pct"/>
            <w:tcBorders>
              <w:top w:val="nil"/>
              <w:left w:val="nil"/>
              <w:bottom w:val="nil"/>
              <w:right w:val="nil"/>
              <w:tl2br w:val="nil"/>
              <w:tr2bl w:val="nil"/>
            </w:tcBorders>
            <w:shd w:val="solid" w:color="FFFFFF" w:fill="FFFFFF"/>
            <w:noWrap/>
            <w:vAlign w:val="bottom"/>
          </w:tcPr>
          <w:p w14:paraId="458646B7" w14:textId="77777777" w:rsidR="006E442A" w:rsidRDefault="006E442A" w:rsidP="006E442A">
            <w:pPr>
              <w:spacing w:after="1"/>
              <w:rPr>
                <w:rFonts w:ascii="Calibri" w:eastAsia="Calibri" w:hAnsi="Calibri" w:cs="Calibri"/>
                <w:color w:val="000000"/>
                <w:sz w:val="19"/>
              </w:rPr>
            </w:pPr>
          </w:p>
        </w:tc>
      </w:tr>
    </w:tbl>
    <w:p w14:paraId="6262572E" w14:textId="77777777" w:rsidR="00787383" w:rsidRDefault="00787383" w:rsidP="005E65E6">
      <w:pPr>
        <w:spacing w:after="0" w:line="240" w:lineRule="auto"/>
        <w:contextualSpacing/>
        <w:jc w:val="both"/>
        <w:rPr>
          <w:rFonts w:cstheme="minorHAnsi"/>
          <w:sz w:val="23"/>
          <w:szCs w:val="23"/>
        </w:rPr>
      </w:pPr>
    </w:p>
    <w:p w14:paraId="71B77D37" w14:textId="77777777" w:rsidR="00787383" w:rsidRDefault="00787383" w:rsidP="005E65E6">
      <w:pPr>
        <w:spacing w:after="0" w:line="240" w:lineRule="auto"/>
        <w:contextualSpacing/>
        <w:jc w:val="both"/>
        <w:rPr>
          <w:rFonts w:cstheme="minorHAnsi"/>
          <w:sz w:val="23"/>
          <w:szCs w:val="23"/>
        </w:rPr>
      </w:pPr>
    </w:p>
    <w:p w14:paraId="274B8A56" w14:textId="77777777" w:rsidR="00787383" w:rsidRDefault="00787383" w:rsidP="005E65E6">
      <w:pPr>
        <w:spacing w:after="0" w:line="240" w:lineRule="auto"/>
        <w:contextualSpacing/>
        <w:jc w:val="both"/>
        <w:rPr>
          <w:rFonts w:cstheme="minorHAnsi"/>
          <w:sz w:val="23"/>
          <w:szCs w:val="23"/>
        </w:rPr>
      </w:pPr>
    </w:p>
    <w:p w14:paraId="1806D9B0" w14:textId="77777777" w:rsidR="00787383" w:rsidRDefault="00787383" w:rsidP="005E65E6">
      <w:pPr>
        <w:spacing w:after="0" w:line="240" w:lineRule="auto"/>
        <w:contextualSpacing/>
        <w:jc w:val="both"/>
        <w:rPr>
          <w:rFonts w:cstheme="minorHAnsi"/>
          <w:sz w:val="23"/>
          <w:szCs w:val="23"/>
        </w:rPr>
      </w:pPr>
    </w:p>
    <w:p w14:paraId="59DA039C" w14:textId="77777777" w:rsidR="00F8049B" w:rsidRDefault="00F8049B" w:rsidP="005E65E6">
      <w:pPr>
        <w:spacing w:after="0" w:line="240" w:lineRule="auto"/>
        <w:contextualSpacing/>
        <w:jc w:val="both"/>
        <w:rPr>
          <w:rFonts w:cstheme="minorHAnsi"/>
          <w:sz w:val="23"/>
          <w:szCs w:val="23"/>
        </w:rPr>
      </w:pPr>
    </w:p>
    <w:p w14:paraId="1BC96D3D" w14:textId="77777777" w:rsidR="00787383" w:rsidRDefault="00787383" w:rsidP="005E65E6">
      <w:pPr>
        <w:spacing w:after="0" w:line="240" w:lineRule="auto"/>
        <w:contextualSpacing/>
        <w:jc w:val="both"/>
        <w:rPr>
          <w:rFonts w:cstheme="minorHAnsi"/>
          <w:sz w:val="23"/>
          <w:szCs w:val="23"/>
        </w:rPr>
      </w:pPr>
    </w:p>
    <w:p w14:paraId="1970706A" w14:textId="77777777" w:rsidR="0057101E" w:rsidRDefault="0057101E" w:rsidP="005E65E6">
      <w:pPr>
        <w:spacing w:after="0" w:line="240" w:lineRule="auto"/>
        <w:contextualSpacing/>
        <w:jc w:val="both"/>
        <w:rPr>
          <w:rFonts w:cstheme="minorHAnsi"/>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99"/>
        <w:gridCol w:w="172"/>
        <w:gridCol w:w="167"/>
        <w:gridCol w:w="1069"/>
        <w:gridCol w:w="207"/>
        <w:gridCol w:w="258"/>
        <w:gridCol w:w="167"/>
        <w:gridCol w:w="1068"/>
        <w:gridCol w:w="206"/>
        <w:gridCol w:w="47"/>
      </w:tblGrid>
      <w:tr w:rsidR="006E442A" w14:paraId="2E16A029" w14:textId="77777777" w:rsidTr="00F10DDD">
        <w:trPr>
          <w:trHeight w:hRule="exact" w:val="20"/>
        </w:trPr>
        <w:tc>
          <w:tcPr>
            <w:tcW w:w="3243" w:type="pct"/>
            <w:tcBorders>
              <w:top w:val="nil"/>
              <w:left w:val="nil"/>
              <w:bottom w:val="nil"/>
              <w:right w:val="nil"/>
            </w:tcBorders>
            <w:vAlign w:val="bottom"/>
          </w:tcPr>
          <w:p w14:paraId="09954F47" w14:textId="77777777" w:rsidR="006E442A" w:rsidRDefault="006E442A" w:rsidP="006E442A">
            <w:pPr>
              <w:keepNext/>
              <w:spacing w:after="1"/>
              <w:rPr>
                <w:sz w:val="2"/>
              </w:rPr>
            </w:pPr>
          </w:p>
        </w:tc>
        <w:tc>
          <w:tcPr>
            <w:tcW w:w="128" w:type="pct"/>
            <w:tcBorders>
              <w:top w:val="nil"/>
              <w:left w:val="nil"/>
              <w:bottom w:val="nil"/>
              <w:right w:val="nil"/>
            </w:tcBorders>
            <w:vAlign w:val="bottom"/>
          </w:tcPr>
          <w:p w14:paraId="400F162F" w14:textId="77777777" w:rsidR="006E442A" w:rsidRDefault="006E442A" w:rsidP="006E442A">
            <w:pPr>
              <w:keepNext/>
              <w:spacing w:after="1"/>
              <w:rPr>
                <w:sz w:val="2"/>
              </w:rPr>
            </w:pPr>
          </w:p>
        </w:tc>
        <w:tc>
          <w:tcPr>
            <w:tcW w:w="83" w:type="pct"/>
            <w:tcBorders>
              <w:top w:val="nil"/>
              <w:left w:val="nil"/>
              <w:bottom w:val="nil"/>
              <w:right w:val="nil"/>
            </w:tcBorders>
            <w:noWrap/>
            <w:vAlign w:val="bottom"/>
          </w:tcPr>
          <w:p w14:paraId="1DD2D62E" w14:textId="77777777" w:rsidR="006E442A" w:rsidRDefault="006E442A" w:rsidP="006E442A">
            <w:pPr>
              <w:keepNext/>
              <w:spacing w:after="1"/>
              <w:rPr>
                <w:sz w:val="2"/>
              </w:rPr>
            </w:pPr>
          </w:p>
        </w:tc>
        <w:tc>
          <w:tcPr>
            <w:tcW w:w="532" w:type="pct"/>
            <w:tcBorders>
              <w:top w:val="nil"/>
              <w:left w:val="nil"/>
              <w:bottom w:val="nil"/>
              <w:right w:val="nil"/>
            </w:tcBorders>
            <w:noWrap/>
            <w:vAlign w:val="bottom"/>
          </w:tcPr>
          <w:p w14:paraId="3C6F52AA" w14:textId="77777777" w:rsidR="006E442A" w:rsidRDefault="006E442A" w:rsidP="006E442A">
            <w:pPr>
              <w:keepNext/>
              <w:spacing w:after="1"/>
              <w:rPr>
                <w:sz w:val="2"/>
              </w:rPr>
            </w:pPr>
          </w:p>
        </w:tc>
        <w:tc>
          <w:tcPr>
            <w:tcW w:w="103" w:type="pct"/>
            <w:tcBorders>
              <w:top w:val="nil"/>
              <w:left w:val="nil"/>
              <w:bottom w:val="nil"/>
              <w:right w:val="nil"/>
            </w:tcBorders>
            <w:noWrap/>
            <w:vAlign w:val="bottom"/>
          </w:tcPr>
          <w:p w14:paraId="15C32731" w14:textId="77777777" w:rsidR="006E442A" w:rsidRDefault="006E442A" w:rsidP="006E442A">
            <w:pPr>
              <w:keepNext/>
              <w:spacing w:after="1"/>
              <w:rPr>
                <w:sz w:val="2"/>
              </w:rPr>
            </w:pPr>
          </w:p>
        </w:tc>
        <w:tc>
          <w:tcPr>
            <w:tcW w:w="128" w:type="pct"/>
            <w:tcBorders>
              <w:top w:val="nil"/>
              <w:left w:val="nil"/>
              <w:bottom w:val="nil"/>
              <w:right w:val="nil"/>
            </w:tcBorders>
            <w:noWrap/>
            <w:vAlign w:val="bottom"/>
          </w:tcPr>
          <w:p w14:paraId="7AC337B2" w14:textId="77777777" w:rsidR="006E442A" w:rsidRDefault="006E442A" w:rsidP="006E442A">
            <w:pPr>
              <w:keepNext/>
              <w:spacing w:after="1"/>
              <w:rPr>
                <w:sz w:val="2"/>
              </w:rPr>
            </w:pPr>
          </w:p>
        </w:tc>
        <w:tc>
          <w:tcPr>
            <w:tcW w:w="83" w:type="pct"/>
            <w:tcBorders>
              <w:top w:val="nil"/>
              <w:left w:val="nil"/>
              <w:bottom w:val="nil"/>
              <w:right w:val="nil"/>
            </w:tcBorders>
            <w:noWrap/>
            <w:vAlign w:val="bottom"/>
          </w:tcPr>
          <w:p w14:paraId="2E3CB102" w14:textId="77777777" w:rsidR="006E442A" w:rsidRDefault="006E442A" w:rsidP="006E442A">
            <w:pPr>
              <w:keepNext/>
              <w:spacing w:after="1"/>
              <w:rPr>
                <w:sz w:val="2"/>
              </w:rPr>
            </w:pPr>
          </w:p>
        </w:tc>
        <w:tc>
          <w:tcPr>
            <w:tcW w:w="532" w:type="pct"/>
            <w:tcBorders>
              <w:top w:val="nil"/>
              <w:left w:val="nil"/>
              <w:bottom w:val="nil"/>
              <w:right w:val="nil"/>
            </w:tcBorders>
            <w:noWrap/>
            <w:vAlign w:val="bottom"/>
          </w:tcPr>
          <w:p w14:paraId="695F719E" w14:textId="77777777" w:rsidR="006E442A" w:rsidRDefault="006E442A" w:rsidP="006E442A">
            <w:pPr>
              <w:keepNext/>
              <w:spacing w:after="1"/>
              <w:rPr>
                <w:sz w:val="2"/>
              </w:rPr>
            </w:pPr>
          </w:p>
        </w:tc>
        <w:tc>
          <w:tcPr>
            <w:tcW w:w="103" w:type="pct"/>
            <w:tcBorders>
              <w:top w:val="nil"/>
              <w:left w:val="nil"/>
              <w:bottom w:val="nil"/>
              <w:right w:val="nil"/>
            </w:tcBorders>
            <w:noWrap/>
            <w:vAlign w:val="bottom"/>
          </w:tcPr>
          <w:p w14:paraId="0D9696B7" w14:textId="77777777" w:rsidR="006E442A" w:rsidRDefault="006E442A" w:rsidP="006E442A">
            <w:pPr>
              <w:keepNext/>
              <w:spacing w:after="1"/>
              <w:rPr>
                <w:sz w:val="2"/>
              </w:rPr>
            </w:pPr>
          </w:p>
        </w:tc>
        <w:tc>
          <w:tcPr>
            <w:tcW w:w="65" w:type="pct"/>
            <w:tcBorders>
              <w:top w:val="nil"/>
              <w:left w:val="nil"/>
              <w:bottom w:val="nil"/>
              <w:right w:val="nil"/>
            </w:tcBorders>
            <w:noWrap/>
            <w:vAlign w:val="bottom"/>
          </w:tcPr>
          <w:p w14:paraId="65209590" w14:textId="77777777" w:rsidR="006E442A" w:rsidRDefault="006E442A" w:rsidP="006E442A">
            <w:pPr>
              <w:keepNext/>
              <w:spacing w:after="1"/>
              <w:rPr>
                <w:sz w:val="2"/>
              </w:rPr>
            </w:pPr>
          </w:p>
        </w:tc>
      </w:tr>
      <w:tr w:rsidR="006E442A" w14:paraId="7F8E73DE" w14:textId="77777777" w:rsidTr="00F10DDD">
        <w:tc>
          <w:tcPr>
            <w:tcW w:w="3243" w:type="pct"/>
            <w:tcBorders>
              <w:top w:val="nil"/>
              <w:left w:val="nil"/>
              <w:bottom w:val="nil"/>
              <w:right w:val="nil"/>
              <w:tl2br w:val="nil"/>
              <w:tr2bl w:val="nil"/>
            </w:tcBorders>
            <w:shd w:val="solid" w:color="FFFFFF" w:fill="FFFFFF"/>
            <w:vAlign w:val="bottom"/>
          </w:tcPr>
          <w:p w14:paraId="350B1F7C" w14:textId="77777777" w:rsidR="006E442A" w:rsidRDefault="006E442A" w:rsidP="006E442A">
            <w:pPr>
              <w:spacing w:after="1"/>
              <w:rPr>
                <w:rFonts w:ascii="Calibri" w:eastAsia="Calibri" w:hAnsi="Calibri" w:cs="Calibri"/>
                <w:b/>
                <w:color w:val="000000"/>
                <w:sz w:val="19"/>
              </w:rPr>
            </w:pPr>
          </w:p>
        </w:tc>
        <w:tc>
          <w:tcPr>
            <w:tcW w:w="128" w:type="pct"/>
            <w:tcBorders>
              <w:top w:val="nil"/>
              <w:left w:val="nil"/>
              <w:bottom w:val="nil"/>
              <w:right w:val="nil"/>
              <w:tl2br w:val="nil"/>
              <w:tr2bl w:val="nil"/>
            </w:tcBorders>
            <w:shd w:val="solid" w:color="FFFFFF" w:fill="FFFFFF"/>
            <w:vAlign w:val="bottom"/>
          </w:tcPr>
          <w:p w14:paraId="06C3A2AE" w14:textId="77777777" w:rsidR="006E442A" w:rsidRDefault="006E442A" w:rsidP="006E442A">
            <w:pPr>
              <w:spacing w:after="1"/>
              <w:rPr>
                <w:rFonts w:ascii="Calibri" w:eastAsia="Calibri" w:hAnsi="Calibri" w:cs="Calibri"/>
                <w:b/>
                <w:color w:val="000000"/>
                <w:sz w:val="19"/>
              </w:rPr>
            </w:pPr>
          </w:p>
        </w:tc>
        <w:tc>
          <w:tcPr>
            <w:tcW w:w="1564" w:type="pct"/>
            <w:gridSpan w:val="7"/>
            <w:tcBorders>
              <w:top w:val="nil"/>
              <w:left w:val="nil"/>
              <w:bottom w:val="nil"/>
              <w:right w:val="nil"/>
              <w:tl2br w:val="nil"/>
              <w:tr2bl w:val="nil"/>
            </w:tcBorders>
            <w:shd w:val="solid" w:color="FFFFFF" w:fill="FFFFFF"/>
            <w:vAlign w:val="bottom"/>
          </w:tcPr>
          <w:p w14:paraId="1A449D64" w14:textId="77777777" w:rsidR="006E442A" w:rsidRDefault="006E442A" w:rsidP="006E442A">
            <w:pPr>
              <w:spacing w:after="1"/>
              <w:jc w:val="center"/>
              <w:rPr>
                <w:rFonts w:ascii="Calibri" w:eastAsia="Calibri" w:hAnsi="Calibri" w:cs="Calibri"/>
                <w:b/>
                <w:color w:val="000000"/>
                <w:sz w:val="19"/>
              </w:rPr>
            </w:pPr>
            <w:r>
              <w:rPr>
                <w:rFonts w:ascii="Calibri" w:eastAsia="Calibri" w:hAnsi="Calibri" w:cs="Calibri"/>
                <w:b/>
                <w:color w:val="000000"/>
                <w:sz w:val="19"/>
              </w:rPr>
              <w:t xml:space="preserve">Three Months Ended </w:t>
            </w:r>
          </w:p>
        </w:tc>
        <w:tc>
          <w:tcPr>
            <w:tcW w:w="65" w:type="pct"/>
            <w:tcBorders>
              <w:top w:val="nil"/>
              <w:left w:val="nil"/>
              <w:bottom w:val="nil"/>
              <w:right w:val="nil"/>
              <w:tl2br w:val="nil"/>
              <w:tr2bl w:val="nil"/>
            </w:tcBorders>
            <w:shd w:val="solid" w:color="FFFFFF" w:fill="FFFFFF"/>
            <w:noWrap/>
            <w:vAlign w:val="bottom"/>
          </w:tcPr>
          <w:p w14:paraId="5556D74C"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r>
      <w:tr w:rsidR="006E442A" w14:paraId="507BB2F8" w14:textId="77777777" w:rsidTr="00F10DDD">
        <w:tc>
          <w:tcPr>
            <w:tcW w:w="3243" w:type="pct"/>
            <w:tcBorders>
              <w:top w:val="nil"/>
              <w:left w:val="nil"/>
              <w:bottom w:val="nil"/>
              <w:right w:val="nil"/>
              <w:tl2br w:val="nil"/>
              <w:tr2bl w:val="nil"/>
            </w:tcBorders>
            <w:shd w:val="solid" w:color="FFFFFF" w:fill="FFFFFF"/>
            <w:vAlign w:val="bottom"/>
          </w:tcPr>
          <w:p w14:paraId="1700161E" w14:textId="77777777" w:rsidR="006E442A" w:rsidRDefault="006E442A" w:rsidP="006E442A">
            <w:pPr>
              <w:spacing w:after="1"/>
              <w:rPr>
                <w:rFonts w:ascii="Calibri" w:eastAsia="Calibri" w:hAnsi="Calibri" w:cs="Calibri"/>
                <w:b/>
                <w:color w:val="000000"/>
                <w:sz w:val="19"/>
              </w:rPr>
            </w:pPr>
          </w:p>
        </w:tc>
        <w:tc>
          <w:tcPr>
            <w:tcW w:w="128" w:type="pct"/>
            <w:tcBorders>
              <w:top w:val="nil"/>
              <w:left w:val="nil"/>
              <w:bottom w:val="nil"/>
              <w:right w:val="nil"/>
              <w:tl2br w:val="nil"/>
              <w:tr2bl w:val="nil"/>
            </w:tcBorders>
            <w:shd w:val="solid" w:color="FFFFFF" w:fill="FFFFFF"/>
            <w:vAlign w:val="bottom"/>
          </w:tcPr>
          <w:p w14:paraId="795D4A25" w14:textId="77777777" w:rsidR="006E442A" w:rsidRDefault="006E442A" w:rsidP="006E442A">
            <w:pPr>
              <w:spacing w:after="1"/>
              <w:rPr>
                <w:rFonts w:ascii="Calibri" w:eastAsia="Calibri" w:hAnsi="Calibri" w:cs="Calibri"/>
                <w:b/>
                <w:color w:val="000000"/>
                <w:sz w:val="19"/>
              </w:rPr>
            </w:pPr>
          </w:p>
        </w:tc>
        <w:tc>
          <w:tcPr>
            <w:tcW w:w="1564" w:type="pct"/>
            <w:gridSpan w:val="7"/>
            <w:tcBorders>
              <w:top w:val="nil"/>
              <w:left w:val="nil"/>
              <w:bottom w:val="single" w:sz="4" w:space="0" w:color="000000"/>
              <w:right w:val="nil"/>
              <w:tl2br w:val="nil"/>
              <w:tr2bl w:val="nil"/>
            </w:tcBorders>
            <w:shd w:val="solid" w:color="FFFFFF" w:fill="FFFFFF"/>
            <w:vAlign w:val="bottom"/>
          </w:tcPr>
          <w:p w14:paraId="0AF27810" w14:textId="77777777" w:rsidR="006E442A" w:rsidRDefault="006E442A" w:rsidP="006E442A">
            <w:pPr>
              <w:spacing w:after="1"/>
              <w:jc w:val="center"/>
              <w:rPr>
                <w:rFonts w:ascii="Calibri" w:eastAsia="Calibri" w:hAnsi="Calibri" w:cs="Calibri"/>
                <w:b/>
                <w:color w:val="000000"/>
                <w:sz w:val="19"/>
              </w:rPr>
            </w:pPr>
            <w:r>
              <w:rPr>
                <w:rFonts w:ascii="Calibri" w:eastAsia="Calibri" w:hAnsi="Calibri" w:cs="Calibri"/>
                <w:b/>
                <w:color w:val="000000"/>
                <w:sz w:val="19"/>
              </w:rPr>
              <w:t>March 31, </w:t>
            </w:r>
          </w:p>
        </w:tc>
        <w:tc>
          <w:tcPr>
            <w:tcW w:w="65" w:type="pct"/>
            <w:tcBorders>
              <w:top w:val="nil"/>
              <w:left w:val="nil"/>
              <w:bottom w:val="nil"/>
              <w:right w:val="nil"/>
              <w:tl2br w:val="nil"/>
              <w:tr2bl w:val="nil"/>
            </w:tcBorders>
            <w:shd w:val="solid" w:color="FFFFFF" w:fill="FFFFFF"/>
            <w:noWrap/>
            <w:vAlign w:val="bottom"/>
          </w:tcPr>
          <w:p w14:paraId="12F4B2CA" w14:textId="77777777" w:rsidR="006E442A" w:rsidRDefault="006E442A" w:rsidP="006E442A">
            <w:pPr>
              <w:spacing w:after="1"/>
              <w:rPr>
                <w:rFonts w:ascii="Calibri" w:eastAsia="Calibri" w:hAnsi="Calibri" w:cs="Calibri"/>
                <w:color w:val="000000"/>
                <w:sz w:val="19"/>
              </w:rPr>
            </w:pPr>
          </w:p>
        </w:tc>
      </w:tr>
      <w:tr w:rsidR="006E442A" w14:paraId="4F80A7EB" w14:textId="77777777" w:rsidTr="00F10DDD">
        <w:tc>
          <w:tcPr>
            <w:tcW w:w="3243" w:type="pct"/>
            <w:tcBorders>
              <w:top w:val="nil"/>
              <w:left w:val="nil"/>
              <w:bottom w:val="nil"/>
              <w:right w:val="nil"/>
              <w:tl2br w:val="nil"/>
              <w:tr2bl w:val="nil"/>
            </w:tcBorders>
            <w:shd w:val="solid" w:color="FFFFFF" w:fill="FFFFFF"/>
            <w:vAlign w:val="bottom"/>
          </w:tcPr>
          <w:p w14:paraId="348DA7CA" w14:textId="77777777" w:rsidR="006E442A" w:rsidRDefault="006E442A" w:rsidP="006E442A">
            <w:pPr>
              <w:spacing w:after="1"/>
              <w:rPr>
                <w:rFonts w:ascii="Calibri" w:eastAsia="Calibri" w:hAnsi="Calibri" w:cs="Calibri"/>
                <w:b/>
                <w:color w:val="000000"/>
                <w:sz w:val="19"/>
              </w:rPr>
            </w:pPr>
          </w:p>
        </w:tc>
        <w:tc>
          <w:tcPr>
            <w:tcW w:w="128" w:type="pct"/>
            <w:tcBorders>
              <w:top w:val="nil"/>
              <w:left w:val="nil"/>
              <w:bottom w:val="nil"/>
              <w:right w:val="nil"/>
              <w:tl2br w:val="nil"/>
              <w:tr2bl w:val="nil"/>
            </w:tcBorders>
            <w:shd w:val="solid" w:color="FFFFFF" w:fill="FFFFFF"/>
            <w:noWrap/>
            <w:vAlign w:val="bottom"/>
          </w:tcPr>
          <w:p w14:paraId="396AC61A" w14:textId="77777777" w:rsidR="006E442A" w:rsidRDefault="006E442A" w:rsidP="006E442A">
            <w:pPr>
              <w:spacing w:after="1"/>
              <w:rPr>
                <w:rFonts w:ascii="Calibri" w:eastAsia="Calibri" w:hAnsi="Calibri" w:cs="Calibri"/>
                <w:b/>
                <w:color w:val="000000"/>
                <w:sz w:val="19"/>
              </w:rPr>
            </w:pPr>
            <w:r>
              <w:rPr>
                <w:rFonts w:ascii="Calibri" w:eastAsia="Calibri" w:hAnsi="Calibri" w:cs="Calibri"/>
                <w:b/>
                <w:color w:val="000000"/>
                <w:sz w:val="19"/>
              </w:rPr>
              <w:t>    </w:t>
            </w:r>
          </w:p>
        </w:tc>
        <w:tc>
          <w:tcPr>
            <w:tcW w:w="718" w:type="pct"/>
            <w:gridSpan w:val="3"/>
            <w:tcBorders>
              <w:top w:val="nil"/>
              <w:left w:val="nil"/>
              <w:bottom w:val="single" w:sz="4" w:space="0" w:color="000000"/>
              <w:right w:val="nil"/>
              <w:tl2br w:val="nil"/>
              <w:tr2bl w:val="nil"/>
            </w:tcBorders>
            <w:shd w:val="solid" w:color="FFFFFF" w:fill="FFFFFF"/>
            <w:noWrap/>
            <w:vAlign w:val="bottom"/>
          </w:tcPr>
          <w:p w14:paraId="503EA57E" w14:textId="77777777" w:rsidR="006E442A" w:rsidRDefault="006E442A" w:rsidP="006E442A">
            <w:pPr>
              <w:spacing w:after="1"/>
              <w:jc w:val="center"/>
              <w:rPr>
                <w:rFonts w:ascii="Calibri" w:eastAsia="Calibri" w:hAnsi="Calibri" w:cs="Calibri"/>
                <w:b/>
                <w:color w:val="000000"/>
                <w:sz w:val="19"/>
              </w:rPr>
            </w:pPr>
            <w:r>
              <w:rPr>
                <w:rFonts w:ascii="Calibri" w:eastAsia="Calibri" w:hAnsi="Calibri" w:cs="Calibri"/>
                <w:b/>
                <w:color w:val="000000"/>
                <w:sz w:val="19"/>
              </w:rPr>
              <w:t>2022</w:t>
            </w:r>
          </w:p>
        </w:tc>
        <w:tc>
          <w:tcPr>
            <w:tcW w:w="128" w:type="pct"/>
            <w:tcBorders>
              <w:top w:val="nil"/>
              <w:left w:val="nil"/>
              <w:bottom w:val="nil"/>
              <w:right w:val="nil"/>
              <w:tl2br w:val="nil"/>
              <w:tr2bl w:val="nil"/>
            </w:tcBorders>
            <w:shd w:val="solid" w:color="FFFFFF" w:fill="FFFFFF"/>
            <w:noWrap/>
            <w:vAlign w:val="bottom"/>
          </w:tcPr>
          <w:p w14:paraId="0E5FA8A5" w14:textId="77777777" w:rsidR="006E442A" w:rsidRDefault="006E442A" w:rsidP="006E442A">
            <w:pPr>
              <w:spacing w:after="1"/>
              <w:rPr>
                <w:rFonts w:ascii="Calibri" w:eastAsia="Calibri" w:hAnsi="Calibri" w:cs="Calibri"/>
                <w:b/>
                <w:color w:val="000000"/>
                <w:sz w:val="19"/>
              </w:rPr>
            </w:pPr>
            <w:r>
              <w:rPr>
                <w:rFonts w:ascii="Calibri" w:eastAsia="Calibri" w:hAnsi="Calibri" w:cs="Calibri"/>
                <w:b/>
                <w:color w:val="000000"/>
                <w:sz w:val="19"/>
              </w:rPr>
              <w:t>    </w:t>
            </w:r>
          </w:p>
        </w:tc>
        <w:tc>
          <w:tcPr>
            <w:tcW w:w="718" w:type="pct"/>
            <w:gridSpan w:val="3"/>
            <w:tcBorders>
              <w:top w:val="nil"/>
              <w:left w:val="nil"/>
              <w:bottom w:val="single" w:sz="4" w:space="0" w:color="000000"/>
              <w:right w:val="nil"/>
              <w:tl2br w:val="nil"/>
              <w:tr2bl w:val="nil"/>
            </w:tcBorders>
            <w:shd w:val="solid" w:color="FFFFFF" w:fill="FFFFFF"/>
            <w:noWrap/>
            <w:vAlign w:val="bottom"/>
          </w:tcPr>
          <w:p w14:paraId="06D57B91" w14:textId="77777777" w:rsidR="006E442A" w:rsidRDefault="006E442A" w:rsidP="006E442A">
            <w:pPr>
              <w:spacing w:after="1"/>
              <w:jc w:val="center"/>
              <w:rPr>
                <w:rFonts w:ascii="Calibri" w:eastAsia="Calibri" w:hAnsi="Calibri" w:cs="Calibri"/>
                <w:b/>
                <w:color w:val="000000"/>
                <w:sz w:val="19"/>
              </w:rPr>
            </w:pPr>
            <w:r>
              <w:rPr>
                <w:rFonts w:ascii="Calibri" w:eastAsia="Calibri" w:hAnsi="Calibri" w:cs="Calibri"/>
                <w:b/>
                <w:color w:val="000000"/>
                <w:sz w:val="19"/>
              </w:rPr>
              <w:t>2023</w:t>
            </w:r>
          </w:p>
        </w:tc>
        <w:tc>
          <w:tcPr>
            <w:tcW w:w="65" w:type="pct"/>
            <w:tcBorders>
              <w:top w:val="nil"/>
              <w:left w:val="nil"/>
              <w:bottom w:val="nil"/>
              <w:right w:val="nil"/>
              <w:tl2br w:val="nil"/>
              <w:tr2bl w:val="nil"/>
            </w:tcBorders>
            <w:shd w:val="solid" w:color="FFFFFF" w:fill="FFFFFF"/>
            <w:noWrap/>
            <w:vAlign w:val="bottom"/>
          </w:tcPr>
          <w:p w14:paraId="46F210F0" w14:textId="77777777" w:rsidR="006E442A" w:rsidRDefault="006E442A" w:rsidP="006E442A">
            <w:pPr>
              <w:spacing w:after="1"/>
              <w:rPr>
                <w:rFonts w:ascii="Calibri" w:eastAsia="Calibri" w:hAnsi="Calibri" w:cs="Calibri"/>
                <w:b/>
                <w:color w:val="000000"/>
                <w:sz w:val="19"/>
              </w:rPr>
            </w:pPr>
            <w:r>
              <w:rPr>
                <w:rFonts w:ascii="Calibri" w:eastAsia="Calibri" w:hAnsi="Calibri" w:cs="Calibri"/>
                <w:b/>
                <w:color w:val="000000"/>
                <w:sz w:val="19"/>
              </w:rPr>
              <w:t> </w:t>
            </w:r>
          </w:p>
        </w:tc>
      </w:tr>
      <w:tr w:rsidR="00F10DDD" w14:paraId="303FED5E" w14:textId="77777777" w:rsidTr="00F10DDD">
        <w:tc>
          <w:tcPr>
            <w:tcW w:w="3243" w:type="pct"/>
            <w:tcBorders>
              <w:top w:val="nil"/>
              <w:left w:val="nil"/>
              <w:bottom w:val="nil"/>
              <w:right w:val="nil"/>
              <w:tl2br w:val="nil"/>
              <w:tr2bl w:val="nil"/>
            </w:tcBorders>
            <w:shd w:val="solid" w:color="FFFFFF" w:fill="FFFFFF"/>
            <w:vAlign w:val="bottom"/>
          </w:tcPr>
          <w:p w14:paraId="15B6CF52" w14:textId="77777777" w:rsidR="00F10DDD" w:rsidRDefault="00F10DDD" w:rsidP="006E442A">
            <w:pPr>
              <w:spacing w:after="1"/>
              <w:rPr>
                <w:rFonts w:ascii="Calibri" w:eastAsia="Calibri" w:hAnsi="Calibri" w:cs="Calibri"/>
                <w:b/>
                <w:color w:val="000000"/>
                <w:sz w:val="19"/>
              </w:rPr>
            </w:pPr>
          </w:p>
        </w:tc>
        <w:tc>
          <w:tcPr>
            <w:tcW w:w="128" w:type="pct"/>
            <w:tcBorders>
              <w:top w:val="nil"/>
              <w:left w:val="nil"/>
              <w:bottom w:val="nil"/>
              <w:right w:val="nil"/>
              <w:tl2br w:val="nil"/>
              <w:tr2bl w:val="nil"/>
            </w:tcBorders>
            <w:shd w:val="solid" w:color="FFFFFF" w:fill="FFFFFF"/>
            <w:vAlign w:val="bottom"/>
          </w:tcPr>
          <w:p w14:paraId="213C3450" w14:textId="77777777" w:rsidR="00F10DDD" w:rsidRDefault="00F10DDD" w:rsidP="006E442A">
            <w:pPr>
              <w:spacing w:after="1"/>
              <w:rPr>
                <w:rFonts w:ascii="Calibri" w:eastAsia="Calibri" w:hAnsi="Calibri" w:cs="Calibri"/>
                <w:b/>
                <w:color w:val="000000"/>
                <w:sz w:val="19"/>
              </w:rPr>
            </w:pPr>
          </w:p>
        </w:tc>
        <w:tc>
          <w:tcPr>
            <w:tcW w:w="1564" w:type="pct"/>
            <w:gridSpan w:val="7"/>
            <w:tcBorders>
              <w:top w:val="nil"/>
              <w:left w:val="nil"/>
              <w:bottom w:val="nil"/>
              <w:right w:val="nil"/>
              <w:tl2br w:val="nil"/>
              <w:tr2bl w:val="nil"/>
            </w:tcBorders>
            <w:shd w:val="solid" w:color="FFFFFF" w:fill="FFFFFF"/>
            <w:noWrap/>
            <w:vAlign w:val="bottom"/>
          </w:tcPr>
          <w:p w14:paraId="08AC393E" w14:textId="7E10762D" w:rsidR="00F10DDD" w:rsidRDefault="00F10DDD" w:rsidP="006E442A">
            <w:pPr>
              <w:spacing w:after="1"/>
              <w:jc w:val="center"/>
              <w:rPr>
                <w:rFonts w:ascii="Calibri" w:eastAsia="Calibri" w:hAnsi="Calibri" w:cs="Calibri"/>
                <w:b/>
                <w:color w:val="000000"/>
                <w:sz w:val="17"/>
              </w:rPr>
            </w:pPr>
            <w:r>
              <w:rPr>
                <w:rFonts w:ascii="Calibri" w:eastAsia="Calibri" w:hAnsi="Calibri" w:cs="Calibri"/>
                <w:b/>
                <w:color w:val="000000"/>
                <w:sz w:val="17"/>
              </w:rPr>
              <w:t>(</w:t>
            </w:r>
            <w:proofErr w:type="gramStart"/>
            <w:r>
              <w:rPr>
                <w:rFonts w:ascii="Calibri" w:eastAsia="Calibri" w:hAnsi="Calibri" w:cs="Calibri"/>
                <w:b/>
                <w:color w:val="000000"/>
                <w:sz w:val="17"/>
              </w:rPr>
              <w:t>dollars</w:t>
            </w:r>
            <w:proofErr w:type="gramEnd"/>
            <w:r>
              <w:rPr>
                <w:rFonts w:ascii="Calibri" w:eastAsia="Calibri" w:hAnsi="Calibri" w:cs="Calibri"/>
                <w:b/>
                <w:color w:val="000000"/>
                <w:sz w:val="17"/>
              </w:rPr>
              <w:t xml:space="preserve"> in thousands, except per share data)</w:t>
            </w:r>
          </w:p>
        </w:tc>
        <w:tc>
          <w:tcPr>
            <w:tcW w:w="65" w:type="pct"/>
            <w:tcBorders>
              <w:top w:val="nil"/>
              <w:left w:val="nil"/>
              <w:bottom w:val="nil"/>
              <w:right w:val="nil"/>
              <w:tl2br w:val="nil"/>
              <w:tr2bl w:val="nil"/>
            </w:tcBorders>
            <w:shd w:val="solid" w:color="FFFFFF" w:fill="FFFFFF"/>
            <w:noWrap/>
            <w:vAlign w:val="bottom"/>
          </w:tcPr>
          <w:p w14:paraId="521CA703" w14:textId="77777777" w:rsidR="00F10DDD" w:rsidRDefault="00F10DDD" w:rsidP="006E442A">
            <w:pPr>
              <w:spacing w:after="1"/>
              <w:rPr>
                <w:rFonts w:ascii="Calibri" w:eastAsia="Calibri" w:hAnsi="Calibri" w:cs="Calibri"/>
                <w:color w:val="000000"/>
                <w:sz w:val="19"/>
              </w:rPr>
            </w:pPr>
            <w:r>
              <w:rPr>
                <w:rFonts w:ascii="Calibri" w:eastAsia="Calibri" w:hAnsi="Calibri" w:cs="Calibri"/>
                <w:color w:val="000000"/>
                <w:sz w:val="19"/>
              </w:rPr>
              <w:t> </w:t>
            </w:r>
          </w:p>
        </w:tc>
      </w:tr>
      <w:tr w:rsidR="006E442A" w14:paraId="403DE953" w14:textId="77777777" w:rsidTr="00F10DDD">
        <w:tc>
          <w:tcPr>
            <w:tcW w:w="3243" w:type="pct"/>
            <w:tcBorders>
              <w:top w:val="nil"/>
              <w:left w:val="nil"/>
              <w:bottom w:val="nil"/>
              <w:right w:val="nil"/>
              <w:tl2br w:val="nil"/>
              <w:tr2bl w:val="nil"/>
            </w:tcBorders>
            <w:shd w:val="solid" w:color="FFFFFF" w:fill="FFFFFF"/>
            <w:vAlign w:val="bottom"/>
          </w:tcPr>
          <w:p w14:paraId="1F81E95F" w14:textId="77777777" w:rsidR="006E442A" w:rsidRDefault="006E442A" w:rsidP="006E442A">
            <w:pPr>
              <w:spacing w:after="1"/>
              <w:rPr>
                <w:rFonts w:ascii="Calibri" w:eastAsia="Calibri" w:hAnsi="Calibri" w:cs="Calibri"/>
                <w:b/>
                <w:color w:val="000000"/>
                <w:sz w:val="19"/>
              </w:rPr>
            </w:pPr>
            <w:r>
              <w:rPr>
                <w:rFonts w:ascii="Calibri" w:eastAsia="Calibri" w:hAnsi="Calibri" w:cs="Calibri"/>
                <w:b/>
                <w:color w:val="000000"/>
                <w:sz w:val="19"/>
              </w:rPr>
              <w:t>Adjusted Net Income Excluding Tax Adjustments Per Share and Tax Adjustments Per Share Metrics:</w:t>
            </w:r>
          </w:p>
        </w:tc>
        <w:tc>
          <w:tcPr>
            <w:tcW w:w="128" w:type="pct"/>
            <w:tcBorders>
              <w:top w:val="nil"/>
              <w:left w:val="nil"/>
              <w:bottom w:val="nil"/>
              <w:right w:val="nil"/>
              <w:tl2br w:val="nil"/>
              <w:tr2bl w:val="nil"/>
            </w:tcBorders>
            <w:shd w:val="solid" w:color="FFFFFF" w:fill="FFFFFF"/>
            <w:vAlign w:val="bottom"/>
          </w:tcPr>
          <w:p w14:paraId="55E29A28" w14:textId="77777777" w:rsidR="006E442A" w:rsidRDefault="006E442A" w:rsidP="006E442A">
            <w:pPr>
              <w:spacing w:after="1"/>
              <w:rPr>
                <w:rFonts w:ascii="Calibri" w:eastAsia="Calibri" w:hAnsi="Calibri" w:cs="Calibri"/>
                <w:b/>
                <w:color w:val="000000"/>
                <w:sz w:val="19"/>
              </w:rPr>
            </w:pPr>
          </w:p>
        </w:tc>
        <w:tc>
          <w:tcPr>
            <w:tcW w:w="83" w:type="pct"/>
            <w:tcBorders>
              <w:top w:val="nil"/>
              <w:left w:val="nil"/>
              <w:bottom w:val="nil"/>
              <w:right w:val="nil"/>
              <w:tl2br w:val="nil"/>
              <w:tr2bl w:val="nil"/>
            </w:tcBorders>
            <w:shd w:val="solid" w:color="FFFFFF" w:fill="FFFFFF"/>
            <w:noWrap/>
            <w:vAlign w:val="bottom"/>
          </w:tcPr>
          <w:p w14:paraId="7140D6A8"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5F77DAF9" w14:textId="77777777" w:rsidR="006E442A" w:rsidRDefault="006E442A" w:rsidP="006E442A">
            <w:pPr>
              <w:spacing w:after="1"/>
              <w:jc w:val="right"/>
              <w:rPr>
                <w:rFonts w:ascii="Calibri" w:eastAsia="Calibri" w:hAnsi="Calibri" w:cs="Calibri"/>
                <w:color w:val="000000"/>
                <w:sz w:val="19"/>
              </w:rPr>
            </w:pPr>
          </w:p>
        </w:tc>
        <w:tc>
          <w:tcPr>
            <w:tcW w:w="103" w:type="pct"/>
            <w:tcBorders>
              <w:top w:val="nil"/>
              <w:left w:val="nil"/>
              <w:bottom w:val="nil"/>
              <w:right w:val="nil"/>
              <w:tl2br w:val="nil"/>
              <w:tr2bl w:val="nil"/>
            </w:tcBorders>
            <w:shd w:val="solid" w:color="FFFFFF" w:fill="FFFFFF"/>
            <w:noWrap/>
            <w:vAlign w:val="bottom"/>
          </w:tcPr>
          <w:p w14:paraId="14186AAF" w14:textId="77777777" w:rsidR="006E442A" w:rsidRDefault="006E442A" w:rsidP="006E442A">
            <w:pPr>
              <w:spacing w:after="1"/>
              <w:jc w:val="right"/>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noWrap/>
            <w:vAlign w:val="bottom"/>
          </w:tcPr>
          <w:p w14:paraId="07C18874"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269C8B8E"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5EA29004" w14:textId="77777777" w:rsidR="006E442A" w:rsidRDefault="006E442A" w:rsidP="006E442A">
            <w:pPr>
              <w:spacing w:after="1"/>
              <w:jc w:val="right"/>
              <w:rPr>
                <w:rFonts w:ascii="Calibri" w:eastAsia="Calibri" w:hAnsi="Calibri" w:cs="Calibri"/>
                <w:color w:val="000000"/>
                <w:sz w:val="19"/>
              </w:rPr>
            </w:pPr>
          </w:p>
        </w:tc>
        <w:tc>
          <w:tcPr>
            <w:tcW w:w="103" w:type="pct"/>
            <w:tcBorders>
              <w:top w:val="nil"/>
              <w:left w:val="nil"/>
              <w:bottom w:val="nil"/>
              <w:right w:val="nil"/>
              <w:tl2br w:val="nil"/>
              <w:tr2bl w:val="nil"/>
            </w:tcBorders>
            <w:shd w:val="solid" w:color="FFFFFF" w:fill="FFFFFF"/>
            <w:noWrap/>
            <w:vAlign w:val="bottom"/>
          </w:tcPr>
          <w:p w14:paraId="1D7BC398" w14:textId="77777777" w:rsidR="006E442A" w:rsidRDefault="006E442A" w:rsidP="006E442A">
            <w:pPr>
              <w:spacing w:after="1"/>
              <w:jc w:val="right"/>
              <w:rPr>
                <w:rFonts w:ascii="Calibri" w:eastAsia="Calibri" w:hAnsi="Calibri" w:cs="Calibri"/>
                <w:color w:val="000000"/>
                <w:sz w:val="19"/>
              </w:rPr>
            </w:pPr>
          </w:p>
        </w:tc>
        <w:tc>
          <w:tcPr>
            <w:tcW w:w="65" w:type="pct"/>
            <w:tcBorders>
              <w:top w:val="nil"/>
              <w:left w:val="nil"/>
              <w:bottom w:val="nil"/>
              <w:right w:val="nil"/>
              <w:tl2br w:val="nil"/>
              <w:tr2bl w:val="nil"/>
            </w:tcBorders>
            <w:shd w:val="solid" w:color="FFFFFF" w:fill="FFFFFF"/>
            <w:noWrap/>
            <w:vAlign w:val="bottom"/>
          </w:tcPr>
          <w:p w14:paraId="300B6567" w14:textId="77777777" w:rsidR="006E442A" w:rsidRDefault="006E442A" w:rsidP="006E442A">
            <w:pPr>
              <w:spacing w:after="1"/>
              <w:rPr>
                <w:rFonts w:ascii="Calibri" w:eastAsia="Calibri" w:hAnsi="Calibri" w:cs="Calibri"/>
                <w:color w:val="000000"/>
                <w:sz w:val="19"/>
              </w:rPr>
            </w:pPr>
          </w:p>
        </w:tc>
      </w:tr>
      <w:tr w:rsidR="006E442A" w14:paraId="4FBD3B57" w14:textId="77777777" w:rsidTr="00F10DDD">
        <w:tc>
          <w:tcPr>
            <w:tcW w:w="3243" w:type="pct"/>
            <w:tcBorders>
              <w:top w:val="nil"/>
              <w:left w:val="nil"/>
              <w:bottom w:val="nil"/>
              <w:right w:val="nil"/>
              <w:tl2br w:val="nil"/>
              <w:tr2bl w:val="nil"/>
            </w:tcBorders>
            <w:shd w:val="solid" w:color="FFFFFF" w:fill="FFFFFF"/>
            <w:vAlign w:val="bottom"/>
          </w:tcPr>
          <w:p w14:paraId="222CE4E1"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Adjusted Net Income Excluding Tax Adjustments</w:t>
            </w:r>
          </w:p>
        </w:tc>
        <w:tc>
          <w:tcPr>
            <w:tcW w:w="128" w:type="pct"/>
            <w:tcBorders>
              <w:top w:val="nil"/>
              <w:left w:val="nil"/>
              <w:bottom w:val="nil"/>
              <w:right w:val="nil"/>
              <w:tl2br w:val="nil"/>
              <w:tr2bl w:val="nil"/>
            </w:tcBorders>
            <w:shd w:val="solid" w:color="FFFFFF" w:fill="FFFFFF"/>
            <w:vAlign w:val="bottom"/>
          </w:tcPr>
          <w:p w14:paraId="2F554968" w14:textId="77777777" w:rsidR="006E442A" w:rsidRDefault="006E442A" w:rsidP="006E442A">
            <w:pPr>
              <w:spacing w:after="1"/>
              <w:rPr>
                <w:rFonts w:ascii="Calibri" w:eastAsia="Calibri" w:hAnsi="Calibri" w:cs="Calibri"/>
                <w:b/>
                <w:color w:val="000000"/>
                <w:sz w:val="19"/>
              </w:rPr>
            </w:pPr>
          </w:p>
        </w:tc>
        <w:tc>
          <w:tcPr>
            <w:tcW w:w="83" w:type="pct"/>
            <w:tcBorders>
              <w:top w:val="nil"/>
              <w:left w:val="nil"/>
              <w:bottom w:val="nil"/>
              <w:right w:val="nil"/>
              <w:tl2br w:val="nil"/>
              <w:tr2bl w:val="nil"/>
            </w:tcBorders>
            <w:shd w:val="solid" w:color="FFFFFF" w:fill="FFFFFF"/>
            <w:noWrap/>
            <w:vAlign w:val="bottom"/>
          </w:tcPr>
          <w:p w14:paraId="75EDE110"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41E00B30" w14:textId="77777777" w:rsidR="006E442A" w:rsidRDefault="006E442A" w:rsidP="006E442A">
            <w:pPr>
              <w:spacing w:after="1"/>
              <w:jc w:val="right"/>
              <w:rPr>
                <w:rFonts w:ascii="Calibri" w:eastAsia="Calibri" w:hAnsi="Calibri" w:cs="Calibri"/>
                <w:color w:val="000000"/>
                <w:sz w:val="19"/>
              </w:rPr>
            </w:pPr>
          </w:p>
        </w:tc>
        <w:tc>
          <w:tcPr>
            <w:tcW w:w="103" w:type="pct"/>
            <w:tcBorders>
              <w:top w:val="nil"/>
              <w:left w:val="nil"/>
              <w:bottom w:val="nil"/>
              <w:right w:val="nil"/>
              <w:tl2br w:val="nil"/>
              <w:tr2bl w:val="nil"/>
            </w:tcBorders>
            <w:shd w:val="solid" w:color="FFFFFF" w:fill="FFFFFF"/>
            <w:noWrap/>
            <w:vAlign w:val="bottom"/>
          </w:tcPr>
          <w:p w14:paraId="4B1A0B53" w14:textId="77777777" w:rsidR="006E442A" w:rsidRDefault="006E442A" w:rsidP="006E442A">
            <w:pPr>
              <w:spacing w:after="1"/>
              <w:jc w:val="right"/>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noWrap/>
            <w:vAlign w:val="bottom"/>
          </w:tcPr>
          <w:p w14:paraId="413155A8"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1CAFD417"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206849D4" w14:textId="77777777" w:rsidR="006E442A" w:rsidRDefault="006E442A" w:rsidP="006E442A">
            <w:pPr>
              <w:spacing w:after="1"/>
              <w:jc w:val="right"/>
              <w:rPr>
                <w:rFonts w:ascii="Calibri" w:eastAsia="Calibri" w:hAnsi="Calibri" w:cs="Calibri"/>
                <w:color w:val="000000"/>
                <w:sz w:val="19"/>
              </w:rPr>
            </w:pPr>
          </w:p>
        </w:tc>
        <w:tc>
          <w:tcPr>
            <w:tcW w:w="103" w:type="pct"/>
            <w:tcBorders>
              <w:top w:val="nil"/>
              <w:left w:val="nil"/>
              <w:bottom w:val="nil"/>
              <w:right w:val="nil"/>
              <w:tl2br w:val="nil"/>
              <w:tr2bl w:val="nil"/>
            </w:tcBorders>
            <w:shd w:val="solid" w:color="FFFFFF" w:fill="FFFFFF"/>
            <w:noWrap/>
            <w:vAlign w:val="bottom"/>
          </w:tcPr>
          <w:p w14:paraId="5BE50AD4" w14:textId="77777777" w:rsidR="006E442A" w:rsidRDefault="006E442A" w:rsidP="006E442A">
            <w:pPr>
              <w:spacing w:after="1"/>
              <w:jc w:val="right"/>
              <w:rPr>
                <w:rFonts w:ascii="Calibri" w:eastAsia="Calibri" w:hAnsi="Calibri" w:cs="Calibri"/>
                <w:color w:val="000000"/>
                <w:sz w:val="19"/>
              </w:rPr>
            </w:pPr>
          </w:p>
        </w:tc>
        <w:tc>
          <w:tcPr>
            <w:tcW w:w="65" w:type="pct"/>
            <w:tcBorders>
              <w:top w:val="nil"/>
              <w:left w:val="nil"/>
              <w:bottom w:val="nil"/>
              <w:right w:val="nil"/>
              <w:tl2br w:val="nil"/>
              <w:tr2bl w:val="nil"/>
            </w:tcBorders>
            <w:shd w:val="solid" w:color="FFFFFF" w:fill="FFFFFF"/>
            <w:noWrap/>
            <w:vAlign w:val="bottom"/>
          </w:tcPr>
          <w:p w14:paraId="7CDD456C" w14:textId="77777777" w:rsidR="006E442A" w:rsidRDefault="006E442A" w:rsidP="006E442A">
            <w:pPr>
              <w:spacing w:after="1"/>
              <w:rPr>
                <w:rFonts w:ascii="Calibri" w:eastAsia="Calibri" w:hAnsi="Calibri" w:cs="Calibri"/>
                <w:color w:val="000000"/>
                <w:sz w:val="19"/>
              </w:rPr>
            </w:pPr>
          </w:p>
        </w:tc>
      </w:tr>
      <w:tr w:rsidR="006E442A" w14:paraId="27CF32F9" w14:textId="77777777" w:rsidTr="00F10DDD">
        <w:tc>
          <w:tcPr>
            <w:tcW w:w="3243" w:type="pct"/>
            <w:tcBorders>
              <w:top w:val="nil"/>
              <w:left w:val="nil"/>
              <w:bottom w:val="nil"/>
              <w:right w:val="nil"/>
              <w:tl2br w:val="nil"/>
              <w:tr2bl w:val="nil"/>
            </w:tcBorders>
            <w:shd w:val="solid" w:color="FFFFFF" w:fill="FFFFFF"/>
            <w:vAlign w:val="bottom"/>
          </w:tcPr>
          <w:p w14:paraId="299A633B" w14:textId="77777777" w:rsidR="006E442A" w:rsidRDefault="006E442A" w:rsidP="006E442A">
            <w:pPr>
              <w:spacing w:after="1"/>
              <w:ind w:left="120"/>
              <w:rPr>
                <w:rFonts w:ascii="Calibri" w:eastAsia="Calibri" w:hAnsi="Calibri" w:cs="Calibri"/>
                <w:color w:val="000000"/>
                <w:sz w:val="19"/>
              </w:rPr>
            </w:pPr>
            <w:r>
              <w:rPr>
                <w:rFonts w:ascii="Calibri" w:eastAsia="Calibri" w:hAnsi="Calibri" w:cs="Calibri"/>
                <w:color w:val="000000"/>
                <w:sz w:val="19"/>
              </w:rPr>
              <w:t>Per Share (5)</w:t>
            </w:r>
          </w:p>
        </w:tc>
        <w:tc>
          <w:tcPr>
            <w:tcW w:w="128" w:type="pct"/>
            <w:tcBorders>
              <w:top w:val="nil"/>
              <w:left w:val="nil"/>
              <w:bottom w:val="nil"/>
              <w:right w:val="nil"/>
              <w:tl2br w:val="nil"/>
              <w:tr2bl w:val="nil"/>
            </w:tcBorders>
            <w:shd w:val="solid" w:color="FFFFFF" w:fill="FFFFFF"/>
            <w:vAlign w:val="bottom"/>
          </w:tcPr>
          <w:p w14:paraId="22DD941E"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298819E4"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w:t>
            </w:r>
          </w:p>
        </w:tc>
        <w:tc>
          <w:tcPr>
            <w:tcW w:w="532" w:type="pct"/>
            <w:tcBorders>
              <w:top w:val="nil"/>
              <w:left w:val="nil"/>
              <w:bottom w:val="nil"/>
              <w:right w:val="nil"/>
              <w:tl2br w:val="nil"/>
              <w:tr2bl w:val="nil"/>
            </w:tcBorders>
            <w:shd w:val="solid" w:color="FFFFFF" w:fill="FFFFFF"/>
            <w:noWrap/>
            <w:vAlign w:val="bottom"/>
          </w:tcPr>
          <w:p w14:paraId="6556153F"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0.98</w:t>
            </w:r>
          </w:p>
        </w:tc>
        <w:tc>
          <w:tcPr>
            <w:tcW w:w="103" w:type="pct"/>
            <w:tcBorders>
              <w:top w:val="nil"/>
              <w:left w:val="nil"/>
              <w:bottom w:val="nil"/>
              <w:right w:val="nil"/>
              <w:tl2br w:val="nil"/>
              <w:tr2bl w:val="nil"/>
            </w:tcBorders>
            <w:shd w:val="solid" w:color="FFFFFF" w:fill="FFFFFF"/>
            <w:noWrap/>
            <w:vAlign w:val="bottom"/>
          </w:tcPr>
          <w:p w14:paraId="3279EE6D" w14:textId="77777777" w:rsidR="006E442A" w:rsidRDefault="006E442A" w:rsidP="006E442A">
            <w:pPr>
              <w:spacing w:after="1"/>
              <w:jc w:val="right"/>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noWrap/>
            <w:vAlign w:val="bottom"/>
          </w:tcPr>
          <w:p w14:paraId="0ABC8B97"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7E43D7F9"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w:t>
            </w:r>
          </w:p>
        </w:tc>
        <w:tc>
          <w:tcPr>
            <w:tcW w:w="532" w:type="pct"/>
            <w:tcBorders>
              <w:top w:val="nil"/>
              <w:left w:val="nil"/>
              <w:bottom w:val="nil"/>
              <w:right w:val="nil"/>
              <w:tl2br w:val="nil"/>
              <w:tr2bl w:val="nil"/>
            </w:tcBorders>
            <w:shd w:val="solid" w:color="FFFFFF" w:fill="FFFFFF"/>
            <w:noWrap/>
            <w:vAlign w:val="bottom"/>
          </w:tcPr>
          <w:p w14:paraId="0BC16D89"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0.69</w:t>
            </w:r>
          </w:p>
        </w:tc>
        <w:tc>
          <w:tcPr>
            <w:tcW w:w="103" w:type="pct"/>
            <w:tcBorders>
              <w:top w:val="nil"/>
              <w:left w:val="nil"/>
              <w:bottom w:val="nil"/>
              <w:right w:val="nil"/>
              <w:tl2br w:val="nil"/>
              <w:tr2bl w:val="nil"/>
            </w:tcBorders>
            <w:shd w:val="solid" w:color="FFFFFF" w:fill="FFFFFF"/>
            <w:noWrap/>
            <w:vAlign w:val="bottom"/>
          </w:tcPr>
          <w:p w14:paraId="1693E0D6" w14:textId="77777777" w:rsidR="006E442A" w:rsidRDefault="006E442A" w:rsidP="006E442A">
            <w:pPr>
              <w:spacing w:after="1"/>
              <w:jc w:val="right"/>
              <w:rPr>
                <w:rFonts w:ascii="Calibri" w:eastAsia="Calibri" w:hAnsi="Calibri" w:cs="Calibri"/>
                <w:color w:val="000000"/>
                <w:sz w:val="19"/>
              </w:rPr>
            </w:pPr>
          </w:p>
        </w:tc>
        <w:tc>
          <w:tcPr>
            <w:tcW w:w="65" w:type="pct"/>
            <w:tcBorders>
              <w:top w:val="nil"/>
              <w:left w:val="nil"/>
              <w:bottom w:val="nil"/>
              <w:right w:val="nil"/>
              <w:tl2br w:val="nil"/>
              <w:tr2bl w:val="nil"/>
            </w:tcBorders>
            <w:shd w:val="solid" w:color="FFFFFF" w:fill="FFFFFF"/>
            <w:noWrap/>
            <w:vAlign w:val="bottom"/>
          </w:tcPr>
          <w:p w14:paraId="422530D5" w14:textId="77777777" w:rsidR="006E442A" w:rsidRDefault="006E442A" w:rsidP="006E442A">
            <w:pPr>
              <w:spacing w:after="1"/>
              <w:rPr>
                <w:rFonts w:ascii="Calibri" w:eastAsia="Calibri" w:hAnsi="Calibri" w:cs="Calibri"/>
                <w:color w:val="000000"/>
                <w:sz w:val="19"/>
              </w:rPr>
            </w:pPr>
          </w:p>
        </w:tc>
      </w:tr>
      <w:tr w:rsidR="006E442A" w14:paraId="33257EC6" w14:textId="77777777" w:rsidTr="00F10DDD">
        <w:tc>
          <w:tcPr>
            <w:tcW w:w="3243" w:type="pct"/>
            <w:tcBorders>
              <w:top w:val="nil"/>
              <w:left w:val="nil"/>
              <w:bottom w:val="nil"/>
              <w:right w:val="nil"/>
              <w:tl2br w:val="nil"/>
              <w:tr2bl w:val="nil"/>
            </w:tcBorders>
            <w:shd w:val="solid" w:color="FFFFFF" w:fill="FFFFFF"/>
            <w:vAlign w:val="bottom"/>
          </w:tcPr>
          <w:p w14:paraId="52E33AE5"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Tax Adjustments Per Share (5)(6)</w:t>
            </w:r>
          </w:p>
        </w:tc>
        <w:tc>
          <w:tcPr>
            <w:tcW w:w="128" w:type="pct"/>
            <w:tcBorders>
              <w:top w:val="nil"/>
              <w:left w:val="nil"/>
              <w:bottom w:val="nil"/>
              <w:right w:val="nil"/>
              <w:tl2br w:val="nil"/>
              <w:tr2bl w:val="nil"/>
            </w:tcBorders>
            <w:shd w:val="solid" w:color="FFFFFF" w:fill="FFFFFF"/>
            <w:vAlign w:val="bottom"/>
          </w:tcPr>
          <w:p w14:paraId="7257451F"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19039F9D"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w:t>
            </w:r>
          </w:p>
        </w:tc>
        <w:tc>
          <w:tcPr>
            <w:tcW w:w="532" w:type="pct"/>
            <w:tcBorders>
              <w:top w:val="nil"/>
              <w:left w:val="nil"/>
              <w:bottom w:val="nil"/>
              <w:right w:val="nil"/>
              <w:tl2br w:val="nil"/>
              <w:tr2bl w:val="nil"/>
            </w:tcBorders>
            <w:shd w:val="solid" w:color="FFFFFF" w:fill="FFFFFF"/>
            <w:noWrap/>
            <w:vAlign w:val="bottom"/>
          </w:tcPr>
          <w:p w14:paraId="3B0F0C7F"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0.18</w:t>
            </w:r>
          </w:p>
        </w:tc>
        <w:tc>
          <w:tcPr>
            <w:tcW w:w="103" w:type="pct"/>
            <w:tcBorders>
              <w:top w:val="nil"/>
              <w:left w:val="nil"/>
              <w:bottom w:val="nil"/>
              <w:right w:val="nil"/>
              <w:tl2br w:val="nil"/>
              <w:tr2bl w:val="nil"/>
            </w:tcBorders>
            <w:shd w:val="solid" w:color="FFFFFF" w:fill="FFFFFF"/>
            <w:noWrap/>
            <w:vAlign w:val="bottom"/>
          </w:tcPr>
          <w:p w14:paraId="4B5F4265" w14:textId="77777777" w:rsidR="006E442A" w:rsidRDefault="006E442A" w:rsidP="006E442A">
            <w:pPr>
              <w:spacing w:after="1"/>
              <w:jc w:val="right"/>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noWrap/>
            <w:vAlign w:val="bottom"/>
          </w:tcPr>
          <w:p w14:paraId="208309DD"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5E1E2FB6"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w:t>
            </w:r>
          </w:p>
        </w:tc>
        <w:tc>
          <w:tcPr>
            <w:tcW w:w="532" w:type="pct"/>
            <w:tcBorders>
              <w:top w:val="nil"/>
              <w:left w:val="nil"/>
              <w:bottom w:val="nil"/>
              <w:right w:val="nil"/>
              <w:tl2br w:val="nil"/>
              <w:tr2bl w:val="nil"/>
            </w:tcBorders>
            <w:shd w:val="solid" w:color="FFFFFF" w:fill="FFFFFF"/>
            <w:noWrap/>
            <w:vAlign w:val="bottom"/>
          </w:tcPr>
          <w:p w14:paraId="47193D72"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0.20</w:t>
            </w:r>
          </w:p>
        </w:tc>
        <w:tc>
          <w:tcPr>
            <w:tcW w:w="103" w:type="pct"/>
            <w:tcBorders>
              <w:top w:val="nil"/>
              <w:left w:val="nil"/>
              <w:bottom w:val="nil"/>
              <w:right w:val="nil"/>
              <w:tl2br w:val="nil"/>
              <w:tr2bl w:val="nil"/>
            </w:tcBorders>
            <w:shd w:val="solid" w:color="FFFFFF" w:fill="FFFFFF"/>
            <w:noWrap/>
            <w:vAlign w:val="bottom"/>
          </w:tcPr>
          <w:p w14:paraId="2E572092" w14:textId="77777777" w:rsidR="006E442A" w:rsidRDefault="006E442A" w:rsidP="006E442A">
            <w:pPr>
              <w:spacing w:after="1"/>
              <w:jc w:val="right"/>
              <w:rPr>
                <w:rFonts w:ascii="Calibri" w:eastAsia="Calibri" w:hAnsi="Calibri" w:cs="Calibri"/>
                <w:color w:val="000000"/>
                <w:sz w:val="19"/>
              </w:rPr>
            </w:pPr>
          </w:p>
        </w:tc>
        <w:tc>
          <w:tcPr>
            <w:tcW w:w="65" w:type="pct"/>
            <w:tcBorders>
              <w:top w:val="nil"/>
              <w:left w:val="nil"/>
              <w:bottom w:val="nil"/>
              <w:right w:val="nil"/>
              <w:tl2br w:val="nil"/>
              <w:tr2bl w:val="nil"/>
            </w:tcBorders>
            <w:shd w:val="solid" w:color="FFFFFF" w:fill="FFFFFF"/>
            <w:noWrap/>
            <w:vAlign w:val="bottom"/>
          </w:tcPr>
          <w:p w14:paraId="5F8958EE" w14:textId="77777777" w:rsidR="006E442A" w:rsidRDefault="006E442A" w:rsidP="006E442A">
            <w:pPr>
              <w:spacing w:after="1"/>
              <w:rPr>
                <w:rFonts w:ascii="Calibri" w:eastAsia="Calibri" w:hAnsi="Calibri" w:cs="Calibri"/>
                <w:color w:val="000000"/>
                <w:sz w:val="19"/>
              </w:rPr>
            </w:pPr>
          </w:p>
        </w:tc>
      </w:tr>
      <w:tr w:rsidR="006E442A" w14:paraId="6BC0BD26" w14:textId="77777777" w:rsidTr="00F10DDD">
        <w:tc>
          <w:tcPr>
            <w:tcW w:w="3243" w:type="pct"/>
            <w:tcBorders>
              <w:top w:val="nil"/>
              <w:left w:val="nil"/>
              <w:bottom w:val="nil"/>
              <w:right w:val="nil"/>
              <w:tl2br w:val="nil"/>
              <w:tr2bl w:val="nil"/>
            </w:tcBorders>
            <w:shd w:val="solid" w:color="FFFFFF" w:fill="FFFFFF"/>
            <w:vAlign w:val="bottom"/>
          </w:tcPr>
          <w:p w14:paraId="407D4361"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Adjusted Net Income Excluding Tax Adjustments</w:t>
            </w:r>
          </w:p>
        </w:tc>
        <w:tc>
          <w:tcPr>
            <w:tcW w:w="128" w:type="pct"/>
            <w:tcBorders>
              <w:top w:val="nil"/>
              <w:left w:val="nil"/>
              <w:bottom w:val="nil"/>
              <w:right w:val="nil"/>
              <w:tl2br w:val="nil"/>
              <w:tr2bl w:val="nil"/>
            </w:tcBorders>
            <w:shd w:val="solid" w:color="FFFFFF" w:fill="FFFFFF"/>
            <w:vAlign w:val="bottom"/>
          </w:tcPr>
          <w:p w14:paraId="208EA4BA"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1B5227CC"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39CD87BD" w14:textId="77777777" w:rsidR="006E442A" w:rsidRDefault="006E442A" w:rsidP="006E442A">
            <w:pPr>
              <w:spacing w:after="1"/>
              <w:jc w:val="right"/>
              <w:rPr>
                <w:rFonts w:ascii="Calibri" w:eastAsia="Calibri" w:hAnsi="Calibri" w:cs="Calibri"/>
                <w:color w:val="000000"/>
                <w:sz w:val="19"/>
              </w:rPr>
            </w:pPr>
          </w:p>
        </w:tc>
        <w:tc>
          <w:tcPr>
            <w:tcW w:w="103" w:type="pct"/>
            <w:tcBorders>
              <w:top w:val="nil"/>
              <w:left w:val="nil"/>
              <w:bottom w:val="nil"/>
              <w:right w:val="nil"/>
              <w:tl2br w:val="nil"/>
              <w:tr2bl w:val="nil"/>
            </w:tcBorders>
            <w:shd w:val="solid" w:color="FFFFFF" w:fill="FFFFFF"/>
            <w:noWrap/>
            <w:vAlign w:val="bottom"/>
          </w:tcPr>
          <w:p w14:paraId="1CDD3434" w14:textId="77777777" w:rsidR="006E442A" w:rsidRDefault="006E442A" w:rsidP="006E442A">
            <w:pPr>
              <w:spacing w:after="1"/>
              <w:jc w:val="right"/>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noWrap/>
            <w:vAlign w:val="bottom"/>
          </w:tcPr>
          <w:p w14:paraId="6D2880DC"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45E46D2F"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673D8840" w14:textId="77777777" w:rsidR="006E442A" w:rsidRDefault="006E442A" w:rsidP="006E442A">
            <w:pPr>
              <w:spacing w:after="1"/>
              <w:jc w:val="right"/>
              <w:rPr>
                <w:rFonts w:ascii="Calibri" w:eastAsia="Calibri" w:hAnsi="Calibri" w:cs="Calibri"/>
                <w:color w:val="000000"/>
                <w:sz w:val="19"/>
              </w:rPr>
            </w:pPr>
          </w:p>
        </w:tc>
        <w:tc>
          <w:tcPr>
            <w:tcW w:w="103" w:type="pct"/>
            <w:tcBorders>
              <w:top w:val="nil"/>
              <w:left w:val="nil"/>
              <w:bottom w:val="nil"/>
              <w:right w:val="nil"/>
              <w:tl2br w:val="nil"/>
              <w:tr2bl w:val="nil"/>
            </w:tcBorders>
            <w:shd w:val="solid" w:color="FFFFFF" w:fill="FFFFFF"/>
            <w:noWrap/>
            <w:vAlign w:val="bottom"/>
          </w:tcPr>
          <w:p w14:paraId="3EA0F9D5" w14:textId="77777777" w:rsidR="006E442A" w:rsidRDefault="006E442A" w:rsidP="006E442A">
            <w:pPr>
              <w:spacing w:after="1"/>
              <w:jc w:val="right"/>
              <w:rPr>
                <w:rFonts w:ascii="Calibri" w:eastAsia="Calibri" w:hAnsi="Calibri" w:cs="Calibri"/>
                <w:color w:val="000000"/>
                <w:sz w:val="19"/>
              </w:rPr>
            </w:pPr>
          </w:p>
        </w:tc>
        <w:tc>
          <w:tcPr>
            <w:tcW w:w="65" w:type="pct"/>
            <w:tcBorders>
              <w:top w:val="nil"/>
              <w:left w:val="nil"/>
              <w:bottom w:val="nil"/>
              <w:right w:val="nil"/>
              <w:tl2br w:val="nil"/>
              <w:tr2bl w:val="nil"/>
            </w:tcBorders>
            <w:shd w:val="solid" w:color="FFFFFF" w:fill="FFFFFF"/>
            <w:noWrap/>
            <w:vAlign w:val="bottom"/>
          </w:tcPr>
          <w:p w14:paraId="409D4083" w14:textId="77777777" w:rsidR="006E442A" w:rsidRDefault="006E442A" w:rsidP="006E442A">
            <w:pPr>
              <w:spacing w:after="1"/>
              <w:rPr>
                <w:rFonts w:ascii="Calibri" w:eastAsia="Calibri" w:hAnsi="Calibri" w:cs="Calibri"/>
                <w:color w:val="000000"/>
                <w:sz w:val="19"/>
              </w:rPr>
            </w:pPr>
          </w:p>
        </w:tc>
      </w:tr>
      <w:tr w:rsidR="006E442A" w14:paraId="5BAE3191" w14:textId="77777777" w:rsidTr="00F10DDD">
        <w:tc>
          <w:tcPr>
            <w:tcW w:w="3243" w:type="pct"/>
            <w:tcBorders>
              <w:top w:val="nil"/>
              <w:left w:val="nil"/>
              <w:bottom w:val="nil"/>
              <w:right w:val="nil"/>
              <w:tl2br w:val="nil"/>
              <w:tr2bl w:val="nil"/>
            </w:tcBorders>
            <w:shd w:val="solid" w:color="FFFFFF" w:fill="FFFFFF"/>
            <w:vAlign w:val="bottom"/>
          </w:tcPr>
          <w:p w14:paraId="5C2559A8" w14:textId="77777777" w:rsidR="006E442A" w:rsidRDefault="006E442A" w:rsidP="006E442A">
            <w:pPr>
              <w:spacing w:after="1"/>
              <w:ind w:left="120"/>
              <w:rPr>
                <w:rFonts w:ascii="Calibri" w:eastAsia="Calibri" w:hAnsi="Calibri" w:cs="Calibri"/>
                <w:color w:val="000000"/>
                <w:sz w:val="19"/>
              </w:rPr>
            </w:pPr>
            <w:r>
              <w:rPr>
                <w:rFonts w:ascii="Calibri" w:eastAsia="Calibri" w:hAnsi="Calibri" w:cs="Calibri"/>
                <w:color w:val="000000"/>
                <w:sz w:val="19"/>
              </w:rPr>
              <w:t>Per Share growth (5) from prior period</w:t>
            </w:r>
          </w:p>
        </w:tc>
        <w:tc>
          <w:tcPr>
            <w:tcW w:w="128" w:type="pct"/>
            <w:tcBorders>
              <w:top w:val="nil"/>
              <w:left w:val="nil"/>
              <w:bottom w:val="nil"/>
              <w:right w:val="nil"/>
              <w:tl2br w:val="nil"/>
              <w:tr2bl w:val="nil"/>
            </w:tcBorders>
            <w:shd w:val="solid" w:color="FFFFFF" w:fill="FFFFFF"/>
            <w:vAlign w:val="bottom"/>
          </w:tcPr>
          <w:p w14:paraId="1FED6FCE"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72E6E948"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532" w:type="pct"/>
            <w:tcBorders>
              <w:top w:val="nil"/>
              <w:left w:val="nil"/>
              <w:bottom w:val="nil"/>
              <w:right w:val="nil"/>
              <w:tl2br w:val="nil"/>
              <w:tr2bl w:val="nil"/>
            </w:tcBorders>
            <w:shd w:val="solid" w:color="FFFFFF" w:fill="FFFFFF"/>
            <w:noWrap/>
            <w:vAlign w:val="bottom"/>
          </w:tcPr>
          <w:p w14:paraId="1F9058E2"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22.5</w:t>
            </w:r>
          </w:p>
        </w:tc>
        <w:tc>
          <w:tcPr>
            <w:tcW w:w="103" w:type="pct"/>
            <w:tcBorders>
              <w:top w:val="nil"/>
              <w:left w:val="nil"/>
              <w:bottom w:val="nil"/>
              <w:right w:val="nil"/>
              <w:tl2br w:val="nil"/>
              <w:tr2bl w:val="nil"/>
            </w:tcBorders>
            <w:shd w:val="solid" w:color="FFFFFF" w:fill="FFFFFF"/>
            <w:noWrap/>
            <w:vAlign w:val="bottom"/>
          </w:tcPr>
          <w:p w14:paraId="7FAE94F6"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w:t>
            </w:r>
          </w:p>
        </w:tc>
        <w:tc>
          <w:tcPr>
            <w:tcW w:w="128" w:type="pct"/>
            <w:tcBorders>
              <w:top w:val="nil"/>
              <w:left w:val="nil"/>
              <w:bottom w:val="nil"/>
              <w:right w:val="nil"/>
              <w:tl2br w:val="nil"/>
              <w:tr2bl w:val="nil"/>
            </w:tcBorders>
            <w:shd w:val="solid" w:color="FFFFFF" w:fill="FFFFFF"/>
            <w:noWrap/>
            <w:vAlign w:val="bottom"/>
          </w:tcPr>
          <w:p w14:paraId="6795B0C7"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74ABB59B"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532" w:type="pct"/>
            <w:tcBorders>
              <w:top w:val="nil"/>
              <w:left w:val="nil"/>
              <w:bottom w:val="nil"/>
              <w:right w:val="nil"/>
              <w:tl2br w:val="nil"/>
              <w:tr2bl w:val="nil"/>
            </w:tcBorders>
            <w:shd w:val="solid" w:color="FFFFFF" w:fill="FFFFFF"/>
            <w:noWrap/>
            <w:vAlign w:val="bottom"/>
          </w:tcPr>
          <w:p w14:paraId="7A62EA0D"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xml:space="preserve"> (29.6)</w:t>
            </w:r>
          </w:p>
        </w:tc>
        <w:tc>
          <w:tcPr>
            <w:tcW w:w="103" w:type="pct"/>
            <w:tcBorders>
              <w:top w:val="nil"/>
              <w:left w:val="nil"/>
              <w:bottom w:val="nil"/>
              <w:right w:val="nil"/>
              <w:tl2br w:val="nil"/>
              <w:tr2bl w:val="nil"/>
            </w:tcBorders>
            <w:shd w:val="solid" w:color="FFFFFF" w:fill="FFFFFF"/>
            <w:noWrap/>
            <w:vAlign w:val="bottom"/>
          </w:tcPr>
          <w:p w14:paraId="3FB9E08B"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w:t>
            </w:r>
          </w:p>
        </w:tc>
        <w:tc>
          <w:tcPr>
            <w:tcW w:w="65" w:type="pct"/>
            <w:tcBorders>
              <w:top w:val="nil"/>
              <w:left w:val="nil"/>
              <w:bottom w:val="nil"/>
              <w:right w:val="nil"/>
              <w:tl2br w:val="nil"/>
              <w:tr2bl w:val="nil"/>
            </w:tcBorders>
            <w:shd w:val="solid" w:color="FFFFFF" w:fill="FFFFFF"/>
            <w:noWrap/>
            <w:vAlign w:val="bottom"/>
          </w:tcPr>
          <w:p w14:paraId="58E81D05" w14:textId="77777777" w:rsidR="006E442A" w:rsidRDefault="006E442A" w:rsidP="006E442A">
            <w:pPr>
              <w:spacing w:after="1"/>
              <w:rPr>
                <w:rFonts w:ascii="Calibri" w:eastAsia="Calibri" w:hAnsi="Calibri" w:cs="Calibri"/>
                <w:color w:val="000000"/>
                <w:sz w:val="19"/>
              </w:rPr>
            </w:pPr>
          </w:p>
        </w:tc>
      </w:tr>
      <w:tr w:rsidR="006E442A" w14:paraId="0319C3C6" w14:textId="77777777" w:rsidTr="00F10DDD">
        <w:tc>
          <w:tcPr>
            <w:tcW w:w="3243" w:type="pct"/>
            <w:tcBorders>
              <w:top w:val="nil"/>
              <w:left w:val="nil"/>
              <w:bottom w:val="nil"/>
              <w:right w:val="nil"/>
              <w:tl2br w:val="nil"/>
              <w:tr2bl w:val="nil"/>
            </w:tcBorders>
            <w:shd w:val="solid" w:color="FFFFFF" w:fill="FFFFFF"/>
            <w:vAlign w:val="bottom"/>
          </w:tcPr>
          <w:p w14:paraId="44B05EF8"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Tax Adjustments Per Share growth from</w:t>
            </w:r>
          </w:p>
        </w:tc>
        <w:tc>
          <w:tcPr>
            <w:tcW w:w="128" w:type="pct"/>
            <w:tcBorders>
              <w:top w:val="nil"/>
              <w:left w:val="nil"/>
              <w:bottom w:val="nil"/>
              <w:right w:val="nil"/>
              <w:tl2br w:val="nil"/>
              <w:tr2bl w:val="nil"/>
            </w:tcBorders>
            <w:shd w:val="solid" w:color="FFFFFF" w:fill="FFFFFF"/>
            <w:vAlign w:val="bottom"/>
          </w:tcPr>
          <w:p w14:paraId="3D381B06"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2C71813C"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19779C49" w14:textId="77777777" w:rsidR="006E442A" w:rsidRDefault="006E442A" w:rsidP="006E442A">
            <w:pPr>
              <w:spacing w:after="1"/>
              <w:jc w:val="right"/>
              <w:rPr>
                <w:rFonts w:ascii="Calibri" w:eastAsia="Calibri" w:hAnsi="Calibri" w:cs="Calibri"/>
                <w:color w:val="000000"/>
                <w:sz w:val="19"/>
              </w:rPr>
            </w:pPr>
          </w:p>
        </w:tc>
        <w:tc>
          <w:tcPr>
            <w:tcW w:w="103" w:type="pct"/>
            <w:tcBorders>
              <w:top w:val="nil"/>
              <w:left w:val="nil"/>
              <w:bottom w:val="nil"/>
              <w:right w:val="nil"/>
              <w:tl2br w:val="nil"/>
              <w:tr2bl w:val="nil"/>
            </w:tcBorders>
            <w:shd w:val="solid" w:color="FFFFFF" w:fill="FFFFFF"/>
            <w:noWrap/>
            <w:vAlign w:val="bottom"/>
          </w:tcPr>
          <w:p w14:paraId="1CB36CEC" w14:textId="77777777" w:rsidR="006E442A" w:rsidRDefault="006E442A" w:rsidP="006E442A">
            <w:pPr>
              <w:spacing w:after="1"/>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noWrap/>
            <w:vAlign w:val="bottom"/>
          </w:tcPr>
          <w:p w14:paraId="2A664964"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311A48E3"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586AF1D9" w14:textId="77777777" w:rsidR="006E442A" w:rsidRDefault="006E442A" w:rsidP="006E442A">
            <w:pPr>
              <w:spacing w:after="1"/>
              <w:jc w:val="right"/>
              <w:rPr>
                <w:rFonts w:ascii="Calibri" w:eastAsia="Calibri" w:hAnsi="Calibri" w:cs="Calibri"/>
                <w:color w:val="000000"/>
                <w:sz w:val="19"/>
              </w:rPr>
            </w:pPr>
          </w:p>
        </w:tc>
        <w:tc>
          <w:tcPr>
            <w:tcW w:w="103" w:type="pct"/>
            <w:tcBorders>
              <w:top w:val="nil"/>
              <w:left w:val="nil"/>
              <w:bottom w:val="nil"/>
              <w:right w:val="nil"/>
              <w:tl2br w:val="nil"/>
              <w:tr2bl w:val="nil"/>
            </w:tcBorders>
            <w:shd w:val="solid" w:color="FFFFFF" w:fill="FFFFFF"/>
            <w:noWrap/>
            <w:vAlign w:val="bottom"/>
          </w:tcPr>
          <w:p w14:paraId="19CCF351" w14:textId="77777777" w:rsidR="006E442A" w:rsidRDefault="006E442A" w:rsidP="006E442A">
            <w:pPr>
              <w:spacing w:after="1"/>
              <w:rPr>
                <w:rFonts w:ascii="Calibri" w:eastAsia="Calibri" w:hAnsi="Calibri" w:cs="Calibri"/>
                <w:color w:val="000000"/>
                <w:sz w:val="19"/>
              </w:rPr>
            </w:pPr>
          </w:p>
        </w:tc>
        <w:tc>
          <w:tcPr>
            <w:tcW w:w="65" w:type="pct"/>
            <w:tcBorders>
              <w:top w:val="nil"/>
              <w:left w:val="nil"/>
              <w:bottom w:val="nil"/>
              <w:right w:val="nil"/>
              <w:tl2br w:val="nil"/>
              <w:tr2bl w:val="nil"/>
            </w:tcBorders>
            <w:shd w:val="solid" w:color="FFFFFF" w:fill="FFFFFF"/>
            <w:noWrap/>
            <w:vAlign w:val="bottom"/>
          </w:tcPr>
          <w:p w14:paraId="669F29F7" w14:textId="77777777" w:rsidR="006E442A" w:rsidRDefault="006E442A" w:rsidP="006E442A">
            <w:pPr>
              <w:spacing w:after="1"/>
              <w:rPr>
                <w:rFonts w:ascii="Calibri" w:eastAsia="Calibri" w:hAnsi="Calibri" w:cs="Calibri"/>
                <w:color w:val="000000"/>
                <w:sz w:val="19"/>
              </w:rPr>
            </w:pPr>
          </w:p>
        </w:tc>
      </w:tr>
      <w:tr w:rsidR="006E442A" w14:paraId="33B621FA" w14:textId="77777777" w:rsidTr="00F10DDD">
        <w:tc>
          <w:tcPr>
            <w:tcW w:w="3243" w:type="pct"/>
            <w:tcBorders>
              <w:top w:val="nil"/>
              <w:left w:val="nil"/>
              <w:bottom w:val="nil"/>
              <w:right w:val="nil"/>
              <w:tl2br w:val="nil"/>
              <w:tr2bl w:val="nil"/>
            </w:tcBorders>
            <w:shd w:val="solid" w:color="FFFFFF" w:fill="FFFFFF"/>
            <w:vAlign w:val="bottom"/>
          </w:tcPr>
          <w:p w14:paraId="0E782AA5" w14:textId="77777777" w:rsidR="006E442A" w:rsidRDefault="006E442A" w:rsidP="006E442A">
            <w:pPr>
              <w:spacing w:after="1"/>
              <w:ind w:left="120"/>
              <w:rPr>
                <w:rFonts w:ascii="Calibri" w:eastAsia="Calibri" w:hAnsi="Calibri" w:cs="Calibri"/>
                <w:color w:val="000000"/>
                <w:sz w:val="19"/>
              </w:rPr>
            </w:pPr>
            <w:r>
              <w:rPr>
                <w:rFonts w:ascii="Calibri" w:eastAsia="Calibri" w:hAnsi="Calibri" w:cs="Calibri"/>
                <w:color w:val="000000"/>
                <w:sz w:val="19"/>
              </w:rPr>
              <w:t>prior period (5)(6)</w:t>
            </w:r>
          </w:p>
        </w:tc>
        <w:tc>
          <w:tcPr>
            <w:tcW w:w="128" w:type="pct"/>
            <w:tcBorders>
              <w:top w:val="nil"/>
              <w:left w:val="nil"/>
              <w:bottom w:val="nil"/>
              <w:right w:val="nil"/>
              <w:tl2br w:val="nil"/>
              <w:tr2bl w:val="nil"/>
            </w:tcBorders>
            <w:shd w:val="solid" w:color="FFFFFF" w:fill="FFFFFF"/>
            <w:vAlign w:val="bottom"/>
          </w:tcPr>
          <w:p w14:paraId="3308B9C3"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70CB32B2"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3E64D418"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38.5</w:t>
            </w:r>
          </w:p>
        </w:tc>
        <w:tc>
          <w:tcPr>
            <w:tcW w:w="103" w:type="pct"/>
            <w:tcBorders>
              <w:top w:val="nil"/>
              <w:left w:val="nil"/>
              <w:bottom w:val="nil"/>
              <w:right w:val="nil"/>
              <w:tl2br w:val="nil"/>
              <w:tr2bl w:val="nil"/>
            </w:tcBorders>
            <w:shd w:val="solid" w:color="FFFFFF" w:fill="FFFFFF"/>
            <w:noWrap/>
            <w:vAlign w:val="bottom"/>
          </w:tcPr>
          <w:p w14:paraId="3D297941"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w:t>
            </w:r>
          </w:p>
        </w:tc>
        <w:tc>
          <w:tcPr>
            <w:tcW w:w="128" w:type="pct"/>
            <w:tcBorders>
              <w:top w:val="nil"/>
              <w:left w:val="nil"/>
              <w:bottom w:val="nil"/>
              <w:right w:val="nil"/>
              <w:tl2br w:val="nil"/>
              <w:tr2bl w:val="nil"/>
            </w:tcBorders>
            <w:shd w:val="solid" w:color="FFFFFF" w:fill="FFFFFF"/>
            <w:noWrap/>
            <w:vAlign w:val="bottom"/>
          </w:tcPr>
          <w:p w14:paraId="7B1D98F6"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39821A37"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4F348BC4"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11.1</w:t>
            </w:r>
          </w:p>
        </w:tc>
        <w:tc>
          <w:tcPr>
            <w:tcW w:w="103" w:type="pct"/>
            <w:tcBorders>
              <w:top w:val="nil"/>
              <w:left w:val="nil"/>
              <w:bottom w:val="nil"/>
              <w:right w:val="nil"/>
              <w:tl2br w:val="nil"/>
              <w:tr2bl w:val="nil"/>
            </w:tcBorders>
            <w:shd w:val="solid" w:color="FFFFFF" w:fill="FFFFFF"/>
            <w:noWrap/>
            <w:vAlign w:val="bottom"/>
          </w:tcPr>
          <w:p w14:paraId="2DE2CB9A"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w:t>
            </w:r>
          </w:p>
        </w:tc>
        <w:tc>
          <w:tcPr>
            <w:tcW w:w="65" w:type="pct"/>
            <w:tcBorders>
              <w:top w:val="nil"/>
              <w:left w:val="nil"/>
              <w:bottom w:val="nil"/>
              <w:right w:val="nil"/>
              <w:tl2br w:val="nil"/>
              <w:tr2bl w:val="nil"/>
            </w:tcBorders>
            <w:shd w:val="solid" w:color="FFFFFF" w:fill="FFFFFF"/>
            <w:noWrap/>
            <w:vAlign w:val="bottom"/>
          </w:tcPr>
          <w:p w14:paraId="70A98DE9" w14:textId="77777777" w:rsidR="006E442A" w:rsidRDefault="006E442A" w:rsidP="006E442A">
            <w:pPr>
              <w:spacing w:after="1"/>
              <w:rPr>
                <w:rFonts w:ascii="Calibri" w:eastAsia="Calibri" w:hAnsi="Calibri" w:cs="Calibri"/>
                <w:color w:val="000000"/>
                <w:sz w:val="19"/>
              </w:rPr>
            </w:pPr>
          </w:p>
        </w:tc>
      </w:tr>
      <w:tr w:rsidR="006E442A" w14:paraId="6B98D963" w14:textId="77777777" w:rsidTr="00F10DDD">
        <w:tc>
          <w:tcPr>
            <w:tcW w:w="3243" w:type="pct"/>
            <w:tcBorders>
              <w:top w:val="nil"/>
              <w:left w:val="nil"/>
              <w:bottom w:val="nil"/>
              <w:right w:val="nil"/>
              <w:tl2br w:val="nil"/>
              <w:tr2bl w:val="nil"/>
            </w:tcBorders>
            <w:shd w:val="solid" w:color="FFFFFF" w:fill="FFFFFF"/>
            <w:vAlign w:val="bottom"/>
          </w:tcPr>
          <w:p w14:paraId="6D4230E2" w14:textId="77777777" w:rsidR="006E442A" w:rsidRDefault="006E442A" w:rsidP="006E442A">
            <w:pPr>
              <w:spacing w:after="1"/>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vAlign w:val="bottom"/>
          </w:tcPr>
          <w:p w14:paraId="1F5A4FBB"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66B175B3"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40FD39C8" w14:textId="77777777" w:rsidR="006E442A" w:rsidRDefault="006E442A" w:rsidP="006E442A">
            <w:pPr>
              <w:spacing w:after="1"/>
              <w:jc w:val="right"/>
              <w:rPr>
                <w:rFonts w:ascii="Calibri" w:eastAsia="Calibri" w:hAnsi="Calibri" w:cs="Calibri"/>
                <w:color w:val="000000"/>
                <w:sz w:val="19"/>
              </w:rPr>
            </w:pPr>
          </w:p>
        </w:tc>
        <w:tc>
          <w:tcPr>
            <w:tcW w:w="103" w:type="pct"/>
            <w:tcBorders>
              <w:top w:val="nil"/>
              <w:left w:val="nil"/>
              <w:bottom w:val="nil"/>
              <w:right w:val="nil"/>
              <w:tl2br w:val="nil"/>
              <w:tr2bl w:val="nil"/>
            </w:tcBorders>
            <w:shd w:val="solid" w:color="FFFFFF" w:fill="FFFFFF"/>
            <w:noWrap/>
            <w:vAlign w:val="bottom"/>
          </w:tcPr>
          <w:p w14:paraId="4D9E7AC2" w14:textId="77777777" w:rsidR="006E442A" w:rsidRDefault="006E442A" w:rsidP="006E442A">
            <w:pPr>
              <w:spacing w:after="1"/>
              <w:jc w:val="right"/>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noWrap/>
            <w:vAlign w:val="bottom"/>
          </w:tcPr>
          <w:p w14:paraId="53D83ACB"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2954612D"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2520D69D" w14:textId="77777777" w:rsidR="006E442A" w:rsidRDefault="006E442A" w:rsidP="006E442A">
            <w:pPr>
              <w:spacing w:after="1"/>
              <w:jc w:val="right"/>
              <w:rPr>
                <w:rFonts w:ascii="Calibri" w:eastAsia="Calibri" w:hAnsi="Calibri" w:cs="Calibri"/>
                <w:color w:val="000000"/>
                <w:sz w:val="19"/>
              </w:rPr>
            </w:pPr>
          </w:p>
        </w:tc>
        <w:tc>
          <w:tcPr>
            <w:tcW w:w="103" w:type="pct"/>
            <w:tcBorders>
              <w:top w:val="nil"/>
              <w:left w:val="nil"/>
              <w:bottom w:val="nil"/>
              <w:right w:val="nil"/>
              <w:tl2br w:val="nil"/>
              <w:tr2bl w:val="nil"/>
            </w:tcBorders>
            <w:shd w:val="solid" w:color="FFFFFF" w:fill="FFFFFF"/>
            <w:noWrap/>
            <w:vAlign w:val="bottom"/>
          </w:tcPr>
          <w:p w14:paraId="77D601A6" w14:textId="77777777" w:rsidR="006E442A" w:rsidRDefault="006E442A" w:rsidP="006E442A">
            <w:pPr>
              <w:spacing w:after="1"/>
              <w:jc w:val="right"/>
              <w:rPr>
                <w:rFonts w:ascii="Calibri" w:eastAsia="Calibri" w:hAnsi="Calibri" w:cs="Calibri"/>
                <w:color w:val="000000"/>
                <w:sz w:val="19"/>
              </w:rPr>
            </w:pPr>
          </w:p>
        </w:tc>
        <w:tc>
          <w:tcPr>
            <w:tcW w:w="65" w:type="pct"/>
            <w:tcBorders>
              <w:top w:val="nil"/>
              <w:left w:val="nil"/>
              <w:bottom w:val="nil"/>
              <w:right w:val="nil"/>
              <w:tl2br w:val="nil"/>
              <w:tr2bl w:val="nil"/>
            </w:tcBorders>
            <w:shd w:val="solid" w:color="FFFFFF" w:fill="FFFFFF"/>
            <w:noWrap/>
            <w:vAlign w:val="bottom"/>
          </w:tcPr>
          <w:p w14:paraId="680A3B7B" w14:textId="77777777" w:rsidR="006E442A" w:rsidRDefault="006E442A" w:rsidP="006E442A">
            <w:pPr>
              <w:spacing w:after="1"/>
              <w:rPr>
                <w:rFonts w:ascii="Calibri" w:eastAsia="Calibri" w:hAnsi="Calibri" w:cs="Calibri"/>
                <w:color w:val="000000"/>
                <w:sz w:val="19"/>
              </w:rPr>
            </w:pPr>
          </w:p>
        </w:tc>
      </w:tr>
      <w:tr w:rsidR="006E442A" w14:paraId="14CC1814" w14:textId="77777777" w:rsidTr="00F10DDD">
        <w:tc>
          <w:tcPr>
            <w:tcW w:w="3243" w:type="pct"/>
            <w:tcBorders>
              <w:top w:val="nil"/>
              <w:left w:val="nil"/>
              <w:bottom w:val="nil"/>
              <w:right w:val="nil"/>
              <w:tl2br w:val="nil"/>
              <w:tr2bl w:val="nil"/>
            </w:tcBorders>
            <w:shd w:val="solid" w:color="FFFFFF" w:fill="FFFFFF"/>
            <w:vAlign w:val="bottom"/>
          </w:tcPr>
          <w:p w14:paraId="61D8A6E5" w14:textId="77777777" w:rsidR="006E442A" w:rsidRDefault="006E442A" w:rsidP="006E442A">
            <w:pPr>
              <w:spacing w:after="1"/>
              <w:rPr>
                <w:rFonts w:ascii="Calibri" w:eastAsia="Calibri" w:hAnsi="Calibri" w:cs="Calibri"/>
                <w:b/>
                <w:color w:val="000000"/>
                <w:sz w:val="19"/>
              </w:rPr>
            </w:pPr>
            <w:r>
              <w:rPr>
                <w:rFonts w:ascii="Calibri" w:eastAsia="Calibri" w:hAnsi="Calibri" w:cs="Calibri"/>
                <w:b/>
                <w:color w:val="000000"/>
                <w:sz w:val="19"/>
              </w:rPr>
              <w:t>Adjusted Shares Outstanding</w:t>
            </w:r>
          </w:p>
        </w:tc>
        <w:tc>
          <w:tcPr>
            <w:tcW w:w="128" w:type="pct"/>
            <w:tcBorders>
              <w:top w:val="nil"/>
              <w:left w:val="nil"/>
              <w:bottom w:val="nil"/>
              <w:right w:val="nil"/>
              <w:tl2br w:val="nil"/>
              <w:tr2bl w:val="nil"/>
            </w:tcBorders>
            <w:shd w:val="solid" w:color="FFFFFF" w:fill="FFFFFF"/>
            <w:vAlign w:val="bottom"/>
          </w:tcPr>
          <w:p w14:paraId="4F8789D0"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1DBEDC9D"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3E2223AA" w14:textId="77777777" w:rsidR="006E442A" w:rsidRDefault="006E442A" w:rsidP="006E442A">
            <w:pPr>
              <w:spacing w:after="1"/>
              <w:jc w:val="right"/>
              <w:rPr>
                <w:rFonts w:ascii="Calibri" w:eastAsia="Calibri" w:hAnsi="Calibri" w:cs="Calibri"/>
                <w:color w:val="000000"/>
                <w:sz w:val="19"/>
              </w:rPr>
            </w:pPr>
          </w:p>
        </w:tc>
        <w:tc>
          <w:tcPr>
            <w:tcW w:w="103" w:type="pct"/>
            <w:tcBorders>
              <w:top w:val="nil"/>
              <w:left w:val="nil"/>
              <w:bottom w:val="nil"/>
              <w:right w:val="nil"/>
              <w:tl2br w:val="nil"/>
              <w:tr2bl w:val="nil"/>
            </w:tcBorders>
            <w:shd w:val="solid" w:color="FFFFFF" w:fill="FFFFFF"/>
            <w:noWrap/>
            <w:vAlign w:val="bottom"/>
          </w:tcPr>
          <w:p w14:paraId="3EBF062D" w14:textId="77777777" w:rsidR="006E442A" w:rsidRDefault="006E442A" w:rsidP="006E442A">
            <w:pPr>
              <w:spacing w:after="1"/>
              <w:jc w:val="right"/>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noWrap/>
            <w:vAlign w:val="bottom"/>
          </w:tcPr>
          <w:p w14:paraId="415CC8E2"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1F936C75"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75B47C9F" w14:textId="77777777" w:rsidR="006E442A" w:rsidRDefault="006E442A" w:rsidP="006E442A">
            <w:pPr>
              <w:spacing w:after="1"/>
              <w:jc w:val="right"/>
              <w:rPr>
                <w:rFonts w:ascii="Calibri" w:eastAsia="Calibri" w:hAnsi="Calibri" w:cs="Calibri"/>
                <w:color w:val="000000"/>
                <w:sz w:val="19"/>
              </w:rPr>
            </w:pPr>
          </w:p>
        </w:tc>
        <w:tc>
          <w:tcPr>
            <w:tcW w:w="103" w:type="pct"/>
            <w:tcBorders>
              <w:top w:val="nil"/>
              <w:left w:val="nil"/>
              <w:bottom w:val="nil"/>
              <w:right w:val="nil"/>
              <w:tl2br w:val="nil"/>
              <w:tr2bl w:val="nil"/>
            </w:tcBorders>
            <w:shd w:val="solid" w:color="FFFFFF" w:fill="FFFFFF"/>
            <w:noWrap/>
            <w:vAlign w:val="bottom"/>
          </w:tcPr>
          <w:p w14:paraId="281DE1D7" w14:textId="77777777" w:rsidR="006E442A" w:rsidRDefault="006E442A" w:rsidP="006E442A">
            <w:pPr>
              <w:spacing w:after="1"/>
              <w:jc w:val="right"/>
              <w:rPr>
                <w:rFonts w:ascii="Calibri" w:eastAsia="Calibri" w:hAnsi="Calibri" w:cs="Calibri"/>
                <w:color w:val="000000"/>
                <w:sz w:val="19"/>
              </w:rPr>
            </w:pPr>
          </w:p>
        </w:tc>
        <w:tc>
          <w:tcPr>
            <w:tcW w:w="65" w:type="pct"/>
            <w:tcBorders>
              <w:top w:val="nil"/>
              <w:left w:val="nil"/>
              <w:bottom w:val="nil"/>
              <w:right w:val="nil"/>
              <w:tl2br w:val="nil"/>
              <w:tr2bl w:val="nil"/>
            </w:tcBorders>
            <w:shd w:val="solid" w:color="FFFFFF" w:fill="FFFFFF"/>
            <w:noWrap/>
            <w:vAlign w:val="bottom"/>
          </w:tcPr>
          <w:p w14:paraId="1D6DB52C" w14:textId="77777777" w:rsidR="006E442A" w:rsidRDefault="006E442A" w:rsidP="006E442A">
            <w:pPr>
              <w:spacing w:after="1"/>
              <w:rPr>
                <w:rFonts w:ascii="Calibri" w:eastAsia="Calibri" w:hAnsi="Calibri" w:cs="Calibri"/>
                <w:color w:val="000000"/>
                <w:sz w:val="19"/>
              </w:rPr>
            </w:pPr>
          </w:p>
        </w:tc>
      </w:tr>
      <w:tr w:rsidR="006E442A" w14:paraId="437A7EE4" w14:textId="77777777" w:rsidTr="00F10DDD">
        <w:tc>
          <w:tcPr>
            <w:tcW w:w="3243" w:type="pct"/>
            <w:tcBorders>
              <w:top w:val="nil"/>
              <w:left w:val="nil"/>
              <w:bottom w:val="nil"/>
              <w:right w:val="nil"/>
              <w:tl2br w:val="nil"/>
              <w:tr2bl w:val="nil"/>
            </w:tcBorders>
            <w:shd w:val="solid" w:color="FFFFFF" w:fill="FFFFFF"/>
            <w:vAlign w:val="bottom"/>
          </w:tcPr>
          <w:p w14:paraId="74C4687E"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Adjusted Shares Outstanding (5)</w:t>
            </w:r>
          </w:p>
        </w:tc>
        <w:tc>
          <w:tcPr>
            <w:tcW w:w="128" w:type="pct"/>
            <w:tcBorders>
              <w:top w:val="nil"/>
              <w:left w:val="nil"/>
              <w:bottom w:val="nil"/>
              <w:right w:val="nil"/>
              <w:tl2br w:val="nil"/>
              <w:tr2bl w:val="nil"/>
            </w:tcBorders>
            <w:shd w:val="solid" w:color="FFFFFF" w:fill="FFFFFF"/>
            <w:vAlign w:val="bottom"/>
          </w:tcPr>
          <w:p w14:paraId="2DE99094"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745C3955"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532" w:type="pct"/>
            <w:tcBorders>
              <w:top w:val="nil"/>
              <w:left w:val="nil"/>
              <w:bottom w:val="nil"/>
              <w:right w:val="nil"/>
              <w:tl2br w:val="nil"/>
              <w:tr2bl w:val="nil"/>
            </w:tcBorders>
            <w:shd w:val="solid" w:color="FFFFFF" w:fill="FFFFFF"/>
            <w:noWrap/>
            <w:vAlign w:val="bottom"/>
          </w:tcPr>
          <w:p w14:paraId="11105B3B"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84,579,820</w:t>
            </w:r>
          </w:p>
        </w:tc>
        <w:tc>
          <w:tcPr>
            <w:tcW w:w="103" w:type="pct"/>
            <w:tcBorders>
              <w:top w:val="nil"/>
              <w:left w:val="nil"/>
              <w:bottom w:val="nil"/>
              <w:right w:val="nil"/>
              <w:tl2br w:val="nil"/>
              <w:tr2bl w:val="nil"/>
            </w:tcBorders>
            <w:shd w:val="solid" w:color="FFFFFF" w:fill="FFFFFF"/>
            <w:noWrap/>
            <w:vAlign w:val="bottom"/>
          </w:tcPr>
          <w:p w14:paraId="3B88A8E5" w14:textId="77777777" w:rsidR="006E442A" w:rsidRDefault="006E442A" w:rsidP="006E442A">
            <w:pPr>
              <w:spacing w:after="1"/>
              <w:jc w:val="right"/>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noWrap/>
            <w:vAlign w:val="bottom"/>
          </w:tcPr>
          <w:p w14:paraId="04C43775"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769023F2"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532" w:type="pct"/>
            <w:tcBorders>
              <w:top w:val="nil"/>
              <w:left w:val="nil"/>
              <w:bottom w:val="nil"/>
              <w:right w:val="nil"/>
              <w:tl2br w:val="nil"/>
              <w:tr2bl w:val="nil"/>
            </w:tcBorders>
            <w:shd w:val="solid" w:color="FFFFFF" w:fill="FFFFFF"/>
            <w:noWrap/>
            <w:vAlign w:val="bottom"/>
          </w:tcPr>
          <w:p w14:paraId="12BFEDB5"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86,844,405</w:t>
            </w:r>
          </w:p>
        </w:tc>
        <w:tc>
          <w:tcPr>
            <w:tcW w:w="103" w:type="pct"/>
            <w:tcBorders>
              <w:top w:val="nil"/>
              <w:left w:val="nil"/>
              <w:bottom w:val="nil"/>
              <w:right w:val="nil"/>
              <w:tl2br w:val="nil"/>
              <w:tr2bl w:val="nil"/>
            </w:tcBorders>
            <w:shd w:val="solid" w:color="FFFFFF" w:fill="FFFFFF"/>
            <w:noWrap/>
            <w:vAlign w:val="bottom"/>
          </w:tcPr>
          <w:p w14:paraId="680EF6B8" w14:textId="77777777" w:rsidR="006E442A" w:rsidRDefault="006E442A" w:rsidP="006E442A">
            <w:pPr>
              <w:spacing w:after="1"/>
              <w:jc w:val="right"/>
              <w:rPr>
                <w:rFonts w:ascii="Calibri" w:eastAsia="Calibri" w:hAnsi="Calibri" w:cs="Calibri"/>
                <w:color w:val="000000"/>
                <w:sz w:val="19"/>
              </w:rPr>
            </w:pPr>
          </w:p>
        </w:tc>
        <w:tc>
          <w:tcPr>
            <w:tcW w:w="65" w:type="pct"/>
            <w:tcBorders>
              <w:top w:val="nil"/>
              <w:left w:val="nil"/>
              <w:bottom w:val="nil"/>
              <w:right w:val="nil"/>
              <w:tl2br w:val="nil"/>
              <w:tr2bl w:val="nil"/>
            </w:tcBorders>
            <w:shd w:val="solid" w:color="FFFFFF" w:fill="FFFFFF"/>
            <w:noWrap/>
            <w:vAlign w:val="bottom"/>
          </w:tcPr>
          <w:p w14:paraId="211BD301" w14:textId="77777777" w:rsidR="006E442A" w:rsidRDefault="006E442A" w:rsidP="006E442A">
            <w:pPr>
              <w:spacing w:after="1"/>
              <w:rPr>
                <w:rFonts w:ascii="Calibri" w:eastAsia="Calibri" w:hAnsi="Calibri" w:cs="Calibri"/>
                <w:color w:val="000000"/>
                <w:sz w:val="19"/>
              </w:rPr>
            </w:pPr>
          </w:p>
        </w:tc>
      </w:tr>
      <w:tr w:rsidR="006E442A" w14:paraId="73917B75" w14:textId="77777777" w:rsidTr="00F10DDD">
        <w:tc>
          <w:tcPr>
            <w:tcW w:w="3243" w:type="pct"/>
            <w:tcBorders>
              <w:top w:val="nil"/>
              <w:left w:val="nil"/>
              <w:bottom w:val="nil"/>
              <w:right w:val="nil"/>
              <w:tl2br w:val="nil"/>
              <w:tr2bl w:val="nil"/>
            </w:tcBorders>
            <w:shd w:val="solid" w:color="FFFFFF" w:fill="FFFFFF"/>
            <w:vAlign w:val="bottom"/>
          </w:tcPr>
          <w:p w14:paraId="4D62CD24" w14:textId="77777777" w:rsidR="006E442A" w:rsidRDefault="006E442A" w:rsidP="006E442A">
            <w:pPr>
              <w:spacing w:after="1"/>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vAlign w:val="bottom"/>
          </w:tcPr>
          <w:p w14:paraId="6264AF86"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4BAE9287"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03381FA3" w14:textId="77777777" w:rsidR="006E442A" w:rsidRDefault="006E442A" w:rsidP="006E442A">
            <w:pPr>
              <w:spacing w:after="1"/>
              <w:jc w:val="right"/>
              <w:rPr>
                <w:rFonts w:ascii="Calibri" w:eastAsia="Calibri" w:hAnsi="Calibri" w:cs="Calibri"/>
                <w:color w:val="000000"/>
                <w:sz w:val="19"/>
              </w:rPr>
            </w:pPr>
          </w:p>
        </w:tc>
        <w:tc>
          <w:tcPr>
            <w:tcW w:w="103" w:type="pct"/>
            <w:tcBorders>
              <w:top w:val="nil"/>
              <w:left w:val="nil"/>
              <w:bottom w:val="nil"/>
              <w:right w:val="nil"/>
              <w:tl2br w:val="nil"/>
              <w:tr2bl w:val="nil"/>
            </w:tcBorders>
            <w:shd w:val="solid" w:color="FFFFFF" w:fill="FFFFFF"/>
            <w:noWrap/>
            <w:vAlign w:val="bottom"/>
          </w:tcPr>
          <w:p w14:paraId="1B22547C" w14:textId="77777777" w:rsidR="006E442A" w:rsidRDefault="006E442A" w:rsidP="006E442A">
            <w:pPr>
              <w:spacing w:after="1"/>
              <w:jc w:val="right"/>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noWrap/>
            <w:vAlign w:val="bottom"/>
          </w:tcPr>
          <w:p w14:paraId="0F0FC93B"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6BA79F0B"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188D5532" w14:textId="77777777" w:rsidR="006E442A" w:rsidRDefault="006E442A" w:rsidP="006E442A">
            <w:pPr>
              <w:spacing w:after="1"/>
              <w:jc w:val="right"/>
              <w:rPr>
                <w:rFonts w:ascii="Calibri" w:eastAsia="Calibri" w:hAnsi="Calibri" w:cs="Calibri"/>
                <w:color w:val="000000"/>
                <w:sz w:val="19"/>
              </w:rPr>
            </w:pPr>
          </w:p>
        </w:tc>
        <w:tc>
          <w:tcPr>
            <w:tcW w:w="103" w:type="pct"/>
            <w:tcBorders>
              <w:top w:val="nil"/>
              <w:left w:val="nil"/>
              <w:bottom w:val="nil"/>
              <w:right w:val="nil"/>
              <w:tl2br w:val="nil"/>
              <w:tr2bl w:val="nil"/>
            </w:tcBorders>
            <w:shd w:val="solid" w:color="FFFFFF" w:fill="FFFFFF"/>
            <w:noWrap/>
            <w:vAlign w:val="bottom"/>
          </w:tcPr>
          <w:p w14:paraId="010A1DBC" w14:textId="77777777" w:rsidR="006E442A" w:rsidRDefault="006E442A" w:rsidP="006E442A">
            <w:pPr>
              <w:spacing w:after="1"/>
              <w:jc w:val="right"/>
              <w:rPr>
                <w:rFonts w:ascii="Calibri" w:eastAsia="Calibri" w:hAnsi="Calibri" w:cs="Calibri"/>
                <w:color w:val="000000"/>
                <w:sz w:val="19"/>
              </w:rPr>
            </w:pPr>
          </w:p>
        </w:tc>
        <w:tc>
          <w:tcPr>
            <w:tcW w:w="65" w:type="pct"/>
            <w:tcBorders>
              <w:top w:val="nil"/>
              <w:left w:val="nil"/>
              <w:bottom w:val="nil"/>
              <w:right w:val="nil"/>
              <w:tl2br w:val="nil"/>
              <w:tr2bl w:val="nil"/>
            </w:tcBorders>
            <w:shd w:val="solid" w:color="FFFFFF" w:fill="FFFFFF"/>
            <w:noWrap/>
            <w:vAlign w:val="bottom"/>
          </w:tcPr>
          <w:p w14:paraId="7C235C1B" w14:textId="77777777" w:rsidR="006E442A" w:rsidRDefault="006E442A" w:rsidP="006E442A">
            <w:pPr>
              <w:spacing w:after="1"/>
              <w:rPr>
                <w:rFonts w:ascii="Calibri" w:eastAsia="Calibri" w:hAnsi="Calibri" w:cs="Calibri"/>
                <w:color w:val="000000"/>
                <w:sz w:val="19"/>
              </w:rPr>
            </w:pPr>
          </w:p>
        </w:tc>
      </w:tr>
      <w:tr w:rsidR="006E442A" w14:paraId="1DE9E8FA" w14:textId="77777777" w:rsidTr="00F10DDD">
        <w:tc>
          <w:tcPr>
            <w:tcW w:w="3243" w:type="pct"/>
            <w:tcBorders>
              <w:top w:val="nil"/>
              <w:left w:val="nil"/>
              <w:bottom w:val="nil"/>
              <w:right w:val="nil"/>
              <w:tl2br w:val="nil"/>
              <w:tr2bl w:val="nil"/>
            </w:tcBorders>
            <w:shd w:val="solid" w:color="FFFFFF" w:fill="FFFFFF"/>
            <w:vAlign w:val="bottom"/>
          </w:tcPr>
          <w:p w14:paraId="2F3A226E" w14:textId="77777777" w:rsidR="006E442A" w:rsidRDefault="006E442A" w:rsidP="006E442A">
            <w:pPr>
              <w:spacing w:after="1"/>
              <w:rPr>
                <w:rFonts w:ascii="Calibri" w:eastAsia="Calibri" w:hAnsi="Calibri" w:cs="Calibri"/>
                <w:b/>
                <w:color w:val="000000"/>
                <w:sz w:val="19"/>
              </w:rPr>
            </w:pPr>
            <w:r>
              <w:rPr>
                <w:rFonts w:ascii="Calibri" w:eastAsia="Calibri" w:hAnsi="Calibri" w:cs="Calibri"/>
                <w:b/>
                <w:color w:val="000000"/>
                <w:sz w:val="19"/>
              </w:rPr>
              <w:t>Other Metrics:</w:t>
            </w:r>
          </w:p>
        </w:tc>
        <w:tc>
          <w:tcPr>
            <w:tcW w:w="128" w:type="pct"/>
            <w:tcBorders>
              <w:top w:val="nil"/>
              <w:left w:val="nil"/>
              <w:bottom w:val="nil"/>
              <w:right w:val="nil"/>
              <w:tl2br w:val="nil"/>
              <w:tr2bl w:val="nil"/>
            </w:tcBorders>
            <w:shd w:val="solid" w:color="FFFFFF" w:fill="FFFFFF"/>
            <w:vAlign w:val="bottom"/>
          </w:tcPr>
          <w:p w14:paraId="6447913A" w14:textId="77777777" w:rsidR="006E442A" w:rsidRDefault="006E442A" w:rsidP="006E442A">
            <w:pPr>
              <w:spacing w:after="1"/>
              <w:rPr>
                <w:rFonts w:ascii="Calibri" w:eastAsia="Calibri" w:hAnsi="Calibri" w:cs="Calibri"/>
                <w:b/>
                <w:color w:val="000000"/>
                <w:sz w:val="19"/>
              </w:rPr>
            </w:pPr>
          </w:p>
        </w:tc>
        <w:tc>
          <w:tcPr>
            <w:tcW w:w="83" w:type="pct"/>
            <w:tcBorders>
              <w:top w:val="nil"/>
              <w:left w:val="nil"/>
              <w:bottom w:val="nil"/>
              <w:right w:val="nil"/>
              <w:tl2br w:val="nil"/>
              <w:tr2bl w:val="nil"/>
            </w:tcBorders>
            <w:shd w:val="solid" w:color="FFFFFF" w:fill="FFFFFF"/>
            <w:noWrap/>
            <w:vAlign w:val="bottom"/>
          </w:tcPr>
          <w:p w14:paraId="289B51E9"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69A22A70" w14:textId="77777777" w:rsidR="006E442A" w:rsidRDefault="006E442A" w:rsidP="006E442A">
            <w:pPr>
              <w:spacing w:after="1"/>
              <w:jc w:val="right"/>
              <w:rPr>
                <w:rFonts w:ascii="Calibri" w:eastAsia="Calibri" w:hAnsi="Calibri" w:cs="Calibri"/>
                <w:color w:val="000000"/>
                <w:sz w:val="19"/>
              </w:rPr>
            </w:pPr>
          </w:p>
        </w:tc>
        <w:tc>
          <w:tcPr>
            <w:tcW w:w="103" w:type="pct"/>
            <w:tcBorders>
              <w:top w:val="nil"/>
              <w:left w:val="nil"/>
              <w:bottom w:val="nil"/>
              <w:right w:val="nil"/>
              <w:tl2br w:val="nil"/>
              <w:tr2bl w:val="nil"/>
            </w:tcBorders>
            <w:shd w:val="solid" w:color="FFFFFF" w:fill="FFFFFF"/>
            <w:noWrap/>
            <w:vAlign w:val="bottom"/>
          </w:tcPr>
          <w:p w14:paraId="0D42FFE1" w14:textId="77777777" w:rsidR="006E442A" w:rsidRDefault="006E442A" w:rsidP="006E442A">
            <w:pPr>
              <w:spacing w:after="1"/>
              <w:jc w:val="right"/>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noWrap/>
            <w:vAlign w:val="bottom"/>
          </w:tcPr>
          <w:p w14:paraId="5E5F1182"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002F9FF7"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3E18843F" w14:textId="77777777" w:rsidR="006E442A" w:rsidRDefault="006E442A" w:rsidP="006E442A">
            <w:pPr>
              <w:spacing w:after="1"/>
              <w:jc w:val="right"/>
              <w:rPr>
                <w:rFonts w:ascii="Calibri" w:eastAsia="Calibri" w:hAnsi="Calibri" w:cs="Calibri"/>
                <w:color w:val="000000"/>
                <w:sz w:val="19"/>
              </w:rPr>
            </w:pPr>
          </w:p>
        </w:tc>
        <w:tc>
          <w:tcPr>
            <w:tcW w:w="103" w:type="pct"/>
            <w:tcBorders>
              <w:top w:val="nil"/>
              <w:left w:val="nil"/>
              <w:bottom w:val="nil"/>
              <w:right w:val="nil"/>
              <w:tl2br w:val="nil"/>
              <w:tr2bl w:val="nil"/>
            </w:tcBorders>
            <w:shd w:val="solid" w:color="FFFFFF" w:fill="FFFFFF"/>
            <w:noWrap/>
            <w:vAlign w:val="bottom"/>
          </w:tcPr>
          <w:p w14:paraId="4D964399" w14:textId="77777777" w:rsidR="006E442A" w:rsidRDefault="006E442A" w:rsidP="006E442A">
            <w:pPr>
              <w:spacing w:after="1"/>
              <w:jc w:val="right"/>
              <w:rPr>
                <w:rFonts w:ascii="Calibri" w:eastAsia="Calibri" w:hAnsi="Calibri" w:cs="Calibri"/>
                <w:color w:val="000000"/>
                <w:sz w:val="19"/>
              </w:rPr>
            </w:pPr>
          </w:p>
        </w:tc>
        <w:tc>
          <w:tcPr>
            <w:tcW w:w="65" w:type="pct"/>
            <w:tcBorders>
              <w:top w:val="nil"/>
              <w:left w:val="nil"/>
              <w:bottom w:val="nil"/>
              <w:right w:val="nil"/>
              <w:tl2br w:val="nil"/>
              <w:tr2bl w:val="nil"/>
            </w:tcBorders>
            <w:shd w:val="solid" w:color="FFFFFF" w:fill="FFFFFF"/>
            <w:noWrap/>
            <w:vAlign w:val="bottom"/>
          </w:tcPr>
          <w:p w14:paraId="18AC1D3A" w14:textId="77777777" w:rsidR="006E442A" w:rsidRDefault="006E442A" w:rsidP="006E442A">
            <w:pPr>
              <w:spacing w:after="1"/>
              <w:rPr>
                <w:rFonts w:ascii="Calibri" w:eastAsia="Calibri" w:hAnsi="Calibri" w:cs="Calibri"/>
                <w:color w:val="000000"/>
                <w:sz w:val="19"/>
              </w:rPr>
            </w:pPr>
          </w:p>
        </w:tc>
      </w:tr>
      <w:tr w:rsidR="006E442A" w14:paraId="629F2C3B" w14:textId="77777777" w:rsidTr="00F10DDD">
        <w:tc>
          <w:tcPr>
            <w:tcW w:w="3243" w:type="pct"/>
            <w:tcBorders>
              <w:top w:val="nil"/>
              <w:left w:val="nil"/>
              <w:bottom w:val="nil"/>
              <w:right w:val="nil"/>
              <w:tl2br w:val="nil"/>
              <w:tr2bl w:val="nil"/>
            </w:tcBorders>
            <w:shd w:val="solid" w:color="FFFFFF" w:fill="FFFFFF"/>
            <w:vAlign w:val="bottom"/>
          </w:tcPr>
          <w:p w14:paraId="319B8D6C"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Net Leverage Ratio (7) at period end</w:t>
            </w:r>
          </w:p>
        </w:tc>
        <w:tc>
          <w:tcPr>
            <w:tcW w:w="128" w:type="pct"/>
            <w:tcBorders>
              <w:top w:val="nil"/>
              <w:left w:val="nil"/>
              <w:bottom w:val="nil"/>
              <w:right w:val="nil"/>
              <w:tl2br w:val="nil"/>
              <w:tr2bl w:val="nil"/>
            </w:tcBorders>
            <w:shd w:val="solid" w:color="FFFFFF" w:fill="FFFFFF"/>
            <w:vAlign w:val="bottom"/>
          </w:tcPr>
          <w:p w14:paraId="378D3077"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3E8922F7"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2E0F407D"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3.84x</w:t>
            </w:r>
          </w:p>
        </w:tc>
        <w:tc>
          <w:tcPr>
            <w:tcW w:w="103" w:type="pct"/>
            <w:tcBorders>
              <w:top w:val="nil"/>
              <w:left w:val="nil"/>
              <w:bottom w:val="nil"/>
              <w:right w:val="nil"/>
              <w:tl2br w:val="nil"/>
              <w:tr2bl w:val="nil"/>
            </w:tcBorders>
            <w:shd w:val="solid" w:color="FFFFFF" w:fill="FFFFFF"/>
            <w:noWrap/>
            <w:vAlign w:val="bottom"/>
          </w:tcPr>
          <w:p w14:paraId="1A29BE53" w14:textId="77777777" w:rsidR="006E442A" w:rsidRDefault="006E442A" w:rsidP="006E442A">
            <w:pPr>
              <w:spacing w:after="1"/>
              <w:jc w:val="right"/>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noWrap/>
            <w:vAlign w:val="bottom"/>
          </w:tcPr>
          <w:p w14:paraId="4E77317F"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4DB2A995"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5A2087CD"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4.41x</w:t>
            </w:r>
          </w:p>
        </w:tc>
        <w:tc>
          <w:tcPr>
            <w:tcW w:w="103" w:type="pct"/>
            <w:tcBorders>
              <w:top w:val="nil"/>
              <w:left w:val="nil"/>
              <w:bottom w:val="nil"/>
              <w:right w:val="nil"/>
              <w:tl2br w:val="nil"/>
              <w:tr2bl w:val="nil"/>
            </w:tcBorders>
            <w:shd w:val="solid" w:color="FFFFFF" w:fill="FFFFFF"/>
            <w:noWrap/>
            <w:vAlign w:val="bottom"/>
          </w:tcPr>
          <w:p w14:paraId="2D06B909" w14:textId="77777777" w:rsidR="006E442A" w:rsidRDefault="006E442A" w:rsidP="006E442A">
            <w:pPr>
              <w:spacing w:after="1"/>
              <w:jc w:val="right"/>
              <w:rPr>
                <w:rFonts w:ascii="Calibri" w:eastAsia="Calibri" w:hAnsi="Calibri" w:cs="Calibri"/>
                <w:color w:val="000000"/>
                <w:sz w:val="19"/>
              </w:rPr>
            </w:pPr>
          </w:p>
        </w:tc>
        <w:tc>
          <w:tcPr>
            <w:tcW w:w="65" w:type="pct"/>
            <w:tcBorders>
              <w:top w:val="nil"/>
              <w:left w:val="nil"/>
              <w:bottom w:val="nil"/>
              <w:right w:val="nil"/>
              <w:tl2br w:val="nil"/>
              <w:tr2bl w:val="nil"/>
            </w:tcBorders>
            <w:shd w:val="solid" w:color="FFFFFF" w:fill="FFFFFF"/>
            <w:noWrap/>
            <w:vAlign w:val="bottom"/>
          </w:tcPr>
          <w:p w14:paraId="75F567E1" w14:textId="77777777" w:rsidR="006E442A" w:rsidRDefault="006E442A" w:rsidP="006E442A">
            <w:pPr>
              <w:spacing w:after="1"/>
              <w:rPr>
                <w:rFonts w:ascii="Calibri" w:eastAsia="Calibri" w:hAnsi="Calibri" w:cs="Calibri"/>
                <w:color w:val="000000"/>
                <w:sz w:val="19"/>
              </w:rPr>
            </w:pPr>
          </w:p>
        </w:tc>
      </w:tr>
      <w:tr w:rsidR="006E442A" w14:paraId="4B518658" w14:textId="77777777" w:rsidTr="00F10DDD">
        <w:tc>
          <w:tcPr>
            <w:tcW w:w="3243" w:type="pct"/>
            <w:tcBorders>
              <w:top w:val="nil"/>
              <w:left w:val="nil"/>
              <w:bottom w:val="nil"/>
              <w:right w:val="nil"/>
              <w:tl2br w:val="nil"/>
              <w:tr2bl w:val="nil"/>
            </w:tcBorders>
            <w:shd w:val="solid" w:color="FFFFFF" w:fill="FFFFFF"/>
            <w:vAlign w:val="bottom"/>
          </w:tcPr>
          <w:p w14:paraId="0F70B944"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Acquired Base Earnings (8)</w:t>
            </w:r>
          </w:p>
        </w:tc>
        <w:tc>
          <w:tcPr>
            <w:tcW w:w="128" w:type="pct"/>
            <w:tcBorders>
              <w:top w:val="nil"/>
              <w:left w:val="nil"/>
              <w:bottom w:val="nil"/>
              <w:right w:val="nil"/>
              <w:tl2br w:val="nil"/>
              <w:tr2bl w:val="nil"/>
            </w:tcBorders>
            <w:shd w:val="solid" w:color="FFFFFF" w:fill="FFFFFF"/>
            <w:vAlign w:val="bottom"/>
          </w:tcPr>
          <w:p w14:paraId="72801368"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36757557"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w:t>
            </w:r>
          </w:p>
        </w:tc>
        <w:tc>
          <w:tcPr>
            <w:tcW w:w="532" w:type="pct"/>
            <w:tcBorders>
              <w:top w:val="nil"/>
              <w:left w:val="nil"/>
              <w:bottom w:val="nil"/>
              <w:right w:val="nil"/>
              <w:tl2br w:val="nil"/>
              <w:tr2bl w:val="nil"/>
            </w:tcBorders>
            <w:shd w:val="solid" w:color="FFFFFF" w:fill="FFFFFF"/>
            <w:noWrap/>
            <w:vAlign w:val="bottom"/>
          </w:tcPr>
          <w:p w14:paraId="53236E7C"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w:t>
            </w:r>
          </w:p>
        </w:tc>
        <w:tc>
          <w:tcPr>
            <w:tcW w:w="103" w:type="pct"/>
            <w:tcBorders>
              <w:top w:val="nil"/>
              <w:left w:val="nil"/>
              <w:bottom w:val="nil"/>
              <w:right w:val="nil"/>
              <w:tl2br w:val="nil"/>
              <w:tr2bl w:val="nil"/>
            </w:tcBorders>
            <w:shd w:val="solid" w:color="FFFFFF" w:fill="FFFFFF"/>
            <w:noWrap/>
            <w:vAlign w:val="bottom"/>
          </w:tcPr>
          <w:p w14:paraId="115269C2" w14:textId="77777777" w:rsidR="006E442A" w:rsidRDefault="006E442A" w:rsidP="006E442A">
            <w:pPr>
              <w:spacing w:after="1"/>
              <w:jc w:val="right"/>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noWrap/>
            <w:vAlign w:val="bottom"/>
          </w:tcPr>
          <w:p w14:paraId="21B001BC"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783F3CFF"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w:t>
            </w:r>
          </w:p>
        </w:tc>
        <w:tc>
          <w:tcPr>
            <w:tcW w:w="532" w:type="pct"/>
            <w:tcBorders>
              <w:top w:val="nil"/>
              <w:left w:val="nil"/>
              <w:bottom w:val="nil"/>
              <w:right w:val="nil"/>
              <w:tl2br w:val="nil"/>
              <w:tr2bl w:val="nil"/>
            </w:tcBorders>
            <w:shd w:val="solid" w:color="FFFFFF" w:fill="FFFFFF"/>
            <w:noWrap/>
            <w:vAlign w:val="bottom"/>
          </w:tcPr>
          <w:p w14:paraId="2D13E937"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1,731</w:t>
            </w:r>
          </w:p>
        </w:tc>
        <w:tc>
          <w:tcPr>
            <w:tcW w:w="103" w:type="pct"/>
            <w:tcBorders>
              <w:top w:val="nil"/>
              <w:left w:val="nil"/>
              <w:bottom w:val="nil"/>
              <w:right w:val="nil"/>
              <w:tl2br w:val="nil"/>
              <w:tr2bl w:val="nil"/>
            </w:tcBorders>
            <w:shd w:val="solid" w:color="FFFFFF" w:fill="FFFFFF"/>
            <w:noWrap/>
            <w:vAlign w:val="bottom"/>
          </w:tcPr>
          <w:p w14:paraId="6FE6B014" w14:textId="77777777" w:rsidR="006E442A" w:rsidRDefault="006E442A" w:rsidP="006E442A">
            <w:pPr>
              <w:spacing w:after="1"/>
              <w:jc w:val="right"/>
              <w:rPr>
                <w:rFonts w:ascii="Calibri" w:eastAsia="Calibri" w:hAnsi="Calibri" w:cs="Calibri"/>
                <w:color w:val="000000"/>
                <w:sz w:val="19"/>
              </w:rPr>
            </w:pPr>
          </w:p>
        </w:tc>
        <w:tc>
          <w:tcPr>
            <w:tcW w:w="65" w:type="pct"/>
            <w:tcBorders>
              <w:top w:val="nil"/>
              <w:left w:val="nil"/>
              <w:bottom w:val="nil"/>
              <w:right w:val="nil"/>
              <w:tl2br w:val="nil"/>
              <w:tr2bl w:val="nil"/>
            </w:tcBorders>
            <w:shd w:val="solid" w:color="FFFFFF" w:fill="FFFFFF"/>
            <w:noWrap/>
            <w:vAlign w:val="bottom"/>
          </w:tcPr>
          <w:p w14:paraId="7FFDEBF1" w14:textId="77777777" w:rsidR="006E442A" w:rsidRDefault="006E442A" w:rsidP="006E442A">
            <w:pPr>
              <w:spacing w:after="1"/>
              <w:rPr>
                <w:rFonts w:ascii="Calibri" w:eastAsia="Calibri" w:hAnsi="Calibri" w:cs="Calibri"/>
                <w:color w:val="000000"/>
                <w:sz w:val="19"/>
              </w:rPr>
            </w:pPr>
          </w:p>
        </w:tc>
      </w:tr>
      <w:tr w:rsidR="006E442A" w14:paraId="7AB4A261" w14:textId="77777777" w:rsidTr="00F10DDD">
        <w:tc>
          <w:tcPr>
            <w:tcW w:w="3243" w:type="pct"/>
            <w:tcBorders>
              <w:top w:val="nil"/>
              <w:left w:val="nil"/>
              <w:bottom w:val="nil"/>
              <w:right w:val="nil"/>
              <w:tl2br w:val="nil"/>
              <w:tr2bl w:val="nil"/>
            </w:tcBorders>
            <w:shd w:val="solid" w:color="FFFFFF" w:fill="FFFFFF"/>
            <w:vAlign w:val="bottom"/>
          </w:tcPr>
          <w:p w14:paraId="119BB94F"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Number of partner firms at period end (9)</w:t>
            </w:r>
          </w:p>
        </w:tc>
        <w:tc>
          <w:tcPr>
            <w:tcW w:w="128" w:type="pct"/>
            <w:tcBorders>
              <w:top w:val="nil"/>
              <w:left w:val="nil"/>
              <w:bottom w:val="nil"/>
              <w:right w:val="nil"/>
              <w:tl2br w:val="nil"/>
              <w:tr2bl w:val="nil"/>
            </w:tcBorders>
            <w:shd w:val="solid" w:color="FFFFFF" w:fill="FFFFFF"/>
            <w:vAlign w:val="bottom"/>
          </w:tcPr>
          <w:p w14:paraId="1E20CF49"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6BBCF736"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532" w:type="pct"/>
            <w:tcBorders>
              <w:top w:val="nil"/>
              <w:left w:val="nil"/>
              <w:bottom w:val="nil"/>
              <w:right w:val="nil"/>
              <w:tl2br w:val="nil"/>
              <w:tr2bl w:val="nil"/>
            </w:tcBorders>
            <w:shd w:val="solid" w:color="FFFFFF" w:fill="FFFFFF"/>
            <w:noWrap/>
            <w:vAlign w:val="bottom"/>
          </w:tcPr>
          <w:p w14:paraId="4B64CEB3"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84</w:t>
            </w:r>
          </w:p>
        </w:tc>
        <w:tc>
          <w:tcPr>
            <w:tcW w:w="103" w:type="pct"/>
            <w:tcBorders>
              <w:top w:val="nil"/>
              <w:left w:val="nil"/>
              <w:bottom w:val="nil"/>
              <w:right w:val="nil"/>
              <w:tl2br w:val="nil"/>
              <w:tr2bl w:val="nil"/>
            </w:tcBorders>
            <w:shd w:val="solid" w:color="FFFFFF" w:fill="FFFFFF"/>
            <w:noWrap/>
            <w:vAlign w:val="bottom"/>
          </w:tcPr>
          <w:p w14:paraId="755A7B12" w14:textId="77777777" w:rsidR="006E442A" w:rsidRDefault="006E442A" w:rsidP="006E442A">
            <w:pPr>
              <w:spacing w:after="1"/>
              <w:jc w:val="right"/>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noWrap/>
            <w:vAlign w:val="bottom"/>
          </w:tcPr>
          <w:p w14:paraId="2B305DC6"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798A2EB2"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532" w:type="pct"/>
            <w:tcBorders>
              <w:top w:val="nil"/>
              <w:left w:val="nil"/>
              <w:bottom w:val="nil"/>
              <w:right w:val="nil"/>
              <w:tl2br w:val="nil"/>
              <w:tr2bl w:val="nil"/>
            </w:tcBorders>
            <w:shd w:val="solid" w:color="FFFFFF" w:fill="FFFFFF"/>
            <w:noWrap/>
            <w:vAlign w:val="bottom"/>
          </w:tcPr>
          <w:p w14:paraId="452E6497"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89</w:t>
            </w:r>
          </w:p>
        </w:tc>
        <w:tc>
          <w:tcPr>
            <w:tcW w:w="103" w:type="pct"/>
            <w:tcBorders>
              <w:top w:val="nil"/>
              <w:left w:val="nil"/>
              <w:bottom w:val="nil"/>
              <w:right w:val="nil"/>
              <w:tl2br w:val="nil"/>
              <w:tr2bl w:val="nil"/>
            </w:tcBorders>
            <w:shd w:val="solid" w:color="FFFFFF" w:fill="FFFFFF"/>
            <w:noWrap/>
            <w:vAlign w:val="bottom"/>
          </w:tcPr>
          <w:p w14:paraId="1FD5CD7F" w14:textId="77777777" w:rsidR="006E442A" w:rsidRDefault="006E442A" w:rsidP="006E442A">
            <w:pPr>
              <w:spacing w:after="1"/>
              <w:jc w:val="right"/>
              <w:rPr>
                <w:rFonts w:ascii="Calibri" w:eastAsia="Calibri" w:hAnsi="Calibri" w:cs="Calibri"/>
                <w:color w:val="000000"/>
                <w:sz w:val="19"/>
              </w:rPr>
            </w:pPr>
          </w:p>
        </w:tc>
        <w:tc>
          <w:tcPr>
            <w:tcW w:w="65" w:type="pct"/>
            <w:tcBorders>
              <w:top w:val="nil"/>
              <w:left w:val="nil"/>
              <w:bottom w:val="nil"/>
              <w:right w:val="nil"/>
              <w:tl2br w:val="nil"/>
              <w:tr2bl w:val="nil"/>
            </w:tcBorders>
            <w:shd w:val="solid" w:color="FFFFFF" w:fill="FFFFFF"/>
            <w:noWrap/>
            <w:vAlign w:val="bottom"/>
          </w:tcPr>
          <w:p w14:paraId="68395667" w14:textId="77777777" w:rsidR="006E442A" w:rsidRDefault="006E442A" w:rsidP="006E442A">
            <w:pPr>
              <w:spacing w:after="1"/>
              <w:rPr>
                <w:rFonts w:ascii="Calibri" w:eastAsia="Calibri" w:hAnsi="Calibri" w:cs="Calibri"/>
                <w:color w:val="000000"/>
                <w:sz w:val="19"/>
              </w:rPr>
            </w:pPr>
          </w:p>
        </w:tc>
      </w:tr>
      <w:tr w:rsidR="006E442A" w14:paraId="1829FEC7" w14:textId="77777777" w:rsidTr="00F10DDD">
        <w:tc>
          <w:tcPr>
            <w:tcW w:w="3243" w:type="pct"/>
            <w:tcBorders>
              <w:top w:val="nil"/>
              <w:left w:val="nil"/>
              <w:bottom w:val="nil"/>
              <w:right w:val="nil"/>
              <w:tl2br w:val="nil"/>
              <w:tr2bl w:val="nil"/>
            </w:tcBorders>
            <w:shd w:val="solid" w:color="FFFFFF" w:fill="FFFFFF"/>
            <w:noWrap/>
            <w:vAlign w:val="bottom"/>
          </w:tcPr>
          <w:p w14:paraId="7EC651D4" w14:textId="77777777" w:rsidR="006E442A" w:rsidRDefault="006E442A" w:rsidP="006E442A">
            <w:pPr>
              <w:spacing w:after="1"/>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noWrap/>
            <w:vAlign w:val="bottom"/>
          </w:tcPr>
          <w:p w14:paraId="193E361E"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02AED95F"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08D5B508" w14:textId="77777777" w:rsidR="006E442A" w:rsidRDefault="006E442A" w:rsidP="006E442A">
            <w:pPr>
              <w:spacing w:after="1"/>
              <w:rPr>
                <w:rFonts w:ascii="Calibri" w:eastAsia="Calibri" w:hAnsi="Calibri" w:cs="Calibri"/>
                <w:color w:val="000000"/>
                <w:sz w:val="19"/>
              </w:rPr>
            </w:pPr>
          </w:p>
        </w:tc>
        <w:tc>
          <w:tcPr>
            <w:tcW w:w="103" w:type="pct"/>
            <w:tcBorders>
              <w:top w:val="nil"/>
              <w:left w:val="nil"/>
              <w:bottom w:val="nil"/>
              <w:right w:val="nil"/>
              <w:tl2br w:val="nil"/>
              <w:tr2bl w:val="nil"/>
            </w:tcBorders>
            <w:shd w:val="solid" w:color="FFFFFF" w:fill="FFFFFF"/>
            <w:noWrap/>
            <w:vAlign w:val="bottom"/>
          </w:tcPr>
          <w:p w14:paraId="098EAB22" w14:textId="77777777" w:rsidR="006E442A" w:rsidRDefault="006E442A" w:rsidP="006E442A">
            <w:pPr>
              <w:spacing w:after="1"/>
              <w:rPr>
                <w:rFonts w:ascii="Calibri" w:eastAsia="Calibri" w:hAnsi="Calibri" w:cs="Calibri"/>
                <w:color w:val="000000"/>
                <w:sz w:val="19"/>
              </w:rPr>
            </w:pPr>
          </w:p>
        </w:tc>
        <w:tc>
          <w:tcPr>
            <w:tcW w:w="128" w:type="pct"/>
            <w:tcBorders>
              <w:top w:val="nil"/>
              <w:left w:val="nil"/>
              <w:bottom w:val="nil"/>
              <w:right w:val="nil"/>
              <w:tl2br w:val="nil"/>
              <w:tr2bl w:val="nil"/>
            </w:tcBorders>
            <w:shd w:val="solid" w:color="FFFFFF" w:fill="FFFFFF"/>
            <w:noWrap/>
            <w:vAlign w:val="bottom"/>
          </w:tcPr>
          <w:p w14:paraId="4147FCCD" w14:textId="77777777" w:rsidR="006E442A" w:rsidRDefault="006E442A" w:rsidP="006E442A">
            <w:pPr>
              <w:spacing w:after="1"/>
              <w:rPr>
                <w:rFonts w:ascii="Calibri" w:eastAsia="Calibri" w:hAnsi="Calibri" w:cs="Calibri"/>
                <w:color w:val="000000"/>
                <w:sz w:val="19"/>
              </w:rPr>
            </w:pPr>
          </w:p>
        </w:tc>
        <w:tc>
          <w:tcPr>
            <w:tcW w:w="83" w:type="pct"/>
            <w:tcBorders>
              <w:top w:val="nil"/>
              <w:left w:val="nil"/>
              <w:bottom w:val="nil"/>
              <w:right w:val="nil"/>
              <w:tl2br w:val="nil"/>
              <w:tr2bl w:val="nil"/>
            </w:tcBorders>
            <w:shd w:val="solid" w:color="FFFFFF" w:fill="FFFFFF"/>
            <w:noWrap/>
            <w:vAlign w:val="bottom"/>
          </w:tcPr>
          <w:p w14:paraId="01BA1DAB" w14:textId="77777777" w:rsidR="006E442A" w:rsidRDefault="006E442A" w:rsidP="006E442A">
            <w:pPr>
              <w:spacing w:after="1"/>
              <w:rPr>
                <w:rFonts w:ascii="Calibri" w:eastAsia="Calibri" w:hAnsi="Calibri" w:cs="Calibri"/>
                <w:color w:val="000000"/>
                <w:sz w:val="19"/>
              </w:rPr>
            </w:pPr>
          </w:p>
        </w:tc>
        <w:tc>
          <w:tcPr>
            <w:tcW w:w="532" w:type="pct"/>
            <w:tcBorders>
              <w:top w:val="nil"/>
              <w:left w:val="nil"/>
              <w:bottom w:val="nil"/>
              <w:right w:val="nil"/>
              <w:tl2br w:val="nil"/>
              <w:tr2bl w:val="nil"/>
            </w:tcBorders>
            <w:shd w:val="solid" w:color="FFFFFF" w:fill="FFFFFF"/>
            <w:noWrap/>
            <w:vAlign w:val="bottom"/>
          </w:tcPr>
          <w:p w14:paraId="5C10E9DC" w14:textId="77777777" w:rsidR="006E442A" w:rsidRDefault="006E442A" w:rsidP="006E442A">
            <w:pPr>
              <w:spacing w:after="1"/>
              <w:rPr>
                <w:rFonts w:ascii="Calibri" w:eastAsia="Calibri" w:hAnsi="Calibri" w:cs="Calibri"/>
                <w:color w:val="000000"/>
                <w:sz w:val="19"/>
              </w:rPr>
            </w:pPr>
          </w:p>
        </w:tc>
        <w:tc>
          <w:tcPr>
            <w:tcW w:w="103" w:type="pct"/>
            <w:tcBorders>
              <w:top w:val="nil"/>
              <w:left w:val="nil"/>
              <w:bottom w:val="nil"/>
              <w:right w:val="nil"/>
              <w:tl2br w:val="nil"/>
              <w:tr2bl w:val="nil"/>
            </w:tcBorders>
            <w:shd w:val="solid" w:color="FFFFFF" w:fill="FFFFFF"/>
            <w:noWrap/>
            <w:vAlign w:val="bottom"/>
          </w:tcPr>
          <w:p w14:paraId="0FE8745E" w14:textId="77777777" w:rsidR="006E442A" w:rsidRDefault="006E442A" w:rsidP="006E442A">
            <w:pPr>
              <w:spacing w:after="1"/>
              <w:rPr>
                <w:rFonts w:ascii="Calibri" w:eastAsia="Calibri" w:hAnsi="Calibri" w:cs="Calibri"/>
                <w:color w:val="000000"/>
                <w:sz w:val="19"/>
              </w:rPr>
            </w:pPr>
          </w:p>
        </w:tc>
        <w:tc>
          <w:tcPr>
            <w:tcW w:w="65" w:type="pct"/>
            <w:tcBorders>
              <w:top w:val="nil"/>
              <w:left w:val="nil"/>
              <w:bottom w:val="nil"/>
              <w:right w:val="nil"/>
              <w:tl2br w:val="nil"/>
              <w:tr2bl w:val="nil"/>
            </w:tcBorders>
            <w:shd w:val="solid" w:color="FFFFFF" w:fill="FFFFFF"/>
            <w:noWrap/>
            <w:vAlign w:val="bottom"/>
          </w:tcPr>
          <w:p w14:paraId="63C503A7" w14:textId="77777777" w:rsidR="006E442A" w:rsidRDefault="006E442A" w:rsidP="006E442A">
            <w:pPr>
              <w:spacing w:after="1"/>
              <w:rPr>
                <w:rFonts w:ascii="Calibri" w:eastAsia="Calibri" w:hAnsi="Calibri" w:cs="Calibri"/>
                <w:color w:val="000000"/>
                <w:sz w:val="19"/>
              </w:rPr>
            </w:pPr>
          </w:p>
        </w:tc>
      </w:tr>
    </w:tbl>
    <w:p w14:paraId="1E1FDB5B" w14:textId="77777777" w:rsidR="00536C41" w:rsidRDefault="00787383" w:rsidP="005E65E6">
      <w:pPr>
        <w:spacing w:after="0" w:line="240" w:lineRule="auto"/>
        <w:contextualSpacing/>
        <w:jc w:val="both"/>
        <w:rPr>
          <w:rFonts w:cstheme="minorHAnsi"/>
          <w:sz w:val="20"/>
        </w:rPr>
      </w:pPr>
      <w:r>
        <w:rPr>
          <w:rFonts w:cstheme="minorHAnsi"/>
          <w:sz w:val="20"/>
        </w:rPr>
        <w:t xml:space="preserve"> </w:t>
      </w:r>
      <w:r w:rsidR="00536C41">
        <w:rPr>
          <w:rFonts w:cstheme="minorHAnsi"/>
          <w:sz w:val="20"/>
        </w:rPr>
        <w:t>*</w:t>
      </w:r>
      <w:r w:rsidR="00536C41">
        <w:rPr>
          <w:rFonts w:cstheme="minorHAnsi"/>
          <w:sz w:val="20"/>
        </w:rPr>
        <w:tab/>
        <w:t>Not meaningful</w:t>
      </w:r>
    </w:p>
    <w:p w14:paraId="472EFB57" w14:textId="77777777" w:rsidR="0093363B" w:rsidRDefault="0093363B" w:rsidP="005E65E6">
      <w:pPr>
        <w:tabs>
          <w:tab w:val="left" w:pos="-720"/>
          <w:tab w:val="left" w:pos="0"/>
        </w:tabs>
        <w:spacing w:after="0" w:line="240" w:lineRule="auto"/>
        <w:ind w:left="360" w:hanging="360"/>
        <w:rPr>
          <w:rFonts w:cstheme="minorHAnsi"/>
          <w:sz w:val="20"/>
        </w:rPr>
      </w:pPr>
    </w:p>
    <w:p w14:paraId="706D04CE" w14:textId="77777777" w:rsidR="005E65E6" w:rsidRDefault="005E65E6" w:rsidP="00B65D59">
      <w:pPr>
        <w:pStyle w:val="NoSpacing"/>
        <w:numPr>
          <w:ilvl w:val="0"/>
          <w:numId w:val="4"/>
        </w:numPr>
        <w:ind w:left="360"/>
        <w:contextualSpacing/>
        <w:rPr>
          <w:rFonts w:cstheme="minorHAnsi"/>
        </w:rPr>
      </w:pPr>
      <w:bookmarkStart w:id="4" w:name="_MON_1592386378"/>
      <w:bookmarkStart w:id="5" w:name="_MON_1592395953"/>
      <w:bookmarkStart w:id="6" w:name="_Hlk132890112"/>
      <w:bookmarkEnd w:id="4"/>
      <w:bookmarkEnd w:id="5"/>
      <w:r>
        <w:rPr>
          <w:rFonts w:cstheme="minorHAnsi"/>
        </w:rPr>
        <w:t>Represents period-over-period growth in our GAAP revenue.</w:t>
      </w:r>
    </w:p>
    <w:p w14:paraId="215E48A0" w14:textId="77777777" w:rsidR="005E65E6" w:rsidRDefault="005E65E6" w:rsidP="005E65E6">
      <w:pPr>
        <w:pStyle w:val="NoSpacing"/>
        <w:ind w:left="360"/>
        <w:contextualSpacing/>
        <w:rPr>
          <w:rFonts w:cstheme="minorHAnsi"/>
        </w:rPr>
      </w:pPr>
    </w:p>
    <w:p w14:paraId="3914EA48" w14:textId="77777777" w:rsidR="005E65E6" w:rsidRDefault="005E65E6" w:rsidP="00B65D59">
      <w:pPr>
        <w:pStyle w:val="NoSpacing"/>
        <w:numPr>
          <w:ilvl w:val="0"/>
          <w:numId w:val="4"/>
        </w:numPr>
        <w:ind w:left="360"/>
        <w:contextualSpacing/>
        <w:rPr>
          <w:rFonts w:cstheme="minorHAnsi"/>
        </w:rPr>
      </w:pPr>
      <w:r>
        <w:rPr>
          <w:rFonts w:cstheme="minorHAnsi"/>
        </w:rPr>
        <w:t>Organic revenue growth represents the period-over-period growth in revenue related to partner firms, including growth related to acquisitions of wealth management practices and customer relationships by our partner firms, including Connectus, and partner firms that have merged, that for the entire periods presented, are included in our consolidated statements of operations for each of the entire periods presented. We believe these growth statistics are useful in that they present full-period revenue growth of partner firms on a “same store” basis exclusive of the effect of the partial period results of partner firms that are acquired during the comparable periods.</w:t>
      </w:r>
    </w:p>
    <w:p w14:paraId="726CA2EC" w14:textId="77777777" w:rsidR="005E65E6" w:rsidRDefault="005E65E6" w:rsidP="005E65E6">
      <w:pPr>
        <w:pStyle w:val="NoSpacing"/>
        <w:rPr>
          <w:rFonts w:cstheme="minorHAnsi"/>
        </w:rPr>
      </w:pPr>
    </w:p>
    <w:p w14:paraId="4CB31E9C" w14:textId="77777777" w:rsidR="005E65E6" w:rsidRDefault="005E65E6" w:rsidP="00B65D59">
      <w:pPr>
        <w:pStyle w:val="NoSpacing"/>
        <w:numPr>
          <w:ilvl w:val="0"/>
          <w:numId w:val="4"/>
        </w:numPr>
        <w:ind w:left="360"/>
        <w:contextualSpacing/>
        <w:rPr>
          <w:rFonts w:cstheme="minorHAnsi"/>
        </w:rPr>
      </w:pPr>
      <w:r>
        <w:rPr>
          <w:rFonts w:cstheme="minorHAnsi"/>
        </w:rPr>
        <w:t xml:space="preserve">The terms of our management agreements entitle the management companies to management fees typically consisting of all Earnings Before Partner Compensation (“EBPC”) </w:t>
      </w:r>
      <w:proofErr w:type="gramStart"/>
      <w:r>
        <w:rPr>
          <w:rFonts w:cstheme="minorHAnsi"/>
        </w:rPr>
        <w:t>in excess of</w:t>
      </w:r>
      <w:proofErr w:type="gramEnd"/>
      <w:r>
        <w:rPr>
          <w:rFonts w:cstheme="minorHAnsi"/>
        </w:rPr>
        <w:t xml:space="preserve"> Base Earnings up to Target Earnings, plus a percentage of any EBPC in excess of Target Earnings. Management fees growth represents the period-over-period growth in GAAP management fees earned by management companies. While an expense, we believe that growth in management fees reflect the strength of the partnership.</w:t>
      </w:r>
    </w:p>
    <w:p w14:paraId="0EAA2FA6" w14:textId="77777777" w:rsidR="005E65E6" w:rsidRDefault="005E65E6" w:rsidP="005E65E6">
      <w:pPr>
        <w:pStyle w:val="NoSpacing"/>
        <w:ind w:left="360"/>
        <w:contextualSpacing/>
        <w:rPr>
          <w:rFonts w:cstheme="minorHAnsi"/>
        </w:rPr>
      </w:pPr>
    </w:p>
    <w:p w14:paraId="31F2B924" w14:textId="77777777" w:rsidR="005E65E6" w:rsidRDefault="005E65E6" w:rsidP="00B65D59">
      <w:pPr>
        <w:pStyle w:val="NoSpacing"/>
        <w:numPr>
          <w:ilvl w:val="0"/>
          <w:numId w:val="4"/>
        </w:numPr>
        <w:ind w:left="360"/>
        <w:contextualSpacing/>
        <w:rPr>
          <w:rFonts w:cstheme="minorHAnsi"/>
        </w:rPr>
      </w:pPr>
      <w:r>
        <w:rPr>
          <w:rFonts w:cstheme="minorHAnsi"/>
        </w:rPr>
        <w:t>Organic management fees growth represents the period-over-period growth in management fees earned by management companies related to partner firms, including growth related to acquisitions of wealth management practices and customer relationships by our partner firms and partner firms that have merged, that for the entire periods presented, are included in our consolidated statements of operations for each of the entire periods presented.  We believe that these growth statistics are useful in that they present full-period growth of management fees on a “same store” basis exclusive of the effect of the partial period results of partner firms that are acquired during the comparable periods.</w:t>
      </w:r>
    </w:p>
    <w:p w14:paraId="47B558A5" w14:textId="77777777" w:rsidR="005E65E6" w:rsidRDefault="005E65E6" w:rsidP="005E65E6">
      <w:pPr>
        <w:rPr>
          <w:rFonts w:cstheme="minorHAnsi"/>
          <w:sz w:val="20"/>
        </w:rPr>
      </w:pPr>
      <w:r>
        <w:rPr>
          <w:rFonts w:cstheme="minorHAnsi"/>
        </w:rPr>
        <w:br w:type="page"/>
      </w:r>
    </w:p>
    <w:p w14:paraId="13167F1F" w14:textId="77777777" w:rsidR="005E65E6" w:rsidRDefault="005E65E6" w:rsidP="005E65E6">
      <w:pPr>
        <w:pStyle w:val="NoSpacing"/>
        <w:ind w:left="360"/>
        <w:contextualSpacing/>
        <w:rPr>
          <w:rFonts w:cstheme="minorHAnsi"/>
        </w:rPr>
      </w:pPr>
    </w:p>
    <w:p w14:paraId="61177F2F" w14:textId="77777777" w:rsidR="005E65E6" w:rsidRDefault="005E65E6" w:rsidP="005E65E6">
      <w:pPr>
        <w:pStyle w:val="NoSpacing"/>
        <w:ind w:left="360"/>
        <w:contextualSpacing/>
        <w:rPr>
          <w:rFonts w:cstheme="minorHAnsi"/>
        </w:rPr>
      </w:pPr>
    </w:p>
    <w:p w14:paraId="5D770D62" w14:textId="77777777" w:rsidR="005E65E6" w:rsidRDefault="005E65E6" w:rsidP="00B65D59">
      <w:pPr>
        <w:pStyle w:val="NoSpacing"/>
        <w:numPr>
          <w:ilvl w:val="0"/>
          <w:numId w:val="4"/>
        </w:numPr>
        <w:ind w:left="360"/>
        <w:contextualSpacing/>
        <w:rPr>
          <w:rFonts w:cstheme="minorHAnsi"/>
        </w:rPr>
      </w:pPr>
      <w:r>
        <w:rPr>
          <w:rFonts w:cstheme="minorHAnsi"/>
        </w:rPr>
        <w:t>For additional information regarding Adjusted EBITDA, Adjusted Net Income Excluding Tax Adjustments, Adjusted Net Income Excluding Tax Adjustments Per Share, Tax Adjustments, Tax Adjustments Per Share and Adjusted Shares Outstanding, including a reconciliation of Adjusted EBITDA, Adjusted Net Income Excluding Tax Adjustments and Adjusted Net Income Excluding Tax Adjustments Per Share to the most directly comparable GAAP financial measure, please read “—Adjusted EBITDA” and “—Adjusted Net Income Excluding Tax Adjustments and Adjusted Net Income Excluding Tax Adjustments Per Share.”</w:t>
      </w:r>
    </w:p>
    <w:p w14:paraId="3B49443D" w14:textId="77777777" w:rsidR="005E65E6" w:rsidRDefault="005E65E6" w:rsidP="005E65E6">
      <w:pPr>
        <w:pStyle w:val="NoSpacing"/>
        <w:ind w:left="360"/>
        <w:contextualSpacing/>
        <w:rPr>
          <w:rFonts w:cstheme="minorHAnsi"/>
        </w:rPr>
      </w:pPr>
    </w:p>
    <w:p w14:paraId="04CBB79F" w14:textId="4FB71B17" w:rsidR="005E65E6" w:rsidRDefault="005E65E6" w:rsidP="00B65D59">
      <w:pPr>
        <w:pStyle w:val="NoSpacing"/>
        <w:keepNext/>
        <w:keepLines/>
        <w:numPr>
          <w:ilvl w:val="0"/>
          <w:numId w:val="4"/>
        </w:numPr>
        <w:ind w:left="360"/>
        <w:contextualSpacing/>
        <w:rPr>
          <w:rFonts w:cstheme="minorHAnsi"/>
        </w:rPr>
      </w:pPr>
      <w:r>
        <w:rPr>
          <w:rFonts w:cstheme="minorHAnsi"/>
        </w:rPr>
        <w:t xml:space="preserve">Tax Adjustments represent the tax benefits of intangible assets, including goodwill, associated with deductions allowed for tax amortization of intangible assets in the respective periods based on a pro forma 27% income tax rate. Such amounts were generated from acquisitions completed where we received a step-up in basis for tax purposes. Acquired intangible assets may be amortized for tax purposes, generally over a 15-year period. Due to our acquisitive nature, tax deductions allowed on acquired intangible assets provide additional significant supplemental economic benefit. The tax benefit from amortization is included to show the full economic benefit of deductions for acquired intangible assets with the step-up in tax basis. As of </w:t>
      </w:r>
      <w:r w:rsidR="005C2225">
        <w:rPr>
          <w:rFonts w:cstheme="minorHAnsi"/>
        </w:rPr>
        <w:t>March</w:t>
      </w:r>
      <w:r>
        <w:rPr>
          <w:rFonts w:cstheme="minorHAnsi"/>
        </w:rPr>
        <w:t xml:space="preserve"> 31, 202</w:t>
      </w:r>
      <w:r w:rsidR="005C2225">
        <w:rPr>
          <w:rFonts w:cstheme="minorHAnsi"/>
        </w:rPr>
        <w:t>3</w:t>
      </w:r>
      <w:r>
        <w:rPr>
          <w:rFonts w:cstheme="minorHAnsi"/>
        </w:rPr>
        <w:t>, estimated Tax Adjustments from intangible asset related income tax benefits from closed acquisitions based on a pro forma 27% income tax rate for the next 12 months is $6</w:t>
      </w:r>
      <w:r w:rsidR="00757C11">
        <w:rPr>
          <w:rFonts w:cstheme="minorHAnsi"/>
        </w:rPr>
        <w:t>9</w:t>
      </w:r>
      <w:r>
        <w:rPr>
          <w:rFonts w:cstheme="minorHAnsi"/>
        </w:rPr>
        <w:t>.</w:t>
      </w:r>
      <w:r w:rsidR="00757C11">
        <w:rPr>
          <w:rFonts w:cstheme="minorHAnsi"/>
        </w:rPr>
        <w:t>6</w:t>
      </w:r>
      <w:r>
        <w:rPr>
          <w:rFonts w:cstheme="minorHAnsi"/>
        </w:rPr>
        <w:t xml:space="preserve"> million.</w:t>
      </w:r>
    </w:p>
    <w:p w14:paraId="165011FA" w14:textId="77777777" w:rsidR="005E65E6" w:rsidRDefault="005E65E6" w:rsidP="005E65E6">
      <w:pPr>
        <w:pStyle w:val="NoSpacing"/>
        <w:ind w:left="360"/>
        <w:contextualSpacing/>
        <w:rPr>
          <w:rFonts w:cstheme="minorHAnsi"/>
        </w:rPr>
      </w:pPr>
    </w:p>
    <w:p w14:paraId="18CE54AD" w14:textId="77777777" w:rsidR="005E65E6" w:rsidRDefault="005E65E6" w:rsidP="00B65D59">
      <w:pPr>
        <w:pStyle w:val="NoSpacing"/>
        <w:numPr>
          <w:ilvl w:val="0"/>
          <w:numId w:val="4"/>
        </w:numPr>
        <w:ind w:left="360"/>
        <w:contextualSpacing/>
        <w:rPr>
          <w:rFonts w:cstheme="minorHAnsi"/>
        </w:rPr>
      </w:pPr>
      <w:r>
        <w:rPr>
          <w:rFonts w:cstheme="minorHAnsi"/>
        </w:rPr>
        <w:t>Net Leverage Ratio represents the First Lien Leverage Ratio (as defined in the Credit Facility), and means the ratio of amounts outstanding under the First Lien Term Loan A, First Lien Term Loan B and First Lien Revolver plus other outstanding debt obligations secured by a lien on the assets of Focus LLC (excluding letters of credit other than unpaid drawings thereunder) minus unrestricted cash and cash equivalents to Consolidated EBITDA (as defined in the Credit Facility).</w:t>
      </w:r>
    </w:p>
    <w:p w14:paraId="3E9334CF" w14:textId="77777777" w:rsidR="005E65E6" w:rsidRDefault="005E65E6" w:rsidP="005E65E6">
      <w:pPr>
        <w:pStyle w:val="NoSpacing"/>
        <w:ind w:left="360"/>
        <w:contextualSpacing/>
        <w:rPr>
          <w:rFonts w:cstheme="minorHAnsi"/>
        </w:rPr>
      </w:pPr>
    </w:p>
    <w:p w14:paraId="305DB960" w14:textId="77777777" w:rsidR="005E65E6" w:rsidRDefault="005E65E6" w:rsidP="00B65D59">
      <w:pPr>
        <w:pStyle w:val="NoSpacing"/>
        <w:numPr>
          <w:ilvl w:val="0"/>
          <w:numId w:val="4"/>
        </w:numPr>
        <w:ind w:left="360"/>
        <w:contextualSpacing/>
        <w:rPr>
          <w:rFonts w:cstheme="minorHAnsi"/>
        </w:rPr>
      </w:pPr>
      <w:r>
        <w:rPr>
          <w:rFonts w:cstheme="minorHAnsi"/>
        </w:rPr>
        <w:t xml:space="preserve">The terms of our management agreements entitle the management companies to management fees typically consisting of all future EBPC of the acquired wealth management firm </w:t>
      </w:r>
      <w:proofErr w:type="gramStart"/>
      <w:r>
        <w:rPr>
          <w:rFonts w:cstheme="minorHAnsi"/>
        </w:rPr>
        <w:t>in excess of</w:t>
      </w:r>
      <w:proofErr w:type="gramEnd"/>
      <w:r>
        <w:rPr>
          <w:rFonts w:cstheme="minorHAnsi"/>
        </w:rPr>
        <w:t xml:space="preserve"> Base Earnings up to Target Earnings, plus a percentage of any EBPC in excess of Target Earnings. Acquired Base Earnings is equal to our preferred position in Base Earnings or comparable measures. We are entitled to receive these earnings notwithstanding any earnings that we are entitled to receive </w:t>
      </w:r>
      <w:proofErr w:type="gramStart"/>
      <w:r>
        <w:rPr>
          <w:rFonts w:cstheme="minorHAnsi"/>
        </w:rPr>
        <w:t>in excess of</w:t>
      </w:r>
      <w:proofErr w:type="gramEnd"/>
      <w:r>
        <w:rPr>
          <w:rFonts w:cstheme="minorHAnsi"/>
        </w:rPr>
        <w:t xml:space="preserve"> Target Earnings. Base Earnings may change in future periods for various business or contractual matters. For example, from time to time when a partner firm consummates an acquisition, the management agreement among the partner firm, the management company and the principals is amended to adjust Base Earnings and Target Earnings to reflect the projected </w:t>
      </w:r>
      <w:proofErr w:type="spellStart"/>
      <w:r>
        <w:rPr>
          <w:rFonts w:cstheme="minorHAnsi"/>
        </w:rPr>
        <w:t>post acquisition</w:t>
      </w:r>
      <w:proofErr w:type="spellEnd"/>
      <w:r>
        <w:rPr>
          <w:rFonts w:cstheme="minorHAnsi"/>
        </w:rPr>
        <w:t xml:space="preserve"> earnings of the partner firm.</w:t>
      </w:r>
    </w:p>
    <w:p w14:paraId="169D58FE" w14:textId="77777777" w:rsidR="005E65E6" w:rsidRDefault="005E65E6" w:rsidP="005E65E6">
      <w:pPr>
        <w:pStyle w:val="NoSpacing"/>
        <w:ind w:left="360"/>
        <w:contextualSpacing/>
        <w:rPr>
          <w:rFonts w:cstheme="minorHAnsi"/>
        </w:rPr>
      </w:pPr>
    </w:p>
    <w:p w14:paraId="2D6BB5D5" w14:textId="77777777" w:rsidR="00536C41" w:rsidRDefault="005E65E6" w:rsidP="00B65D59">
      <w:pPr>
        <w:pStyle w:val="NoSpacing"/>
        <w:numPr>
          <w:ilvl w:val="0"/>
          <w:numId w:val="4"/>
        </w:numPr>
        <w:ind w:left="360"/>
        <w:contextualSpacing/>
        <w:rPr>
          <w:rFonts w:cstheme="minorHAnsi"/>
        </w:rPr>
      </w:pPr>
      <w:r>
        <w:rPr>
          <w:rFonts w:cstheme="minorHAnsi"/>
        </w:rPr>
        <w:t>Represents the number of partner firms on the last day of the period presented</w:t>
      </w:r>
      <w:r w:rsidR="00536C41">
        <w:rPr>
          <w:rFonts w:cstheme="minorHAnsi"/>
        </w:rPr>
        <w:t xml:space="preserve">. </w:t>
      </w:r>
      <w:bookmarkEnd w:id="6"/>
      <w:r w:rsidR="00536C41">
        <w:rPr>
          <w:rFonts w:cstheme="minorHAnsi"/>
        </w:rPr>
        <w:br w:type="page"/>
      </w:r>
    </w:p>
    <w:p w14:paraId="182B70A4" w14:textId="77777777" w:rsidR="00536C41" w:rsidRDefault="005E65E6" w:rsidP="005E65E6">
      <w:pPr>
        <w:spacing w:after="0" w:line="240" w:lineRule="auto"/>
        <w:jc w:val="center"/>
        <w:rPr>
          <w:b/>
          <w:bCs/>
        </w:rPr>
      </w:pPr>
      <w:r>
        <w:rPr>
          <w:b/>
          <w:bCs/>
        </w:rPr>
        <w:lastRenderedPageBreak/>
        <w:t xml:space="preserve">Unaudited </w:t>
      </w:r>
      <w:r w:rsidR="00536C41" w:rsidRPr="00F664E8">
        <w:rPr>
          <w:b/>
          <w:bCs/>
        </w:rPr>
        <w:t>Condensed Consolidated Financial Statements</w:t>
      </w:r>
    </w:p>
    <w:p w14:paraId="558D0943" w14:textId="77777777" w:rsidR="00F664E8" w:rsidRPr="00F664E8" w:rsidRDefault="00F664E8" w:rsidP="005E65E6">
      <w:pPr>
        <w:spacing w:after="0" w:line="240" w:lineRule="auto"/>
        <w:jc w:val="center"/>
        <w:rPr>
          <w:b/>
          <w:bCs/>
        </w:rPr>
      </w:pPr>
    </w:p>
    <w:p w14:paraId="1EA92655" w14:textId="77777777" w:rsidR="00536C41" w:rsidRPr="00F664E8" w:rsidRDefault="00536C41" w:rsidP="005E65E6">
      <w:pPr>
        <w:spacing w:after="0" w:line="240" w:lineRule="auto"/>
        <w:jc w:val="center"/>
        <w:rPr>
          <w:rFonts w:cstheme="minorHAnsi"/>
          <w:b/>
          <w:bCs/>
        </w:rPr>
      </w:pPr>
      <w:r w:rsidRPr="00F664E8">
        <w:rPr>
          <w:rFonts w:cstheme="minorHAnsi"/>
          <w:b/>
          <w:bCs/>
        </w:rPr>
        <w:t>FOCUS FINANCIAL PARTNERS INC.</w:t>
      </w:r>
    </w:p>
    <w:p w14:paraId="5A30604C" w14:textId="77777777" w:rsidR="00536C41" w:rsidRPr="00F664E8" w:rsidRDefault="005E65E6" w:rsidP="005E65E6">
      <w:pPr>
        <w:spacing w:after="0" w:line="240" w:lineRule="auto"/>
        <w:jc w:val="center"/>
        <w:rPr>
          <w:rFonts w:cstheme="minorHAnsi"/>
          <w:b/>
          <w:bCs/>
        </w:rPr>
      </w:pPr>
      <w:r>
        <w:rPr>
          <w:rFonts w:cstheme="minorHAnsi"/>
          <w:b/>
          <w:bCs/>
        </w:rPr>
        <w:t xml:space="preserve">Unaudited </w:t>
      </w:r>
      <w:r w:rsidR="000E4CFD">
        <w:rPr>
          <w:rFonts w:cstheme="minorHAnsi"/>
          <w:b/>
          <w:bCs/>
        </w:rPr>
        <w:t>C</w:t>
      </w:r>
      <w:r w:rsidR="00536C41" w:rsidRPr="00F664E8">
        <w:rPr>
          <w:rFonts w:cstheme="minorHAnsi"/>
          <w:b/>
          <w:bCs/>
        </w:rPr>
        <w:t xml:space="preserve">ondensed </w:t>
      </w:r>
      <w:r w:rsidR="00371281">
        <w:rPr>
          <w:rFonts w:cstheme="minorHAnsi"/>
          <w:b/>
          <w:bCs/>
        </w:rPr>
        <w:t>C</w:t>
      </w:r>
      <w:r w:rsidR="00536C41" w:rsidRPr="00F664E8">
        <w:rPr>
          <w:rFonts w:cstheme="minorHAnsi"/>
          <w:b/>
          <w:bCs/>
        </w:rPr>
        <w:t xml:space="preserve">onsolidated </w:t>
      </w:r>
      <w:r w:rsidR="00371281">
        <w:rPr>
          <w:rFonts w:cstheme="minorHAnsi"/>
          <w:b/>
          <w:bCs/>
        </w:rPr>
        <w:t>S</w:t>
      </w:r>
      <w:r w:rsidR="00536C41" w:rsidRPr="00F664E8">
        <w:rPr>
          <w:rFonts w:cstheme="minorHAnsi"/>
          <w:b/>
          <w:bCs/>
        </w:rPr>
        <w:t xml:space="preserve">tatements of </w:t>
      </w:r>
      <w:r w:rsidR="00371281">
        <w:rPr>
          <w:rFonts w:cstheme="minorHAnsi"/>
          <w:b/>
          <w:bCs/>
        </w:rPr>
        <w:t>O</w:t>
      </w:r>
      <w:r w:rsidR="00536C41" w:rsidRPr="00F664E8">
        <w:rPr>
          <w:rFonts w:cstheme="minorHAnsi"/>
          <w:b/>
          <w:bCs/>
        </w:rPr>
        <w:t>perations</w:t>
      </w:r>
    </w:p>
    <w:p w14:paraId="0CEB2026" w14:textId="77777777" w:rsidR="00536C41" w:rsidRPr="00F664E8" w:rsidRDefault="00536C41" w:rsidP="005E65E6">
      <w:pPr>
        <w:spacing w:after="0" w:line="240" w:lineRule="auto"/>
        <w:jc w:val="center"/>
        <w:rPr>
          <w:rFonts w:cstheme="minorHAnsi"/>
          <w:b/>
          <w:bCs/>
        </w:rPr>
      </w:pPr>
      <w:r w:rsidRPr="00F664E8">
        <w:rPr>
          <w:rFonts w:cstheme="minorHAnsi"/>
          <w:b/>
          <w:bCs/>
        </w:rPr>
        <w:t>(</w:t>
      </w:r>
      <w:proofErr w:type="gramStart"/>
      <w:r w:rsidRPr="00F664E8">
        <w:rPr>
          <w:rFonts w:cstheme="minorHAnsi"/>
          <w:b/>
          <w:bCs/>
        </w:rPr>
        <w:t>in</w:t>
      </w:r>
      <w:proofErr w:type="gramEnd"/>
      <w:r w:rsidRPr="00F664E8">
        <w:rPr>
          <w:rFonts w:cstheme="minorHAnsi"/>
          <w:b/>
          <w:bCs/>
        </w:rPr>
        <w:t xml:space="preserve"> thousands, except share and per share amounts)</w:t>
      </w:r>
    </w:p>
    <w:p w14:paraId="333D11CB" w14:textId="77777777" w:rsidR="00E225AE" w:rsidRPr="006F2C93" w:rsidRDefault="00E225AE" w:rsidP="005E65E6">
      <w:pPr>
        <w:spacing w:after="0" w:line="240" w:lineRule="auto"/>
        <w:contextualSpacing/>
        <w:jc w:val="center"/>
        <w:rPr>
          <w:rFonts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10"/>
        <w:gridCol w:w="298"/>
        <w:gridCol w:w="193"/>
        <w:gridCol w:w="1501"/>
        <w:gridCol w:w="298"/>
        <w:gridCol w:w="193"/>
        <w:gridCol w:w="1567"/>
      </w:tblGrid>
      <w:tr w:rsidR="006E442A" w14:paraId="1681BEF2" w14:textId="77777777" w:rsidTr="006E442A">
        <w:trPr>
          <w:trHeight w:hRule="exact" w:val="20"/>
        </w:trPr>
        <w:tc>
          <w:tcPr>
            <w:tcW w:w="2837" w:type="pct"/>
            <w:tcBorders>
              <w:top w:val="nil"/>
              <w:left w:val="nil"/>
              <w:bottom w:val="nil"/>
              <w:right w:val="nil"/>
            </w:tcBorders>
            <w:vAlign w:val="bottom"/>
          </w:tcPr>
          <w:p w14:paraId="48E0773B" w14:textId="77777777" w:rsidR="006E442A" w:rsidRDefault="006E442A" w:rsidP="006E442A">
            <w:pPr>
              <w:keepNext/>
              <w:spacing w:after="1"/>
              <w:rPr>
                <w:sz w:val="2"/>
              </w:rPr>
            </w:pPr>
          </w:p>
        </w:tc>
        <w:tc>
          <w:tcPr>
            <w:tcW w:w="159" w:type="pct"/>
            <w:tcBorders>
              <w:top w:val="nil"/>
              <w:left w:val="nil"/>
              <w:bottom w:val="nil"/>
              <w:right w:val="nil"/>
            </w:tcBorders>
            <w:noWrap/>
            <w:vAlign w:val="bottom"/>
          </w:tcPr>
          <w:p w14:paraId="664AEE25" w14:textId="77777777" w:rsidR="006E442A" w:rsidRDefault="006E442A" w:rsidP="006E442A">
            <w:pPr>
              <w:keepNext/>
              <w:spacing w:after="1"/>
              <w:rPr>
                <w:sz w:val="2"/>
              </w:rPr>
            </w:pPr>
          </w:p>
        </w:tc>
        <w:tc>
          <w:tcPr>
            <w:tcW w:w="103" w:type="pct"/>
            <w:tcBorders>
              <w:top w:val="nil"/>
              <w:left w:val="nil"/>
              <w:bottom w:val="nil"/>
              <w:right w:val="nil"/>
            </w:tcBorders>
            <w:noWrap/>
            <w:vAlign w:val="bottom"/>
          </w:tcPr>
          <w:p w14:paraId="639EE7DE" w14:textId="77777777" w:rsidR="006E442A" w:rsidRDefault="006E442A" w:rsidP="006E442A">
            <w:pPr>
              <w:keepNext/>
              <w:spacing w:after="1"/>
              <w:rPr>
                <w:sz w:val="2"/>
              </w:rPr>
            </w:pPr>
          </w:p>
        </w:tc>
        <w:tc>
          <w:tcPr>
            <w:tcW w:w="802" w:type="pct"/>
            <w:tcBorders>
              <w:top w:val="nil"/>
              <w:left w:val="nil"/>
              <w:bottom w:val="nil"/>
              <w:right w:val="nil"/>
            </w:tcBorders>
            <w:noWrap/>
            <w:vAlign w:val="bottom"/>
          </w:tcPr>
          <w:p w14:paraId="62321519" w14:textId="77777777" w:rsidR="006E442A" w:rsidRDefault="006E442A" w:rsidP="006E442A">
            <w:pPr>
              <w:keepNext/>
              <w:spacing w:after="1"/>
              <w:rPr>
                <w:sz w:val="2"/>
              </w:rPr>
            </w:pPr>
          </w:p>
        </w:tc>
        <w:tc>
          <w:tcPr>
            <w:tcW w:w="159" w:type="pct"/>
            <w:tcBorders>
              <w:top w:val="nil"/>
              <w:left w:val="nil"/>
              <w:bottom w:val="nil"/>
              <w:right w:val="nil"/>
            </w:tcBorders>
            <w:noWrap/>
            <w:vAlign w:val="bottom"/>
          </w:tcPr>
          <w:p w14:paraId="36605E0A" w14:textId="77777777" w:rsidR="006E442A" w:rsidRDefault="006E442A" w:rsidP="006E442A">
            <w:pPr>
              <w:keepNext/>
              <w:spacing w:after="1"/>
              <w:rPr>
                <w:sz w:val="2"/>
              </w:rPr>
            </w:pPr>
          </w:p>
        </w:tc>
        <w:tc>
          <w:tcPr>
            <w:tcW w:w="103" w:type="pct"/>
            <w:tcBorders>
              <w:top w:val="nil"/>
              <w:left w:val="nil"/>
              <w:bottom w:val="nil"/>
              <w:right w:val="nil"/>
            </w:tcBorders>
            <w:vAlign w:val="bottom"/>
          </w:tcPr>
          <w:p w14:paraId="2A046613" w14:textId="77777777" w:rsidR="006E442A" w:rsidRDefault="006E442A" w:rsidP="006E442A">
            <w:pPr>
              <w:keepNext/>
              <w:spacing w:after="1"/>
              <w:rPr>
                <w:sz w:val="2"/>
              </w:rPr>
            </w:pPr>
          </w:p>
        </w:tc>
        <w:tc>
          <w:tcPr>
            <w:tcW w:w="838" w:type="pct"/>
            <w:tcBorders>
              <w:top w:val="nil"/>
              <w:left w:val="nil"/>
              <w:bottom w:val="nil"/>
              <w:right w:val="nil"/>
            </w:tcBorders>
            <w:noWrap/>
            <w:vAlign w:val="bottom"/>
          </w:tcPr>
          <w:p w14:paraId="05CCA279" w14:textId="77777777" w:rsidR="006E442A" w:rsidRDefault="006E442A" w:rsidP="006E442A">
            <w:pPr>
              <w:keepNext/>
              <w:spacing w:after="1"/>
              <w:rPr>
                <w:sz w:val="2"/>
              </w:rPr>
            </w:pPr>
          </w:p>
        </w:tc>
      </w:tr>
      <w:tr w:rsidR="006E442A" w14:paraId="173856C7" w14:textId="77777777" w:rsidTr="006E442A">
        <w:tc>
          <w:tcPr>
            <w:tcW w:w="2837" w:type="pct"/>
            <w:tcBorders>
              <w:top w:val="nil"/>
              <w:left w:val="nil"/>
              <w:bottom w:val="nil"/>
              <w:right w:val="nil"/>
              <w:tl2br w:val="nil"/>
              <w:tr2bl w:val="nil"/>
            </w:tcBorders>
            <w:shd w:val="solid" w:color="FFFFFF" w:fill="FFFFFF"/>
            <w:vAlign w:val="bottom"/>
          </w:tcPr>
          <w:p w14:paraId="0A870C3B" w14:textId="77777777" w:rsidR="006E442A" w:rsidRDefault="006E442A" w:rsidP="006E442A">
            <w:pPr>
              <w:spacing w:after="1"/>
              <w:rPr>
                <w:rFonts w:ascii="Calibri" w:eastAsia="Calibri" w:hAnsi="Calibri" w:cs="Calibri"/>
                <w:color w:val="000000"/>
                <w:sz w:val="20"/>
              </w:rPr>
            </w:pPr>
          </w:p>
        </w:tc>
        <w:tc>
          <w:tcPr>
            <w:tcW w:w="159" w:type="pct"/>
            <w:tcBorders>
              <w:top w:val="nil"/>
              <w:left w:val="nil"/>
              <w:bottom w:val="nil"/>
              <w:right w:val="nil"/>
              <w:tl2br w:val="nil"/>
              <w:tr2bl w:val="nil"/>
            </w:tcBorders>
            <w:shd w:val="solid" w:color="FFFFFF" w:fill="FFFFFF"/>
            <w:noWrap/>
            <w:vAlign w:val="bottom"/>
          </w:tcPr>
          <w:p w14:paraId="79ECDD64" w14:textId="77777777" w:rsidR="006E442A" w:rsidRDefault="006E442A" w:rsidP="006E442A">
            <w:pPr>
              <w:spacing w:after="1"/>
              <w:jc w:val="center"/>
              <w:rPr>
                <w:rFonts w:ascii="Calibri" w:eastAsia="Calibri" w:hAnsi="Calibri" w:cs="Calibri"/>
                <w:b/>
                <w:color w:val="000000"/>
                <w:sz w:val="20"/>
              </w:rPr>
            </w:pPr>
          </w:p>
        </w:tc>
        <w:tc>
          <w:tcPr>
            <w:tcW w:w="2004" w:type="pct"/>
            <w:gridSpan w:val="5"/>
            <w:tcBorders>
              <w:top w:val="nil"/>
              <w:left w:val="nil"/>
              <w:bottom w:val="nil"/>
              <w:right w:val="nil"/>
              <w:tl2br w:val="nil"/>
              <w:tr2bl w:val="nil"/>
            </w:tcBorders>
            <w:shd w:val="solid" w:color="FFFFFF" w:fill="FFFFFF"/>
            <w:noWrap/>
            <w:vAlign w:val="bottom"/>
          </w:tcPr>
          <w:p w14:paraId="0EF63ABE" w14:textId="77777777" w:rsidR="006E442A" w:rsidRDefault="006E442A" w:rsidP="006E442A">
            <w:pPr>
              <w:spacing w:after="1"/>
              <w:jc w:val="center"/>
              <w:rPr>
                <w:rFonts w:ascii="Calibri" w:eastAsia="Calibri" w:hAnsi="Calibri" w:cs="Calibri"/>
                <w:b/>
                <w:color w:val="000000"/>
                <w:sz w:val="20"/>
              </w:rPr>
            </w:pPr>
            <w:r>
              <w:rPr>
                <w:rFonts w:ascii="Calibri" w:eastAsia="Calibri" w:hAnsi="Calibri" w:cs="Calibri"/>
                <w:b/>
                <w:color w:val="000000"/>
                <w:sz w:val="20"/>
              </w:rPr>
              <w:t xml:space="preserve">For the three months ended </w:t>
            </w:r>
          </w:p>
        </w:tc>
      </w:tr>
      <w:tr w:rsidR="006E442A" w14:paraId="29F568C1" w14:textId="77777777" w:rsidTr="006E442A">
        <w:tc>
          <w:tcPr>
            <w:tcW w:w="2837" w:type="pct"/>
            <w:tcBorders>
              <w:top w:val="nil"/>
              <w:left w:val="nil"/>
              <w:bottom w:val="nil"/>
              <w:right w:val="nil"/>
              <w:tl2br w:val="nil"/>
              <w:tr2bl w:val="nil"/>
            </w:tcBorders>
            <w:shd w:val="solid" w:color="FFFFFF" w:fill="FFFFFF"/>
            <w:vAlign w:val="bottom"/>
          </w:tcPr>
          <w:p w14:paraId="6765DC45" w14:textId="77777777" w:rsidR="006E442A" w:rsidRDefault="006E442A" w:rsidP="006E442A">
            <w:pPr>
              <w:spacing w:after="1"/>
              <w:rPr>
                <w:rFonts w:ascii="Calibri" w:eastAsia="Calibri" w:hAnsi="Calibri" w:cs="Calibri"/>
                <w:color w:val="000000"/>
                <w:sz w:val="20"/>
              </w:rPr>
            </w:pPr>
          </w:p>
        </w:tc>
        <w:tc>
          <w:tcPr>
            <w:tcW w:w="159" w:type="pct"/>
            <w:tcBorders>
              <w:top w:val="nil"/>
              <w:left w:val="nil"/>
              <w:bottom w:val="nil"/>
              <w:right w:val="nil"/>
              <w:tl2br w:val="nil"/>
              <w:tr2bl w:val="nil"/>
            </w:tcBorders>
            <w:shd w:val="solid" w:color="FFFFFF" w:fill="FFFFFF"/>
            <w:noWrap/>
            <w:vAlign w:val="bottom"/>
          </w:tcPr>
          <w:p w14:paraId="49C023F3" w14:textId="77777777" w:rsidR="006E442A" w:rsidRDefault="006E442A" w:rsidP="006E442A">
            <w:pPr>
              <w:spacing w:after="1"/>
              <w:jc w:val="center"/>
              <w:rPr>
                <w:rFonts w:ascii="Calibri" w:eastAsia="Calibri" w:hAnsi="Calibri" w:cs="Calibri"/>
                <w:b/>
                <w:color w:val="000000"/>
                <w:sz w:val="20"/>
              </w:rPr>
            </w:pPr>
          </w:p>
        </w:tc>
        <w:tc>
          <w:tcPr>
            <w:tcW w:w="2004" w:type="pct"/>
            <w:gridSpan w:val="5"/>
            <w:tcBorders>
              <w:top w:val="nil"/>
              <w:left w:val="nil"/>
              <w:bottom w:val="single" w:sz="4" w:space="0" w:color="000000"/>
              <w:right w:val="nil"/>
              <w:tl2br w:val="nil"/>
              <w:tr2bl w:val="nil"/>
            </w:tcBorders>
            <w:shd w:val="solid" w:color="FFFFFF" w:fill="FFFFFF"/>
            <w:noWrap/>
            <w:vAlign w:val="bottom"/>
          </w:tcPr>
          <w:p w14:paraId="6B2FF5CB" w14:textId="77777777" w:rsidR="006E442A" w:rsidRDefault="006E442A" w:rsidP="006E442A">
            <w:pPr>
              <w:spacing w:after="1"/>
              <w:jc w:val="center"/>
              <w:rPr>
                <w:rFonts w:ascii="Calibri" w:eastAsia="Calibri" w:hAnsi="Calibri" w:cs="Calibri"/>
                <w:b/>
                <w:color w:val="000000"/>
                <w:sz w:val="20"/>
              </w:rPr>
            </w:pPr>
            <w:r>
              <w:rPr>
                <w:rFonts w:ascii="Calibri" w:eastAsia="Calibri" w:hAnsi="Calibri" w:cs="Calibri"/>
                <w:b/>
                <w:color w:val="000000"/>
                <w:sz w:val="20"/>
              </w:rPr>
              <w:t>March 31, </w:t>
            </w:r>
          </w:p>
        </w:tc>
      </w:tr>
      <w:tr w:rsidR="006E442A" w14:paraId="476B563C" w14:textId="77777777" w:rsidTr="006E442A">
        <w:tc>
          <w:tcPr>
            <w:tcW w:w="2837" w:type="pct"/>
            <w:tcBorders>
              <w:top w:val="nil"/>
              <w:left w:val="nil"/>
              <w:bottom w:val="nil"/>
              <w:right w:val="nil"/>
              <w:tl2br w:val="nil"/>
              <w:tr2bl w:val="nil"/>
            </w:tcBorders>
            <w:shd w:val="solid" w:color="FFFFFF" w:fill="FFFFFF"/>
            <w:vAlign w:val="bottom"/>
          </w:tcPr>
          <w:p w14:paraId="46C07F44" w14:textId="77777777" w:rsidR="006E442A" w:rsidRDefault="006E442A" w:rsidP="006E442A">
            <w:pPr>
              <w:spacing w:after="1"/>
              <w:rPr>
                <w:rFonts w:ascii="Calibri" w:eastAsia="Calibri" w:hAnsi="Calibri" w:cs="Calibri"/>
                <w:color w:val="000000"/>
                <w:sz w:val="20"/>
              </w:rPr>
            </w:pPr>
          </w:p>
        </w:tc>
        <w:tc>
          <w:tcPr>
            <w:tcW w:w="159" w:type="pct"/>
            <w:tcBorders>
              <w:top w:val="nil"/>
              <w:left w:val="nil"/>
              <w:bottom w:val="nil"/>
              <w:right w:val="nil"/>
              <w:tl2br w:val="nil"/>
              <w:tr2bl w:val="nil"/>
            </w:tcBorders>
            <w:shd w:val="solid" w:color="FFFFFF" w:fill="FFFFFF"/>
            <w:noWrap/>
            <w:vAlign w:val="bottom"/>
          </w:tcPr>
          <w:p w14:paraId="61DF34A9"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904" w:type="pct"/>
            <w:gridSpan w:val="2"/>
            <w:tcBorders>
              <w:top w:val="nil"/>
              <w:left w:val="nil"/>
              <w:bottom w:val="single" w:sz="4" w:space="0" w:color="000000"/>
              <w:right w:val="nil"/>
              <w:tl2br w:val="nil"/>
              <w:tr2bl w:val="nil"/>
            </w:tcBorders>
            <w:shd w:val="solid" w:color="FFFFFF" w:fill="FFFFFF"/>
            <w:noWrap/>
            <w:vAlign w:val="bottom"/>
          </w:tcPr>
          <w:p w14:paraId="4AF412E2" w14:textId="77777777" w:rsidR="006E442A" w:rsidRDefault="006E442A" w:rsidP="006E442A">
            <w:pPr>
              <w:spacing w:after="1"/>
              <w:jc w:val="center"/>
              <w:rPr>
                <w:rFonts w:ascii="Calibri" w:eastAsia="Calibri" w:hAnsi="Calibri" w:cs="Calibri"/>
                <w:b/>
                <w:color w:val="000000"/>
                <w:sz w:val="20"/>
              </w:rPr>
            </w:pPr>
            <w:r>
              <w:rPr>
                <w:rFonts w:ascii="Calibri" w:eastAsia="Calibri" w:hAnsi="Calibri" w:cs="Calibri"/>
                <w:b/>
                <w:color w:val="000000"/>
                <w:sz w:val="20"/>
              </w:rPr>
              <w:t>2022</w:t>
            </w:r>
          </w:p>
        </w:tc>
        <w:tc>
          <w:tcPr>
            <w:tcW w:w="159" w:type="pct"/>
            <w:tcBorders>
              <w:top w:val="nil"/>
              <w:left w:val="nil"/>
              <w:bottom w:val="nil"/>
              <w:right w:val="nil"/>
              <w:tl2br w:val="nil"/>
              <w:tr2bl w:val="nil"/>
            </w:tcBorders>
            <w:shd w:val="solid" w:color="FFFFFF" w:fill="FFFFFF"/>
            <w:noWrap/>
            <w:vAlign w:val="bottom"/>
          </w:tcPr>
          <w:p w14:paraId="108539A0"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940" w:type="pct"/>
            <w:gridSpan w:val="2"/>
            <w:tcBorders>
              <w:top w:val="nil"/>
              <w:left w:val="nil"/>
              <w:bottom w:val="single" w:sz="4" w:space="0" w:color="000000"/>
              <w:right w:val="nil"/>
              <w:tl2br w:val="nil"/>
              <w:tr2bl w:val="nil"/>
            </w:tcBorders>
            <w:shd w:val="solid" w:color="FFFFFF" w:fill="FFFFFF"/>
            <w:noWrap/>
            <w:vAlign w:val="bottom"/>
          </w:tcPr>
          <w:p w14:paraId="62007A93" w14:textId="77777777" w:rsidR="006E442A" w:rsidRDefault="006E442A" w:rsidP="006E442A">
            <w:pPr>
              <w:spacing w:after="1"/>
              <w:jc w:val="center"/>
              <w:rPr>
                <w:rFonts w:ascii="Calibri" w:eastAsia="Calibri" w:hAnsi="Calibri" w:cs="Calibri"/>
                <w:b/>
                <w:color w:val="000000"/>
                <w:sz w:val="20"/>
              </w:rPr>
            </w:pPr>
            <w:r>
              <w:rPr>
                <w:rFonts w:ascii="Calibri" w:eastAsia="Calibri" w:hAnsi="Calibri" w:cs="Calibri"/>
                <w:b/>
                <w:color w:val="000000"/>
                <w:sz w:val="20"/>
              </w:rPr>
              <w:t>2023</w:t>
            </w:r>
          </w:p>
        </w:tc>
      </w:tr>
      <w:tr w:rsidR="006E442A" w14:paraId="7DFDEBE4" w14:textId="77777777" w:rsidTr="006E442A">
        <w:tc>
          <w:tcPr>
            <w:tcW w:w="2837" w:type="pct"/>
            <w:tcBorders>
              <w:top w:val="nil"/>
              <w:left w:val="nil"/>
              <w:bottom w:val="nil"/>
              <w:right w:val="nil"/>
              <w:tl2br w:val="nil"/>
              <w:tr2bl w:val="nil"/>
            </w:tcBorders>
            <w:shd w:val="solid" w:color="FFFFFF" w:fill="FFFFFF"/>
            <w:vAlign w:val="bottom"/>
          </w:tcPr>
          <w:p w14:paraId="7BD806CC"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REVENUES:</w:t>
            </w:r>
          </w:p>
        </w:tc>
        <w:tc>
          <w:tcPr>
            <w:tcW w:w="159" w:type="pct"/>
            <w:tcBorders>
              <w:top w:val="nil"/>
              <w:left w:val="nil"/>
              <w:bottom w:val="nil"/>
              <w:right w:val="nil"/>
              <w:tl2br w:val="nil"/>
              <w:tr2bl w:val="nil"/>
            </w:tcBorders>
            <w:shd w:val="solid" w:color="FFFFFF" w:fill="FFFFFF"/>
            <w:noWrap/>
            <w:vAlign w:val="bottom"/>
          </w:tcPr>
          <w:p w14:paraId="2989B97F" w14:textId="77777777" w:rsidR="006E442A" w:rsidRDefault="006E442A" w:rsidP="006E442A">
            <w:pPr>
              <w:spacing w:after="1"/>
              <w:jc w:val="right"/>
              <w:rPr>
                <w:rFonts w:ascii="Calibri" w:eastAsia="Calibri" w:hAnsi="Calibri" w:cs="Calibri"/>
                <w:color w:val="000000"/>
                <w:sz w:val="20"/>
              </w:rPr>
            </w:pPr>
          </w:p>
        </w:tc>
        <w:tc>
          <w:tcPr>
            <w:tcW w:w="103" w:type="pct"/>
            <w:tcBorders>
              <w:top w:val="nil"/>
              <w:left w:val="nil"/>
              <w:bottom w:val="nil"/>
              <w:right w:val="nil"/>
              <w:tl2br w:val="nil"/>
              <w:tr2bl w:val="nil"/>
            </w:tcBorders>
            <w:shd w:val="solid" w:color="FFFFFF" w:fill="FFFFFF"/>
            <w:noWrap/>
            <w:vAlign w:val="bottom"/>
          </w:tcPr>
          <w:p w14:paraId="239DFA81" w14:textId="77777777" w:rsidR="006E442A" w:rsidRDefault="006E442A" w:rsidP="006E442A">
            <w:pPr>
              <w:spacing w:after="1"/>
              <w:rPr>
                <w:rFonts w:ascii="Calibri" w:eastAsia="Calibri" w:hAnsi="Calibri" w:cs="Calibri"/>
                <w:color w:val="000000"/>
                <w:sz w:val="20"/>
              </w:rPr>
            </w:pPr>
          </w:p>
        </w:tc>
        <w:tc>
          <w:tcPr>
            <w:tcW w:w="802" w:type="pct"/>
            <w:tcBorders>
              <w:top w:val="nil"/>
              <w:left w:val="nil"/>
              <w:bottom w:val="nil"/>
              <w:right w:val="nil"/>
              <w:tl2br w:val="nil"/>
              <w:tr2bl w:val="nil"/>
            </w:tcBorders>
            <w:shd w:val="solid" w:color="FFFFFF" w:fill="FFFFFF"/>
            <w:noWrap/>
            <w:vAlign w:val="bottom"/>
          </w:tcPr>
          <w:p w14:paraId="7E9FF7A2" w14:textId="77777777" w:rsidR="006E442A" w:rsidRDefault="006E442A" w:rsidP="006E442A">
            <w:pPr>
              <w:spacing w:after="1"/>
              <w:jc w:val="right"/>
              <w:rPr>
                <w:rFonts w:ascii="Calibri" w:eastAsia="Calibri" w:hAnsi="Calibri" w:cs="Calibri"/>
                <w:color w:val="000000"/>
                <w:sz w:val="20"/>
              </w:rPr>
            </w:pPr>
            <w:r>
              <w:rPr>
                <w:rFonts w:ascii="Calibri" w:eastAsia="Calibri" w:hAnsi="Calibri" w:cs="Calibri"/>
                <w:color w:val="000000"/>
                <w:sz w:val="20"/>
              </w:rPr>
              <w:t>  </w:t>
            </w:r>
          </w:p>
        </w:tc>
        <w:tc>
          <w:tcPr>
            <w:tcW w:w="159" w:type="pct"/>
            <w:tcBorders>
              <w:top w:val="nil"/>
              <w:left w:val="nil"/>
              <w:bottom w:val="nil"/>
              <w:right w:val="nil"/>
              <w:tl2br w:val="nil"/>
              <w:tr2bl w:val="nil"/>
            </w:tcBorders>
            <w:shd w:val="solid" w:color="FFFFFF" w:fill="FFFFFF"/>
            <w:noWrap/>
            <w:vAlign w:val="bottom"/>
          </w:tcPr>
          <w:p w14:paraId="59EBFAB6" w14:textId="77777777" w:rsidR="006E442A" w:rsidRDefault="006E442A" w:rsidP="006E442A">
            <w:pPr>
              <w:spacing w:after="1"/>
              <w:rPr>
                <w:rFonts w:ascii="Calibri" w:eastAsia="Calibri" w:hAnsi="Calibri" w:cs="Calibri"/>
                <w:color w:val="000000"/>
                <w:sz w:val="20"/>
              </w:rPr>
            </w:pPr>
          </w:p>
        </w:tc>
        <w:tc>
          <w:tcPr>
            <w:tcW w:w="103" w:type="pct"/>
            <w:tcBorders>
              <w:top w:val="nil"/>
              <w:left w:val="nil"/>
              <w:bottom w:val="nil"/>
              <w:right w:val="nil"/>
              <w:tl2br w:val="nil"/>
              <w:tr2bl w:val="nil"/>
            </w:tcBorders>
            <w:shd w:val="solid" w:color="FFFFFF" w:fill="FFFFFF"/>
            <w:vAlign w:val="bottom"/>
          </w:tcPr>
          <w:p w14:paraId="4CFDF182" w14:textId="77777777" w:rsidR="006E442A" w:rsidRDefault="006E442A" w:rsidP="006E442A">
            <w:pPr>
              <w:spacing w:after="1"/>
              <w:rPr>
                <w:rFonts w:ascii="Calibri" w:eastAsia="Calibri" w:hAnsi="Calibri" w:cs="Calibri"/>
                <w:color w:val="000000"/>
                <w:sz w:val="20"/>
              </w:rPr>
            </w:pPr>
          </w:p>
        </w:tc>
        <w:tc>
          <w:tcPr>
            <w:tcW w:w="838" w:type="pct"/>
            <w:tcBorders>
              <w:top w:val="nil"/>
              <w:left w:val="nil"/>
              <w:bottom w:val="nil"/>
              <w:right w:val="nil"/>
              <w:tl2br w:val="nil"/>
              <w:tr2bl w:val="nil"/>
            </w:tcBorders>
            <w:shd w:val="solid" w:color="FFFFFF" w:fill="FFFFFF"/>
            <w:noWrap/>
            <w:vAlign w:val="bottom"/>
          </w:tcPr>
          <w:p w14:paraId="4526D674" w14:textId="77777777" w:rsidR="006E442A" w:rsidRDefault="006E442A" w:rsidP="006E442A">
            <w:pPr>
              <w:spacing w:after="1"/>
              <w:jc w:val="right"/>
              <w:rPr>
                <w:rFonts w:ascii="Calibri" w:eastAsia="Calibri" w:hAnsi="Calibri" w:cs="Calibri"/>
                <w:color w:val="000000"/>
                <w:sz w:val="20"/>
              </w:rPr>
            </w:pPr>
            <w:r>
              <w:rPr>
                <w:rFonts w:ascii="Calibri" w:eastAsia="Calibri" w:hAnsi="Calibri" w:cs="Calibri"/>
                <w:color w:val="000000"/>
                <w:sz w:val="20"/>
              </w:rPr>
              <w:t>  </w:t>
            </w:r>
          </w:p>
        </w:tc>
      </w:tr>
      <w:tr w:rsidR="006E442A" w14:paraId="54E48199" w14:textId="77777777" w:rsidTr="006E442A">
        <w:tc>
          <w:tcPr>
            <w:tcW w:w="2837" w:type="pct"/>
            <w:tcBorders>
              <w:top w:val="nil"/>
              <w:left w:val="nil"/>
              <w:bottom w:val="nil"/>
              <w:right w:val="nil"/>
              <w:tl2br w:val="nil"/>
              <w:tr2bl w:val="nil"/>
            </w:tcBorders>
            <w:shd w:val="solid" w:color="FFFFFF" w:fill="FFFFFF"/>
            <w:vAlign w:val="bottom"/>
          </w:tcPr>
          <w:p w14:paraId="114F7C2C" w14:textId="77777777" w:rsidR="006E442A" w:rsidRDefault="006E442A" w:rsidP="006E442A">
            <w:pPr>
              <w:spacing w:after="1"/>
              <w:ind w:left="120"/>
              <w:rPr>
                <w:rFonts w:ascii="Calibri" w:eastAsia="Calibri" w:hAnsi="Calibri" w:cs="Calibri"/>
                <w:color w:val="000000"/>
                <w:sz w:val="20"/>
              </w:rPr>
            </w:pPr>
            <w:r>
              <w:rPr>
                <w:rFonts w:ascii="Calibri" w:eastAsia="Calibri" w:hAnsi="Calibri" w:cs="Calibri"/>
                <w:color w:val="000000"/>
                <w:sz w:val="20"/>
              </w:rPr>
              <w:t>Wealth management fees</w:t>
            </w:r>
          </w:p>
        </w:tc>
        <w:tc>
          <w:tcPr>
            <w:tcW w:w="159" w:type="pct"/>
            <w:tcBorders>
              <w:top w:val="nil"/>
              <w:left w:val="nil"/>
              <w:bottom w:val="nil"/>
              <w:right w:val="nil"/>
              <w:tl2br w:val="nil"/>
              <w:tr2bl w:val="nil"/>
            </w:tcBorders>
            <w:shd w:val="solid" w:color="FFFFFF" w:fill="FFFFFF"/>
            <w:noWrap/>
            <w:vAlign w:val="bottom"/>
          </w:tcPr>
          <w:p w14:paraId="315B5EA8" w14:textId="77777777" w:rsidR="006E442A" w:rsidRDefault="006E442A" w:rsidP="006E442A">
            <w:pPr>
              <w:spacing w:after="1"/>
              <w:jc w:val="right"/>
              <w:rPr>
                <w:rFonts w:ascii="Calibri" w:eastAsia="Calibri" w:hAnsi="Calibri" w:cs="Calibri"/>
                <w:color w:val="000000"/>
                <w:sz w:val="20"/>
              </w:rPr>
            </w:pPr>
          </w:p>
        </w:tc>
        <w:tc>
          <w:tcPr>
            <w:tcW w:w="103" w:type="pct"/>
            <w:tcBorders>
              <w:top w:val="nil"/>
              <w:left w:val="nil"/>
              <w:bottom w:val="nil"/>
              <w:right w:val="nil"/>
              <w:tl2br w:val="nil"/>
              <w:tr2bl w:val="nil"/>
            </w:tcBorders>
            <w:shd w:val="solid" w:color="FFFFFF" w:fill="FFFFFF"/>
            <w:noWrap/>
            <w:vAlign w:val="bottom"/>
          </w:tcPr>
          <w:p w14:paraId="194B0F20"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w:t>
            </w:r>
          </w:p>
        </w:tc>
        <w:tc>
          <w:tcPr>
            <w:tcW w:w="802" w:type="pct"/>
            <w:tcBorders>
              <w:top w:val="nil"/>
              <w:left w:val="nil"/>
              <w:bottom w:val="nil"/>
              <w:right w:val="nil"/>
              <w:tl2br w:val="nil"/>
              <w:tr2bl w:val="nil"/>
            </w:tcBorders>
            <w:shd w:val="solid" w:color="FFFFFF" w:fill="FFFFFF"/>
            <w:noWrap/>
            <w:vAlign w:val="bottom"/>
          </w:tcPr>
          <w:p w14:paraId="6F900C06"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515,179</w:t>
            </w:r>
          </w:p>
        </w:tc>
        <w:tc>
          <w:tcPr>
            <w:tcW w:w="159" w:type="pct"/>
            <w:tcBorders>
              <w:top w:val="nil"/>
              <w:left w:val="nil"/>
              <w:bottom w:val="nil"/>
              <w:right w:val="nil"/>
              <w:tl2br w:val="nil"/>
              <w:tr2bl w:val="nil"/>
            </w:tcBorders>
            <w:shd w:val="solid" w:color="FFFFFF" w:fill="FFFFFF"/>
            <w:noWrap/>
            <w:vAlign w:val="bottom"/>
          </w:tcPr>
          <w:p w14:paraId="042A3460" w14:textId="77777777" w:rsidR="006E442A" w:rsidRDefault="006E442A" w:rsidP="006E442A">
            <w:pPr>
              <w:spacing w:after="1"/>
              <w:rPr>
                <w:rFonts w:ascii="Calibri" w:eastAsia="Calibri" w:hAnsi="Calibri" w:cs="Calibri"/>
                <w:color w:val="000000"/>
                <w:sz w:val="20"/>
              </w:rPr>
            </w:pPr>
          </w:p>
        </w:tc>
        <w:tc>
          <w:tcPr>
            <w:tcW w:w="103" w:type="pct"/>
            <w:tcBorders>
              <w:top w:val="nil"/>
              <w:left w:val="nil"/>
              <w:bottom w:val="nil"/>
              <w:right w:val="nil"/>
              <w:tl2br w:val="nil"/>
              <w:tr2bl w:val="nil"/>
            </w:tcBorders>
            <w:shd w:val="solid" w:color="FFFFFF" w:fill="FFFFFF"/>
            <w:vAlign w:val="bottom"/>
          </w:tcPr>
          <w:p w14:paraId="6227F375"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w:t>
            </w:r>
          </w:p>
        </w:tc>
        <w:tc>
          <w:tcPr>
            <w:tcW w:w="838" w:type="pct"/>
            <w:tcBorders>
              <w:top w:val="nil"/>
              <w:left w:val="nil"/>
              <w:bottom w:val="nil"/>
              <w:right w:val="nil"/>
              <w:tl2br w:val="nil"/>
              <w:tr2bl w:val="nil"/>
            </w:tcBorders>
            <w:shd w:val="solid" w:color="FFFFFF" w:fill="FFFFFF"/>
            <w:noWrap/>
            <w:vAlign w:val="bottom"/>
          </w:tcPr>
          <w:p w14:paraId="31B3AC44"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533,889</w:t>
            </w:r>
          </w:p>
        </w:tc>
      </w:tr>
      <w:tr w:rsidR="006E442A" w14:paraId="76A86B2F" w14:textId="77777777" w:rsidTr="006E442A">
        <w:tc>
          <w:tcPr>
            <w:tcW w:w="2837" w:type="pct"/>
            <w:tcBorders>
              <w:top w:val="nil"/>
              <w:left w:val="nil"/>
              <w:bottom w:val="nil"/>
              <w:right w:val="nil"/>
              <w:tl2br w:val="nil"/>
              <w:tr2bl w:val="nil"/>
            </w:tcBorders>
            <w:shd w:val="solid" w:color="FFFFFF" w:fill="FFFFFF"/>
            <w:vAlign w:val="bottom"/>
          </w:tcPr>
          <w:p w14:paraId="5D4C9CB4" w14:textId="77777777" w:rsidR="006E442A" w:rsidRDefault="006E442A" w:rsidP="006E442A">
            <w:pPr>
              <w:spacing w:after="1"/>
              <w:ind w:left="120"/>
              <w:rPr>
                <w:rFonts w:ascii="Calibri" w:eastAsia="Calibri" w:hAnsi="Calibri" w:cs="Calibri"/>
                <w:color w:val="000000"/>
                <w:sz w:val="20"/>
              </w:rPr>
            </w:pPr>
            <w:r>
              <w:rPr>
                <w:rFonts w:ascii="Calibri" w:eastAsia="Calibri" w:hAnsi="Calibri" w:cs="Calibri"/>
                <w:color w:val="000000"/>
                <w:sz w:val="20"/>
              </w:rPr>
              <w:t>Other</w:t>
            </w:r>
          </w:p>
        </w:tc>
        <w:tc>
          <w:tcPr>
            <w:tcW w:w="159" w:type="pct"/>
            <w:tcBorders>
              <w:top w:val="nil"/>
              <w:left w:val="nil"/>
              <w:bottom w:val="nil"/>
              <w:right w:val="nil"/>
              <w:tl2br w:val="nil"/>
              <w:tr2bl w:val="nil"/>
            </w:tcBorders>
            <w:shd w:val="solid" w:color="FFFFFF" w:fill="FFFFFF"/>
            <w:noWrap/>
            <w:vAlign w:val="bottom"/>
          </w:tcPr>
          <w:p w14:paraId="5F24823A" w14:textId="77777777" w:rsidR="006E442A" w:rsidRDefault="006E442A" w:rsidP="006E442A">
            <w:pPr>
              <w:spacing w:after="1"/>
              <w:jc w:val="right"/>
              <w:rPr>
                <w:rFonts w:ascii="Calibri" w:eastAsia="Calibri" w:hAnsi="Calibri" w:cs="Calibri"/>
                <w:color w:val="000000"/>
                <w:sz w:val="20"/>
              </w:rPr>
            </w:pPr>
          </w:p>
        </w:tc>
        <w:tc>
          <w:tcPr>
            <w:tcW w:w="103" w:type="pct"/>
            <w:tcBorders>
              <w:top w:val="nil"/>
              <w:left w:val="nil"/>
              <w:bottom w:val="single" w:sz="4" w:space="0" w:color="000000"/>
              <w:right w:val="nil"/>
              <w:tl2br w:val="nil"/>
              <w:tr2bl w:val="nil"/>
            </w:tcBorders>
            <w:shd w:val="solid" w:color="FFFFFF" w:fill="FFFFFF"/>
            <w:noWrap/>
            <w:vAlign w:val="bottom"/>
          </w:tcPr>
          <w:p w14:paraId="16A4C6EF"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802" w:type="pct"/>
            <w:tcBorders>
              <w:top w:val="nil"/>
              <w:left w:val="nil"/>
              <w:bottom w:val="single" w:sz="4" w:space="0" w:color="000000"/>
              <w:right w:val="nil"/>
              <w:tl2br w:val="nil"/>
              <w:tr2bl w:val="nil"/>
            </w:tcBorders>
            <w:shd w:val="solid" w:color="FFFFFF" w:fill="FFFFFF"/>
            <w:noWrap/>
            <w:vAlign w:val="bottom"/>
          </w:tcPr>
          <w:p w14:paraId="4A708CD3"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21,388</w:t>
            </w:r>
          </w:p>
        </w:tc>
        <w:tc>
          <w:tcPr>
            <w:tcW w:w="159" w:type="pct"/>
            <w:tcBorders>
              <w:top w:val="nil"/>
              <w:left w:val="nil"/>
              <w:bottom w:val="nil"/>
              <w:right w:val="nil"/>
              <w:tl2br w:val="nil"/>
              <w:tr2bl w:val="nil"/>
            </w:tcBorders>
            <w:shd w:val="solid" w:color="FFFFFF" w:fill="FFFFFF"/>
            <w:noWrap/>
            <w:vAlign w:val="bottom"/>
          </w:tcPr>
          <w:p w14:paraId="5AD757DD" w14:textId="77777777" w:rsidR="006E442A" w:rsidRDefault="006E442A" w:rsidP="006E442A">
            <w:pPr>
              <w:spacing w:after="1"/>
              <w:rPr>
                <w:rFonts w:ascii="Calibri" w:eastAsia="Calibri" w:hAnsi="Calibri" w:cs="Calibri"/>
                <w:color w:val="000000"/>
                <w:sz w:val="20"/>
              </w:rPr>
            </w:pPr>
          </w:p>
        </w:tc>
        <w:tc>
          <w:tcPr>
            <w:tcW w:w="103" w:type="pct"/>
            <w:tcBorders>
              <w:top w:val="nil"/>
              <w:left w:val="nil"/>
              <w:bottom w:val="single" w:sz="4" w:space="0" w:color="000000"/>
              <w:right w:val="nil"/>
              <w:tl2br w:val="nil"/>
              <w:tr2bl w:val="nil"/>
            </w:tcBorders>
            <w:shd w:val="solid" w:color="FFFFFF" w:fill="FFFFFF"/>
            <w:vAlign w:val="bottom"/>
          </w:tcPr>
          <w:p w14:paraId="125291A1"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838" w:type="pct"/>
            <w:tcBorders>
              <w:top w:val="nil"/>
              <w:left w:val="nil"/>
              <w:bottom w:val="single" w:sz="4" w:space="0" w:color="000000"/>
              <w:right w:val="nil"/>
              <w:tl2br w:val="nil"/>
              <w:tr2bl w:val="nil"/>
            </w:tcBorders>
            <w:shd w:val="solid" w:color="FFFFFF" w:fill="FFFFFF"/>
            <w:noWrap/>
            <w:vAlign w:val="bottom"/>
          </w:tcPr>
          <w:p w14:paraId="04A986E3"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23,618</w:t>
            </w:r>
          </w:p>
        </w:tc>
      </w:tr>
      <w:tr w:rsidR="006E442A" w14:paraId="70725F0A" w14:textId="77777777" w:rsidTr="006E442A">
        <w:tc>
          <w:tcPr>
            <w:tcW w:w="2837" w:type="pct"/>
            <w:tcBorders>
              <w:top w:val="nil"/>
              <w:left w:val="nil"/>
              <w:bottom w:val="nil"/>
              <w:right w:val="nil"/>
              <w:tl2br w:val="nil"/>
              <w:tr2bl w:val="nil"/>
            </w:tcBorders>
            <w:shd w:val="solid" w:color="FFFFFF" w:fill="FFFFFF"/>
            <w:vAlign w:val="bottom"/>
          </w:tcPr>
          <w:p w14:paraId="3624D72C" w14:textId="77777777" w:rsidR="006E442A" w:rsidRDefault="006E442A" w:rsidP="006E442A">
            <w:pPr>
              <w:spacing w:after="1"/>
              <w:ind w:left="240"/>
              <w:rPr>
                <w:rFonts w:ascii="Calibri" w:eastAsia="Calibri" w:hAnsi="Calibri" w:cs="Calibri"/>
                <w:color w:val="000000"/>
                <w:sz w:val="20"/>
              </w:rPr>
            </w:pPr>
            <w:r>
              <w:rPr>
                <w:rFonts w:ascii="Calibri" w:eastAsia="Calibri" w:hAnsi="Calibri" w:cs="Calibri"/>
                <w:color w:val="000000"/>
                <w:sz w:val="20"/>
              </w:rPr>
              <w:t>Total revenues</w:t>
            </w:r>
          </w:p>
        </w:tc>
        <w:tc>
          <w:tcPr>
            <w:tcW w:w="159" w:type="pct"/>
            <w:tcBorders>
              <w:top w:val="nil"/>
              <w:left w:val="nil"/>
              <w:bottom w:val="nil"/>
              <w:right w:val="nil"/>
              <w:tl2br w:val="nil"/>
              <w:tr2bl w:val="nil"/>
            </w:tcBorders>
            <w:shd w:val="solid" w:color="FFFFFF" w:fill="FFFFFF"/>
            <w:noWrap/>
            <w:vAlign w:val="bottom"/>
          </w:tcPr>
          <w:p w14:paraId="3E5F7871" w14:textId="77777777" w:rsidR="006E442A" w:rsidRDefault="006E442A" w:rsidP="006E442A">
            <w:pPr>
              <w:spacing w:after="1"/>
              <w:jc w:val="right"/>
              <w:rPr>
                <w:rFonts w:ascii="Calibri" w:eastAsia="Calibri" w:hAnsi="Calibri" w:cs="Calibri"/>
                <w:color w:val="000000"/>
                <w:sz w:val="20"/>
              </w:rPr>
            </w:pPr>
          </w:p>
        </w:tc>
        <w:tc>
          <w:tcPr>
            <w:tcW w:w="103" w:type="pct"/>
            <w:tcBorders>
              <w:top w:val="nil"/>
              <w:left w:val="nil"/>
              <w:bottom w:val="single" w:sz="4" w:space="0" w:color="000000"/>
              <w:right w:val="nil"/>
              <w:tl2br w:val="nil"/>
              <w:tr2bl w:val="nil"/>
            </w:tcBorders>
            <w:shd w:val="solid" w:color="FFFFFF" w:fill="FFFFFF"/>
            <w:noWrap/>
            <w:vAlign w:val="bottom"/>
          </w:tcPr>
          <w:p w14:paraId="6F9C6F80"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802" w:type="pct"/>
            <w:tcBorders>
              <w:top w:val="nil"/>
              <w:left w:val="nil"/>
              <w:bottom w:val="single" w:sz="4" w:space="0" w:color="000000"/>
              <w:right w:val="nil"/>
              <w:tl2br w:val="nil"/>
              <w:tr2bl w:val="nil"/>
            </w:tcBorders>
            <w:shd w:val="solid" w:color="FFFFFF" w:fill="FFFFFF"/>
            <w:noWrap/>
            <w:vAlign w:val="bottom"/>
          </w:tcPr>
          <w:p w14:paraId="5F6E6348"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536,567</w:t>
            </w:r>
          </w:p>
        </w:tc>
        <w:tc>
          <w:tcPr>
            <w:tcW w:w="159" w:type="pct"/>
            <w:tcBorders>
              <w:top w:val="nil"/>
              <w:left w:val="nil"/>
              <w:bottom w:val="nil"/>
              <w:right w:val="nil"/>
              <w:tl2br w:val="nil"/>
              <w:tr2bl w:val="nil"/>
            </w:tcBorders>
            <w:shd w:val="solid" w:color="FFFFFF" w:fill="FFFFFF"/>
            <w:noWrap/>
            <w:vAlign w:val="bottom"/>
          </w:tcPr>
          <w:p w14:paraId="28E39CA5" w14:textId="77777777" w:rsidR="006E442A" w:rsidRDefault="006E442A" w:rsidP="006E442A">
            <w:pPr>
              <w:spacing w:after="1"/>
              <w:rPr>
                <w:rFonts w:ascii="Calibri" w:eastAsia="Calibri" w:hAnsi="Calibri" w:cs="Calibri"/>
                <w:color w:val="000000"/>
                <w:sz w:val="20"/>
              </w:rPr>
            </w:pPr>
          </w:p>
        </w:tc>
        <w:tc>
          <w:tcPr>
            <w:tcW w:w="103" w:type="pct"/>
            <w:tcBorders>
              <w:top w:val="nil"/>
              <w:left w:val="nil"/>
              <w:bottom w:val="single" w:sz="4" w:space="0" w:color="000000"/>
              <w:right w:val="nil"/>
              <w:tl2br w:val="nil"/>
              <w:tr2bl w:val="nil"/>
            </w:tcBorders>
            <w:shd w:val="solid" w:color="FFFFFF" w:fill="FFFFFF"/>
            <w:vAlign w:val="bottom"/>
          </w:tcPr>
          <w:p w14:paraId="3EFD3777"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838" w:type="pct"/>
            <w:tcBorders>
              <w:top w:val="nil"/>
              <w:left w:val="nil"/>
              <w:bottom w:val="single" w:sz="4" w:space="0" w:color="000000"/>
              <w:right w:val="nil"/>
              <w:tl2br w:val="nil"/>
              <w:tr2bl w:val="nil"/>
            </w:tcBorders>
            <w:shd w:val="solid" w:color="FFFFFF" w:fill="FFFFFF"/>
            <w:noWrap/>
            <w:vAlign w:val="bottom"/>
          </w:tcPr>
          <w:p w14:paraId="13459BB0"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557,507</w:t>
            </w:r>
          </w:p>
        </w:tc>
      </w:tr>
      <w:tr w:rsidR="006E442A" w14:paraId="310A76FD" w14:textId="77777777" w:rsidTr="006E442A">
        <w:tc>
          <w:tcPr>
            <w:tcW w:w="2837" w:type="pct"/>
            <w:tcBorders>
              <w:top w:val="nil"/>
              <w:left w:val="nil"/>
              <w:bottom w:val="nil"/>
              <w:right w:val="nil"/>
              <w:tl2br w:val="nil"/>
              <w:tr2bl w:val="nil"/>
            </w:tcBorders>
            <w:shd w:val="solid" w:color="FFFFFF" w:fill="FFFFFF"/>
            <w:vAlign w:val="bottom"/>
          </w:tcPr>
          <w:p w14:paraId="6EB4F3FF"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OPERATING EXPENSES:</w:t>
            </w:r>
          </w:p>
        </w:tc>
        <w:tc>
          <w:tcPr>
            <w:tcW w:w="159" w:type="pct"/>
            <w:tcBorders>
              <w:top w:val="nil"/>
              <w:left w:val="nil"/>
              <w:bottom w:val="nil"/>
              <w:right w:val="nil"/>
              <w:tl2br w:val="nil"/>
              <w:tr2bl w:val="nil"/>
            </w:tcBorders>
            <w:shd w:val="solid" w:color="FFFFFF" w:fill="FFFFFF"/>
            <w:noWrap/>
            <w:vAlign w:val="bottom"/>
          </w:tcPr>
          <w:p w14:paraId="2F017719" w14:textId="77777777" w:rsidR="006E442A" w:rsidRDefault="006E442A" w:rsidP="006E442A">
            <w:pPr>
              <w:spacing w:after="1"/>
              <w:jc w:val="right"/>
              <w:rPr>
                <w:rFonts w:ascii="Calibri" w:eastAsia="Calibri" w:hAnsi="Calibri" w:cs="Calibri"/>
                <w:color w:val="000000"/>
                <w:sz w:val="20"/>
              </w:rPr>
            </w:pPr>
          </w:p>
        </w:tc>
        <w:tc>
          <w:tcPr>
            <w:tcW w:w="103" w:type="pct"/>
            <w:tcBorders>
              <w:top w:val="nil"/>
              <w:left w:val="nil"/>
              <w:bottom w:val="nil"/>
              <w:right w:val="nil"/>
              <w:tl2br w:val="nil"/>
              <w:tr2bl w:val="nil"/>
            </w:tcBorders>
            <w:shd w:val="solid" w:color="FFFFFF" w:fill="FFFFFF"/>
            <w:noWrap/>
            <w:vAlign w:val="bottom"/>
          </w:tcPr>
          <w:p w14:paraId="6642BE7D"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802" w:type="pct"/>
            <w:tcBorders>
              <w:top w:val="nil"/>
              <w:left w:val="nil"/>
              <w:bottom w:val="nil"/>
              <w:right w:val="nil"/>
              <w:tl2br w:val="nil"/>
              <w:tr2bl w:val="nil"/>
            </w:tcBorders>
            <w:shd w:val="solid" w:color="FFFFFF" w:fill="FFFFFF"/>
            <w:noWrap/>
            <w:vAlign w:val="bottom"/>
          </w:tcPr>
          <w:p w14:paraId="2992BB65" w14:textId="77777777" w:rsidR="006E442A" w:rsidRDefault="006E442A" w:rsidP="006E442A">
            <w:pPr>
              <w:spacing w:after="1"/>
              <w:jc w:val="right"/>
              <w:rPr>
                <w:rFonts w:ascii="Calibri" w:eastAsia="Calibri" w:hAnsi="Calibri" w:cs="Calibri"/>
                <w:color w:val="000000"/>
                <w:sz w:val="20"/>
              </w:rPr>
            </w:pPr>
          </w:p>
        </w:tc>
        <w:tc>
          <w:tcPr>
            <w:tcW w:w="159" w:type="pct"/>
            <w:tcBorders>
              <w:top w:val="nil"/>
              <w:left w:val="nil"/>
              <w:bottom w:val="nil"/>
              <w:right w:val="nil"/>
              <w:tl2br w:val="nil"/>
              <w:tr2bl w:val="nil"/>
            </w:tcBorders>
            <w:shd w:val="solid" w:color="FFFFFF" w:fill="FFFFFF"/>
            <w:noWrap/>
            <w:vAlign w:val="bottom"/>
          </w:tcPr>
          <w:p w14:paraId="7D2BE070" w14:textId="77777777" w:rsidR="006E442A" w:rsidRDefault="006E442A" w:rsidP="006E442A">
            <w:pPr>
              <w:spacing w:after="1"/>
              <w:rPr>
                <w:rFonts w:ascii="Calibri" w:eastAsia="Calibri" w:hAnsi="Calibri" w:cs="Calibri"/>
                <w:color w:val="000000"/>
                <w:sz w:val="20"/>
              </w:rPr>
            </w:pPr>
          </w:p>
        </w:tc>
        <w:tc>
          <w:tcPr>
            <w:tcW w:w="103" w:type="pct"/>
            <w:tcBorders>
              <w:top w:val="nil"/>
              <w:left w:val="nil"/>
              <w:bottom w:val="nil"/>
              <w:right w:val="nil"/>
              <w:tl2br w:val="nil"/>
              <w:tr2bl w:val="nil"/>
            </w:tcBorders>
            <w:shd w:val="solid" w:color="FFFFFF" w:fill="FFFFFF"/>
            <w:vAlign w:val="bottom"/>
          </w:tcPr>
          <w:p w14:paraId="174E2539"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838" w:type="pct"/>
            <w:tcBorders>
              <w:top w:val="nil"/>
              <w:left w:val="nil"/>
              <w:bottom w:val="nil"/>
              <w:right w:val="nil"/>
              <w:tl2br w:val="nil"/>
              <w:tr2bl w:val="nil"/>
            </w:tcBorders>
            <w:shd w:val="solid" w:color="FFFFFF" w:fill="FFFFFF"/>
            <w:noWrap/>
            <w:vAlign w:val="bottom"/>
          </w:tcPr>
          <w:p w14:paraId="2BF6AAFD" w14:textId="77777777" w:rsidR="006E442A" w:rsidRDefault="006E442A" w:rsidP="006E442A">
            <w:pPr>
              <w:spacing w:after="1"/>
              <w:jc w:val="right"/>
              <w:rPr>
                <w:rFonts w:ascii="Calibri" w:eastAsia="Calibri" w:hAnsi="Calibri" w:cs="Calibri"/>
                <w:color w:val="000000"/>
                <w:sz w:val="20"/>
              </w:rPr>
            </w:pPr>
          </w:p>
        </w:tc>
      </w:tr>
      <w:tr w:rsidR="006E442A" w14:paraId="26C60C01" w14:textId="77777777" w:rsidTr="006E442A">
        <w:tc>
          <w:tcPr>
            <w:tcW w:w="2837" w:type="pct"/>
            <w:tcBorders>
              <w:top w:val="nil"/>
              <w:left w:val="nil"/>
              <w:bottom w:val="nil"/>
              <w:right w:val="nil"/>
              <w:tl2br w:val="nil"/>
              <w:tr2bl w:val="nil"/>
            </w:tcBorders>
            <w:shd w:val="solid" w:color="FFFFFF" w:fill="FFFFFF"/>
            <w:vAlign w:val="bottom"/>
          </w:tcPr>
          <w:p w14:paraId="7983A1E5" w14:textId="77777777" w:rsidR="006E442A" w:rsidRDefault="006E442A" w:rsidP="006E442A">
            <w:pPr>
              <w:spacing w:after="1"/>
              <w:ind w:left="120"/>
              <w:rPr>
                <w:rFonts w:ascii="Calibri" w:eastAsia="Calibri" w:hAnsi="Calibri" w:cs="Calibri"/>
                <w:color w:val="000000"/>
                <w:sz w:val="20"/>
              </w:rPr>
            </w:pPr>
            <w:r>
              <w:rPr>
                <w:rFonts w:ascii="Calibri" w:eastAsia="Calibri" w:hAnsi="Calibri" w:cs="Calibri"/>
                <w:color w:val="000000"/>
                <w:sz w:val="20"/>
              </w:rPr>
              <w:t>Compensation and related expenses</w:t>
            </w:r>
          </w:p>
        </w:tc>
        <w:tc>
          <w:tcPr>
            <w:tcW w:w="159" w:type="pct"/>
            <w:tcBorders>
              <w:top w:val="nil"/>
              <w:left w:val="nil"/>
              <w:bottom w:val="nil"/>
              <w:right w:val="nil"/>
              <w:tl2br w:val="nil"/>
              <w:tr2bl w:val="nil"/>
            </w:tcBorders>
            <w:shd w:val="solid" w:color="FFFFFF" w:fill="FFFFFF"/>
            <w:noWrap/>
            <w:vAlign w:val="bottom"/>
          </w:tcPr>
          <w:p w14:paraId="49E6D42A" w14:textId="77777777" w:rsidR="006E442A" w:rsidRDefault="006E442A" w:rsidP="006E442A">
            <w:pPr>
              <w:spacing w:after="1"/>
              <w:jc w:val="right"/>
              <w:rPr>
                <w:rFonts w:ascii="Calibri" w:eastAsia="Calibri" w:hAnsi="Calibri" w:cs="Calibri"/>
                <w:color w:val="000000"/>
                <w:sz w:val="20"/>
              </w:rPr>
            </w:pPr>
          </w:p>
        </w:tc>
        <w:tc>
          <w:tcPr>
            <w:tcW w:w="103" w:type="pct"/>
            <w:tcBorders>
              <w:top w:val="nil"/>
              <w:left w:val="nil"/>
              <w:bottom w:val="nil"/>
              <w:right w:val="nil"/>
              <w:tl2br w:val="nil"/>
              <w:tr2bl w:val="nil"/>
            </w:tcBorders>
            <w:shd w:val="solid" w:color="FFFFFF" w:fill="FFFFFF"/>
            <w:noWrap/>
            <w:vAlign w:val="bottom"/>
          </w:tcPr>
          <w:p w14:paraId="37662068"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802" w:type="pct"/>
            <w:tcBorders>
              <w:top w:val="nil"/>
              <w:left w:val="nil"/>
              <w:bottom w:val="nil"/>
              <w:right w:val="nil"/>
              <w:tl2br w:val="nil"/>
              <w:tr2bl w:val="nil"/>
            </w:tcBorders>
            <w:shd w:val="solid" w:color="FFFFFF" w:fill="FFFFFF"/>
            <w:noWrap/>
            <w:vAlign w:val="bottom"/>
          </w:tcPr>
          <w:p w14:paraId="63F604C1"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181,800</w:t>
            </w:r>
          </w:p>
        </w:tc>
        <w:tc>
          <w:tcPr>
            <w:tcW w:w="159" w:type="pct"/>
            <w:tcBorders>
              <w:top w:val="nil"/>
              <w:left w:val="nil"/>
              <w:bottom w:val="nil"/>
              <w:right w:val="nil"/>
              <w:tl2br w:val="nil"/>
              <w:tr2bl w:val="nil"/>
            </w:tcBorders>
            <w:shd w:val="solid" w:color="FFFFFF" w:fill="FFFFFF"/>
            <w:noWrap/>
            <w:vAlign w:val="bottom"/>
          </w:tcPr>
          <w:p w14:paraId="70214B2F" w14:textId="77777777" w:rsidR="006E442A" w:rsidRDefault="006E442A" w:rsidP="006E442A">
            <w:pPr>
              <w:spacing w:after="1"/>
              <w:rPr>
                <w:rFonts w:ascii="Calibri" w:eastAsia="Calibri" w:hAnsi="Calibri" w:cs="Calibri"/>
                <w:color w:val="000000"/>
                <w:sz w:val="20"/>
              </w:rPr>
            </w:pPr>
          </w:p>
        </w:tc>
        <w:tc>
          <w:tcPr>
            <w:tcW w:w="103" w:type="pct"/>
            <w:tcBorders>
              <w:top w:val="nil"/>
              <w:left w:val="nil"/>
              <w:bottom w:val="nil"/>
              <w:right w:val="nil"/>
              <w:tl2br w:val="nil"/>
              <w:tr2bl w:val="nil"/>
            </w:tcBorders>
            <w:shd w:val="solid" w:color="FFFFFF" w:fill="FFFFFF"/>
            <w:vAlign w:val="bottom"/>
          </w:tcPr>
          <w:p w14:paraId="484E3991"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838" w:type="pct"/>
            <w:tcBorders>
              <w:top w:val="nil"/>
              <w:left w:val="nil"/>
              <w:bottom w:val="nil"/>
              <w:right w:val="nil"/>
              <w:tl2br w:val="nil"/>
              <w:tr2bl w:val="nil"/>
            </w:tcBorders>
            <w:shd w:val="solid" w:color="FFFFFF" w:fill="FFFFFF"/>
            <w:noWrap/>
            <w:vAlign w:val="bottom"/>
          </w:tcPr>
          <w:p w14:paraId="7C03544D"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206,416</w:t>
            </w:r>
          </w:p>
        </w:tc>
      </w:tr>
      <w:tr w:rsidR="006E442A" w14:paraId="276ECFCE" w14:textId="77777777" w:rsidTr="006E442A">
        <w:tc>
          <w:tcPr>
            <w:tcW w:w="2837" w:type="pct"/>
            <w:tcBorders>
              <w:top w:val="nil"/>
              <w:left w:val="nil"/>
              <w:bottom w:val="nil"/>
              <w:right w:val="nil"/>
              <w:tl2br w:val="nil"/>
              <w:tr2bl w:val="nil"/>
            </w:tcBorders>
            <w:shd w:val="solid" w:color="FFFFFF" w:fill="FFFFFF"/>
            <w:vAlign w:val="bottom"/>
          </w:tcPr>
          <w:p w14:paraId="16C749EC" w14:textId="77777777" w:rsidR="006E442A" w:rsidRDefault="006E442A" w:rsidP="006E442A">
            <w:pPr>
              <w:spacing w:after="1"/>
              <w:ind w:left="120"/>
              <w:rPr>
                <w:rFonts w:ascii="Calibri" w:eastAsia="Calibri" w:hAnsi="Calibri" w:cs="Calibri"/>
                <w:color w:val="000000"/>
                <w:sz w:val="20"/>
              </w:rPr>
            </w:pPr>
            <w:r>
              <w:rPr>
                <w:rFonts w:ascii="Calibri" w:eastAsia="Calibri" w:hAnsi="Calibri" w:cs="Calibri"/>
                <w:color w:val="000000"/>
                <w:sz w:val="20"/>
              </w:rPr>
              <w:t>Management fees</w:t>
            </w:r>
          </w:p>
        </w:tc>
        <w:tc>
          <w:tcPr>
            <w:tcW w:w="159" w:type="pct"/>
            <w:tcBorders>
              <w:top w:val="nil"/>
              <w:left w:val="nil"/>
              <w:bottom w:val="nil"/>
              <w:right w:val="nil"/>
              <w:tl2br w:val="nil"/>
              <w:tr2bl w:val="nil"/>
            </w:tcBorders>
            <w:shd w:val="solid" w:color="FFFFFF" w:fill="FFFFFF"/>
            <w:noWrap/>
            <w:vAlign w:val="bottom"/>
          </w:tcPr>
          <w:p w14:paraId="766BA81D" w14:textId="77777777" w:rsidR="006E442A" w:rsidRDefault="006E442A" w:rsidP="006E442A">
            <w:pPr>
              <w:spacing w:after="1"/>
              <w:jc w:val="right"/>
              <w:rPr>
                <w:rFonts w:ascii="Calibri" w:eastAsia="Calibri" w:hAnsi="Calibri" w:cs="Calibri"/>
                <w:color w:val="000000"/>
                <w:sz w:val="20"/>
              </w:rPr>
            </w:pPr>
          </w:p>
        </w:tc>
        <w:tc>
          <w:tcPr>
            <w:tcW w:w="103" w:type="pct"/>
            <w:tcBorders>
              <w:top w:val="nil"/>
              <w:left w:val="nil"/>
              <w:bottom w:val="nil"/>
              <w:right w:val="nil"/>
              <w:tl2br w:val="nil"/>
              <w:tr2bl w:val="nil"/>
            </w:tcBorders>
            <w:shd w:val="solid" w:color="FFFFFF" w:fill="FFFFFF"/>
            <w:noWrap/>
            <w:vAlign w:val="bottom"/>
          </w:tcPr>
          <w:p w14:paraId="1B1D6862"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802" w:type="pct"/>
            <w:tcBorders>
              <w:top w:val="nil"/>
              <w:left w:val="nil"/>
              <w:bottom w:val="nil"/>
              <w:right w:val="nil"/>
              <w:tl2br w:val="nil"/>
              <w:tr2bl w:val="nil"/>
            </w:tcBorders>
            <w:shd w:val="solid" w:color="FFFFFF" w:fill="FFFFFF"/>
            <w:noWrap/>
            <w:vAlign w:val="bottom"/>
          </w:tcPr>
          <w:p w14:paraId="523A3737"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137,839</w:t>
            </w:r>
          </w:p>
        </w:tc>
        <w:tc>
          <w:tcPr>
            <w:tcW w:w="159" w:type="pct"/>
            <w:tcBorders>
              <w:top w:val="nil"/>
              <w:left w:val="nil"/>
              <w:bottom w:val="nil"/>
              <w:right w:val="nil"/>
              <w:tl2br w:val="nil"/>
              <w:tr2bl w:val="nil"/>
            </w:tcBorders>
            <w:shd w:val="solid" w:color="FFFFFF" w:fill="FFFFFF"/>
            <w:noWrap/>
            <w:vAlign w:val="bottom"/>
          </w:tcPr>
          <w:p w14:paraId="1E651AFD" w14:textId="77777777" w:rsidR="006E442A" w:rsidRDefault="006E442A" w:rsidP="006E442A">
            <w:pPr>
              <w:spacing w:after="1"/>
              <w:rPr>
                <w:rFonts w:ascii="Calibri" w:eastAsia="Calibri" w:hAnsi="Calibri" w:cs="Calibri"/>
                <w:color w:val="000000"/>
                <w:sz w:val="20"/>
              </w:rPr>
            </w:pPr>
          </w:p>
        </w:tc>
        <w:tc>
          <w:tcPr>
            <w:tcW w:w="103" w:type="pct"/>
            <w:tcBorders>
              <w:top w:val="nil"/>
              <w:left w:val="nil"/>
              <w:bottom w:val="nil"/>
              <w:right w:val="nil"/>
              <w:tl2br w:val="nil"/>
              <w:tr2bl w:val="nil"/>
            </w:tcBorders>
            <w:shd w:val="solid" w:color="FFFFFF" w:fill="FFFFFF"/>
            <w:vAlign w:val="bottom"/>
          </w:tcPr>
          <w:p w14:paraId="27C925DE"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838" w:type="pct"/>
            <w:tcBorders>
              <w:top w:val="nil"/>
              <w:left w:val="nil"/>
              <w:bottom w:val="nil"/>
              <w:right w:val="nil"/>
              <w:tl2br w:val="nil"/>
              <w:tr2bl w:val="nil"/>
            </w:tcBorders>
            <w:shd w:val="solid" w:color="FFFFFF" w:fill="FFFFFF"/>
            <w:noWrap/>
            <w:vAlign w:val="bottom"/>
          </w:tcPr>
          <w:p w14:paraId="6ABE73D6"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124,594</w:t>
            </w:r>
          </w:p>
        </w:tc>
      </w:tr>
      <w:tr w:rsidR="006E442A" w14:paraId="5FA9E16F" w14:textId="77777777" w:rsidTr="006E442A">
        <w:tc>
          <w:tcPr>
            <w:tcW w:w="2837" w:type="pct"/>
            <w:tcBorders>
              <w:top w:val="nil"/>
              <w:left w:val="nil"/>
              <w:bottom w:val="nil"/>
              <w:right w:val="nil"/>
              <w:tl2br w:val="nil"/>
              <w:tr2bl w:val="nil"/>
            </w:tcBorders>
            <w:shd w:val="solid" w:color="FFFFFF" w:fill="FFFFFF"/>
            <w:vAlign w:val="bottom"/>
          </w:tcPr>
          <w:p w14:paraId="6126DD5D" w14:textId="77777777" w:rsidR="006E442A" w:rsidRDefault="006E442A" w:rsidP="006E442A">
            <w:pPr>
              <w:spacing w:after="1"/>
              <w:ind w:left="120"/>
              <w:rPr>
                <w:rFonts w:ascii="Calibri" w:eastAsia="Calibri" w:hAnsi="Calibri" w:cs="Calibri"/>
                <w:color w:val="000000"/>
                <w:sz w:val="20"/>
              </w:rPr>
            </w:pPr>
            <w:r>
              <w:rPr>
                <w:rFonts w:ascii="Calibri" w:eastAsia="Calibri" w:hAnsi="Calibri" w:cs="Calibri"/>
                <w:color w:val="000000"/>
                <w:sz w:val="20"/>
              </w:rPr>
              <w:t>Selling, general and administrative</w:t>
            </w:r>
          </w:p>
        </w:tc>
        <w:tc>
          <w:tcPr>
            <w:tcW w:w="159" w:type="pct"/>
            <w:tcBorders>
              <w:top w:val="nil"/>
              <w:left w:val="nil"/>
              <w:bottom w:val="nil"/>
              <w:right w:val="nil"/>
              <w:tl2br w:val="nil"/>
              <w:tr2bl w:val="nil"/>
            </w:tcBorders>
            <w:shd w:val="solid" w:color="FFFFFF" w:fill="FFFFFF"/>
            <w:noWrap/>
            <w:vAlign w:val="bottom"/>
          </w:tcPr>
          <w:p w14:paraId="2B071639" w14:textId="77777777" w:rsidR="006E442A" w:rsidRDefault="006E442A" w:rsidP="006E442A">
            <w:pPr>
              <w:spacing w:after="1"/>
              <w:jc w:val="right"/>
              <w:rPr>
                <w:rFonts w:ascii="Calibri" w:eastAsia="Calibri" w:hAnsi="Calibri" w:cs="Calibri"/>
                <w:color w:val="000000"/>
                <w:sz w:val="20"/>
              </w:rPr>
            </w:pPr>
          </w:p>
        </w:tc>
        <w:tc>
          <w:tcPr>
            <w:tcW w:w="103" w:type="pct"/>
            <w:tcBorders>
              <w:top w:val="nil"/>
              <w:left w:val="nil"/>
              <w:bottom w:val="nil"/>
              <w:right w:val="nil"/>
              <w:tl2br w:val="nil"/>
              <w:tr2bl w:val="nil"/>
            </w:tcBorders>
            <w:shd w:val="solid" w:color="FFFFFF" w:fill="FFFFFF"/>
            <w:noWrap/>
            <w:vAlign w:val="bottom"/>
          </w:tcPr>
          <w:p w14:paraId="49EC4F97"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802" w:type="pct"/>
            <w:tcBorders>
              <w:top w:val="nil"/>
              <w:left w:val="nil"/>
              <w:bottom w:val="nil"/>
              <w:right w:val="nil"/>
              <w:tl2br w:val="nil"/>
              <w:tr2bl w:val="nil"/>
            </w:tcBorders>
            <w:shd w:val="solid" w:color="FFFFFF" w:fill="FFFFFF"/>
            <w:noWrap/>
            <w:vAlign w:val="bottom"/>
          </w:tcPr>
          <w:p w14:paraId="09B62741"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88,650</w:t>
            </w:r>
          </w:p>
        </w:tc>
        <w:tc>
          <w:tcPr>
            <w:tcW w:w="159" w:type="pct"/>
            <w:tcBorders>
              <w:top w:val="nil"/>
              <w:left w:val="nil"/>
              <w:bottom w:val="nil"/>
              <w:right w:val="nil"/>
              <w:tl2br w:val="nil"/>
              <w:tr2bl w:val="nil"/>
            </w:tcBorders>
            <w:shd w:val="solid" w:color="FFFFFF" w:fill="FFFFFF"/>
            <w:noWrap/>
            <w:vAlign w:val="bottom"/>
          </w:tcPr>
          <w:p w14:paraId="2C0CA276" w14:textId="77777777" w:rsidR="006E442A" w:rsidRDefault="006E442A" w:rsidP="006E442A">
            <w:pPr>
              <w:spacing w:after="1"/>
              <w:rPr>
                <w:rFonts w:ascii="Calibri" w:eastAsia="Calibri" w:hAnsi="Calibri" w:cs="Calibri"/>
                <w:color w:val="000000"/>
                <w:sz w:val="20"/>
              </w:rPr>
            </w:pPr>
          </w:p>
        </w:tc>
        <w:tc>
          <w:tcPr>
            <w:tcW w:w="103" w:type="pct"/>
            <w:tcBorders>
              <w:top w:val="nil"/>
              <w:left w:val="nil"/>
              <w:bottom w:val="nil"/>
              <w:right w:val="nil"/>
              <w:tl2br w:val="nil"/>
              <w:tr2bl w:val="nil"/>
            </w:tcBorders>
            <w:shd w:val="solid" w:color="FFFFFF" w:fill="FFFFFF"/>
            <w:vAlign w:val="bottom"/>
          </w:tcPr>
          <w:p w14:paraId="7BC14508"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838" w:type="pct"/>
            <w:tcBorders>
              <w:top w:val="nil"/>
              <w:left w:val="nil"/>
              <w:bottom w:val="nil"/>
              <w:right w:val="nil"/>
              <w:tl2br w:val="nil"/>
              <w:tr2bl w:val="nil"/>
            </w:tcBorders>
            <w:shd w:val="solid" w:color="FFFFFF" w:fill="FFFFFF"/>
            <w:noWrap/>
            <w:vAlign w:val="bottom"/>
          </w:tcPr>
          <w:p w14:paraId="40823EA4"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112,816</w:t>
            </w:r>
          </w:p>
        </w:tc>
      </w:tr>
      <w:tr w:rsidR="006E442A" w14:paraId="3B6D932F" w14:textId="77777777" w:rsidTr="006E442A">
        <w:tc>
          <w:tcPr>
            <w:tcW w:w="2837" w:type="pct"/>
            <w:tcBorders>
              <w:top w:val="nil"/>
              <w:left w:val="nil"/>
              <w:bottom w:val="nil"/>
              <w:right w:val="nil"/>
              <w:tl2br w:val="nil"/>
              <w:tr2bl w:val="nil"/>
            </w:tcBorders>
            <w:shd w:val="solid" w:color="FFFFFF" w:fill="FFFFFF"/>
            <w:vAlign w:val="bottom"/>
          </w:tcPr>
          <w:p w14:paraId="133A4096" w14:textId="77777777" w:rsidR="006E442A" w:rsidRDefault="006E442A" w:rsidP="006E442A">
            <w:pPr>
              <w:spacing w:after="1"/>
              <w:ind w:left="120"/>
              <w:rPr>
                <w:rFonts w:ascii="Calibri" w:eastAsia="Calibri" w:hAnsi="Calibri" w:cs="Calibri"/>
                <w:color w:val="000000"/>
                <w:sz w:val="20"/>
              </w:rPr>
            </w:pPr>
            <w:r>
              <w:rPr>
                <w:rFonts w:ascii="Calibri" w:eastAsia="Calibri" w:hAnsi="Calibri" w:cs="Calibri"/>
                <w:color w:val="000000"/>
                <w:sz w:val="20"/>
              </w:rPr>
              <w:t>Intangible amortization</w:t>
            </w:r>
          </w:p>
        </w:tc>
        <w:tc>
          <w:tcPr>
            <w:tcW w:w="159" w:type="pct"/>
            <w:tcBorders>
              <w:top w:val="nil"/>
              <w:left w:val="nil"/>
              <w:bottom w:val="nil"/>
              <w:right w:val="nil"/>
              <w:tl2br w:val="nil"/>
              <w:tr2bl w:val="nil"/>
            </w:tcBorders>
            <w:shd w:val="solid" w:color="FFFFFF" w:fill="FFFFFF"/>
            <w:noWrap/>
            <w:vAlign w:val="bottom"/>
          </w:tcPr>
          <w:p w14:paraId="3CCC6520" w14:textId="77777777" w:rsidR="006E442A" w:rsidRDefault="006E442A" w:rsidP="006E442A">
            <w:pPr>
              <w:spacing w:after="1"/>
              <w:jc w:val="right"/>
              <w:rPr>
                <w:rFonts w:ascii="Calibri" w:eastAsia="Calibri" w:hAnsi="Calibri" w:cs="Calibri"/>
                <w:color w:val="000000"/>
                <w:sz w:val="20"/>
              </w:rPr>
            </w:pPr>
          </w:p>
        </w:tc>
        <w:tc>
          <w:tcPr>
            <w:tcW w:w="103" w:type="pct"/>
            <w:tcBorders>
              <w:top w:val="nil"/>
              <w:left w:val="nil"/>
              <w:bottom w:val="nil"/>
              <w:right w:val="nil"/>
              <w:tl2br w:val="nil"/>
              <w:tr2bl w:val="nil"/>
            </w:tcBorders>
            <w:shd w:val="solid" w:color="FFFFFF" w:fill="FFFFFF"/>
            <w:noWrap/>
            <w:vAlign w:val="bottom"/>
          </w:tcPr>
          <w:p w14:paraId="08506408"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802" w:type="pct"/>
            <w:tcBorders>
              <w:top w:val="nil"/>
              <w:left w:val="nil"/>
              <w:bottom w:val="nil"/>
              <w:right w:val="nil"/>
              <w:tl2br w:val="nil"/>
              <w:tr2bl w:val="nil"/>
            </w:tcBorders>
            <w:shd w:val="solid" w:color="FFFFFF" w:fill="FFFFFF"/>
            <w:noWrap/>
            <w:vAlign w:val="bottom"/>
          </w:tcPr>
          <w:p w14:paraId="0F1A2D7F"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60,276</w:t>
            </w:r>
          </w:p>
        </w:tc>
        <w:tc>
          <w:tcPr>
            <w:tcW w:w="159" w:type="pct"/>
            <w:tcBorders>
              <w:top w:val="nil"/>
              <w:left w:val="nil"/>
              <w:bottom w:val="nil"/>
              <w:right w:val="nil"/>
              <w:tl2br w:val="nil"/>
              <w:tr2bl w:val="nil"/>
            </w:tcBorders>
            <w:shd w:val="solid" w:color="FFFFFF" w:fill="FFFFFF"/>
            <w:noWrap/>
            <w:vAlign w:val="bottom"/>
          </w:tcPr>
          <w:p w14:paraId="7A502984" w14:textId="77777777" w:rsidR="006E442A" w:rsidRDefault="006E442A" w:rsidP="006E442A">
            <w:pPr>
              <w:spacing w:after="1"/>
              <w:rPr>
                <w:rFonts w:ascii="Calibri" w:eastAsia="Calibri" w:hAnsi="Calibri" w:cs="Calibri"/>
                <w:color w:val="000000"/>
                <w:sz w:val="20"/>
              </w:rPr>
            </w:pPr>
          </w:p>
        </w:tc>
        <w:tc>
          <w:tcPr>
            <w:tcW w:w="103" w:type="pct"/>
            <w:tcBorders>
              <w:top w:val="nil"/>
              <w:left w:val="nil"/>
              <w:bottom w:val="nil"/>
              <w:right w:val="nil"/>
              <w:tl2br w:val="nil"/>
              <w:tr2bl w:val="nil"/>
            </w:tcBorders>
            <w:shd w:val="solid" w:color="FFFFFF" w:fill="FFFFFF"/>
            <w:vAlign w:val="bottom"/>
          </w:tcPr>
          <w:p w14:paraId="7055989F"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838" w:type="pct"/>
            <w:tcBorders>
              <w:top w:val="nil"/>
              <w:left w:val="nil"/>
              <w:bottom w:val="nil"/>
              <w:right w:val="nil"/>
              <w:tl2br w:val="nil"/>
              <w:tr2bl w:val="nil"/>
            </w:tcBorders>
            <w:shd w:val="solid" w:color="FFFFFF" w:fill="FFFFFF"/>
            <w:noWrap/>
            <w:vAlign w:val="bottom"/>
          </w:tcPr>
          <w:p w14:paraId="1ECD0CB7"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71,786</w:t>
            </w:r>
          </w:p>
        </w:tc>
      </w:tr>
      <w:tr w:rsidR="006E442A" w14:paraId="3A8DF9BE" w14:textId="77777777" w:rsidTr="006E442A">
        <w:tc>
          <w:tcPr>
            <w:tcW w:w="2837" w:type="pct"/>
            <w:tcBorders>
              <w:top w:val="nil"/>
              <w:left w:val="nil"/>
              <w:bottom w:val="nil"/>
              <w:right w:val="nil"/>
              <w:tl2br w:val="nil"/>
              <w:tr2bl w:val="nil"/>
            </w:tcBorders>
            <w:shd w:val="solid" w:color="FFFFFF" w:fill="FFFFFF"/>
            <w:vAlign w:val="bottom"/>
          </w:tcPr>
          <w:p w14:paraId="75B44F95" w14:textId="77777777" w:rsidR="006E442A" w:rsidRDefault="006E442A" w:rsidP="006E442A">
            <w:pPr>
              <w:spacing w:after="1"/>
              <w:ind w:left="120"/>
              <w:rPr>
                <w:rFonts w:ascii="Calibri" w:eastAsia="Calibri" w:hAnsi="Calibri" w:cs="Calibri"/>
                <w:color w:val="000000"/>
                <w:sz w:val="20"/>
              </w:rPr>
            </w:pPr>
            <w:r>
              <w:rPr>
                <w:rFonts w:ascii="Calibri" w:eastAsia="Calibri" w:hAnsi="Calibri" w:cs="Calibri"/>
                <w:color w:val="000000"/>
                <w:sz w:val="20"/>
              </w:rPr>
              <w:t>Non-cash changes in fair value of estimated</w:t>
            </w:r>
          </w:p>
        </w:tc>
        <w:tc>
          <w:tcPr>
            <w:tcW w:w="159" w:type="pct"/>
            <w:tcBorders>
              <w:top w:val="nil"/>
              <w:left w:val="nil"/>
              <w:bottom w:val="nil"/>
              <w:right w:val="nil"/>
              <w:tl2br w:val="nil"/>
              <w:tr2bl w:val="nil"/>
            </w:tcBorders>
            <w:shd w:val="solid" w:color="FFFFFF" w:fill="FFFFFF"/>
            <w:noWrap/>
            <w:vAlign w:val="bottom"/>
          </w:tcPr>
          <w:p w14:paraId="215DFB58" w14:textId="77777777" w:rsidR="006E442A" w:rsidRDefault="006E442A" w:rsidP="006E442A">
            <w:pPr>
              <w:spacing w:after="1"/>
              <w:jc w:val="right"/>
              <w:rPr>
                <w:rFonts w:ascii="Calibri" w:eastAsia="Calibri" w:hAnsi="Calibri" w:cs="Calibri"/>
                <w:color w:val="000000"/>
                <w:sz w:val="20"/>
              </w:rPr>
            </w:pPr>
          </w:p>
        </w:tc>
        <w:tc>
          <w:tcPr>
            <w:tcW w:w="103" w:type="pct"/>
            <w:tcBorders>
              <w:top w:val="nil"/>
              <w:left w:val="nil"/>
              <w:bottom w:val="nil"/>
              <w:right w:val="nil"/>
              <w:tl2br w:val="nil"/>
              <w:tr2bl w:val="nil"/>
            </w:tcBorders>
            <w:shd w:val="solid" w:color="FFFFFF" w:fill="FFFFFF"/>
            <w:noWrap/>
            <w:vAlign w:val="bottom"/>
          </w:tcPr>
          <w:p w14:paraId="2D802E52" w14:textId="77777777" w:rsidR="006E442A" w:rsidRDefault="006E442A" w:rsidP="006E442A">
            <w:pPr>
              <w:spacing w:after="1"/>
              <w:rPr>
                <w:rFonts w:ascii="Calibri" w:eastAsia="Calibri" w:hAnsi="Calibri" w:cs="Calibri"/>
                <w:color w:val="000000"/>
                <w:sz w:val="20"/>
              </w:rPr>
            </w:pPr>
          </w:p>
        </w:tc>
        <w:tc>
          <w:tcPr>
            <w:tcW w:w="802" w:type="pct"/>
            <w:tcBorders>
              <w:top w:val="nil"/>
              <w:left w:val="nil"/>
              <w:bottom w:val="nil"/>
              <w:right w:val="nil"/>
              <w:tl2br w:val="nil"/>
              <w:tr2bl w:val="nil"/>
            </w:tcBorders>
            <w:shd w:val="solid" w:color="FFFFFF" w:fill="FFFFFF"/>
            <w:noWrap/>
            <w:vAlign w:val="bottom"/>
          </w:tcPr>
          <w:p w14:paraId="297DC0FA" w14:textId="77777777" w:rsidR="006E442A" w:rsidRDefault="006E442A" w:rsidP="006E442A">
            <w:pPr>
              <w:spacing w:after="1"/>
              <w:jc w:val="right"/>
              <w:rPr>
                <w:rFonts w:ascii="Calibri" w:eastAsia="Calibri" w:hAnsi="Calibri" w:cs="Calibri"/>
                <w:color w:val="000000"/>
                <w:sz w:val="20"/>
              </w:rPr>
            </w:pPr>
          </w:p>
        </w:tc>
        <w:tc>
          <w:tcPr>
            <w:tcW w:w="159" w:type="pct"/>
            <w:tcBorders>
              <w:top w:val="nil"/>
              <w:left w:val="nil"/>
              <w:bottom w:val="nil"/>
              <w:right w:val="nil"/>
              <w:tl2br w:val="nil"/>
              <w:tr2bl w:val="nil"/>
            </w:tcBorders>
            <w:shd w:val="solid" w:color="FFFFFF" w:fill="FFFFFF"/>
            <w:noWrap/>
            <w:vAlign w:val="bottom"/>
          </w:tcPr>
          <w:p w14:paraId="586111B5" w14:textId="77777777" w:rsidR="006E442A" w:rsidRDefault="006E442A" w:rsidP="006E442A">
            <w:pPr>
              <w:spacing w:after="1"/>
              <w:rPr>
                <w:rFonts w:ascii="Calibri" w:eastAsia="Calibri" w:hAnsi="Calibri" w:cs="Calibri"/>
                <w:color w:val="000000"/>
                <w:sz w:val="20"/>
              </w:rPr>
            </w:pPr>
          </w:p>
        </w:tc>
        <w:tc>
          <w:tcPr>
            <w:tcW w:w="103" w:type="pct"/>
            <w:tcBorders>
              <w:top w:val="nil"/>
              <w:left w:val="nil"/>
              <w:bottom w:val="nil"/>
              <w:right w:val="nil"/>
              <w:tl2br w:val="nil"/>
              <w:tr2bl w:val="nil"/>
            </w:tcBorders>
            <w:shd w:val="solid" w:color="FFFFFF" w:fill="FFFFFF"/>
            <w:vAlign w:val="bottom"/>
          </w:tcPr>
          <w:p w14:paraId="1EF13342" w14:textId="77777777" w:rsidR="006E442A" w:rsidRDefault="006E442A" w:rsidP="006E442A">
            <w:pPr>
              <w:spacing w:after="1"/>
              <w:rPr>
                <w:rFonts w:ascii="Calibri" w:eastAsia="Calibri" w:hAnsi="Calibri" w:cs="Calibri"/>
                <w:color w:val="000000"/>
                <w:sz w:val="20"/>
              </w:rPr>
            </w:pPr>
          </w:p>
        </w:tc>
        <w:tc>
          <w:tcPr>
            <w:tcW w:w="838" w:type="pct"/>
            <w:tcBorders>
              <w:top w:val="nil"/>
              <w:left w:val="nil"/>
              <w:bottom w:val="nil"/>
              <w:right w:val="nil"/>
              <w:tl2br w:val="nil"/>
              <w:tr2bl w:val="nil"/>
            </w:tcBorders>
            <w:shd w:val="solid" w:color="FFFFFF" w:fill="FFFFFF"/>
            <w:noWrap/>
            <w:vAlign w:val="bottom"/>
          </w:tcPr>
          <w:p w14:paraId="26483109" w14:textId="77777777" w:rsidR="006E442A" w:rsidRDefault="006E442A" w:rsidP="006E442A">
            <w:pPr>
              <w:spacing w:after="1"/>
              <w:jc w:val="right"/>
              <w:rPr>
                <w:rFonts w:ascii="Calibri" w:eastAsia="Calibri" w:hAnsi="Calibri" w:cs="Calibri"/>
                <w:color w:val="000000"/>
                <w:sz w:val="20"/>
              </w:rPr>
            </w:pPr>
          </w:p>
        </w:tc>
      </w:tr>
      <w:tr w:rsidR="006E442A" w14:paraId="68542937" w14:textId="77777777" w:rsidTr="006E442A">
        <w:tc>
          <w:tcPr>
            <w:tcW w:w="2837" w:type="pct"/>
            <w:tcBorders>
              <w:top w:val="nil"/>
              <w:left w:val="nil"/>
              <w:bottom w:val="nil"/>
              <w:right w:val="nil"/>
              <w:tl2br w:val="nil"/>
              <w:tr2bl w:val="nil"/>
            </w:tcBorders>
            <w:shd w:val="solid" w:color="FFFFFF" w:fill="FFFFFF"/>
            <w:vAlign w:val="bottom"/>
          </w:tcPr>
          <w:p w14:paraId="73B2AED5" w14:textId="77777777" w:rsidR="006E442A" w:rsidRDefault="006E442A" w:rsidP="006E442A">
            <w:pPr>
              <w:spacing w:after="1"/>
              <w:ind w:left="240"/>
              <w:rPr>
                <w:rFonts w:ascii="Calibri" w:eastAsia="Calibri" w:hAnsi="Calibri" w:cs="Calibri"/>
                <w:color w:val="000000"/>
                <w:sz w:val="20"/>
              </w:rPr>
            </w:pPr>
            <w:r>
              <w:rPr>
                <w:rFonts w:ascii="Calibri" w:eastAsia="Calibri" w:hAnsi="Calibri" w:cs="Calibri"/>
                <w:color w:val="000000"/>
                <w:sz w:val="20"/>
              </w:rPr>
              <w:t>contingent consideration</w:t>
            </w:r>
          </w:p>
        </w:tc>
        <w:tc>
          <w:tcPr>
            <w:tcW w:w="159" w:type="pct"/>
            <w:tcBorders>
              <w:top w:val="nil"/>
              <w:left w:val="nil"/>
              <w:bottom w:val="nil"/>
              <w:right w:val="nil"/>
              <w:tl2br w:val="nil"/>
              <w:tr2bl w:val="nil"/>
            </w:tcBorders>
            <w:shd w:val="solid" w:color="FFFFFF" w:fill="FFFFFF"/>
            <w:noWrap/>
            <w:vAlign w:val="bottom"/>
          </w:tcPr>
          <w:p w14:paraId="28EA2627" w14:textId="77777777" w:rsidR="006E442A" w:rsidRDefault="006E442A" w:rsidP="006E442A">
            <w:pPr>
              <w:spacing w:after="1"/>
              <w:jc w:val="right"/>
              <w:rPr>
                <w:rFonts w:ascii="Calibri" w:eastAsia="Calibri" w:hAnsi="Calibri" w:cs="Calibri"/>
                <w:color w:val="000000"/>
                <w:sz w:val="20"/>
              </w:rPr>
            </w:pPr>
          </w:p>
        </w:tc>
        <w:tc>
          <w:tcPr>
            <w:tcW w:w="103" w:type="pct"/>
            <w:tcBorders>
              <w:top w:val="nil"/>
              <w:left w:val="nil"/>
              <w:bottom w:val="nil"/>
              <w:right w:val="nil"/>
              <w:tl2br w:val="nil"/>
              <w:tr2bl w:val="nil"/>
            </w:tcBorders>
            <w:shd w:val="solid" w:color="FFFFFF" w:fill="FFFFFF"/>
            <w:noWrap/>
            <w:vAlign w:val="bottom"/>
          </w:tcPr>
          <w:p w14:paraId="39C67AEA"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802" w:type="pct"/>
            <w:tcBorders>
              <w:top w:val="nil"/>
              <w:left w:val="nil"/>
              <w:bottom w:val="nil"/>
              <w:right w:val="nil"/>
              <w:tl2br w:val="nil"/>
              <w:tr2bl w:val="nil"/>
            </w:tcBorders>
            <w:shd w:val="solid" w:color="FFFFFF" w:fill="FFFFFF"/>
            <w:noWrap/>
            <w:vAlign w:val="bottom"/>
          </w:tcPr>
          <w:p w14:paraId="0E662732" w14:textId="77777777" w:rsidR="006E442A" w:rsidRDefault="006E442A" w:rsidP="006E442A">
            <w:pPr>
              <w:spacing w:after="1"/>
              <w:jc w:val="right"/>
              <w:rPr>
                <w:rFonts w:ascii="Calibri" w:eastAsia="Calibri" w:hAnsi="Calibri" w:cs="Calibri"/>
                <w:color w:val="000000"/>
                <w:sz w:val="20"/>
              </w:rPr>
            </w:pPr>
            <w:r>
              <w:rPr>
                <w:rFonts w:ascii="Calibri" w:eastAsia="Calibri" w:hAnsi="Calibri" w:cs="Calibri"/>
                <w:color w:val="000000"/>
                <w:sz w:val="20"/>
              </w:rPr>
              <w:t xml:space="preserve"> (8,985)</w:t>
            </w:r>
          </w:p>
        </w:tc>
        <w:tc>
          <w:tcPr>
            <w:tcW w:w="159" w:type="pct"/>
            <w:tcBorders>
              <w:top w:val="nil"/>
              <w:left w:val="nil"/>
              <w:bottom w:val="nil"/>
              <w:right w:val="nil"/>
              <w:tl2br w:val="nil"/>
              <w:tr2bl w:val="nil"/>
            </w:tcBorders>
            <w:shd w:val="solid" w:color="FFFFFF" w:fill="FFFFFF"/>
            <w:noWrap/>
            <w:vAlign w:val="bottom"/>
          </w:tcPr>
          <w:p w14:paraId="7FFA67E0" w14:textId="77777777" w:rsidR="006E442A" w:rsidRDefault="006E442A" w:rsidP="006E442A">
            <w:pPr>
              <w:spacing w:after="1"/>
              <w:rPr>
                <w:rFonts w:ascii="Calibri" w:eastAsia="Calibri" w:hAnsi="Calibri" w:cs="Calibri"/>
                <w:color w:val="000000"/>
                <w:sz w:val="20"/>
              </w:rPr>
            </w:pPr>
          </w:p>
        </w:tc>
        <w:tc>
          <w:tcPr>
            <w:tcW w:w="103" w:type="pct"/>
            <w:tcBorders>
              <w:top w:val="nil"/>
              <w:left w:val="nil"/>
              <w:bottom w:val="nil"/>
              <w:right w:val="nil"/>
              <w:tl2br w:val="nil"/>
              <w:tr2bl w:val="nil"/>
            </w:tcBorders>
            <w:shd w:val="solid" w:color="FFFFFF" w:fill="FFFFFF"/>
            <w:vAlign w:val="bottom"/>
          </w:tcPr>
          <w:p w14:paraId="446FFDDA"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838" w:type="pct"/>
            <w:tcBorders>
              <w:top w:val="nil"/>
              <w:left w:val="nil"/>
              <w:bottom w:val="nil"/>
              <w:right w:val="nil"/>
              <w:tl2br w:val="nil"/>
              <w:tr2bl w:val="nil"/>
            </w:tcBorders>
            <w:shd w:val="solid" w:color="FFFFFF" w:fill="FFFFFF"/>
            <w:noWrap/>
            <w:vAlign w:val="bottom"/>
          </w:tcPr>
          <w:p w14:paraId="176A693E"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16,488</w:t>
            </w:r>
          </w:p>
        </w:tc>
      </w:tr>
      <w:tr w:rsidR="006E442A" w14:paraId="199B5708" w14:textId="77777777" w:rsidTr="006E442A">
        <w:tc>
          <w:tcPr>
            <w:tcW w:w="2837" w:type="pct"/>
            <w:tcBorders>
              <w:top w:val="nil"/>
              <w:left w:val="nil"/>
              <w:bottom w:val="nil"/>
              <w:right w:val="nil"/>
              <w:tl2br w:val="nil"/>
              <w:tr2bl w:val="nil"/>
            </w:tcBorders>
            <w:shd w:val="solid" w:color="FFFFFF" w:fill="FFFFFF"/>
            <w:vAlign w:val="bottom"/>
          </w:tcPr>
          <w:p w14:paraId="7FBE1DEF" w14:textId="77777777" w:rsidR="006E442A" w:rsidRDefault="006E442A" w:rsidP="006E442A">
            <w:pPr>
              <w:spacing w:after="1"/>
              <w:ind w:left="120"/>
              <w:rPr>
                <w:rFonts w:ascii="Calibri" w:eastAsia="Calibri" w:hAnsi="Calibri" w:cs="Calibri"/>
                <w:color w:val="000000"/>
                <w:sz w:val="20"/>
              </w:rPr>
            </w:pPr>
            <w:r>
              <w:rPr>
                <w:rFonts w:ascii="Calibri" w:eastAsia="Calibri" w:hAnsi="Calibri" w:cs="Calibri"/>
                <w:color w:val="000000"/>
                <w:sz w:val="20"/>
              </w:rPr>
              <w:t>Depreciation and other amortization</w:t>
            </w:r>
          </w:p>
        </w:tc>
        <w:tc>
          <w:tcPr>
            <w:tcW w:w="159" w:type="pct"/>
            <w:tcBorders>
              <w:top w:val="nil"/>
              <w:left w:val="nil"/>
              <w:bottom w:val="nil"/>
              <w:right w:val="nil"/>
              <w:tl2br w:val="nil"/>
              <w:tr2bl w:val="nil"/>
            </w:tcBorders>
            <w:shd w:val="solid" w:color="FFFFFF" w:fill="FFFFFF"/>
            <w:noWrap/>
            <w:vAlign w:val="bottom"/>
          </w:tcPr>
          <w:p w14:paraId="3B8F5CCD" w14:textId="77777777" w:rsidR="006E442A" w:rsidRDefault="006E442A" w:rsidP="006E442A">
            <w:pPr>
              <w:spacing w:after="1"/>
              <w:jc w:val="right"/>
              <w:rPr>
                <w:rFonts w:ascii="Calibri" w:eastAsia="Calibri" w:hAnsi="Calibri" w:cs="Calibri"/>
                <w:color w:val="000000"/>
                <w:sz w:val="20"/>
              </w:rPr>
            </w:pPr>
          </w:p>
        </w:tc>
        <w:tc>
          <w:tcPr>
            <w:tcW w:w="103" w:type="pct"/>
            <w:tcBorders>
              <w:top w:val="nil"/>
              <w:left w:val="nil"/>
              <w:bottom w:val="single" w:sz="4" w:space="0" w:color="000000"/>
              <w:right w:val="nil"/>
              <w:tl2br w:val="nil"/>
              <w:tr2bl w:val="nil"/>
            </w:tcBorders>
            <w:shd w:val="solid" w:color="FFFFFF" w:fill="FFFFFF"/>
            <w:noWrap/>
            <w:vAlign w:val="bottom"/>
          </w:tcPr>
          <w:p w14:paraId="05E7EB6F"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802" w:type="pct"/>
            <w:tcBorders>
              <w:top w:val="nil"/>
              <w:left w:val="nil"/>
              <w:bottom w:val="single" w:sz="4" w:space="0" w:color="000000"/>
              <w:right w:val="nil"/>
              <w:tl2br w:val="nil"/>
              <w:tr2bl w:val="nil"/>
            </w:tcBorders>
            <w:shd w:val="solid" w:color="FFFFFF" w:fill="FFFFFF"/>
            <w:noWrap/>
            <w:vAlign w:val="bottom"/>
          </w:tcPr>
          <w:p w14:paraId="2D3FB553"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3,633</w:t>
            </w:r>
          </w:p>
        </w:tc>
        <w:tc>
          <w:tcPr>
            <w:tcW w:w="159" w:type="pct"/>
            <w:tcBorders>
              <w:top w:val="nil"/>
              <w:left w:val="nil"/>
              <w:bottom w:val="nil"/>
              <w:right w:val="nil"/>
              <w:tl2br w:val="nil"/>
              <w:tr2bl w:val="nil"/>
            </w:tcBorders>
            <w:shd w:val="solid" w:color="FFFFFF" w:fill="FFFFFF"/>
            <w:noWrap/>
            <w:vAlign w:val="bottom"/>
          </w:tcPr>
          <w:p w14:paraId="001C0D3E" w14:textId="77777777" w:rsidR="006E442A" w:rsidRDefault="006E442A" w:rsidP="006E442A">
            <w:pPr>
              <w:spacing w:after="1"/>
              <w:rPr>
                <w:rFonts w:ascii="Calibri" w:eastAsia="Calibri" w:hAnsi="Calibri" w:cs="Calibri"/>
                <w:color w:val="000000"/>
                <w:sz w:val="20"/>
              </w:rPr>
            </w:pPr>
          </w:p>
        </w:tc>
        <w:tc>
          <w:tcPr>
            <w:tcW w:w="103" w:type="pct"/>
            <w:tcBorders>
              <w:top w:val="nil"/>
              <w:left w:val="nil"/>
              <w:bottom w:val="single" w:sz="4" w:space="0" w:color="000000"/>
              <w:right w:val="nil"/>
              <w:tl2br w:val="nil"/>
              <w:tr2bl w:val="nil"/>
            </w:tcBorders>
            <w:shd w:val="solid" w:color="FFFFFF" w:fill="FFFFFF"/>
            <w:vAlign w:val="bottom"/>
          </w:tcPr>
          <w:p w14:paraId="4F34C011"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838" w:type="pct"/>
            <w:tcBorders>
              <w:top w:val="nil"/>
              <w:left w:val="nil"/>
              <w:bottom w:val="single" w:sz="4" w:space="0" w:color="000000"/>
              <w:right w:val="nil"/>
              <w:tl2br w:val="nil"/>
              <w:tr2bl w:val="nil"/>
            </w:tcBorders>
            <w:shd w:val="solid" w:color="FFFFFF" w:fill="FFFFFF"/>
            <w:noWrap/>
            <w:vAlign w:val="bottom"/>
          </w:tcPr>
          <w:p w14:paraId="35B91D07"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3,967</w:t>
            </w:r>
          </w:p>
        </w:tc>
      </w:tr>
      <w:tr w:rsidR="006E442A" w14:paraId="4CC7CF0F" w14:textId="77777777" w:rsidTr="006E442A">
        <w:tc>
          <w:tcPr>
            <w:tcW w:w="2837" w:type="pct"/>
            <w:tcBorders>
              <w:top w:val="nil"/>
              <w:left w:val="nil"/>
              <w:bottom w:val="nil"/>
              <w:right w:val="nil"/>
              <w:tl2br w:val="nil"/>
              <w:tr2bl w:val="nil"/>
            </w:tcBorders>
            <w:shd w:val="solid" w:color="FFFFFF" w:fill="FFFFFF"/>
            <w:vAlign w:val="bottom"/>
          </w:tcPr>
          <w:p w14:paraId="77669E4D" w14:textId="77777777" w:rsidR="006E442A" w:rsidRDefault="006E442A" w:rsidP="006E442A">
            <w:pPr>
              <w:spacing w:after="1"/>
              <w:ind w:left="240"/>
              <w:rPr>
                <w:rFonts w:ascii="Calibri" w:eastAsia="Calibri" w:hAnsi="Calibri" w:cs="Calibri"/>
                <w:color w:val="000000"/>
                <w:sz w:val="20"/>
              </w:rPr>
            </w:pPr>
            <w:r>
              <w:rPr>
                <w:rFonts w:ascii="Calibri" w:eastAsia="Calibri" w:hAnsi="Calibri" w:cs="Calibri"/>
                <w:color w:val="000000"/>
                <w:sz w:val="20"/>
              </w:rPr>
              <w:t>Total operating expenses</w:t>
            </w:r>
          </w:p>
        </w:tc>
        <w:tc>
          <w:tcPr>
            <w:tcW w:w="159" w:type="pct"/>
            <w:tcBorders>
              <w:top w:val="nil"/>
              <w:left w:val="nil"/>
              <w:bottom w:val="nil"/>
              <w:right w:val="nil"/>
              <w:tl2br w:val="nil"/>
              <w:tr2bl w:val="nil"/>
            </w:tcBorders>
            <w:shd w:val="solid" w:color="FFFFFF" w:fill="FFFFFF"/>
            <w:noWrap/>
            <w:vAlign w:val="bottom"/>
          </w:tcPr>
          <w:p w14:paraId="36D3EC5B" w14:textId="77777777" w:rsidR="006E442A" w:rsidRDefault="006E442A" w:rsidP="006E442A">
            <w:pPr>
              <w:spacing w:after="1"/>
              <w:jc w:val="right"/>
              <w:rPr>
                <w:rFonts w:ascii="Calibri" w:eastAsia="Calibri" w:hAnsi="Calibri" w:cs="Calibri"/>
                <w:color w:val="000000"/>
                <w:sz w:val="20"/>
              </w:rPr>
            </w:pPr>
          </w:p>
        </w:tc>
        <w:tc>
          <w:tcPr>
            <w:tcW w:w="103" w:type="pct"/>
            <w:tcBorders>
              <w:top w:val="nil"/>
              <w:left w:val="nil"/>
              <w:bottom w:val="single" w:sz="4" w:space="0" w:color="000000"/>
              <w:right w:val="nil"/>
              <w:tl2br w:val="nil"/>
              <w:tr2bl w:val="nil"/>
            </w:tcBorders>
            <w:shd w:val="solid" w:color="FFFFFF" w:fill="FFFFFF"/>
            <w:noWrap/>
            <w:vAlign w:val="bottom"/>
          </w:tcPr>
          <w:p w14:paraId="7B1F269D"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802" w:type="pct"/>
            <w:tcBorders>
              <w:top w:val="nil"/>
              <w:left w:val="nil"/>
              <w:bottom w:val="single" w:sz="4" w:space="0" w:color="000000"/>
              <w:right w:val="nil"/>
              <w:tl2br w:val="nil"/>
              <w:tr2bl w:val="nil"/>
            </w:tcBorders>
            <w:shd w:val="solid" w:color="FFFFFF" w:fill="FFFFFF"/>
            <w:noWrap/>
            <w:vAlign w:val="bottom"/>
          </w:tcPr>
          <w:p w14:paraId="751940C7"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463,213</w:t>
            </w:r>
          </w:p>
        </w:tc>
        <w:tc>
          <w:tcPr>
            <w:tcW w:w="159" w:type="pct"/>
            <w:tcBorders>
              <w:top w:val="nil"/>
              <w:left w:val="nil"/>
              <w:bottom w:val="nil"/>
              <w:right w:val="nil"/>
              <w:tl2br w:val="nil"/>
              <w:tr2bl w:val="nil"/>
            </w:tcBorders>
            <w:shd w:val="solid" w:color="FFFFFF" w:fill="FFFFFF"/>
            <w:noWrap/>
            <w:vAlign w:val="bottom"/>
          </w:tcPr>
          <w:p w14:paraId="64D71A49" w14:textId="77777777" w:rsidR="006E442A" w:rsidRDefault="006E442A" w:rsidP="006E442A">
            <w:pPr>
              <w:spacing w:after="1"/>
              <w:rPr>
                <w:rFonts w:ascii="Calibri" w:eastAsia="Calibri" w:hAnsi="Calibri" w:cs="Calibri"/>
                <w:color w:val="000000"/>
                <w:sz w:val="20"/>
              </w:rPr>
            </w:pPr>
          </w:p>
        </w:tc>
        <w:tc>
          <w:tcPr>
            <w:tcW w:w="103" w:type="pct"/>
            <w:tcBorders>
              <w:top w:val="nil"/>
              <w:left w:val="nil"/>
              <w:bottom w:val="single" w:sz="4" w:space="0" w:color="000000"/>
              <w:right w:val="nil"/>
              <w:tl2br w:val="nil"/>
              <w:tr2bl w:val="nil"/>
            </w:tcBorders>
            <w:shd w:val="solid" w:color="FFFFFF" w:fill="FFFFFF"/>
            <w:vAlign w:val="bottom"/>
          </w:tcPr>
          <w:p w14:paraId="2B18566F"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838" w:type="pct"/>
            <w:tcBorders>
              <w:top w:val="nil"/>
              <w:left w:val="nil"/>
              <w:bottom w:val="single" w:sz="4" w:space="0" w:color="000000"/>
              <w:right w:val="nil"/>
              <w:tl2br w:val="nil"/>
              <w:tr2bl w:val="nil"/>
            </w:tcBorders>
            <w:shd w:val="solid" w:color="FFFFFF" w:fill="FFFFFF"/>
            <w:noWrap/>
            <w:vAlign w:val="bottom"/>
          </w:tcPr>
          <w:p w14:paraId="5FB8BA16"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536,067</w:t>
            </w:r>
          </w:p>
        </w:tc>
      </w:tr>
      <w:tr w:rsidR="006E442A" w14:paraId="7C8E0D71" w14:textId="77777777" w:rsidTr="006E442A">
        <w:tc>
          <w:tcPr>
            <w:tcW w:w="2837" w:type="pct"/>
            <w:tcBorders>
              <w:top w:val="nil"/>
              <w:left w:val="nil"/>
              <w:bottom w:val="nil"/>
              <w:right w:val="nil"/>
              <w:tl2br w:val="nil"/>
              <w:tr2bl w:val="nil"/>
            </w:tcBorders>
            <w:shd w:val="solid" w:color="FFFFFF" w:fill="FFFFFF"/>
            <w:vAlign w:val="bottom"/>
          </w:tcPr>
          <w:p w14:paraId="285F4FF6"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INCOME FROM OPERATIONS</w:t>
            </w:r>
          </w:p>
        </w:tc>
        <w:tc>
          <w:tcPr>
            <w:tcW w:w="159" w:type="pct"/>
            <w:tcBorders>
              <w:top w:val="nil"/>
              <w:left w:val="nil"/>
              <w:bottom w:val="nil"/>
              <w:right w:val="nil"/>
              <w:tl2br w:val="nil"/>
              <w:tr2bl w:val="nil"/>
            </w:tcBorders>
            <w:shd w:val="solid" w:color="FFFFFF" w:fill="FFFFFF"/>
            <w:noWrap/>
            <w:vAlign w:val="bottom"/>
          </w:tcPr>
          <w:p w14:paraId="6B8B5E37" w14:textId="77777777" w:rsidR="006E442A" w:rsidRDefault="006E442A" w:rsidP="006E442A">
            <w:pPr>
              <w:spacing w:after="1"/>
              <w:jc w:val="right"/>
              <w:rPr>
                <w:rFonts w:ascii="Calibri" w:eastAsia="Calibri" w:hAnsi="Calibri" w:cs="Calibri"/>
                <w:color w:val="000000"/>
                <w:sz w:val="20"/>
              </w:rPr>
            </w:pPr>
          </w:p>
        </w:tc>
        <w:tc>
          <w:tcPr>
            <w:tcW w:w="103" w:type="pct"/>
            <w:tcBorders>
              <w:top w:val="nil"/>
              <w:left w:val="nil"/>
              <w:bottom w:val="single" w:sz="4" w:space="0" w:color="000000"/>
              <w:right w:val="nil"/>
              <w:tl2br w:val="nil"/>
              <w:tr2bl w:val="nil"/>
            </w:tcBorders>
            <w:shd w:val="solid" w:color="FFFFFF" w:fill="FFFFFF"/>
            <w:noWrap/>
            <w:vAlign w:val="bottom"/>
          </w:tcPr>
          <w:p w14:paraId="5CAA599E"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802" w:type="pct"/>
            <w:tcBorders>
              <w:top w:val="nil"/>
              <w:left w:val="nil"/>
              <w:bottom w:val="single" w:sz="4" w:space="0" w:color="000000"/>
              <w:right w:val="nil"/>
              <w:tl2br w:val="nil"/>
              <w:tr2bl w:val="nil"/>
            </w:tcBorders>
            <w:shd w:val="solid" w:color="FFFFFF" w:fill="FFFFFF"/>
            <w:noWrap/>
            <w:vAlign w:val="bottom"/>
          </w:tcPr>
          <w:p w14:paraId="0E3CE322"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73,354</w:t>
            </w:r>
          </w:p>
        </w:tc>
        <w:tc>
          <w:tcPr>
            <w:tcW w:w="159" w:type="pct"/>
            <w:tcBorders>
              <w:top w:val="nil"/>
              <w:left w:val="nil"/>
              <w:bottom w:val="nil"/>
              <w:right w:val="nil"/>
              <w:tl2br w:val="nil"/>
              <w:tr2bl w:val="nil"/>
            </w:tcBorders>
            <w:shd w:val="solid" w:color="FFFFFF" w:fill="FFFFFF"/>
            <w:noWrap/>
            <w:vAlign w:val="bottom"/>
          </w:tcPr>
          <w:p w14:paraId="50E255EF" w14:textId="77777777" w:rsidR="006E442A" w:rsidRDefault="006E442A" w:rsidP="006E442A">
            <w:pPr>
              <w:spacing w:after="1"/>
              <w:rPr>
                <w:rFonts w:ascii="Calibri" w:eastAsia="Calibri" w:hAnsi="Calibri" w:cs="Calibri"/>
                <w:color w:val="000000"/>
                <w:sz w:val="20"/>
              </w:rPr>
            </w:pPr>
          </w:p>
        </w:tc>
        <w:tc>
          <w:tcPr>
            <w:tcW w:w="103" w:type="pct"/>
            <w:tcBorders>
              <w:top w:val="nil"/>
              <w:left w:val="nil"/>
              <w:bottom w:val="single" w:sz="4" w:space="0" w:color="000000"/>
              <w:right w:val="nil"/>
              <w:tl2br w:val="nil"/>
              <w:tr2bl w:val="nil"/>
            </w:tcBorders>
            <w:shd w:val="solid" w:color="FFFFFF" w:fill="FFFFFF"/>
            <w:vAlign w:val="bottom"/>
          </w:tcPr>
          <w:p w14:paraId="16078FB6"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838" w:type="pct"/>
            <w:tcBorders>
              <w:top w:val="nil"/>
              <w:left w:val="nil"/>
              <w:bottom w:val="single" w:sz="4" w:space="0" w:color="000000"/>
              <w:right w:val="nil"/>
              <w:tl2br w:val="nil"/>
              <w:tr2bl w:val="nil"/>
            </w:tcBorders>
            <w:shd w:val="solid" w:color="FFFFFF" w:fill="FFFFFF"/>
            <w:noWrap/>
            <w:vAlign w:val="bottom"/>
          </w:tcPr>
          <w:p w14:paraId="3B210372"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21,440</w:t>
            </w:r>
          </w:p>
        </w:tc>
      </w:tr>
      <w:tr w:rsidR="006E442A" w14:paraId="05A27B30" w14:textId="77777777" w:rsidTr="006E442A">
        <w:tc>
          <w:tcPr>
            <w:tcW w:w="2837" w:type="pct"/>
            <w:tcBorders>
              <w:top w:val="nil"/>
              <w:left w:val="nil"/>
              <w:bottom w:val="nil"/>
              <w:right w:val="nil"/>
              <w:tl2br w:val="nil"/>
              <w:tr2bl w:val="nil"/>
            </w:tcBorders>
            <w:shd w:val="solid" w:color="FFFFFF" w:fill="FFFFFF"/>
            <w:vAlign w:val="bottom"/>
          </w:tcPr>
          <w:p w14:paraId="70A6B0DE"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OTHER INCOME (EXPENSE):</w:t>
            </w:r>
          </w:p>
        </w:tc>
        <w:tc>
          <w:tcPr>
            <w:tcW w:w="159" w:type="pct"/>
            <w:tcBorders>
              <w:top w:val="nil"/>
              <w:left w:val="nil"/>
              <w:bottom w:val="nil"/>
              <w:right w:val="nil"/>
              <w:tl2br w:val="nil"/>
              <w:tr2bl w:val="nil"/>
            </w:tcBorders>
            <w:shd w:val="solid" w:color="FFFFFF" w:fill="FFFFFF"/>
            <w:noWrap/>
            <w:vAlign w:val="bottom"/>
          </w:tcPr>
          <w:p w14:paraId="45DC2890" w14:textId="77777777" w:rsidR="006E442A" w:rsidRDefault="006E442A" w:rsidP="006E442A">
            <w:pPr>
              <w:spacing w:after="1"/>
              <w:jc w:val="right"/>
              <w:rPr>
                <w:rFonts w:ascii="Calibri" w:eastAsia="Calibri" w:hAnsi="Calibri" w:cs="Calibri"/>
                <w:color w:val="000000"/>
                <w:sz w:val="20"/>
              </w:rPr>
            </w:pPr>
          </w:p>
        </w:tc>
        <w:tc>
          <w:tcPr>
            <w:tcW w:w="103" w:type="pct"/>
            <w:tcBorders>
              <w:top w:val="nil"/>
              <w:left w:val="nil"/>
              <w:bottom w:val="nil"/>
              <w:right w:val="nil"/>
              <w:tl2br w:val="nil"/>
              <w:tr2bl w:val="nil"/>
            </w:tcBorders>
            <w:shd w:val="solid" w:color="FFFFFF" w:fill="FFFFFF"/>
            <w:noWrap/>
            <w:vAlign w:val="bottom"/>
          </w:tcPr>
          <w:p w14:paraId="2A0CF627"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802" w:type="pct"/>
            <w:tcBorders>
              <w:top w:val="nil"/>
              <w:left w:val="nil"/>
              <w:bottom w:val="nil"/>
              <w:right w:val="nil"/>
              <w:tl2br w:val="nil"/>
              <w:tr2bl w:val="nil"/>
            </w:tcBorders>
            <w:shd w:val="solid" w:color="FFFFFF" w:fill="FFFFFF"/>
            <w:noWrap/>
            <w:vAlign w:val="bottom"/>
          </w:tcPr>
          <w:p w14:paraId="4E4C07D7" w14:textId="77777777" w:rsidR="006E442A" w:rsidRDefault="006E442A" w:rsidP="006E442A">
            <w:pPr>
              <w:spacing w:after="1"/>
              <w:jc w:val="right"/>
              <w:rPr>
                <w:rFonts w:ascii="Calibri" w:eastAsia="Calibri" w:hAnsi="Calibri" w:cs="Calibri"/>
                <w:color w:val="000000"/>
                <w:sz w:val="20"/>
              </w:rPr>
            </w:pPr>
          </w:p>
        </w:tc>
        <w:tc>
          <w:tcPr>
            <w:tcW w:w="159" w:type="pct"/>
            <w:tcBorders>
              <w:top w:val="nil"/>
              <w:left w:val="nil"/>
              <w:bottom w:val="nil"/>
              <w:right w:val="nil"/>
              <w:tl2br w:val="nil"/>
              <w:tr2bl w:val="nil"/>
            </w:tcBorders>
            <w:shd w:val="solid" w:color="FFFFFF" w:fill="FFFFFF"/>
            <w:noWrap/>
            <w:vAlign w:val="bottom"/>
          </w:tcPr>
          <w:p w14:paraId="55D59C7E" w14:textId="77777777" w:rsidR="006E442A" w:rsidRDefault="006E442A" w:rsidP="006E442A">
            <w:pPr>
              <w:spacing w:after="1"/>
              <w:rPr>
                <w:rFonts w:ascii="Calibri" w:eastAsia="Calibri" w:hAnsi="Calibri" w:cs="Calibri"/>
                <w:color w:val="000000"/>
                <w:sz w:val="20"/>
              </w:rPr>
            </w:pPr>
          </w:p>
        </w:tc>
        <w:tc>
          <w:tcPr>
            <w:tcW w:w="103" w:type="pct"/>
            <w:tcBorders>
              <w:top w:val="nil"/>
              <w:left w:val="nil"/>
              <w:bottom w:val="nil"/>
              <w:right w:val="nil"/>
              <w:tl2br w:val="nil"/>
              <w:tr2bl w:val="nil"/>
            </w:tcBorders>
            <w:shd w:val="solid" w:color="FFFFFF" w:fill="FFFFFF"/>
            <w:vAlign w:val="bottom"/>
          </w:tcPr>
          <w:p w14:paraId="7EE1825C"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838" w:type="pct"/>
            <w:tcBorders>
              <w:top w:val="nil"/>
              <w:left w:val="nil"/>
              <w:bottom w:val="nil"/>
              <w:right w:val="nil"/>
              <w:tl2br w:val="nil"/>
              <w:tr2bl w:val="nil"/>
            </w:tcBorders>
            <w:shd w:val="solid" w:color="FFFFFF" w:fill="FFFFFF"/>
            <w:noWrap/>
            <w:vAlign w:val="bottom"/>
          </w:tcPr>
          <w:p w14:paraId="2C52F58A" w14:textId="77777777" w:rsidR="006E442A" w:rsidRDefault="006E442A" w:rsidP="006E442A">
            <w:pPr>
              <w:spacing w:after="1"/>
              <w:jc w:val="right"/>
              <w:rPr>
                <w:rFonts w:ascii="Calibri" w:eastAsia="Calibri" w:hAnsi="Calibri" w:cs="Calibri"/>
                <w:color w:val="000000"/>
                <w:sz w:val="20"/>
              </w:rPr>
            </w:pPr>
          </w:p>
        </w:tc>
      </w:tr>
      <w:tr w:rsidR="006E442A" w14:paraId="5FA0D638" w14:textId="77777777" w:rsidTr="006E442A">
        <w:tc>
          <w:tcPr>
            <w:tcW w:w="2837" w:type="pct"/>
            <w:tcBorders>
              <w:top w:val="nil"/>
              <w:left w:val="nil"/>
              <w:bottom w:val="nil"/>
              <w:right w:val="nil"/>
              <w:tl2br w:val="nil"/>
              <w:tr2bl w:val="nil"/>
            </w:tcBorders>
            <w:shd w:val="solid" w:color="FFFFFF" w:fill="FFFFFF"/>
            <w:vAlign w:val="bottom"/>
          </w:tcPr>
          <w:p w14:paraId="455CA1ED" w14:textId="77777777" w:rsidR="006E442A" w:rsidRDefault="006E442A" w:rsidP="006E442A">
            <w:pPr>
              <w:spacing w:after="1"/>
              <w:ind w:left="120"/>
              <w:rPr>
                <w:rFonts w:ascii="Calibri" w:eastAsia="Calibri" w:hAnsi="Calibri" w:cs="Calibri"/>
                <w:color w:val="000000"/>
                <w:sz w:val="20"/>
              </w:rPr>
            </w:pPr>
            <w:r>
              <w:rPr>
                <w:rFonts w:ascii="Calibri" w:eastAsia="Calibri" w:hAnsi="Calibri" w:cs="Calibri"/>
                <w:color w:val="000000"/>
                <w:sz w:val="20"/>
              </w:rPr>
              <w:t>Interest income</w:t>
            </w:r>
          </w:p>
        </w:tc>
        <w:tc>
          <w:tcPr>
            <w:tcW w:w="159" w:type="pct"/>
            <w:tcBorders>
              <w:top w:val="nil"/>
              <w:left w:val="nil"/>
              <w:bottom w:val="nil"/>
              <w:right w:val="nil"/>
              <w:tl2br w:val="nil"/>
              <w:tr2bl w:val="nil"/>
            </w:tcBorders>
            <w:shd w:val="solid" w:color="FFFFFF" w:fill="FFFFFF"/>
            <w:noWrap/>
            <w:vAlign w:val="bottom"/>
          </w:tcPr>
          <w:p w14:paraId="0DBCD180" w14:textId="77777777" w:rsidR="006E442A" w:rsidRDefault="006E442A" w:rsidP="006E442A">
            <w:pPr>
              <w:spacing w:after="1"/>
              <w:jc w:val="right"/>
              <w:rPr>
                <w:rFonts w:ascii="Calibri" w:eastAsia="Calibri" w:hAnsi="Calibri" w:cs="Calibri"/>
                <w:color w:val="000000"/>
                <w:sz w:val="20"/>
              </w:rPr>
            </w:pPr>
          </w:p>
        </w:tc>
        <w:tc>
          <w:tcPr>
            <w:tcW w:w="103" w:type="pct"/>
            <w:tcBorders>
              <w:top w:val="nil"/>
              <w:left w:val="nil"/>
              <w:bottom w:val="nil"/>
              <w:right w:val="nil"/>
              <w:tl2br w:val="nil"/>
              <w:tr2bl w:val="nil"/>
            </w:tcBorders>
            <w:shd w:val="solid" w:color="FFFFFF" w:fill="FFFFFF"/>
            <w:noWrap/>
            <w:vAlign w:val="bottom"/>
          </w:tcPr>
          <w:p w14:paraId="1FBDCB28"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802" w:type="pct"/>
            <w:tcBorders>
              <w:top w:val="nil"/>
              <w:left w:val="nil"/>
              <w:bottom w:val="nil"/>
              <w:right w:val="nil"/>
              <w:tl2br w:val="nil"/>
              <w:tr2bl w:val="nil"/>
            </w:tcBorders>
            <w:shd w:val="solid" w:color="FFFFFF" w:fill="FFFFFF"/>
            <w:noWrap/>
            <w:vAlign w:val="bottom"/>
          </w:tcPr>
          <w:p w14:paraId="4F278516"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3</w:t>
            </w:r>
          </w:p>
        </w:tc>
        <w:tc>
          <w:tcPr>
            <w:tcW w:w="159" w:type="pct"/>
            <w:tcBorders>
              <w:top w:val="nil"/>
              <w:left w:val="nil"/>
              <w:bottom w:val="nil"/>
              <w:right w:val="nil"/>
              <w:tl2br w:val="nil"/>
              <w:tr2bl w:val="nil"/>
            </w:tcBorders>
            <w:shd w:val="solid" w:color="FFFFFF" w:fill="FFFFFF"/>
            <w:noWrap/>
            <w:vAlign w:val="bottom"/>
          </w:tcPr>
          <w:p w14:paraId="3A2988BD" w14:textId="77777777" w:rsidR="006E442A" w:rsidRDefault="006E442A" w:rsidP="006E442A">
            <w:pPr>
              <w:spacing w:after="1"/>
              <w:rPr>
                <w:rFonts w:ascii="Calibri" w:eastAsia="Calibri" w:hAnsi="Calibri" w:cs="Calibri"/>
                <w:color w:val="000000"/>
                <w:sz w:val="20"/>
              </w:rPr>
            </w:pPr>
          </w:p>
        </w:tc>
        <w:tc>
          <w:tcPr>
            <w:tcW w:w="103" w:type="pct"/>
            <w:tcBorders>
              <w:top w:val="nil"/>
              <w:left w:val="nil"/>
              <w:bottom w:val="nil"/>
              <w:right w:val="nil"/>
              <w:tl2br w:val="nil"/>
              <w:tr2bl w:val="nil"/>
            </w:tcBorders>
            <w:shd w:val="solid" w:color="FFFFFF" w:fill="FFFFFF"/>
            <w:vAlign w:val="bottom"/>
          </w:tcPr>
          <w:p w14:paraId="666F9C24"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838" w:type="pct"/>
            <w:tcBorders>
              <w:top w:val="nil"/>
              <w:left w:val="nil"/>
              <w:bottom w:val="nil"/>
              <w:right w:val="nil"/>
              <w:tl2br w:val="nil"/>
              <w:tr2bl w:val="nil"/>
            </w:tcBorders>
            <w:shd w:val="solid" w:color="FFFFFF" w:fill="FFFFFF"/>
            <w:noWrap/>
            <w:vAlign w:val="bottom"/>
          </w:tcPr>
          <w:p w14:paraId="62C5F6FB"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464</w:t>
            </w:r>
          </w:p>
        </w:tc>
      </w:tr>
      <w:tr w:rsidR="006E442A" w14:paraId="181E7A2B" w14:textId="77777777" w:rsidTr="006E442A">
        <w:tc>
          <w:tcPr>
            <w:tcW w:w="2837" w:type="pct"/>
            <w:tcBorders>
              <w:top w:val="nil"/>
              <w:left w:val="nil"/>
              <w:bottom w:val="nil"/>
              <w:right w:val="nil"/>
              <w:tl2br w:val="nil"/>
              <w:tr2bl w:val="nil"/>
            </w:tcBorders>
            <w:shd w:val="solid" w:color="FFFFFF" w:fill="FFFFFF"/>
            <w:vAlign w:val="bottom"/>
          </w:tcPr>
          <w:p w14:paraId="384716C8" w14:textId="77777777" w:rsidR="006E442A" w:rsidRDefault="006E442A" w:rsidP="006E442A">
            <w:pPr>
              <w:spacing w:after="1"/>
              <w:ind w:left="120"/>
              <w:rPr>
                <w:rFonts w:ascii="Calibri" w:eastAsia="Calibri" w:hAnsi="Calibri" w:cs="Calibri"/>
                <w:color w:val="000000"/>
                <w:sz w:val="20"/>
              </w:rPr>
            </w:pPr>
            <w:r>
              <w:rPr>
                <w:rFonts w:ascii="Calibri" w:eastAsia="Calibri" w:hAnsi="Calibri" w:cs="Calibri"/>
                <w:color w:val="000000"/>
                <w:sz w:val="20"/>
              </w:rPr>
              <w:t>Interest expense</w:t>
            </w:r>
          </w:p>
        </w:tc>
        <w:tc>
          <w:tcPr>
            <w:tcW w:w="159" w:type="pct"/>
            <w:tcBorders>
              <w:top w:val="nil"/>
              <w:left w:val="nil"/>
              <w:bottom w:val="nil"/>
              <w:right w:val="nil"/>
              <w:tl2br w:val="nil"/>
              <w:tr2bl w:val="nil"/>
            </w:tcBorders>
            <w:shd w:val="solid" w:color="FFFFFF" w:fill="FFFFFF"/>
            <w:noWrap/>
            <w:vAlign w:val="bottom"/>
          </w:tcPr>
          <w:p w14:paraId="1A41DAD7" w14:textId="77777777" w:rsidR="006E442A" w:rsidRDefault="006E442A" w:rsidP="006E442A">
            <w:pPr>
              <w:spacing w:after="1"/>
              <w:jc w:val="right"/>
              <w:rPr>
                <w:rFonts w:ascii="Calibri" w:eastAsia="Calibri" w:hAnsi="Calibri" w:cs="Calibri"/>
                <w:color w:val="000000"/>
                <w:sz w:val="20"/>
              </w:rPr>
            </w:pPr>
          </w:p>
        </w:tc>
        <w:tc>
          <w:tcPr>
            <w:tcW w:w="103" w:type="pct"/>
            <w:tcBorders>
              <w:top w:val="nil"/>
              <w:left w:val="nil"/>
              <w:bottom w:val="nil"/>
              <w:right w:val="nil"/>
              <w:tl2br w:val="nil"/>
              <w:tr2bl w:val="nil"/>
            </w:tcBorders>
            <w:shd w:val="solid" w:color="FFFFFF" w:fill="FFFFFF"/>
            <w:noWrap/>
            <w:vAlign w:val="bottom"/>
          </w:tcPr>
          <w:p w14:paraId="6B7517F6"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802" w:type="pct"/>
            <w:tcBorders>
              <w:top w:val="nil"/>
              <w:left w:val="nil"/>
              <w:bottom w:val="nil"/>
              <w:right w:val="nil"/>
              <w:tl2br w:val="nil"/>
              <w:tr2bl w:val="nil"/>
            </w:tcBorders>
            <w:shd w:val="solid" w:color="FFFFFF" w:fill="FFFFFF"/>
            <w:noWrap/>
            <w:vAlign w:val="bottom"/>
          </w:tcPr>
          <w:p w14:paraId="06251881" w14:textId="77777777" w:rsidR="006E442A" w:rsidRDefault="006E442A" w:rsidP="006E442A">
            <w:pPr>
              <w:spacing w:after="1"/>
              <w:jc w:val="right"/>
              <w:rPr>
                <w:rFonts w:ascii="Calibri" w:eastAsia="Calibri" w:hAnsi="Calibri" w:cs="Calibri"/>
                <w:color w:val="000000"/>
                <w:sz w:val="20"/>
              </w:rPr>
            </w:pPr>
            <w:r>
              <w:rPr>
                <w:rFonts w:ascii="Calibri" w:eastAsia="Calibri" w:hAnsi="Calibri" w:cs="Calibri"/>
                <w:color w:val="000000"/>
                <w:sz w:val="20"/>
              </w:rPr>
              <w:t xml:space="preserve"> (17,616)</w:t>
            </w:r>
          </w:p>
        </w:tc>
        <w:tc>
          <w:tcPr>
            <w:tcW w:w="159" w:type="pct"/>
            <w:tcBorders>
              <w:top w:val="nil"/>
              <w:left w:val="nil"/>
              <w:bottom w:val="nil"/>
              <w:right w:val="nil"/>
              <w:tl2br w:val="nil"/>
              <w:tr2bl w:val="nil"/>
            </w:tcBorders>
            <w:shd w:val="solid" w:color="FFFFFF" w:fill="FFFFFF"/>
            <w:noWrap/>
            <w:vAlign w:val="bottom"/>
          </w:tcPr>
          <w:p w14:paraId="5829C223" w14:textId="77777777" w:rsidR="006E442A" w:rsidRDefault="006E442A" w:rsidP="006E442A">
            <w:pPr>
              <w:spacing w:after="1"/>
              <w:rPr>
                <w:rFonts w:ascii="Calibri" w:eastAsia="Calibri" w:hAnsi="Calibri" w:cs="Calibri"/>
                <w:color w:val="000000"/>
                <w:sz w:val="20"/>
              </w:rPr>
            </w:pPr>
          </w:p>
        </w:tc>
        <w:tc>
          <w:tcPr>
            <w:tcW w:w="103" w:type="pct"/>
            <w:tcBorders>
              <w:top w:val="nil"/>
              <w:left w:val="nil"/>
              <w:bottom w:val="nil"/>
              <w:right w:val="nil"/>
              <w:tl2br w:val="nil"/>
              <w:tr2bl w:val="nil"/>
            </w:tcBorders>
            <w:shd w:val="solid" w:color="FFFFFF" w:fill="FFFFFF"/>
            <w:vAlign w:val="bottom"/>
          </w:tcPr>
          <w:p w14:paraId="5509982C"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838" w:type="pct"/>
            <w:tcBorders>
              <w:top w:val="nil"/>
              <w:left w:val="nil"/>
              <w:bottom w:val="nil"/>
              <w:right w:val="nil"/>
              <w:tl2br w:val="nil"/>
              <w:tr2bl w:val="nil"/>
            </w:tcBorders>
            <w:shd w:val="solid" w:color="FFFFFF" w:fill="FFFFFF"/>
            <w:noWrap/>
            <w:vAlign w:val="bottom"/>
          </w:tcPr>
          <w:p w14:paraId="6C1FB98E" w14:textId="77777777" w:rsidR="006E442A" w:rsidRDefault="006E442A" w:rsidP="006E442A">
            <w:pPr>
              <w:spacing w:after="1"/>
              <w:jc w:val="right"/>
              <w:rPr>
                <w:rFonts w:ascii="Calibri" w:eastAsia="Calibri" w:hAnsi="Calibri" w:cs="Calibri"/>
                <w:color w:val="000000"/>
                <w:sz w:val="20"/>
              </w:rPr>
            </w:pPr>
            <w:r>
              <w:rPr>
                <w:rFonts w:ascii="Calibri" w:eastAsia="Calibri" w:hAnsi="Calibri" w:cs="Calibri"/>
                <w:color w:val="000000"/>
                <w:sz w:val="20"/>
              </w:rPr>
              <w:t xml:space="preserve"> (43,929)</w:t>
            </w:r>
          </w:p>
        </w:tc>
      </w:tr>
      <w:tr w:rsidR="006E442A" w14:paraId="5608448A" w14:textId="77777777" w:rsidTr="006E442A">
        <w:tc>
          <w:tcPr>
            <w:tcW w:w="2837" w:type="pct"/>
            <w:tcBorders>
              <w:top w:val="nil"/>
              <w:left w:val="nil"/>
              <w:bottom w:val="nil"/>
              <w:right w:val="nil"/>
              <w:tl2br w:val="nil"/>
              <w:tr2bl w:val="nil"/>
            </w:tcBorders>
            <w:shd w:val="solid" w:color="FFFFFF" w:fill="FFFFFF"/>
            <w:vAlign w:val="bottom"/>
          </w:tcPr>
          <w:p w14:paraId="64418794" w14:textId="77777777" w:rsidR="006E442A" w:rsidRDefault="006E442A" w:rsidP="006E442A">
            <w:pPr>
              <w:spacing w:after="1"/>
              <w:ind w:left="120"/>
              <w:rPr>
                <w:rFonts w:ascii="Calibri" w:eastAsia="Calibri" w:hAnsi="Calibri" w:cs="Calibri"/>
                <w:color w:val="000000"/>
                <w:sz w:val="20"/>
              </w:rPr>
            </w:pPr>
            <w:r>
              <w:rPr>
                <w:rFonts w:ascii="Calibri" w:eastAsia="Calibri" w:hAnsi="Calibri" w:cs="Calibri"/>
                <w:color w:val="000000"/>
                <w:sz w:val="20"/>
              </w:rPr>
              <w:t>Amortization of debt financing costs</w:t>
            </w:r>
          </w:p>
        </w:tc>
        <w:tc>
          <w:tcPr>
            <w:tcW w:w="159" w:type="pct"/>
            <w:tcBorders>
              <w:top w:val="nil"/>
              <w:left w:val="nil"/>
              <w:bottom w:val="nil"/>
              <w:right w:val="nil"/>
              <w:tl2br w:val="nil"/>
              <w:tr2bl w:val="nil"/>
            </w:tcBorders>
            <w:shd w:val="solid" w:color="FFFFFF" w:fill="FFFFFF"/>
            <w:noWrap/>
            <w:vAlign w:val="bottom"/>
          </w:tcPr>
          <w:p w14:paraId="40FB2F4D" w14:textId="77777777" w:rsidR="006E442A" w:rsidRDefault="006E442A" w:rsidP="006E442A">
            <w:pPr>
              <w:spacing w:after="1"/>
              <w:jc w:val="right"/>
              <w:rPr>
                <w:rFonts w:ascii="Calibri" w:eastAsia="Calibri" w:hAnsi="Calibri" w:cs="Calibri"/>
                <w:color w:val="000000"/>
                <w:sz w:val="20"/>
              </w:rPr>
            </w:pPr>
          </w:p>
        </w:tc>
        <w:tc>
          <w:tcPr>
            <w:tcW w:w="103" w:type="pct"/>
            <w:tcBorders>
              <w:top w:val="nil"/>
              <w:left w:val="nil"/>
              <w:bottom w:val="nil"/>
              <w:right w:val="nil"/>
              <w:tl2br w:val="nil"/>
              <w:tr2bl w:val="nil"/>
            </w:tcBorders>
            <w:shd w:val="solid" w:color="FFFFFF" w:fill="FFFFFF"/>
            <w:noWrap/>
            <w:vAlign w:val="bottom"/>
          </w:tcPr>
          <w:p w14:paraId="7F528472"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802" w:type="pct"/>
            <w:tcBorders>
              <w:top w:val="nil"/>
              <w:left w:val="nil"/>
              <w:bottom w:val="nil"/>
              <w:right w:val="nil"/>
              <w:tl2br w:val="nil"/>
              <w:tr2bl w:val="nil"/>
            </w:tcBorders>
            <w:shd w:val="solid" w:color="FFFFFF" w:fill="FFFFFF"/>
            <w:noWrap/>
            <w:vAlign w:val="bottom"/>
          </w:tcPr>
          <w:p w14:paraId="1BB003B3" w14:textId="77777777" w:rsidR="006E442A" w:rsidRDefault="006E442A" w:rsidP="006E442A">
            <w:pPr>
              <w:spacing w:after="1"/>
              <w:jc w:val="right"/>
              <w:rPr>
                <w:rFonts w:ascii="Calibri" w:eastAsia="Calibri" w:hAnsi="Calibri" w:cs="Calibri"/>
                <w:color w:val="000000"/>
                <w:sz w:val="20"/>
              </w:rPr>
            </w:pPr>
            <w:r>
              <w:rPr>
                <w:rFonts w:ascii="Calibri" w:eastAsia="Calibri" w:hAnsi="Calibri" w:cs="Calibri"/>
                <w:color w:val="000000"/>
                <w:sz w:val="20"/>
              </w:rPr>
              <w:t xml:space="preserve"> (1,101)</w:t>
            </w:r>
          </w:p>
        </w:tc>
        <w:tc>
          <w:tcPr>
            <w:tcW w:w="159" w:type="pct"/>
            <w:tcBorders>
              <w:top w:val="nil"/>
              <w:left w:val="nil"/>
              <w:bottom w:val="nil"/>
              <w:right w:val="nil"/>
              <w:tl2br w:val="nil"/>
              <w:tr2bl w:val="nil"/>
            </w:tcBorders>
            <w:shd w:val="solid" w:color="FFFFFF" w:fill="FFFFFF"/>
            <w:noWrap/>
            <w:vAlign w:val="bottom"/>
          </w:tcPr>
          <w:p w14:paraId="4A8AAE49" w14:textId="77777777" w:rsidR="006E442A" w:rsidRDefault="006E442A" w:rsidP="006E442A">
            <w:pPr>
              <w:spacing w:after="1"/>
              <w:rPr>
                <w:rFonts w:ascii="Calibri" w:eastAsia="Calibri" w:hAnsi="Calibri" w:cs="Calibri"/>
                <w:color w:val="000000"/>
                <w:sz w:val="20"/>
              </w:rPr>
            </w:pPr>
          </w:p>
        </w:tc>
        <w:tc>
          <w:tcPr>
            <w:tcW w:w="103" w:type="pct"/>
            <w:tcBorders>
              <w:top w:val="nil"/>
              <w:left w:val="nil"/>
              <w:bottom w:val="nil"/>
              <w:right w:val="nil"/>
              <w:tl2br w:val="nil"/>
              <w:tr2bl w:val="nil"/>
            </w:tcBorders>
            <w:shd w:val="solid" w:color="FFFFFF" w:fill="FFFFFF"/>
            <w:vAlign w:val="bottom"/>
          </w:tcPr>
          <w:p w14:paraId="454D1291"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838" w:type="pct"/>
            <w:tcBorders>
              <w:top w:val="nil"/>
              <w:left w:val="nil"/>
              <w:bottom w:val="nil"/>
              <w:right w:val="nil"/>
              <w:tl2br w:val="nil"/>
              <w:tr2bl w:val="nil"/>
            </w:tcBorders>
            <w:shd w:val="solid" w:color="FFFFFF" w:fill="FFFFFF"/>
            <w:noWrap/>
            <w:vAlign w:val="bottom"/>
          </w:tcPr>
          <w:p w14:paraId="38CE1BAB" w14:textId="77777777" w:rsidR="006E442A" w:rsidRDefault="006E442A" w:rsidP="006E442A">
            <w:pPr>
              <w:spacing w:after="1"/>
              <w:jc w:val="right"/>
              <w:rPr>
                <w:rFonts w:ascii="Calibri" w:eastAsia="Calibri" w:hAnsi="Calibri" w:cs="Calibri"/>
                <w:color w:val="000000"/>
                <w:sz w:val="20"/>
              </w:rPr>
            </w:pPr>
            <w:r>
              <w:rPr>
                <w:rFonts w:ascii="Calibri" w:eastAsia="Calibri" w:hAnsi="Calibri" w:cs="Calibri"/>
                <w:color w:val="000000"/>
                <w:sz w:val="20"/>
              </w:rPr>
              <w:t xml:space="preserve"> (1,105)</w:t>
            </w:r>
          </w:p>
        </w:tc>
      </w:tr>
      <w:tr w:rsidR="006E442A" w14:paraId="10F300CF" w14:textId="77777777" w:rsidTr="006E442A">
        <w:tc>
          <w:tcPr>
            <w:tcW w:w="2837" w:type="pct"/>
            <w:tcBorders>
              <w:top w:val="nil"/>
              <w:left w:val="nil"/>
              <w:bottom w:val="nil"/>
              <w:right w:val="nil"/>
              <w:tl2br w:val="nil"/>
              <w:tr2bl w:val="nil"/>
            </w:tcBorders>
            <w:shd w:val="solid" w:color="FFFFFF" w:fill="FFFFFF"/>
            <w:vAlign w:val="bottom"/>
          </w:tcPr>
          <w:p w14:paraId="163A3EAC" w14:textId="01382BE8" w:rsidR="006E442A" w:rsidRDefault="006E442A" w:rsidP="006E442A">
            <w:pPr>
              <w:spacing w:after="1"/>
              <w:ind w:left="120"/>
              <w:rPr>
                <w:rFonts w:ascii="Calibri" w:eastAsia="Calibri" w:hAnsi="Calibri" w:cs="Calibri"/>
                <w:color w:val="000000"/>
                <w:sz w:val="20"/>
              </w:rPr>
            </w:pPr>
            <w:r>
              <w:rPr>
                <w:rFonts w:ascii="Calibri" w:eastAsia="Calibri" w:hAnsi="Calibri" w:cs="Calibri"/>
                <w:color w:val="000000"/>
                <w:sz w:val="20"/>
              </w:rPr>
              <w:t>Other expense—net</w:t>
            </w:r>
          </w:p>
        </w:tc>
        <w:tc>
          <w:tcPr>
            <w:tcW w:w="159" w:type="pct"/>
            <w:tcBorders>
              <w:top w:val="nil"/>
              <w:left w:val="nil"/>
              <w:bottom w:val="nil"/>
              <w:right w:val="nil"/>
              <w:tl2br w:val="nil"/>
              <w:tr2bl w:val="nil"/>
            </w:tcBorders>
            <w:shd w:val="solid" w:color="FFFFFF" w:fill="FFFFFF"/>
            <w:noWrap/>
            <w:vAlign w:val="bottom"/>
          </w:tcPr>
          <w:p w14:paraId="53830C79" w14:textId="77777777" w:rsidR="006E442A" w:rsidRDefault="006E442A" w:rsidP="006E442A">
            <w:pPr>
              <w:spacing w:after="1"/>
              <w:jc w:val="right"/>
              <w:rPr>
                <w:rFonts w:ascii="Calibri" w:eastAsia="Calibri" w:hAnsi="Calibri" w:cs="Calibri"/>
                <w:color w:val="000000"/>
                <w:sz w:val="20"/>
              </w:rPr>
            </w:pPr>
          </w:p>
        </w:tc>
        <w:tc>
          <w:tcPr>
            <w:tcW w:w="103" w:type="pct"/>
            <w:tcBorders>
              <w:top w:val="nil"/>
              <w:left w:val="nil"/>
              <w:bottom w:val="nil"/>
              <w:right w:val="nil"/>
              <w:tl2br w:val="nil"/>
              <w:tr2bl w:val="nil"/>
            </w:tcBorders>
            <w:shd w:val="solid" w:color="FFFFFF" w:fill="FFFFFF"/>
            <w:noWrap/>
            <w:vAlign w:val="bottom"/>
          </w:tcPr>
          <w:p w14:paraId="65825C71"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802" w:type="pct"/>
            <w:tcBorders>
              <w:top w:val="nil"/>
              <w:left w:val="nil"/>
              <w:bottom w:val="nil"/>
              <w:right w:val="nil"/>
              <w:tl2br w:val="nil"/>
              <w:tr2bl w:val="nil"/>
            </w:tcBorders>
            <w:shd w:val="solid" w:color="FFFFFF" w:fill="FFFFFF"/>
            <w:noWrap/>
            <w:vAlign w:val="bottom"/>
          </w:tcPr>
          <w:p w14:paraId="552136C3" w14:textId="77777777" w:rsidR="006E442A" w:rsidRDefault="006E442A" w:rsidP="006E442A">
            <w:pPr>
              <w:spacing w:after="1"/>
              <w:jc w:val="right"/>
              <w:rPr>
                <w:rFonts w:ascii="Calibri" w:eastAsia="Calibri" w:hAnsi="Calibri" w:cs="Calibri"/>
                <w:color w:val="000000"/>
                <w:sz w:val="20"/>
              </w:rPr>
            </w:pPr>
            <w:r>
              <w:rPr>
                <w:rFonts w:ascii="Calibri" w:eastAsia="Calibri" w:hAnsi="Calibri" w:cs="Calibri"/>
                <w:color w:val="000000"/>
                <w:sz w:val="20"/>
              </w:rPr>
              <w:t xml:space="preserve"> (36)</w:t>
            </w:r>
          </w:p>
        </w:tc>
        <w:tc>
          <w:tcPr>
            <w:tcW w:w="159" w:type="pct"/>
            <w:tcBorders>
              <w:top w:val="nil"/>
              <w:left w:val="nil"/>
              <w:bottom w:val="nil"/>
              <w:right w:val="nil"/>
              <w:tl2br w:val="nil"/>
              <w:tr2bl w:val="nil"/>
            </w:tcBorders>
            <w:shd w:val="solid" w:color="FFFFFF" w:fill="FFFFFF"/>
            <w:noWrap/>
            <w:vAlign w:val="bottom"/>
          </w:tcPr>
          <w:p w14:paraId="763EBD44" w14:textId="77777777" w:rsidR="006E442A" w:rsidRDefault="006E442A" w:rsidP="006E442A">
            <w:pPr>
              <w:spacing w:after="1"/>
              <w:rPr>
                <w:rFonts w:ascii="Calibri" w:eastAsia="Calibri" w:hAnsi="Calibri" w:cs="Calibri"/>
                <w:color w:val="000000"/>
                <w:sz w:val="20"/>
              </w:rPr>
            </w:pPr>
          </w:p>
        </w:tc>
        <w:tc>
          <w:tcPr>
            <w:tcW w:w="103" w:type="pct"/>
            <w:tcBorders>
              <w:top w:val="nil"/>
              <w:left w:val="nil"/>
              <w:bottom w:val="nil"/>
              <w:right w:val="nil"/>
              <w:tl2br w:val="nil"/>
              <w:tr2bl w:val="nil"/>
            </w:tcBorders>
            <w:shd w:val="solid" w:color="FFFFFF" w:fill="FFFFFF"/>
            <w:vAlign w:val="bottom"/>
          </w:tcPr>
          <w:p w14:paraId="5FEFBF28"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838" w:type="pct"/>
            <w:tcBorders>
              <w:top w:val="nil"/>
              <w:left w:val="nil"/>
              <w:bottom w:val="nil"/>
              <w:right w:val="nil"/>
              <w:tl2br w:val="nil"/>
              <w:tr2bl w:val="nil"/>
            </w:tcBorders>
            <w:shd w:val="solid" w:color="FFFFFF" w:fill="FFFFFF"/>
            <w:noWrap/>
            <w:vAlign w:val="bottom"/>
          </w:tcPr>
          <w:p w14:paraId="0B853947" w14:textId="77777777" w:rsidR="006E442A" w:rsidRDefault="006E442A" w:rsidP="006E442A">
            <w:pPr>
              <w:spacing w:after="1"/>
              <w:jc w:val="right"/>
              <w:rPr>
                <w:rFonts w:ascii="Calibri" w:eastAsia="Calibri" w:hAnsi="Calibri" w:cs="Calibri"/>
                <w:color w:val="000000"/>
                <w:sz w:val="20"/>
              </w:rPr>
            </w:pPr>
            <w:r>
              <w:rPr>
                <w:rFonts w:ascii="Calibri" w:eastAsia="Calibri" w:hAnsi="Calibri" w:cs="Calibri"/>
                <w:color w:val="000000"/>
                <w:sz w:val="20"/>
              </w:rPr>
              <w:t xml:space="preserve"> (2,725)</w:t>
            </w:r>
          </w:p>
        </w:tc>
      </w:tr>
      <w:tr w:rsidR="006E442A" w14:paraId="2D96670C" w14:textId="77777777" w:rsidTr="006E442A">
        <w:tc>
          <w:tcPr>
            <w:tcW w:w="2837" w:type="pct"/>
            <w:tcBorders>
              <w:top w:val="nil"/>
              <w:left w:val="nil"/>
              <w:bottom w:val="nil"/>
              <w:right w:val="nil"/>
              <w:tl2br w:val="nil"/>
              <w:tr2bl w:val="nil"/>
            </w:tcBorders>
            <w:shd w:val="solid" w:color="FFFFFF" w:fill="FFFFFF"/>
            <w:vAlign w:val="bottom"/>
          </w:tcPr>
          <w:p w14:paraId="5572B886" w14:textId="77777777" w:rsidR="006E442A" w:rsidRDefault="006E442A" w:rsidP="006E442A">
            <w:pPr>
              <w:spacing w:after="1"/>
              <w:ind w:left="120"/>
              <w:rPr>
                <w:rFonts w:ascii="Calibri" w:eastAsia="Calibri" w:hAnsi="Calibri" w:cs="Calibri"/>
                <w:color w:val="000000"/>
                <w:sz w:val="20"/>
              </w:rPr>
            </w:pPr>
            <w:r>
              <w:rPr>
                <w:rFonts w:ascii="Calibri" w:eastAsia="Calibri" w:hAnsi="Calibri" w:cs="Calibri"/>
                <w:color w:val="000000"/>
                <w:sz w:val="20"/>
              </w:rPr>
              <w:t>Income from equity method investments</w:t>
            </w:r>
          </w:p>
        </w:tc>
        <w:tc>
          <w:tcPr>
            <w:tcW w:w="159" w:type="pct"/>
            <w:tcBorders>
              <w:top w:val="nil"/>
              <w:left w:val="nil"/>
              <w:bottom w:val="nil"/>
              <w:right w:val="nil"/>
              <w:tl2br w:val="nil"/>
              <w:tr2bl w:val="nil"/>
            </w:tcBorders>
            <w:shd w:val="solid" w:color="FFFFFF" w:fill="FFFFFF"/>
            <w:noWrap/>
            <w:vAlign w:val="bottom"/>
          </w:tcPr>
          <w:p w14:paraId="2D1DD6C8" w14:textId="77777777" w:rsidR="006E442A" w:rsidRDefault="006E442A" w:rsidP="006E442A">
            <w:pPr>
              <w:spacing w:after="1"/>
              <w:jc w:val="right"/>
              <w:rPr>
                <w:rFonts w:ascii="Calibri" w:eastAsia="Calibri" w:hAnsi="Calibri" w:cs="Calibri"/>
                <w:color w:val="000000"/>
                <w:sz w:val="20"/>
              </w:rPr>
            </w:pPr>
          </w:p>
        </w:tc>
        <w:tc>
          <w:tcPr>
            <w:tcW w:w="103" w:type="pct"/>
            <w:tcBorders>
              <w:top w:val="nil"/>
              <w:left w:val="nil"/>
              <w:bottom w:val="single" w:sz="4" w:space="0" w:color="000000"/>
              <w:right w:val="nil"/>
              <w:tl2br w:val="nil"/>
              <w:tr2bl w:val="nil"/>
            </w:tcBorders>
            <w:shd w:val="solid" w:color="FFFFFF" w:fill="FFFFFF"/>
            <w:noWrap/>
            <w:vAlign w:val="bottom"/>
          </w:tcPr>
          <w:p w14:paraId="6CC571EC"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802" w:type="pct"/>
            <w:tcBorders>
              <w:top w:val="nil"/>
              <w:left w:val="nil"/>
              <w:bottom w:val="single" w:sz="4" w:space="0" w:color="000000"/>
              <w:right w:val="nil"/>
              <w:tl2br w:val="nil"/>
              <w:tr2bl w:val="nil"/>
            </w:tcBorders>
            <w:shd w:val="solid" w:color="FFFFFF" w:fill="FFFFFF"/>
            <w:noWrap/>
            <w:vAlign w:val="bottom"/>
          </w:tcPr>
          <w:p w14:paraId="6DB05E92"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95</w:t>
            </w:r>
          </w:p>
        </w:tc>
        <w:tc>
          <w:tcPr>
            <w:tcW w:w="159" w:type="pct"/>
            <w:tcBorders>
              <w:top w:val="nil"/>
              <w:left w:val="nil"/>
              <w:bottom w:val="nil"/>
              <w:right w:val="nil"/>
              <w:tl2br w:val="nil"/>
              <w:tr2bl w:val="nil"/>
            </w:tcBorders>
            <w:shd w:val="solid" w:color="FFFFFF" w:fill="FFFFFF"/>
            <w:noWrap/>
            <w:vAlign w:val="bottom"/>
          </w:tcPr>
          <w:p w14:paraId="2229005A" w14:textId="77777777" w:rsidR="006E442A" w:rsidRDefault="006E442A" w:rsidP="006E442A">
            <w:pPr>
              <w:spacing w:after="1"/>
              <w:rPr>
                <w:rFonts w:ascii="Calibri" w:eastAsia="Calibri" w:hAnsi="Calibri" w:cs="Calibri"/>
                <w:color w:val="000000"/>
                <w:sz w:val="20"/>
              </w:rPr>
            </w:pPr>
          </w:p>
        </w:tc>
        <w:tc>
          <w:tcPr>
            <w:tcW w:w="103" w:type="pct"/>
            <w:tcBorders>
              <w:top w:val="nil"/>
              <w:left w:val="nil"/>
              <w:bottom w:val="single" w:sz="4" w:space="0" w:color="000000"/>
              <w:right w:val="nil"/>
              <w:tl2br w:val="nil"/>
              <w:tr2bl w:val="nil"/>
            </w:tcBorders>
            <w:shd w:val="solid" w:color="FFFFFF" w:fill="FFFFFF"/>
            <w:vAlign w:val="bottom"/>
          </w:tcPr>
          <w:p w14:paraId="19FF332C"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838" w:type="pct"/>
            <w:tcBorders>
              <w:top w:val="nil"/>
              <w:left w:val="nil"/>
              <w:bottom w:val="single" w:sz="4" w:space="0" w:color="000000"/>
              <w:right w:val="nil"/>
              <w:tl2br w:val="nil"/>
              <w:tr2bl w:val="nil"/>
            </w:tcBorders>
            <w:shd w:val="solid" w:color="FFFFFF" w:fill="FFFFFF"/>
            <w:noWrap/>
            <w:vAlign w:val="bottom"/>
          </w:tcPr>
          <w:p w14:paraId="6E5AD47B"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175</w:t>
            </w:r>
          </w:p>
        </w:tc>
      </w:tr>
      <w:tr w:rsidR="006E442A" w14:paraId="40D60675" w14:textId="77777777" w:rsidTr="006E442A">
        <w:tc>
          <w:tcPr>
            <w:tcW w:w="2837" w:type="pct"/>
            <w:tcBorders>
              <w:top w:val="nil"/>
              <w:left w:val="nil"/>
              <w:bottom w:val="nil"/>
              <w:right w:val="nil"/>
              <w:tl2br w:val="nil"/>
              <w:tr2bl w:val="nil"/>
            </w:tcBorders>
            <w:shd w:val="solid" w:color="FFFFFF" w:fill="FFFFFF"/>
            <w:vAlign w:val="bottom"/>
          </w:tcPr>
          <w:p w14:paraId="7DFC14A4" w14:textId="77777777" w:rsidR="006E442A" w:rsidRDefault="006E442A" w:rsidP="006E442A">
            <w:pPr>
              <w:spacing w:after="1"/>
              <w:ind w:left="240"/>
              <w:rPr>
                <w:rFonts w:ascii="Calibri" w:eastAsia="Calibri" w:hAnsi="Calibri" w:cs="Calibri"/>
                <w:color w:val="000000"/>
                <w:sz w:val="20"/>
              </w:rPr>
            </w:pPr>
            <w:r>
              <w:rPr>
                <w:rFonts w:ascii="Calibri" w:eastAsia="Calibri" w:hAnsi="Calibri" w:cs="Calibri"/>
                <w:color w:val="000000"/>
                <w:sz w:val="20"/>
              </w:rPr>
              <w:t>Total other expense—net</w:t>
            </w:r>
          </w:p>
        </w:tc>
        <w:tc>
          <w:tcPr>
            <w:tcW w:w="159" w:type="pct"/>
            <w:tcBorders>
              <w:top w:val="nil"/>
              <w:left w:val="nil"/>
              <w:bottom w:val="nil"/>
              <w:right w:val="nil"/>
              <w:tl2br w:val="nil"/>
              <w:tr2bl w:val="nil"/>
            </w:tcBorders>
            <w:shd w:val="solid" w:color="FFFFFF" w:fill="FFFFFF"/>
            <w:noWrap/>
            <w:vAlign w:val="bottom"/>
          </w:tcPr>
          <w:p w14:paraId="4AB0DD40" w14:textId="77777777" w:rsidR="006E442A" w:rsidRDefault="006E442A" w:rsidP="006E442A">
            <w:pPr>
              <w:spacing w:after="1"/>
              <w:jc w:val="right"/>
              <w:rPr>
                <w:rFonts w:ascii="Calibri" w:eastAsia="Calibri" w:hAnsi="Calibri" w:cs="Calibri"/>
                <w:color w:val="000000"/>
                <w:sz w:val="20"/>
              </w:rPr>
            </w:pPr>
          </w:p>
        </w:tc>
        <w:tc>
          <w:tcPr>
            <w:tcW w:w="103" w:type="pct"/>
            <w:tcBorders>
              <w:top w:val="nil"/>
              <w:left w:val="nil"/>
              <w:bottom w:val="single" w:sz="4" w:space="0" w:color="000000"/>
              <w:right w:val="nil"/>
              <w:tl2br w:val="nil"/>
              <w:tr2bl w:val="nil"/>
            </w:tcBorders>
            <w:shd w:val="solid" w:color="FFFFFF" w:fill="FFFFFF"/>
            <w:noWrap/>
            <w:vAlign w:val="bottom"/>
          </w:tcPr>
          <w:p w14:paraId="7E24BBE2"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802" w:type="pct"/>
            <w:tcBorders>
              <w:top w:val="nil"/>
              <w:left w:val="nil"/>
              <w:bottom w:val="single" w:sz="4" w:space="0" w:color="000000"/>
              <w:right w:val="nil"/>
              <w:tl2br w:val="nil"/>
              <w:tr2bl w:val="nil"/>
            </w:tcBorders>
            <w:shd w:val="solid" w:color="FFFFFF" w:fill="FFFFFF"/>
            <w:noWrap/>
            <w:vAlign w:val="bottom"/>
          </w:tcPr>
          <w:p w14:paraId="6248D2EC" w14:textId="77777777" w:rsidR="006E442A" w:rsidRDefault="006E442A" w:rsidP="006E442A">
            <w:pPr>
              <w:spacing w:after="1"/>
              <w:jc w:val="right"/>
              <w:rPr>
                <w:rFonts w:ascii="Calibri" w:eastAsia="Calibri" w:hAnsi="Calibri" w:cs="Calibri"/>
                <w:color w:val="000000"/>
                <w:sz w:val="20"/>
              </w:rPr>
            </w:pPr>
            <w:r>
              <w:rPr>
                <w:rFonts w:ascii="Calibri" w:eastAsia="Calibri" w:hAnsi="Calibri" w:cs="Calibri"/>
                <w:color w:val="000000"/>
                <w:sz w:val="20"/>
              </w:rPr>
              <w:t xml:space="preserve"> (18,655)</w:t>
            </w:r>
          </w:p>
        </w:tc>
        <w:tc>
          <w:tcPr>
            <w:tcW w:w="159" w:type="pct"/>
            <w:tcBorders>
              <w:top w:val="nil"/>
              <w:left w:val="nil"/>
              <w:bottom w:val="nil"/>
              <w:right w:val="nil"/>
              <w:tl2br w:val="nil"/>
              <w:tr2bl w:val="nil"/>
            </w:tcBorders>
            <w:shd w:val="solid" w:color="FFFFFF" w:fill="FFFFFF"/>
            <w:noWrap/>
            <w:vAlign w:val="bottom"/>
          </w:tcPr>
          <w:p w14:paraId="1ED09176" w14:textId="77777777" w:rsidR="006E442A" w:rsidRDefault="006E442A" w:rsidP="006E442A">
            <w:pPr>
              <w:spacing w:after="1"/>
              <w:rPr>
                <w:rFonts w:ascii="Calibri" w:eastAsia="Calibri" w:hAnsi="Calibri" w:cs="Calibri"/>
                <w:color w:val="000000"/>
                <w:sz w:val="20"/>
              </w:rPr>
            </w:pPr>
          </w:p>
        </w:tc>
        <w:tc>
          <w:tcPr>
            <w:tcW w:w="103" w:type="pct"/>
            <w:tcBorders>
              <w:top w:val="nil"/>
              <w:left w:val="nil"/>
              <w:bottom w:val="single" w:sz="4" w:space="0" w:color="000000"/>
              <w:right w:val="nil"/>
              <w:tl2br w:val="nil"/>
              <w:tr2bl w:val="nil"/>
            </w:tcBorders>
            <w:shd w:val="solid" w:color="FFFFFF" w:fill="FFFFFF"/>
            <w:vAlign w:val="bottom"/>
          </w:tcPr>
          <w:p w14:paraId="42691AA8"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838" w:type="pct"/>
            <w:tcBorders>
              <w:top w:val="nil"/>
              <w:left w:val="nil"/>
              <w:bottom w:val="single" w:sz="4" w:space="0" w:color="000000"/>
              <w:right w:val="nil"/>
              <w:tl2br w:val="nil"/>
              <w:tr2bl w:val="nil"/>
            </w:tcBorders>
            <w:shd w:val="solid" w:color="FFFFFF" w:fill="FFFFFF"/>
            <w:noWrap/>
            <w:vAlign w:val="bottom"/>
          </w:tcPr>
          <w:p w14:paraId="5530811D" w14:textId="77777777" w:rsidR="006E442A" w:rsidRDefault="006E442A" w:rsidP="006E442A">
            <w:pPr>
              <w:spacing w:after="1"/>
              <w:jc w:val="right"/>
              <w:rPr>
                <w:rFonts w:ascii="Calibri" w:eastAsia="Calibri" w:hAnsi="Calibri" w:cs="Calibri"/>
                <w:color w:val="000000"/>
                <w:sz w:val="20"/>
              </w:rPr>
            </w:pPr>
            <w:r>
              <w:rPr>
                <w:rFonts w:ascii="Calibri" w:eastAsia="Calibri" w:hAnsi="Calibri" w:cs="Calibri"/>
                <w:color w:val="000000"/>
                <w:sz w:val="20"/>
              </w:rPr>
              <w:t xml:space="preserve"> (47,120)</w:t>
            </w:r>
          </w:p>
        </w:tc>
      </w:tr>
      <w:tr w:rsidR="006E442A" w14:paraId="0E39C414" w14:textId="77777777" w:rsidTr="006E442A">
        <w:tc>
          <w:tcPr>
            <w:tcW w:w="2837" w:type="pct"/>
            <w:tcBorders>
              <w:top w:val="nil"/>
              <w:left w:val="nil"/>
              <w:bottom w:val="nil"/>
              <w:right w:val="nil"/>
              <w:tl2br w:val="nil"/>
              <w:tr2bl w:val="nil"/>
            </w:tcBorders>
            <w:shd w:val="solid" w:color="FFFFFF" w:fill="FFFFFF"/>
            <w:vAlign w:val="bottom"/>
          </w:tcPr>
          <w:p w14:paraId="6DC296EF"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INCOME (LOSS) BEFORE INCOME TAX</w:t>
            </w:r>
          </w:p>
        </w:tc>
        <w:tc>
          <w:tcPr>
            <w:tcW w:w="159" w:type="pct"/>
            <w:tcBorders>
              <w:top w:val="nil"/>
              <w:left w:val="nil"/>
              <w:bottom w:val="nil"/>
              <w:right w:val="nil"/>
              <w:tl2br w:val="nil"/>
              <w:tr2bl w:val="nil"/>
            </w:tcBorders>
            <w:shd w:val="solid" w:color="FFFFFF" w:fill="FFFFFF"/>
            <w:noWrap/>
            <w:vAlign w:val="bottom"/>
          </w:tcPr>
          <w:p w14:paraId="5D254642" w14:textId="77777777" w:rsidR="006E442A" w:rsidRDefault="006E442A" w:rsidP="006E442A">
            <w:pPr>
              <w:spacing w:after="1"/>
              <w:jc w:val="right"/>
              <w:rPr>
                <w:rFonts w:ascii="Calibri" w:eastAsia="Calibri" w:hAnsi="Calibri" w:cs="Calibri"/>
                <w:color w:val="000000"/>
                <w:sz w:val="20"/>
              </w:rPr>
            </w:pPr>
          </w:p>
        </w:tc>
        <w:tc>
          <w:tcPr>
            <w:tcW w:w="103" w:type="pct"/>
            <w:tcBorders>
              <w:top w:val="nil"/>
              <w:left w:val="nil"/>
              <w:bottom w:val="nil"/>
              <w:right w:val="nil"/>
              <w:tl2br w:val="nil"/>
              <w:tr2bl w:val="nil"/>
            </w:tcBorders>
            <w:shd w:val="solid" w:color="FFFFFF" w:fill="FFFFFF"/>
            <w:noWrap/>
            <w:vAlign w:val="bottom"/>
          </w:tcPr>
          <w:p w14:paraId="7A05407E"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802" w:type="pct"/>
            <w:tcBorders>
              <w:top w:val="nil"/>
              <w:left w:val="nil"/>
              <w:bottom w:val="nil"/>
              <w:right w:val="nil"/>
              <w:tl2br w:val="nil"/>
              <w:tr2bl w:val="nil"/>
            </w:tcBorders>
            <w:shd w:val="solid" w:color="FFFFFF" w:fill="FFFFFF"/>
            <w:noWrap/>
            <w:vAlign w:val="bottom"/>
          </w:tcPr>
          <w:p w14:paraId="36881EE8"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54,699</w:t>
            </w:r>
          </w:p>
        </w:tc>
        <w:tc>
          <w:tcPr>
            <w:tcW w:w="159" w:type="pct"/>
            <w:tcBorders>
              <w:top w:val="nil"/>
              <w:left w:val="nil"/>
              <w:bottom w:val="nil"/>
              <w:right w:val="nil"/>
              <w:tl2br w:val="nil"/>
              <w:tr2bl w:val="nil"/>
            </w:tcBorders>
            <w:shd w:val="solid" w:color="FFFFFF" w:fill="FFFFFF"/>
            <w:noWrap/>
            <w:vAlign w:val="bottom"/>
          </w:tcPr>
          <w:p w14:paraId="1F166AF2" w14:textId="77777777" w:rsidR="006E442A" w:rsidRDefault="006E442A" w:rsidP="006E442A">
            <w:pPr>
              <w:spacing w:after="1"/>
              <w:rPr>
                <w:rFonts w:ascii="Calibri" w:eastAsia="Calibri" w:hAnsi="Calibri" w:cs="Calibri"/>
                <w:color w:val="000000"/>
                <w:sz w:val="20"/>
              </w:rPr>
            </w:pPr>
          </w:p>
        </w:tc>
        <w:tc>
          <w:tcPr>
            <w:tcW w:w="103" w:type="pct"/>
            <w:tcBorders>
              <w:top w:val="nil"/>
              <w:left w:val="nil"/>
              <w:bottom w:val="nil"/>
              <w:right w:val="nil"/>
              <w:tl2br w:val="nil"/>
              <w:tr2bl w:val="nil"/>
            </w:tcBorders>
            <w:shd w:val="solid" w:color="FFFFFF" w:fill="FFFFFF"/>
            <w:vAlign w:val="bottom"/>
          </w:tcPr>
          <w:p w14:paraId="3A119663"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838" w:type="pct"/>
            <w:tcBorders>
              <w:top w:val="nil"/>
              <w:left w:val="nil"/>
              <w:bottom w:val="nil"/>
              <w:right w:val="nil"/>
              <w:tl2br w:val="nil"/>
              <w:tr2bl w:val="nil"/>
            </w:tcBorders>
            <w:shd w:val="solid" w:color="FFFFFF" w:fill="FFFFFF"/>
            <w:noWrap/>
            <w:vAlign w:val="bottom"/>
          </w:tcPr>
          <w:p w14:paraId="4FC330F3" w14:textId="77777777" w:rsidR="006E442A" w:rsidRDefault="006E442A" w:rsidP="006E442A">
            <w:pPr>
              <w:spacing w:after="1"/>
              <w:jc w:val="right"/>
              <w:rPr>
                <w:rFonts w:ascii="Calibri" w:eastAsia="Calibri" w:hAnsi="Calibri" w:cs="Calibri"/>
                <w:color w:val="000000"/>
                <w:sz w:val="20"/>
              </w:rPr>
            </w:pPr>
            <w:r>
              <w:rPr>
                <w:rFonts w:ascii="Calibri" w:eastAsia="Calibri" w:hAnsi="Calibri" w:cs="Calibri"/>
                <w:color w:val="000000"/>
                <w:sz w:val="20"/>
              </w:rPr>
              <w:t xml:space="preserve"> (25,680)</w:t>
            </w:r>
          </w:p>
        </w:tc>
      </w:tr>
      <w:tr w:rsidR="006E442A" w14:paraId="16078E3B" w14:textId="77777777" w:rsidTr="006E442A">
        <w:tc>
          <w:tcPr>
            <w:tcW w:w="2837" w:type="pct"/>
            <w:tcBorders>
              <w:top w:val="nil"/>
              <w:left w:val="nil"/>
              <w:bottom w:val="nil"/>
              <w:right w:val="nil"/>
              <w:tl2br w:val="nil"/>
              <w:tr2bl w:val="nil"/>
            </w:tcBorders>
            <w:shd w:val="solid" w:color="FFFFFF" w:fill="FFFFFF"/>
            <w:vAlign w:val="bottom"/>
          </w:tcPr>
          <w:p w14:paraId="5923F906"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INCOME TAX EXPENSE (BENEFIT)</w:t>
            </w:r>
          </w:p>
        </w:tc>
        <w:tc>
          <w:tcPr>
            <w:tcW w:w="159" w:type="pct"/>
            <w:tcBorders>
              <w:top w:val="nil"/>
              <w:left w:val="nil"/>
              <w:bottom w:val="nil"/>
              <w:right w:val="nil"/>
              <w:tl2br w:val="nil"/>
              <w:tr2bl w:val="nil"/>
            </w:tcBorders>
            <w:shd w:val="solid" w:color="FFFFFF" w:fill="FFFFFF"/>
            <w:noWrap/>
            <w:vAlign w:val="bottom"/>
          </w:tcPr>
          <w:p w14:paraId="54153924" w14:textId="77777777" w:rsidR="006E442A" w:rsidRDefault="006E442A" w:rsidP="006E442A">
            <w:pPr>
              <w:spacing w:after="1"/>
              <w:jc w:val="right"/>
              <w:rPr>
                <w:rFonts w:ascii="Calibri" w:eastAsia="Calibri" w:hAnsi="Calibri" w:cs="Calibri"/>
                <w:color w:val="000000"/>
                <w:sz w:val="20"/>
              </w:rPr>
            </w:pPr>
          </w:p>
        </w:tc>
        <w:tc>
          <w:tcPr>
            <w:tcW w:w="103" w:type="pct"/>
            <w:tcBorders>
              <w:top w:val="nil"/>
              <w:left w:val="nil"/>
              <w:bottom w:val="single" w:sz="4" w:space="0" w:color="000000"/>
              <w:right w:val="nil"/>
              <w:tl2br w:val="nil"/>
              <w:tr2bl w:val="nil"/>
            </w:tcBorders>
            <w:shd w:val="solid" w:color="FFFFFF" w:fill="FFFFFF"/>
            <w:noWrap/>
            <w:vAlign w:val="bottom"/>
          </w:tcPr>
          <w:p w14:paraId="4D3DEB60"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802" w:type="pct"/>
            <w:tcBorders>
              <w:top w:val="nil"/>
              <w:left w:val="nil"/>
              <w:bottom w:val="single" w:sz="4" w:space="0" w:color="000000"/>
              <w:right w:val="nil"/>
              <w:tl2br w:val="nil"/>
              <w:tr2bl w:val="nil"/>
            </w:tcBorders>
            <w:shd w:val="solid" w:color="FFFFFF" w:fill="FFFFFF"/>
            <w:noWrap/>
            <w:vAlign w:val="bottom"/>
          </w:tcPr>
          <w:p w14:paraId="5B7B9EC9"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15,617</w:t>
            </w:r>
          </w:p>
        </w:tc>
        <w:tc>
          <w:tcPr>
            <w:tcW w:w="159" w:type="pct"/>
            <w:tcBorders>
              <w:top w:val="nil"/>
              <w:left w:val="nil"/>
              <w:bottom w:val="nil"/>
              <w:right w:val="nil"/>
              <w:tl2br w:val="nil"/>
              <w:tr2bl w:val="nil"/>
            </w:tcBorders>
            <w:shd w:val="solid" w:color="FFFFFF" w:fill="FFFFFF"/>
            <w:noWrap/>
            <w:vAlign w:val="bottom"/>
          </w:tcPr>
          <w:p w14:paraId="308767DA" w14:textId="77777777" w:rsidR="006E442A" w:rsidRDefault="006E442A" w:rsidP="006E442A">
            <w:pPr>
              <w:spacing w:after="1"/>
              <w:rPr>
                <w:rFonts w:ascii="Calibri" w:eastAsia="Calibri" w:hAnsi="Calibri" w:cs="Calibri"/>
                <w:color w:val="000000"/>
                <w:sz w:val="20"/>
              </w:rPr>
            </w:pPr>
          </w:p>
        </w:tc>
        <w:tc>
          <w:tcPr>
            <w:tcW w:w="103" w:type="pct"/>
            <w:tcBorders>
              <w:top w:val="nil"/>
              <w:left w:val="nil"/>
              <w:bottom w:val="single" w:sz="4" w:space="0" w:color="000000"/>
              <w:right w:val="nil"/>
              <w:tl2br w:val="nil"/>
              <w:tr2bl w:val="nil"/>
            </w:tcBorders>
            <w:shd w:val="solid" w:color="FFFFFF" w:fill="FFFFFF"/>
            <w:vAlign w:val="bottom"/>
          </w:tcPr>
          <w:p w14:paraId="55A7E013"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838" w:type="pct"/>
            <w:tcBorders>
              <w:top w:val="nil"/>
              <w:left w:val="nil"/>
              <w:bottom w:val="single" w:sz="4" w:space="0" w:color="000000"/>
              <w:right w:val="nil"/>
              <w:tl2br w:val="nil"/>
              <w:tr2bl w:val="nil"/>
            </w:tcBorders>
            <w:shd w:val="solid" w:color="FFFFFF" w:fill="FFFFFF"/>
            <w:noWrap/>
            <w:vAlign w:val="bottom"/>
          </w:tcPr>
          <w:p w14:paraId="244C167D" w14:textId="77777777" w:rsidR="006E442A" w:rsidRDefault="006E442A" w:rsidP="006E442A">
            <w:pPr>
              <w:spacing w:after="1"/>
              <w:jc w:val="right"/>
              <w:rPr>
                <w:rFonts w:ascii="Calibri" w:eastAsia="Calibri" w:hAnsi="Calibri" w:cs="Calibri"/>
                <w:color w:val="000000"/>
                <w:sz w:val="20"/>
              </w:rPr>
            </w:pPr>
            <w:r>
              <w:rPr>
                <w:rFonts w:ascii="Calibri" w:eastAsia="Calibri" w:hAnsi="Calibri" w:cs="Calibri"/>
                <w:color w:val="000000"/>
                <w:sz w:val="20"/>
              </w:rPr>
              <w:t xml:space="preserve"> (18,703)</w:t>
            </w:r>
          </w:p>
        </w:tc>
      </w:tr>
      <w:tr w:rsidR="006E442A" w14:paraId="449D1297" w14:textId="77777777" w:rsidTr="006E442A">
        <w:tc>
          <w:tcPr>
            <w:tcW w:w="2837" w:type="pct"/>
            <w:tcBorders>
              <w:top w:val="nil"/>
              <w:left w:val="nil"/>
              <w:bottom w:val="nil"/>
              <w:right w:val="nil"/>
              <w:tl2br w:val="nil"/>
              <w:tr2bl w:val="nil"/>
            </w:tcBorders>
            <w:shd w:val="solid" w:color="FFFFFF" w:fill="FFFFFF"/>
            <w:vAlign w:val="bottom"/>
          </w:tcPr>
          <w:p w14:paraId="3AE83896"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NET INCOME (LOSS)</w:t>
            </w:r>
          </w:p>
        </w:tc>
        <w:tc>
          <w:tcPr>
            <w:tcW w:w="159" w:type="pct"/>
            <w:tcBorders>
              <w:top w:val="nil"/>
              <w:left w:val="nil"/>
              <w:bottom w:val="nil"/>
              <w:right w:val="nil"/>
              <w:tl2br w:val="nil"/>
              <w:tr2bl w:val="nil"/>
            </w:tcBorders>
            <w:shd w:val="solid" w:color="FFFFFF" w:fill="FFFFFF"/>
            <w:noWrap/>
            <w:vAlign w:val="bottom"/>
          </w:tcPr>
          <w:p w14:paraId="79CFB372" w14:textId="77777777" w:rsidR="006E442A" w:rsidRDefault="006E442A" w:rsidP="006E442A">
            <w:pPr>
              <w:spacing w:after="1"/>
              <w:jc w:val="right"/>
              <w:rPr>
                <w:rFonts w:ascii="Calibri" w:eastAsia="Calibri" w:hAnsi="Calibri" w:cs="Calibri"/>
                <w:color w:val="000000"/>
                <w:sz w:val="20"/>
              </w:rPr>
            </w:pPr>
          </w:p>
        </w:tc>
        <w:tc>
          <w:tcPr>
            <w:tcW w:w="103" w:type="pct"/>
            <w:tcBorders>
              <w:top w:val="nil"/>
              <w:left w:val="nil"/>
              <w:bottom w:val="nil"/>
              <w:right w:val="nil"/>
              <w:tl2br w:val="nil"/>
              <w:tr2bl w:val="nil"/>
            </w:tcBorders>
            <w:shd w:val="solid" w:color="FFFFFF" w:fill="FFFFFF"/>
            <w:noWrap/>
            <w:vAlign w:val="bottom"/>
          </w:tcPr>
          <w:p w14:paraId="30241E44" w14:textId="77777777" w:rsidR="006E442A" w:rsidRDefault="006E442A" w:rsidP="006E442A">
            <w:pPr>
              <w:spacing w:after="1"/>
              <w:rPr>
                <w:rFonts w:ascii="Calibri" w:eastAsia="Calibri" w:hAnsi="Calibri" w:cs="Calibri"/>
                <w:color w:val="000000"/>
                <w:sz w:val="20"/>
              </w:rPr>
            </w:pPr>
          </w:p>
        </w:tc>
        <w:tc>
          <w:tcPr>
            <w:tcW w:w="802" w:type="pct"/>
            <w:tcBorders>
              <w:top w:val="nil"/>
              <w:left w:val="nil"/>
              <w:bottom w:val="nil"/>
              <w:right w:val="nil"/>
              <w:tl2br w:val="nil"/>
              <w:tr2bl w:val="nil"/>
            </w:tcBorders>
            <w:shd w:val="solid" w:color="FFFFFF" w:fill="FFFFFF"/>
            <w:noWrap/>
            <w:vAlign w:val="bottom"/>
          </w:tcPr>
          <w:p w14:paraId="74A9E84C"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39,082</w:t>
            </w:r>
          </w:p>
        </w:tc>
        <w:tc>
          <w:tcPr>
            <w:tcW w:w="159" w:type="pct"/>
            <w:tcBorders>
              <w:top w:val="nil"/>
              <w:left w:val="nil"/>
              <w:bottom w:val="nil"/>
              <w:right w:val="nil"/>
              <w:tl2br w:val="nil"/>
              <w:tr2bl w:val="nil"/>
            </w:tcBorders>
            <w:shd w:val="solid" w:color="FFFFFF" w:fill="FFFFFF"/>
            <w:noWrap/>
            <w:vAlign w:val="bottom"/>
          </w:tcPr>
          <w:p w14:paraId="3541A465" w14:textId="77777777" w:rsidR="006E442A" w:rsidRDefault="006E442A" w:rsidP="006E442A">
            <w:pPr>
              <w:spacing w:after="1"/>
              <w:rPr>
                <w:rFonts w:ascii="Calibri" w:eastAsia="Calibri" w:hAnsi="Calibri" w:cs="Calibri"/>
                <w:color w:val="000000"/>
                <w:sz w:val="20"/>
              </w:rPr>
            </w:pPr>
          </w:p>
        </w:tc>
        <w:tc>
          <w:tcPr>
            <w:tcW w:w="103" w:type="pct"/>
            <w:tcBorders>
              <w:top w:val="nil"/>
              <w:left w:val="nil"/>
              <w:bottom w:val="nil"/>
              <w:right w:val="nil"/>
              <w:tl2br w:val="nil"/>
              <w:tr2bl w:val="nil"/>
            </w:tcBorders>
            <w:shd w:val="solid" w:color="FFFFFF" w:fill="FFFFFF"/>
            <w:vAlign w:val="bottom"/>
          </w:tcPr>
          <w:p w14:paraId="324C890A" w14:textId="77777777" w:rsidR="006E442A" w:rsidRDefault="006E442A" w:rsidP="006E442A">
            <w:pPr>
              <w:spacing w:after="1"/>
              <w:rPr>
                <w:rFonts w:ascii="Calibri" w:eastAsia="Calibri" w:hAnsi="Calibri" w:cs="Calibri"/>
                <w:color w:val="000000"/>
                <w:sz w:val="20"/>
              </w:rPr>
            </w:pPr>
          </w:p>
        </w:tc>
        <w:tc>
          <w:tcPr>
            <w:tcW w:w="838" w:type="pct"/>
            <w:tcBorders>
              <w:top w:val="nil"/>
              <w:left w:val="nil"/>
              <w:bottom w:val="nil"/>
              <w:right w:val="nil"/>
              <w:tl2br w:val="nil"/>
              <w:tr2bl w:val="nil"/>
            </w:tcBorders>
            <w:shd w:val="solid" w:color="FFFFFF" w:fill="FFFFFF"/>
            <w:noWrap/>
            <w:vAlign w:val="bottom"/>
          </w:tcPr>
          <w:p w14:paraId="3D321003" w14:textId="77777777" w:rsidR="006E442A" w:rsidRDefault="006E442A" w:rsidP="006E442A">
            <w:pPr>
              <w:spacing w:after="1"/>
              <w:jc w:val="right"/>
              <w:rPr>
                <w:rFonts w:ascii="Calibri" w:eastAsia="Calibri" w:hAnsi="Calibri" w:cs="Calibri"/>
                <w:color w:val="000000"/>
                <w:sz w:val="20"/>
              </w:rPr>
            </w:pPr>
            <w:r>
              <w:rPr>
                <w:rFonts w:ascii="Calibri" w:eastAsia="Calibri" w:hAnsi="Calibri" w:cs="Calibri"/>
                <w:color w:val="000000"/>
                <w:sz w:val="20"/>
              </w:rPr>
              <w:t xml:space="preserve"> (6,977)</w:t>
            </w:r>
          </w:p>
        </w:tc>
      </w:tr>
      <w:tr w:rsidR="006E442A" w14:paraId="712E94BD" w14:textId="77777777" w:rsidTr="006E442A">
        <w:tc>
          <w:tcPr>
            <w:tcW w:w="2837" w:type="pct"/>
            <w:tcBorders>
              <w:top w:val="nil"/>
              <w:left w:val="nil"/>
              <w:bottom w:val="nil"/>
              <w:right w:val="nil"/>
              <w:tl2br w:val="nil"/>
              <w:tr2bl w:val="nil"/>
            </w:tcBorders>
            <w:shd w:val="solid" w:color="FFFFFF" w:fill="FFFFFF"/>
            <w:vAlign w:val="bottom"/>
          </w:tcPr>
          <w:p w14:paraId="58DEF9FB" w14:textId="77777777" w:rsidR="006E442A" w:rsidRDefault="006E442A" w:rsidP="006E442A">
            <w:pPr>
              <w:spacing w:after="1"/>
              <w:ind w:left="240"/>
              <w:rPr>
                <w:rFonts w:ascii="Calibri" w:eastAsia="Calibri" w:hAnsi="Calibri" w:cs="Calibri"/>
                <w:color w:val="000000"/>
                <w:sz w:val="20"/>
              </w:rPr>
            </w:pPr>
            <w:r>
              <w:rPr>
                <w:rFonts w:ascii="Calibri" w:eastAsia="Calibri" w:hAnsi="Calibri" w:cs="Calibri"/>
                <w:color w:val="000000"/>
                <w:sz w:val="20"/>
              </w:rPr>
              <w:t>Non-controlling interest</w:t>
            </w:r>
          </w:p>
        </w:tc>
        <w:tc>
          <w:tcPr>
            <w:tcW w:w="159" w:type="pct"/>
            <w:tcBorders>
              <w:top w:val="nil"/>
              <w:left w:val="nil"/>
              <w:bottom w:val="nil"/>
              <w:right w:val="nil"/>
              <w:tl2br w:val="nil"/>
              <w:tr2bl w:val="nil"/>
            </w:tcBorders>
            <w:shd w:val="solid" w:color="FFFFFF" w:fill="FFFFFF"/>
            <w:noWrap/>
            <w:vAlign w:val="bottom"/>
          </w:tcPr>
          <w:p w14:paraId="7D28E4D3" w14:textId="77777777" w:rsidR="006E442A" w:rsidRDefault="006E442A" w:rsidP="006E442A">
            <w:pPr>
              <w:spacing w:after="1"/>
              <w:jc w:val="right"/>
              <w:rPr>
                <w:rFonts w:ascii="Calibri" w:eastAsia="Calibri" w:hAnsi="Calibri" w:cs="Calibri"/>
                <w:color w:val="000000"/>
                <w:sz w:val="20"/>
              </w:rPr>
            </w:pPr>
          </w:p>
        </w:tc>
        <w:tc>
          <w:tcPr>
            <w:tcW w:w="103" w:type="pct"/>
            <w:tcBorders>
              <w:top w:val="nil"/>
              <w:left w:val="nil"/>
              <w:bottom w:val="single" w:sz="4" w:space="0" w:color="000000"/>
              <w:right w:val="nil"/>
              <w:tl2br w:val="nil"/>
              <w:tr2bl w:val="nil"/>
            </w:tcBorders>
            <w:shd w:val="solid" w:color="FFFFFF" w:fill="FFFFFF"/>
            <w:noWrap/>
            <w:vAlign w:val="bottom"/>
          </w:tcPr>
          <w:p w14:paraId="24DF8045" w14:textId="77777777" w:rsidR="006E442A" w:rsidRDefault="006E442A" w:rsidP="006E442A">
            <w:pPr>
              <w:spacing w:after="1"/>
              <w:rPr>
                <w:rFonts w:ascii="Calibri" w:eastAsia="Calibri" w:hAnsi="Calibri" w:cs="Calibri"/>
                <w:color w:val="000000"/>
                <w:sz w:val="20"/>
              </w:rPr>
            </w:pPr>
          </w:p>
        </w:tc>
        <w:tc>
          <w:tcPr>
            <w:tcW w:w="802" w:type="pct"/>
            <w:tcBorders>
              <w:top w:val="nil"/>
              <w:left w:val="nil"/>
              <w:bottom w:val="single" w:sz="4" w:space="0" w:color="000000"/>
              <w:right w:val="nil"/>
              <w:tl2br w:val="nil"/>
              <w:tr2bl w:val="nil"/>
            </w:tcBorders>
            <w:shd w:val="solid" w:color="FFFFFF" w:fill="FFFFFF"/>
            <w:noWrap/>
            <w:vAlign w:val="bottom"/>
          </w:tcPr>
          <w:p w14:paraId="2D48963C" w14:textId="77777777" w:rsidR="006E442A" w:rsidRDefault="006E442A" w:rsidP="006E442A">
            <w:pPr>
              <w:spacing w:after="1"/>
              <w:jc w:val="right"/>
              <w:rPr>
                <w:rFonts w:ascii="Calibri" w:eastAsia="Calibri" w:hAnsi="Calibri" w:cs="Calibri"/>
                <w:color w:val="000000"/>
                <w:sz w:val="20"/>
              </w:rPr>
            </w:pPr>
            <w:r>
              <w:rPr>
                <w:rFonts w:ascii="Calibri" w:eastAsia="Calibri" w:hAnsi="Calibri" w:cs="Calibri"/>
                <w:color w:val="000000"/>
                <w:sz w:val="20"/>
              </w:rPr>
              <w:t xml:space="preserve"> (9,980)</w:t>
            </w:r>
          </w:p>
        </w:tc>
        <w:tc>
          <w:tcPr>
            <w:tcW w:w="159" w:type="pct"/>
            <w:tcBorders>
              <w:top w:val="nil"/>
              <w:left w:val="nil"/>
              <w:bottom w:val="nil"/>
              <w:right w:val="nil"/>
              <w:tl2br w:val="nil"/>
              <w:tr2bl w:val="nil"/>
            </w:tcBorders>
            <w:shd w:val="solid" w:color="FFFFFF" w:fill="FFFFFF"/>
            <w:noWrap/>
            <w:vAlign w:val="bottom"/>
          </w:tcPr>
          <w:p w14:paraId="54B833FE" w14:textId="77777777" w:rsidR="006E442A" w:rsidRDefault="006E442A" w:rsidP="006E442A">
            <w:pPr>
              <w:spacing w:after="1"/>
              <w:rPr>
                <w:rFonts w:ascii="Calibri" w:eastAsia="Calibri" w:hAnsi="Calibri" w:cs="Calibri"/>
                <w:color w:val="000000"/>
                <w:sz w:val="20"/>
              </w:rPr>
            </w:pPr>
          </w:p>
        </w:tc>
        <w:tc>
          <w:tcPr>
            <w:tcW w:w="103" w:type="pct"/>
            <w:tcBorders>
              <w:top w:val="nil"/>
              <w:left w:val="nil"/>
              <w:bottom w:val="single" w:sz="4" w:space="0" w:color="000000"/>
              <w:right w:val="nil"/>
              <w:tl2br w:val="nil"/>
              <w:tr2bl w:val="nil"/>
            </w:tcBorders>
            <w:shd w:val="solid" w:color="FFFFFF" w:fill="FFFFFF"/>
            <w:noWrap/>
            <w:vAlign w:val="bottom"/>
          </w:tcPr>
          <w:p w14:paraId="39AF79F4"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838" w:type="pct"/>
            <w:tcBorders>
              <w:top w:val="nil"/>
              <w:left w:val="nil"/>
              <w:bottom w:val="single" w:sz="4" w:space="0" w:color="000000"/>
              <w:right w:val="nil"/>
              <w:tl2br w:val="nil"/>
              <w:tr2bl w:val="nil"/>
            </w:tcBorders>
            <w:shd w:val="solid" w:color="FFFFFF" w:fill="FFFFFF"/>
            <w:noWrap/>
            <w:vAlign w:val="bottom"/>
          </w:tcPr>
          <w:p w14:paraId="1BE667F3"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6,345</w:t>
            </w:r>
          </w:p>
        </w:tc>
      </w:tr>
      <w:tr w:rsidR="006E442A" w14:paraId="7A03BDC3" w14:textId="77777777" w:rsidTr="006E442A">
        <w:tc>
          <w:tcPr>
            <w:tcW w:w="2837" w:type="pct"/>
            <w:tcBorders>
              <w:top w:val="nil"/>
              <w:left w:val="nil"/>
              <w:bottom w:val="nil"/>
              <w:right w:val="nil"/>
              <w:tl2br w:val="nil"/>
              <w:tr2bl w:val="nil"/>
            </w:tcBorders>
            <w:shd w:val="solid" w:color="FFFFFF" w:fill="FFFFFF"/>
            <w:vAlign w:val="bottom"/>
          </w:tcPr>
          <w:p w14:paraId="230D1118"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NET INCOME (LOSS) ATTRIBUTABLE TO</w:t>
            </w:r>
          </w:p>
        </w:tc>
        <w:tc>
          <w:tcPr>
            <w:tcW w:w="159" w:type="pct"/>
            <w:tcBorders>
              <w:top w:val="nil"/>
              <w:left w:val="nil"/>
              <w:bottom w:val="nil"/>
              <w:right w:val="nil"/>
              <w:tl2br w:val="nil"/>
              <w:tr2bl w:val="nil"/>
            </w:tcBorders>
            <w:shd w:val="solid" w:color="FFFFFF" w:fill="FFFFFF"/>
            <w:noWrap/>
            <w:vAlign w:val="bottom"/>
          </w:tcPr>
          <w:p w14:paraId="47559811" w14:textId="77777777" w:rsidR="006E442A" w:rsidRDefault="006E442A" w:rsidP="006E442A">
            <w:pPr>
              <w:spacing w:after="1"/>
              <w:jc w:val="right"/>
              <w:rPr>
                <w:rFonts w:ascii="Calibri" w:eastAsia="Calibri" w:hAnsi="Calibri" w:cs="Calibri"/>
                <w:color w:val="000000"/>
                <w:sz w:val="20"/>
              </w:rPr>
            </w:pPr>
          </w:p>
        </w:tc>
        <w:tc>
          <w:tcPr>
            <w:tcW w:w="103" w:type="pct"/>
            <w:tcBorders>
              <w:top w:val="nil"/>
              <w:left w:val="nil"/>
              <w:bottom w:val="nil"/>
              <w:right w:val="nil"/>
              <w:tl2br w:val="nil"/>
              <w:tr2bl w:val="nil"/>
            </w:tcBorders>
            <w:shd w:val="solid" w:color="FFFFFF" w:fill="FFFFFF"/>
            <w:noWrap/>
            <w:vAlign w:val="bottom"/>
          </w:tcPr>
          <w:p w14:paraId="39B78F8E" w14:textId="77777777" w:rsidR="006E442A" w:rsidRDefault="006E442A" w:rsidP="006E442A">
            <w:pPr>
              <w:spacing w:after="1"/>
              <w:rPr>
                <w:rFonts w:ascii="Calibri" w:eastAsia="Calibri" w:hAnsi="Calibri" w:cs="Calibri"/>
                <w:color w:val="000000"/>
                <w:sz w:val="20"/>
              </w:rPr>
            </w:pPr>
          </w:p>
        </w:tc>
        <w:tc>
          <w:tcPr>
            <w:tcW w:w="802" w:type="pct"/>
            <w:tcBorders>
              <w:top w:val="nil"/>
              <w:left w:val="nil"/>
              <w:bottom w:val="nil"/>
              <w:right w:val="nil"/>
              <w:tl2br w:val="nil"/>
              <w:tr2bl w:val="nil"/>
            </w:tcBorders>
            <w:shd w:val="solid" w:color="FFFFFF" w:fill="FFFFFF"/>
            <w:noWrap/>
            <w:vAlign w:val="bottom"/>
          </w:tcPr>
          <w:p w14:paraId="520B0A16" w14:textId="77777777" w:rsidR="006E442A" w:rsidRDefault="006E442A" w:rsidP="006E442A">
            <w:pPr>
              <w:spacing w:after="1"/>
              <w:jc w:val="right"/>
              <w:rPr>
                <w:rFonts w:ascii="Calibri" w:eastAsia="Calibri" w:hAnsi="Calibri" w:cs="Calibri"/>
                <w:color w:val="000000"/>
                <w:sz w:val="20"/>
              </w:rPr>
            </w:pPr>
          </w:p>
        </w:tc>
        <w:tc>
          <w:tcPr>
            <w:tcW w:w="159" w:type="pct"/>
            <w:tcBorders>
              <w:top w:val="nil"/>
              <w:left w:val="nil"/>
              <w:bottom w:val="nil"/>
              <w:right w:val="nil"/>
              <w:tl2br w:val="nil"/>
              <w:tr2bl w:val="nil"/>
            </w:tcBorders>
            <w:shd w:val="solid" w:color="FFFFFF" w:fill="FFFFFF"/>
            <w:noWrap/>
            <w:vAlign w:val="bottom"/>
          </w:tcPr>
          <w:p w14:paraId="0C8EBD1F" w14:textId="77777777" w:rsidR="006E442A" w:rsidRDefault="006E442A" w:rsidP="006E442A">
            <w:pPr>
              <w:spacing w:after="1"/>
              <w:rPr>
                <w:rFonts w:ascii="Calibri" w:eastAsia="Calibri" w:hAnsi="Calibri" w:cs="Calibri"/>
                <w:color w:val="000000"/>
                <w:sz w:val="20"/>
              </w:rPr>
            </w:pPr>
          </w:p>
        </w:tc>
        <w:tc>
          <w:tcPr>
            <w:tcW w:w="103" w:type="pct"/>
            <w:tcBorders>
              <w:top w:val="nil"/>
              <w:left w:val="nil"/>
              <w:bottom w:val="nil"/>
              <w:right w:val="nil"/>
              <w:tl2br w:val="nil"/>
              <w:tr2bl w:val="nil"/>
            </w:tcBorders>
            <w:shd w:val="solid" w:color="FFFFFF" w:fill="FFFFFF"/>
            <w:noWrap/>
            <w:vAlign w:val="bottom"/>
          </w:tcPr>
          <w:p w14:paraId="5AF9FA8B" w14:textId="77777777" w:rsidR="006E442A" w:rsidRDefault="006E442A" w:rsidP="006E442A">
            <w:pPr>
              <w:spacing w:after="1"/>
              <w:rPr>
                <w:rFonts w:ascii="Calibri" w:eastAsia="Calibri" w:hAnsi="Calibri" w:cs="Calibri"/>
                <w:color w:val="000000"/>
                <w:sz w:val="20"/>
              </w:rPr>
            </w:pPr>
          </w:p>
        </w:tc>
        <w:tc>
          <w:tcPr>
            <w:tcW w:w="838" w:type="pct"/>
            <w:tcBorders>
              <w:top w:val="nil"/>
              <w:left w:val="nil"/>
              <w:bottom w:val="nil"/>
              <w:right w:val="nil"/>
              <w:tl2br w:val="nil"/>
              <w:tr2bl w:val="nil"/>
            </w:tcBorders>
            <w:shd w:val="solid" w:color="FFFFFF" w:fill="FFFFFF"/>
            <w:noWrap/>
            <w:vAlign w:val="bottom"/>
          </w:tcPr>
          <w:p w14:paraId="430D8DBF" w14:textId="77777777" w:rsidR="006E442A" w:rsidRDefault="006E442A" w:rsidP="006E442A">
            <w:pPr>
              <w:spacing w:after="1"/>
              <w:jc w:val="right"/>
              <w:rPr>
                <w:rFonts w:ascii="Calibri" w:eastAsia="Calibri" w:hAnsi="Calibri" w:cs="Calibri"/>
                <w:color w:val="000000"/>
                <w:sz w:val="20"/>
              </w:rPr>
            </w:pPr>
          </w:p>
        </w:tc>
      </w:tr>
      <w:tr w:rsidR="006E442A" w14:paraId="35314AC0" w14:textId="77777777" w:rsidTr="006E442A">
        <w:tc>
          <w:tcPr>
            <w:tcW w:w="2837" w:type="pct"/>
            <w:tcBorders>
              <w:top w:val="nil"/>
              <w:left w:val="nil"/>
              <w:bottom w:val="nil"/>
              <w:right w:val="nil"/>
              <w:tl2br w:val="nil"/>
              <w:tr2bl w:val="nil"/>
            </w:tcBorders>
            <w:shd w:val="solid" w:color="FFFFFF" w:fill="FFFFFF"/>
            <w:vAlign w:val="bottom"/>
          </w:tcPr>
          <w:p w14:paraId="7C93D8D3" w14:textId="77777777" w:rsidR="006E442A" w:rsidRDefault="006E442A" w:rsidP="006E442A">
            <w:pPr>
              <w:spacing w:after="1"/>
              <w:ind w:left="240"/>
              <w:rPr>
                <w:rFonts w:ascii="Calibri" w:eastAsia="Calibri" w:hAnsi="Calibri" w:cs="Calibri"/>
                <w:color w:val="000000"/>
                <w:sz w:val="20"/>
              </w:rPr>
            </w:pPr>
            <w:r>
              <w:rPr>
                <w:rFonts w:ascii="Calibri" w:eastAsia="Calibri" w:hAnsi="Calibri" w:cs="Calibri"/>
                <w:color w:val="000000"/>
                <w:sz w:val="20"/>
              </w:rPr>
              <w:t>COMMON SHAREHOLDERS</w:t>
            </w:r>
          </w:p>
        </w:tc>
        <w:tc>
          <w:tcPr>
            <w:tcW w:w="159" w:type="pct"/>
            <w:tcBorders>
              <w:top w:val="nil"/>
              <w:left w:val="nil"/>
              <w:bottom w:val="nil"/>
              <w:right w:val="nil"/>
              <w:tl2br w:val="nil"/>
              <w:tr2bl w:val="nil"/>
            </w:tcBorders>
            <w:shd w:val="solid" w:color="FFFFFF" w:fill="FFFFFF"/>
            <w:noWrap/>
            <w:vAlign w:val="bottom"/>
          </w:tcPr>
          <w:p w14:paraId="4EF20193" w14:textId="77777777" w:rsidR="006E442A" w:rsidRDefault="006E442A" w:rsidP="006E442A">
            <w:pPr>
              <w:spacing w:after="1"/>
              <w:jc w:val="right"/>
              <w:rPr>
                <w:rFonts w:ascii="Calibri" w:eastAsia="Calibri" w:hAnsi="Calibri" w:cs="Calibri"/>
                <w:color w:val="000000"/>
                <w:sz w:val="20"/>
              </w:rPr>
            </w:pPr>
          </w:p>
        </w:tc>
        <w:tc>
          <w:tcPr>
            <w:tcW w:w="103" w:type="pct"/>
            <w:tcBorders>
              <w:top w:val="nil"/>
              <w:left w:val="nil"/>
              <w:bottom w:val="double" w:sz="4" w:space="0" w:color="000000"/>
              <w:right w:val="nil"/>
              <w:tl2br w:val="nil"/>
              <w:tr2bl w:val="nil"/>
            </w:tcBorders>
            <w:shd w:val="solid" w:color="FFFFFF" w:fill="FFFFFF"/>
            <w:noWrap/>
            <w:vAlign w:val="bottom"/>
          </w:tcPr>
          <w:p w14:paraId="35334609"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w:t>
            </w:r>
          </w:p>
        </w:tc>
        <w:tc>
          <w:tcPr>
            <w:tcW w:w="802" w:type="pct"/>
            <w:tcBorders>
              <w:top w:val="nil"/>
              <w:left w:val="nil"/>
              <w:bottom w:val="double" w:sz="4" w:space="0" w:color="000000"/>
              <w:right w:val="nil"/>
              <w:tl2br w:val="nil"/>
              <w:tr2bl w:val="nil"/>
            </w:tcBorders>
            <w:shd w:val="solid" w:color="FFFFFF" w:fill="FFFFFF"/>
            <w:noWrap/>
            <w:vAlign w:val="bottom"/>
          </w:tcPr>
          <w:p w14:paraId="0B1294C0"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29,102</w:t>
            </w:r>
          </w:p>
        </w:tc>
        <w:tc>
          <w:tcPr>
            <w:tcW w:w="159" w:type="pct"/>
            <w:tcBorders>
              <w:top w:val="nil"/>
              <w:left w:val="nil"/>
              <w:bottom w:val="nil"/>
              <w:right w:val="nil"/>
              <w:tl2br w:val="nil"/>
              <w:tr2bl w:val="nil"/>
            </w:tcBorders>
            <w:shd w:val="solid" w:color="FFFFFF" w:fill="FFFFFF"/>
            <w:noWrap/>
            <w:vAlign w:val="bottom"/>
          </w:tcPr>
          <w:p w14:paraId="62E1362E" w14:textId="77777777" w:rsidR="006E442A" w:rsidRDefault="006E442A" w:rsidP="006E442A">
            <w:pPr>
              <w:spacing w:after="1"/>
              <w:rPr>
                <w:rFonts w:ascii="Calibri" w:eastAsia="Calibri" w:hAnsi="Calibri" w:cs="Calibri"/>
                <w:color w:val="000000"/>
                <w:sz w:val="20"/>
              </w:rPr>
            </w:pPr>
          </w:p>
        </w:tc>
        <w:tc>
          <w:tcPr>
            <w:tcW w:w="103" w:type="pct"/>
            <w:tcBorders>
              <w:top w:val="nil"/>
              <w:left w:val="nil"/>
              <w:bottom w:val="double" w:sz="4" w:space="0" w:color="000000"/>
              <w:right w:val="nil"/>
              <w:tl2br w:val="nil"/>
              <w:tr2bl w:val="nil"/>
            </w:tcBorders>
            <w:shd w:val="solid" w:color="FFFFFF" w:fill="FFFFFF"/>
            <w:noWrap/>
            <w:vAlign w:val="bottom"/>
          </w:tcPr>
          <w:p w14:paraId="74E877E5"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w:t>
            </w:r>
          </w:p>
        </w:tc>
        <w:tc>
          <w:tcPr>
            <w:tcW w:w="838" w:type="pct"/>
            <w:tcBorders>
              <w:top w:val="nil"/>
              <w:left w:val="nil"/>
              <w:bottom w:val="double" w:sz="4" w:space="0" w:color="000000"/>
              <w:right w:val="nil"/>
              <w:tl2br w:val="nil"/>
              <w:tr2bl w:val="nil"/>
            </w:tcBorders>
            <w:shd w:val="solid" w:color="FFFFFF" w:fill="FFFFFF"/>
            <w:noWrap/>
            <w:vAlign w:val="bottom"/>
          </w:tcPr>
          <w:p w14:paraId="154C8FB2" w14:textId="77777777" w:rsidR="006E442A" w:rsidRDefault="006E442A" w:rsidP="006E442A">
            <w:pPr>
              <w:spacing w:after="1"/>
              <w:jc w:val="right"/>
              <w:rPr>
                <w:rFonts w:ascii="Calibri" w:eastAsia="Calibri" w:hAnsi="Calibri" w:cs="Calibri"/>
                <w:color w:val="000000"/>
                <w:sz w:val="20"/>
              </w:rPr>
            </w:pPr>
            <w:r>
              <w:rPr>
                <w:rFonts w:ascii="Calibri" w:eastAsia="Calibri" w:hAnsi="Calibri" w:cs="Calibri"/>
                <w:color w:val="000000"/>
                <w:sz w:val="20"/>
              </w:rPr>
              <w:t xml:space="preserve"> (632)</w:t>
            </w:r>
          </w:p>
        </w:tc>
      </w:tr>
      <w:tr w:rsidR="006E442A" w14:paraId="1E34C6F7" w14:textId="77777777" w:rsidTr="006E442A">
        <w:tc>
          <w:tcPr>
            <w:tcW w:w="2837" w:type="pct"/>
            <w:tcBorders>
              <w:top w:val="nil"/>
              <w:left w:val="nil"/>
              <w:bottom w:val="nil"/>
              <w:right w:val="nil"/>
              <w:tl2br w:val="nil"/>
              <w:tr2bl w:val="nil"/>
            </w:tcBorders>
            <w:shd w:val="solid" w:color="FFFFFF" w:fill="FFFFFF"/>
            <w:vAlign w:val="bottom"/>
          </w:tcPr>
          <w:p w14:paraId="3F0D6C3C"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Income (loss) per share of Class A</w:t>
            </w:r>
          </w:p>
        </w:tc>
        <w:tc>
          <w:tcPr>
            <w:tcW w:w="159" w:type="pct"/>
            <w:tcBorders>
              <w:top w:val="nil"/>
              <w:left w:val="nil"/>
              <w:bottom w:val="nil"/>
              <w:right w:val="nil"/>
              <w:tl2br w:val="nil"/>
              <w:tr2bl w:val="nil"/>
            </w:tcBorders>
            <w:shd w:val="solid" w:color="FFFFFF" w:fill="FFFFFF"/>
            <w:noWrap/>
            <w:vAlign w:val="bottom"/>
          </w:tcPr>
          <w:p w14:paraId="00FE1464" w14:textId="77777777" w:rsidR="006E442A" w:rsidRDefault="006E442A" w:rsidP="006E442A">
            <w:pPr>
              <w:spacing w:after="1"/>
              <w:jc w:val="right"/>
              <w:rPr>
                <w:rFonts w:ascii="Calibri" w:eastAsia="Calibri" w:hAnsi="Calibri" w:cs="Calibri"/>
                <w:color w:val="000000"/>
                <w:sz w:val="20"/>
              </w:rPr>
            </w:pPr>
          </w:p>
        </w:tc>
        <w:tc>
          <w:tcPr>
            <w:tcW w:w="103" w:type="pct"/>
            <w:tcBorders>
              <w:top w:val="nil"/>
              <w:left w:val="nil"/>
              <w:bottom w:val="nil"/>
              <w:right w:val="nil"/>
              <w:tl2br w:val="nil"/>
              <w:tr2bl w:val="nil"/>
            </w:tcBorders>
            <w:shd w:val="solid" w:color="FFFFFF" w:fill="FFFFFF"/>
            <w:noWrap/>
            <w:vAlign w:val="bottom"/>
          </w:tcPr>
          <w:p w14:paraId="2E60E498" w14:textId="77777777" w:rsidR="006E442A" w:rsidRDefault="006E442A" w:rsidP="006E442A">
            <w:pPr>
              <w:spacing w:after="1"/>
              <w:rPr>
                <w:rFonts w:ascii="Calibri" w:eastAsia="Calibri" w:hAnsi="Calibri" w:cs="Calibri"/>
                <w:color w:val="000000"/>
                <w:sz w:val="20"/>
              </w:rPr>
            </w:pPr>
          </w:p>
        </w:tc>
        <w:tc>
          <w:tcPr>
            <w:tcW w:w="802" w:type="pct"/>
            <w:tcBorders>
              <w:top w:val="nil"/>
              <w:left w:val="nil"/>
              <w:bottom w:val="nil"/>
              <w:right w:val="nil"/>
              <w:tl2br w:val="nil"/>
              <w:tr2bl w:val="nil"/>
            </w:tcBorders>
            <w:shd w:val="solid" w:color="FFFFFF" w:fill="FFFFFF"/>
            <w:noWrap/>
            <w:vAlign w:val="bottom"/>
          </w:tcPr>
          <w:p w14:paraId="562E71C3" w14:textId="77777777" w:rsidR="006E442A" w:rsidRDefault="006E442A" w:rsidP="006E442A">
            <w:pPr>
              <w:spacing w:after="1"/>
              <w:rPr>
                <w:rFonts w:ascii="Calibri" w:eastAsia="Calibri" w:hAnsi="Calibri" w:cs="Calibri"/>
                <w:color w:val="000000"/>
                <w:sz w:val="20"/>
              </w:rPr>
            </w:pPr>
          </w:p>
        </w:tc>
        <w:tc>
          <w:tcPr>
            <w:tcW w:w="159" w:type="pct"/>
            <w:tcBorders>
              <w:top w:val="nil"/>
              <w:left w:val="nil"/>
              <w:bottom w:val="nil"/>
              <w:right w:val="nil"/>
              <w:tl2br w:val="nil"/>
              <w:tr2bl w:val="nil"/>
            </w:tcBorders>
            <w:shd w:val="solid" w:color="FFFFFF" w:fill="FFFFFF"/>
            <w:noWrap/>
            <w:vAlign w:val="bottom"/>
          </w:tcPr>
          <w:p w14:paraId="4ECF2350" w14:textId="77777777" w:rsidR="006E442A" w:rsidRDefault="006E442A" w:rsidP="006E442A">
            <w:pPr>
              <w:spacing w:after="1"/>
              <w:rPr>
                <w:rFonts w:ascii="Calibri" w:eastAsia="Calibri" w:hAnsi="Calibri" w:cs="Calibri"/>
                <w:color w:val="000000"/>
                <w:sz w:val="20"/>
              </w:rPr>
            </w:pPr>
          </w:p>
        </w:tc>
        <w:tc>
          <w:tcPr>
            <w:tcW w:w="103" w:type="pct"/>
            <w:tcBorders>
              <w:top w:val="nil"/>
              <w:left w:val="nil"/>
              <w:bottom w:val="nil"/>
              <w:right w:val="nil"/>
              <w:tl2br w:val="nil"/>
              <w:tr2bl w:val="nil"/>
            </w:tcBorders>
            <w:shd w:val="solid" w:color="FFFFFF" w:fill="FFFFFF"/>
            <w:noWrap/>
            <w:vAlign w:val="bottom"/>
          </w:tcPr>
          <w:p w14:paraId="7B8A9192" w14:textId="77777777" w:rsidR="006E442A" w:rsidRDefault="006E442A" w:rsidP="006E442A">
            <w:pPr>
              <w:spacing w:after="1"/>
              <w:rPr>
                <w:rFonts w:ascii="Calibri" w:eastAsia="Calibri" w:hAnsi="Calibri" w:cs="Calibri"/>
                <w:color w:val="000000"/>
                <w:sz w:val="20"/>
              </w:rPr>
            </w:pPr>
          </w:p>
        </w:tc>
        <w:tc>
          <w:tcPr>
            <w:tcW w:w="838" w:type="pct"/>
            <w:tcBorders>
              <w:top w:val="nil"/>
              <w:left w:val="nil"/>
              <w:bottom w:val="nil"/>
              <w:right w:val="nil"/>
              <w:tl2br w:val="nil"/>
              <w:tr2bl w:val="nil"/>
            </w:tcBorders>
            <w:shd w:val="solid" w:color="FFFFFF" w:fill="FFFFFF"/>
            <w:noWrap/>
            <w:vAlign w:val="bottom"/>
          </w:tcPr>
          <w:p w14:paraId="0DFF8242" w14:textId="77777777" w:rsidR="006E442A" w:rsidRDefault="006E442A" w:rsidP="006E442A">
            <w:pPr>
              <w:spacing w:after="1"/>
              <w:rPr>
                <w:rFonts w:ascii="Calibri" w:eastAsia="Calibri" w:hAnsi="Calibri" w:cs="Calibri"/>
                <w:color w:val="000000"/>
                <w:sz w:val="20"/>
              </w:rPr>
            </w:pPr>
          </w:p>
        </w:tc>
      </w:tr>
      <w:tr w:rsidR="006E442A" w14:paraId="0BCF02F6" w14:textId="77777777" w:rsidTr="006E442A">
        <w:tc>
          <w:tcPr>
            <w:tcW w:w="2837" w:type="pct"/>
            <w:tcBorders>
              <w:top w:val="nil"/>
              <w:left w:val="nil"/>
              <w:bottom w:val="nil"/>
              <w:right w:val="nil"/>
              <w:tl2br w:val="nil"/>
              <w:tr2bl w:val="nil"/>
            </w:tcBorders>
            <w:shd w:val="solid" w:color="FFFFFF" w:fill="FFFFFF"/>
            <w:vAlign w:val="bottom"/>
          </w:tcPr>
          <w:p w14:paraId="69C1B2EA" w14:textId="77777777" w:rsidR="006E442A" w:rsidRDefault="006E442A" w:rsidP="006E442A">
            <w:pPr>
              <w:spacing w:after="1"/>
              <w:ind w:left="120"/>
              <w:rPr>
                <w:rFonts w:ascii="Calibri" w:eastAsia="Calibri" w:hAnsi="Calibri" w:cs="Calibri"/>
                <w:color w:val="000000"/>
                <w:sz w:val="20"/>
              </w:rPr>
            </w:pPr>
            <w:r>
              <w:rPr>
                <w:rFonts w:ascii="Calibri" w:eastAsia="Calibri" w:hAnsi="Calibri" w:cs="Calibri"/>
                <w:color w:val="000000"/>
                <w:sz w:val="20"/>
              </w:rPr>
              <w:t>common stock:</w:t>
            </w:r>
          </w:p>
        </w:tc>
        <w:tc>
          <w:tcPr>
            <w:tcW w:w="159" w:type="pct"/>
            <w:tcBorders>
              <w:top w:val="nil"/>
              <w:left w:val="nil"/>
              <w:bottom w:val="nil"/>
              <w:right w:val="nil"/>
              <w:tl2br w:val="nil"/>
              <w:tr2bl w:val="nil"/>
            </w:tcBorders>
            <w:shd w:val="solid" w:color="FFFFFF" w:fill="FFFFFF"/>
            <w:noWrap/>
            <w:vAlign w:val="bottom"/>
          </w:tcPr>
          <w:p w14:paraId="46F9BC42" w14:textId="77777777" w:rsidR="006E442A" w:rsidRDefault="006E442A" w:rsidP="006E442A">
            <w:pPr>
              <w:spacing w:after="1"/>
              <w:jc w:val="right"/>
              <w:rPr>
                <w:rFonts w:ascii="Calibri" w:eastAsia="Calibri" w:hAnsi="Calibri" w:cs="Calibri"/>
                <w:color w:val="000000"/>
                <w:sz w:val="20"/>
              </w:rPr>
            </w:pPr>
          </w:p>
        </w:tc>
        <w:tc>
          <w:tcPr>
            <w:tcW w:w="103" w:type="pct"/>
            <w:tcBorders>
              <w:top w:val="nil"/>
              <w:left w:val="nil"/>
              <w:bottom w:val="nil"/>
              <w:right w:val="nil"/>
              <w:tl2br w:val="nil"/>
              <w:tr2bl w:val="nil"/>
            </w:tcBorders>
            <w:shd w:val="solid" w:color="FFFFFF" w:fill="FFFFFF"/>
            <w:noWrap/>
            <w:vAlign w:val="bottom"/>
          </w:tcPr>
          <w:p w14:paraId="75B8167A" w14:textId="77777777" w:rsidR="006E442A" w:rsidRDefault="006E442A" w:rsidP="006E442A">
            <w:pPr>
              <w:spacing w:after="1"/>
              <w:rPr>
                <w:rFonts w:ascii="Calibri" w:eastAsia="Calibri" w:hAnsi="Calibri" w:cs="Calibri"/>
                <w:color w:val="000000"/>
                <w:sz w:val="20"/>
              </w:rPr>
            </w:pPr>
          </w:p>
        </w:tc>
        <w:tc>
          <w:tcPr>
            <w:tcW w:w="802" w:type="pct"/>
            <w:tcBorders>
              <w:top w:val="nil"/>
              <w:left w:val="nil"/>
              <w:bottom w:val="nil"/>
              <w:right w:val="nil"/>
              <w:tl2br w:val="nil"/>
              <w:tr2bl w:val="nil"/>
            </w:tcBorders>
            <w:shd w:val="solid" w:color="FFFFFF" w:fill="FFFFFF"/>
            <w:noWrap/>
            <w:vAlign w:val="bottom"/>
          </w:tcPr>
          <w:p w14:paraId="324332BE" w14:textId="77777777" w:rsidR="006E442A" w:rsidRDefault="006E442A" w:rsidP="006E442A">
            <w:pPr>
              <w:spacing w:after="1"/>
              <w:rPr>
                <w:rFonts w:ascii="Calibri" w:eastAsia="Calibri" w:hAnsi="Calibri" w:cs="Calibri"/>
                <w:color w:val="000000"/>
                <w:sz w:val="20"/>
              </w:rPr>
            </w:pPr>
          </w:p>
        </w:tc>
        <w:tc>
          <w:tcPr>
            <w:tcW w:w="159" w:type="pct"/>
            <w:tcBorders>
              <w:top w:val="nil"/>
              <w:left w:val="nil"/>
              <w:bottom w:val="nil"/>
              <w:right w:val="nil"/>
              <w:tl2br w:val="nil"/>
              <w:tr2bl w:val="nil"/>
            </w:tcBorders>
            <w:shd w:val="solid" w:color="FFFFFF" w:fill="FFFFFF"/>
            <w:noWrap/>
            <w:vAlign w:val="bottom"/>
          </w:tcPr>
          <w:p w14:paraId="56FE7691" w14:textId="77777777" w:rsidR="006E442A" w:rsidRDefault="006E442A" w:rsidP="006E442A">
            <w:pPr>
              <w:spacing w:after="1"/>
              <w:rPr>
                <w:rFonts w:ascii="Calibri" w:eastAsia="Calibri" w:hAnsi="Calibri" w:cs="Calibri"/>
                <w:color w:val="000000"/>
                <w:sz w:val="20"/>
              </w:rPr>
            </w:pPr>
          </w:p>
        </w:tc>
        <w:tc>
          <w:tcPr>
            <w:tcW w:w="103" w:type="pct"/>
            <w:tcBorders>
              <w:top w:val="nil"/>
              <w:left w:val="nil"/>
              <w:bottom w:val="nil"/>
              <w:right w:val="nil"/>
              <w:tl2br w:val="nil"/>
              <w:tr2bl w:val="nil"/>
            </w:tcBorders>
            <w:shd w:val="solid" w:color="FFFFFF" w:fill="FFFFFF"/>
            <w:noWrap/>
            <w:vAlign w:val="bottom"/>
          </w:tcPr>
          <w:p w14:paraId="7B1786D1" w14:textId="77777777" w:rsidR="006E442A" w:rsidRDefault="006E442A" w:rsidP="006E442A">
            <w:pPr>
              <w:spacing w:after="1"/>
              <w:rPr>
                <w:rFonts w:ascii="Calibri" w:eastAsia="Calibri" w:hAnsi="Calibri" w:cs="Calibri"/>
                <w:color w:val="000000"/>
                <w:sz w:val="20"/>
              </w:rPr>
            </w:pPr>
          </w:p>
        </w:tc>
        <w:tc>
          <w:tcPr>
            <w:tcW w:w="838" w:type="pct"/>
            <w:tcBorders>
              <w:top w:val="nil"/>
              <w:left w:val="nil"/>
              <w:bottom w:val="nil"/>
              <w:right w:val="nil"/>
              <w:tl2br w:val="nil"/>
              <w:tr2bl w:val="nil"/>
            </w:tcBorders>
            <w:shd w:val="solid" w:color="FFFFFF" w:fill="FFFFFF"/>
            <w:noWrap/>
            <w:vAlign w:val="bottom"/>
          </w:tcPr>
          <w:p w14:paraId="509C0094" w14:textId="77777777" w:rsidR="006E442A" w:rsidRDefault="006E442A" w:rsidP="006E442A">
            <w:pPr>
              <w:spacing w:after="1"/>
              <w:rPr>
                <w:rFonts w:ascii="Calibri" w:eastAsia="Calibri" w:hAnsi="Calibri" w:cs="Calibri"/>
                <w:color w:val="000000"/>
                <w:sz w:val="20"/>
              </w:rPr>
            </w:pPr>
          </w:p>
        </w:tc>
      </w:tr>
      <w:tr w:rsidR="006E442A" w14:paraId="1A4E5C2E" w14:textId="77777777" w:rsidTr="006E442A">
        <w:tc>
          <w:tcPr>
            <w:tcW w:w="2837" w:type="pct"/>
            <w:tcBorders>
              <w:top w:val="nil"/>
              <w:left w:val="nil"/>
              <w:bottom w:val="nil"/>
              <w:right w:val="nil"/>
              <w:tl2br w:val="nil"/>
              <w:tr2bl w:val="nil"/>
            </w:tcBorders>
            <w:shd w:val="solid" w:color="FFFFFF" w:fill="FFFFFF"/>
            <w:vAlign w:val="bottom"/>
          </w:tcPr>
          <w:p w14:paraId="1FB15F00" w14:textId="77777777" w:rsidR="006E442A" w:rsidRDefault="006E442A" w:rsidP="006E442A">
            <w:pPr>
              <w:spacing w:after="1"/>
              <w:ind w:left="240"/>
              <w:rPr>
                <w:rFonts w:ascii="Calibri" w:eastAsia="Calibri" w:hAnsi="Calibri" w:cs="Calibri"/>
                <w:color w:val="000000"/>
                <w:sz w:val="20"/>
              </w:rPr>
            </w:pPr>
            <w:r>
              <w:rPr>
                <w:rFonts w:ascii="Calibri" w:eastAsia="Calibri" w:hAnsi="Calibri" w:cs="Calibri"/>
                <w:color w:val="000000"/>
                <w:sz w:val="20"/>
              </w:rPr>
              <w:t>Basic</w:t>
            </w:r>
          </w:p>
        </w:tc>
        <w:tc>
          <w:tcPr>
            <w:tcW w:w="159" w:type="pct"/>
            <w:tcBorders>
              <w:top w:val="nil"/>
              <w:left w:val="nil"/>
              <w:bottom w:val="nil"/>
              <w:right w:val="nil"/>
              <w:tl2br w:val="nil"/>
              <w:tr2bl w:val="nil"/>
            </w:tcBorders>
            <w:shd w:val="solid" w:color="FFFFFF" w:fill="FFFFFF"/>
            <w:noWrap/>
            <w:vAlign w:val="bottom"/>
          </w:tcPr>
          <w:p w14:paraId="72964F59" w14:textId="77777777" w:rsidR="006E442A" w:rsidRDefault="006E442A" w:rsidP="006E442A">
            <w:pPr>
              <w:spacing w:after="1"/>
              <w:jc w:val="right"/>
              <w:rPr>
                <w:rFonts w:ascii="Calibri" w:eastAsia="Calibri" w:hAnsi="Calibri" w:cs="Calibri"/>
                <w:color w:val="000000"/>
                <w:sz w:val="20"/>
              </w:rPr>
            </w:pPr>
          </w:p>
        </w:tc>
        <w:tc>
          <w:tcPr>
            <w:tcW w:w="103" w:type="pct"/>
            <w:tcBorders>
              <w:top w:val="nil"/>
              <w:left w:val="nil"/>
              <w:bottom w:val="double" w:sz="4" w:space="0" w:color="000000"/>
              <w:right w:val="nil"/>
              <w:tl2br w:val="nil"/>
              <w:tr2bl w:val="nil"/>
            </w:tcBorders>
            <w:shd w:val="solid" w:color="FFFFFF" w:fill="FFFFFF"/>
            <w:noWrap/>
            <w:vAlign w:val="bottom"/>
          </w:tcPr>
          <w:p w14:paraId="0B6F0D0F"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w:t>
            </w:r>
          </w:p>
        </w:tc>
        <w:tc>
          <w:tcPr>
            <w:tcW w:w="802" w:type="pct"/>
            <w:tcBorders>
              <w:top w:val="nil"/>
              <w:left w:val="nil"/>
              <w:bottom w:val="double" w:sz="4" w:space="0" w:color="000000"/>
              <w:right w:val="nil"/>
              <w:tl2br w:val="nil"/>
              <w:tr2bl w:val="nil"/>
            </w:tcBorders>
            <w:shd w:val="solid" w:color="FFFFFF" w:fill="FFFFFF"/>
            <w:noWrap/>
            <w:vAlign w:val="bottom"/>
          </w:tcPr>
          <w:p w14:paraId="3E54B883"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0.45</w:t>
            </w:r>
          </w:p>
        </w:tc>
        <w:tc>
          <w:tcPr>
            <w:tcW w:w="159" w:type="pct"/>
            <w:tcBorders>
              <w:top w:val="nil"/>
              <w:left w:val="nil"/>
              <w:bottom w:val="nil"/>
              <w:right w:val="nil"/>
              <w:tl2br w:val="nil"/>
              <w:tr2bl w:val="nil"/>
            </w:tcBorders>
            <w:shd w:val="solid" w:color="FFFFFF" w:fill="FFFFFF"/>
            <w:noWrap/>
            <w:vAlign w:val="bottom"/>
          </w:tcPr>
          <w:p w14:paraId="53375F0B" w14:textId="77777777" w:rsidR="006E442A" w:rsidRDefault="006E442A" w:rsidP="006E442A">
            <w:pPr>
              <w:spacing w:after="1"/>
              <w:rPr>
                <w:rFonts w:ascii="Calibri" w:eastAsia="Calibri" w:hAnsi="Calibri" w:cs="Calibri"/>
                <w:color w:val="000000"/>
                <w:sz w:val="20"/>
              </w:rPr>
            </w:pPr>
          </w:p>
        </w:tc>
        <w:tc>
          <w:tcPr>
            <w:tcW w:w="103" w:type="pct"/>
            <w:tcBorders>
              <w:top w:val="nil"/>
              <w:left w:val="nil"/>
              <w:bottom w:val="double" w:sz="4" w:space="0" w:color="000000"/>
              <w:right w:val="nil"/>
              <w:tl2br w:val="nil"/>
              <w:tr2bl w:val="nil"/>
            </w:tcBorders>
            <w:shd w:val="solid" w:color="FFFFFF" w:fill="FFFFFF"/>
            <w:noWrap/>
            <w:vAlign w:val="bottom"/>
          </w:tcPr>
          <w:p w14:paraId="0E460097"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w:t>
            </w:r>
          </w:p>
        </w:tc>
        <w:tc>
          <w:tcPr>
            <w:tcW w:w="838" w:type="pct"/>
            <w:tcBorders>
              <w:top w:val="nil"/>
              <w:left w:val="nil"/>
              <w:bottom w:val="double" w:sz="4" w:space="0" w:color="000000"/>
              <w:right w:val="nil"/>
              <w:tl2br w:val="nil"/>
              <w:tr2bl w:val="nil"/>
            </w:tcBorders>
            <w:shd w:val="solid" w:color="FFFFFF" w:fill="FFFFFF"/>
            <w:noWrap/>
            <w:vAlign w:val="bottom"/>
          </w:tcPr>
          <w:p w14:paraId="2E91614C" w14:textId="77777777" w:rsidR="006E442A" w:rsidRDefault="006E442A" w:rsidP="006E442A">
            <w:pPr>
              <w:spacing w:after="1"/>
              <w:jc w:val="right"/>
              <w:rPr>
                <w:rFonts w:ascii="Calibri" w:eastAsia="Calibri" w:hAnsi="Calibri" w:cs="Calibri"/>
                <w:color w:val="000000"/>
                <w:sz w:val="20"/>
              </w:rPr>
            </w:pPr>
            <w:r>
              <w:rPr>
                <w:rFonts w:ascii="Calibri" w:eastAsia="Calibri" w:hAnsi="Calibri" w:cs="Calibri"/>
                <w:color w:val="000000"/>
                <w:sz w:val="20"/>
              </w:rPr>
              <w:t xml:space="preserve"> (0.01)</w:t>
            </w:r>
          </w:p>
        </w:tc>
      </w:tr>
      <w:tr w:rsidR="006E442A" w14:paraId="35B31773" w14:textId="77777777" w:rsidTr="006E442A">
        <w:tc>
          <w:tcPr>
            <w:tcW w:w="2837" w:type="pct"/>
            <w:tcBorders>
              <w:top w:val="nil"/>
              <w:left w:val="nil"/>
              <w:bottom w:val="nil"/>
              <w:right w:val="nil"/>
              <w:tl2br w:val="nil"/>
              <w:tr2bl w:val="nil"/>
            </w:tcBorders>
            <w:shd w:val="solid" w:color="FFFFFF" w:fill="FFFFFF"/>
            <w:vAlign w:val="bottom"/>
          </w:tcPr>
          <w:p w14:paraId="4B3313B2" w14:textId="77777777" w:rsidR="006E442A" w:rsidRDefault="006E442A" w:rsidP="006E442A">
            <w:pPr>
              <w:spacing w:after="1"/>
              <w:ind w:left="240"/>
              <w:rPr>
                <w:rFonts w:ascii="Calibri" w:eastAsia="Calibri" w:hAnsi="Calibri" w:cs="Calibri"/>
                <w:color w:val="000000"/>
                <w:sz w:val="20"/>
              </w:rPr>
            </w:pPr>
            <w:r>
              <w:rPr>
                <w:rFonts w:ascii="Calibri" w:eastAsia="Calibri" w:hAnsi="Calibri" w:cs="Calibri"/>
                <w:color w:val="000000"/>
                <w:sz w:val="20"/>
              </w:rPr>
              <w:t>Diluted</w:t>
            </w:r>
          </w:p>
        </w:tc>
        <w:tc>
          <w:tcPr>
            <w:tcW w:w="159" w:type="pct"/>
            <w:tcBorders>
              <w:top w:val="nil"/>
              <w:left w:val="nil"/>
              <w:bottom w:val="nil"/>
              <w:right w:val="nil"/>
              <w:tl2br w:val="nil"/>
              <w:tr2bl w:val="nil"/>
            </w:tcBorders>
            <w:shd w:val="solid" w:color="FFFFFF" w:fill="FFFFFF"/>
            <w:noWrap/>
            <w:vAlign w:val="bottom"/>
          </w:tcPr>
          <w:p w14:paraId="01877C58" w14:textId="77777777" w:rsidR="006E442A" w:rsidRDefault="006E442A" w:rsidP="006E442A">
            <w:pPr>
              <w:spacing w:after="1"/>
              <w:jc w:val="right"/>
              <w:rPr>
                <w:rFonts w:ascii="Calibri" w:eastAsia="Calibri" w:hAnsi="Calibri" w:cs="Calibri"/>
                <w:color w:val="000000"/>
                <w:sz w:val="20"/>
              </w:rPr>
            </w:pPr>
          </w:p>
        </w:tc>
        <w:tc>
          <w:tcPr>
            <w:tcW w:w="103" w:type="pct"/>
            <w:tcBorders>
              <w:top w:val="nil"/>
              <w:left w:val="nil"/>
              <w:bottom w:val="double" w:sz="4" w:space="0" w:color="000000"/>
              <w:right w:val="nil"/>
              <w:tl2br w:val="nil"/>
              <w:tr2bl w:val="nil"/>
            </w:tcBorders>
            <w:shd w:val="solid" w:color="FFFFFF" w:fill="FFFFFF"/>
            <w:noWrap/>
            <w:vAlign w:val="bottom"/>
          </w:tcPr>
          <w:p w14:paraId="45B9E5EE"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w:t>
            </w:r>
          </w:p>
        </w:tc>
        <w:tc>
          <w:tcPr>
            <w:tcW w:w="802" w:type="pct"/>
            <w:tcBorders>
              <w:top w:val="nil"/>
              <w:left w:val="nil"/>
              <w:bottom w:val="double" w:sz="4" w:space="0" w:color="000000"/>
              <w:right w:val="nil"/>
              <w:tl2br w:val="nil"/>
              <w:tr2bl w:val="nil"/>
            </w:tcBorders>
            <w:shd w:val="solid" w:color="FFFFFF" w:fill="FFFFFF"/>
            <w:noWrap/>
            <w:vAlign w:val="bottom"/>
          </w:tcPr>
          <w:p w14:paraId="07B6AA84"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0.44</w:t>
            </w:r>
          </w:p>
        </w:tc>
        <w:tc>
          <w:tcPr>
            <w:tcW w:w="159" w:type="pct"/>
            <w:tcBorders>
              <w:top w:val="nil"/>
              <w:left w:val="nil"/>
              <w:bottom w:val="nil"/>
              <w:right w:val="nil"/>
              <w:tl2br w:val="nil"/>
              <w:tr2bl w:val="nil"/>
            </w:tcBorders>
            <w:shd w:val="solid" w:color="FFFFFF" w:fill="FFFFFF"/>
            <w:noWrap/>
            <w:vAlign w:val="bottom"/>
          </w:tcPr>
          <w:p w14:paraId="05B83ABC" w14:textId="77777777" w:rsidR="006E442A" w:rsidRDefault="006E442A" w:rsidP="006E442A">
            <w:pPr>
              <w:spacing w:after="1"/>
              <w:rPr>
                <w:rFonts w:ascii="Calibri" w:eastAsia="Calibri" w:hAnsi="Calibri" w:cs="Calibri"/>
                <w:color w:val="000000"/>
                <w:sz w:val="20"/>
              </w:rPr>
            </w:pPr>
          </w:p>
        </w:tc>
        <w:tc>
          <w:tcPr>
            <w:tcW w:w="103" w:type="pct"/>
            <w:tcBorders>
              <w:top w:val="nil"/>
              <w:left w:val="nil"/>
              <w:bottom w:val="double" w:sz="4" w:space="0" w:color="000000"/>
              <w:right w:val="nil"/>
              <w:tl2br w:val="nil"/>
              <w:tr2bl w:val="nil"/>
            </w:tcBorders>
            <w:shd w:val="solid" w:color="FFFFFF" w:fill="FFFFFF"/>
            <w:noWrap/>
            <w:vAlign w:val="bottom"/>
          </w:tcPr>
          <w:p w14:paraId="07B1FB4B"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w:t>
            </w:r>
          </w:p>
        </w:tc>
        <w:tc>
          <w:tcPr>
            <w:tcW w:w="838" w:type="pct"/>
            <w:tcBorders>
              <w:top w:val="nil"/>
              <w:left w:val="nil"/>
              <w:bottom w:val="double" w:sz="4" w:space="0" w:color="000000"/>
              <w:right w:val="nil"/>
              <w:tl2br w:val="nil"/>
              <w:tr2bl w:val="nil"/>
            </w:tcBorders>
            <w:shd w:val="solid" w:color="FFFFFF" w:fill="FFFFFF"/>
            <w:noWrap/>
            <w:vAlign w:val="bottom"/>
          </w:tcPr>
          <w:p w14:paraId="52021A2D" w14:textId="604B42A3" w:rsidR="006E442A" w:rsidRDefault="006E442A" w:rsidP="006E442A">
            <w:pPr>
              <w:spacing w:after="1"/>
              <w:jc w:val="right"/>
              <w:rPr>
                <w:rFonts w:ascii="Calibri" w:eastAsia="Calibri" w:hAnsi="Calibri" w:cs="Calibri"/>
                <w:color w:val="000000"/>
                <w:sz w:val="20"/>
              </w:rPr>
            </w:pPr>
            <w:r>
              <w:rPr>
                <w:rFonts w:ascii="Calibri" w:eastAsia="Calibri" w:hAnsi="Calibri" w:cs="Calibri"/>
                <w:color w:val="000000"/>
                <w:sz w:val="20"/>
              </w:rPr>
              <w:t xml:space="preserve"> (0.</w:t>
            </w:r>
            <w:r w:rsidR="005C2225">
              <w:rPr>
                <w:rFonts w:ascii="Calibri" w:eastAsia="Calibri" w:hAnsi="Calibri" w:cs="Calibri"/>
                <w:color w:val="000000"/>
                <w:sz w:val="20"/>
              </w:rPr>
              <w:t>22</w:t>
            </w:r>
            <w:r>
              <w:rPr>
                <w:rFonts w:ascii="Calibri" w:eastAsia="Calibri" w:hAnsi="Calibri" w:cs="Calibri"/>
                <w:color w:val="000000"/>
                <w:sz w:val="20"/>
              </w:rPr>
              <w:t>)</w:t>
            </w:r>
          </w:p>
        </w:tc>
      </w:tr>
      <w:tr w:rsidR="006E442A" w14:paraId="7DC86658" w14:textId="77777777" w:rsidTr="006E442A">
        <w:tc>
          <w:tcPr>
            <w:tcW w:w="2837" w:type="pct"/>
            <w:tcBorders>
              <w:top w:val="nil"/>
              <w:left w:val="nil"/>
              <w:bottom w:val="nil"/>
              <w:right w:val="nil"/>
              <w:tl2br w:val="nil"/>
              <w:tr2bl w:val="nil"/>
            </w:tcBorders>
            <w:shd w:val="solid" w:color="FFFFFF" w:fill="FFFFFF"/>
            <w:vAlign w:val="bottom"/>
          </w:tcPr>
          <w:p w14:paraId="32976E38"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Weighted average shares of Class A</w:t>
            </w:r>
          </w:p>
        </w:tc>
        <w:tc>
          <w:tcPr>
            <w:tcW w:w="159" w:type="pct"/>
            <w:tcBorders>
              <w:top w:val="nil"/>
              <w:left w:val="nil"/>
              <w:bottom w:val="nil"/>
              <w:right w:val="nil"/>
              <w:tl2br w:val="nil"/>
              <w:tr2bl w:val="nil"/>
            </w:tcBorders>
            <w:shd w:val="solid" w:color="FFFFFF" w:fill="FFFFFF"/>
            <w:noWrap/>
            <w:vAlign w:val="bottom"/>
          </w:tcPr>
          <w:p w14:paraId="766C3335" w14:textId="77777777" w:rsidR="006E442A" w:rsidRDefault="006E442A" w:rsidP="006E442A">
            <w:pPr>
              <w:spacing w:after="1"/>
              <w:jc w:val="right"/>
              <w:rPr>
                <w:rFonts w:ascii="Calibri" w:eastAsia="Calibri" w:hAnsi="Calibri" w:cs="Calibri"/>
                <w:color w:val="000000"/>
                <w:sz w:val="20"/>
              </w:rPr>
            </w:pPr>
          </w:p>
        </w:tc>
        <w:tc>
          <w:tcPr>
            <w:tcW w:w="103" w:type="pct"/>
            <w:tcBorders>
              <w:top w:val="nil"/>
              <w:left w:val="nil"/>
              <w:bottom w:val="nil"/>
              <w:right w:val="nil"/>
              <w:tl2br w:val="nil"/>
              <w:tr2bl w:val="nil"/>
            </w:tcBorders>
            <w:shd w:val="solid" w:color="FFFFFF" w:fill="FFFFFF"/>
            <w:noWrap/>
            <w:vAlign w:val="bottom"/>
          </w:tcPr>
          <w:p w14:paraId="2FF5626E" w14:textId="77777777" w:rsidR="006E442A" w:rsidRDefault="006E442A" w:rsidP="006E442A">
            <w:pPr>
              <w:spacing w:after="1"/>
              <w:rPr>
                <w:rFonts w:ascii="Calibri" w:eastAsia="Calibri" w:hAnsi="Calibri" w:cs="Calibri"/>
                <w:color w:val="000000"/>
                <w:sz w:val="20"/>
              </w:rPr>
            </w:pPr>
          </w:p>
        </w:tc>
        <w:tc>
          <w:tcPr>
            <w:tcW w:w="802" w:type="pct"/>
            <w:tcBorders>
              <w:top w:val="nil"/>
              <w:left w:val="nil"/>
              <w:bottom w:val="nil"/>
              <w:right w:val="nil"/>
              <w:tl2br w:val="nil"/>
              <w:tr2bl w:val="nil"/>
            </w:tcBorders>
            <w:shd w:val="solid" w:color="FFFFFF" w:fill="FFFFFF"/>
            <w:noWrap/>
            <w:vAlign w:val="bottom"/>
          </w:tcPr>
          <w:p w14:paraId="73CDD845" w14:textId="77777777" w:rsidR="006E442A" w:rsidRDefault="006E442A" w:rsidP="006E442A">
            <w:pPr>
              <w:spacing w:after="1"/>
              <w:rPr>
                <w:rFonts w:ascii="Calibri" w:eastAsia="Calibri" w:hAnsi="Calibri" w:cs="Calibri"/>
                <w:color w:val="000000"/>
                <w:sz w:val="20"/>
              </w:rPr>
            </w:pPr>
          </w:p>
        </w:tc>
        <w:tc>
          <w:tcPr>
            <w:tcW w:w="159" w:type="pct"/>
            <w:tcBorders>
              <w:top w:val="nil"/>
              <w:left w:val="nil"/>
              <w:bottom w:val="nil"/>
              <w:right w:val="nil"/>
              <w:tl2br w:val="nil"/>
              <w:tr2bl w:val="nil"/>
            </w:tcBorders>
            <w:shd w:val="solid" w:color="FFFFFF" w:fill="FFFFFF"/>
            <w:noWrap/>
            <w:vAlign w:val="bottom"/>
          </w:tcPr>
          <w:p w14:paraId="3AEEC5C1" w14:textId="77777777" w:rsidR="006E442A" w:rsidRDefault="006E442A" w:rsidP="006E442A">
            <w:pPr>
              <w:spacing w:after="1"/>
              <w:rPr>
                <w:rFonts w:ascii="Calibri" w:eastAsia="Calibri" w:hAnsi="Calibri" w:cs="Calibri"/>
                <w:color w:val="000000"/>
                <w:sz w:val="20"/>
              </w:rPr>
            </w:pPr>
          </w:p>
        </w:tc>
        <w:tc>
          <w:tcPr>
            <w:tcW w:w="103" w:type="pct"/>
            <w:tcBorders>
              <w:top w:val="nil"/>
              <w:left w:val="nil"/>
              <w:bottom w:val="nil"/>
              <w:right w:val="nil"/>
              <w:tl2br w:val="nil"/>
              <w:tr2bl w:val="nil"/>
            </w:tcBorders>
            <w:shd w:val="solid" w:color="FFFFFF" w:fill="FFFFFF"/>
            <w:noWrap/>
            <w:vAlign w:val="bottom"/>
          </w:tcPr>
          <w:p w14:paraId="75254C29" w14:textId="77777777" w:rsidR="006E442A" w:rsidRDefault="006E442A" w:rsidP="006E442A">
            <w:pPr>
              <w:spacing w:after="1"/>
              <w:rPr>
                <w:rFonts w:ascii="Calibri" w:eastAsia="Calibri" w:hAnsi="Calibri" w:cs="Calibri"/>
                <w:color w:val="000000"/>
                <w:sz w:val="20"/>
              </w:rPr>
            </w:pPr>
          </w:p>
        </w:tc>
        <w:tc>
          <w:tcPr>
            <w:tcW w:w="838" w:type="pct"/>
            <w:tcBorders>
              <w:top w:val="nil"/>
              <w:left w:val="nil"/>
              <w:bottom w:val="nil"/>
              <w:right w:val="nil"/>
              <w:tl2br w:val="nil"/>
              <w:tr2bl w:val="nil"/>
            </w:tcBorders>
            <w:shd w:val="solid" w:color="FFFFFF" w:fill="FFFFFF"/>
            <w:noWrap/>
            <w:vAlign w:val="bottom"/>
          </w:tcPr>
          <w:p w14:paraId="32E7B2F0" w14:textId="77777777" w:rsidR="006E442A" w:rsidRDefault="006E442A" w:rsidP="006E442A">
            <w:pPr>
              <w:spacing w:after="1"/>
              <w:rPr>
                <w:rFonts w:ascii="Calibri" w:eastAsia="Calibri" w:hAnsi="Calibri" w:cs="Calibri"/>
                <w:color w:val="000000"/>
                <w:sz w:val="20"/>
              </w:rPr>
            </w:pPr>
          </w:p>
        </w:tc>
      </w:tr>
      <w:tr w:rsidR="006E442A" w14:paraId="015ECBF0" w14:textId="77777777" w:rsidTr="006E442A">
        <w:tc>
          <w:tcPr>
            <w:tcW w:w="2837" w:type="pct"/>
            <w:tcBorders>
              <w:top w:val="nil"/>
              <w:left w:val="nil"/>
              <w:bottom w:val="nil"/>
              <w:right w:val="nil"/>
              <w:tl2br w:val="nil"/>
              <w:tr2bl w:val="nil"/>
            </w:tcBorders>
            <w:shd w:val="solid" w:color="FFFFFF" w:fill="FFFFFF"/>
            <w:vAlign w:val="bottom"/>
          </w:tcPr>
          <w:p w14:paraId="0C0B30EA" w14:textId="77777777" w:rsidR="006E442A" w:rsidRDefault="006E442A" w:rsidP="006E442A">
            <w:pPr>
              <w:spacing w:after="1"/>
              <w:ind w:left="120"/>
              <w:rPr>
                <w:rFonts w:ascii="Calibri" w:eastAsia="Calibri" w:hAnsi="Calibri" w:cs="Calibri"/>
                <w:color w:val="000000"/>
                <w:sz w:val="20"/>
              </w:rPr>
            </w:pPr>
            <w:r>
              <w:rPr>
                <w:rFonts w:ascii="Calibri" w:eastAsia="Calibri" w:hAnsi="Calibri" w:cs="Calibri"/>
                <w:color w:val="000000"/>
                <w:sz w:val="20"/>
              </w:rPr>
              <w:t>common stock outstanding:</w:t>
            </w:r>
          </w:p>
        </w:tc>
        <w:tc>
          <w:tcPr>
            <w:tcW w:w="159" w:type="pct"/>
            <w:tcBorders>
              <w:top w:val="nil"/>
              <w:left w:val="nil"/>
              <w:bottom w:val="nil"/>
              <w:right w:val="nil"/>
              <w:tl2br w:val="nil"/>
              <w:tr2bl w:val="nil"/>
            </w:tcBorders>
            <w:shd w:val="solid" w:color="FFFFFF" w:fill="FFFFFF"/>
            <w:noWrap/>
            <w:vAlign w:val="bottom"/>
          </w:tcPr>
          <w:p w14:paraId="246026B3" w14:textId="77777777" w:rsidR="006E442A" w:rsidRDefault="006E442A" w:rsidP="006E442A">
            <w:pPr>
              <w:spacing w:after="1"/>
              <w:jc w:val="right"/>
              <w:rPr>
                <w:rFonts w:ascii="Calibri" w:eastAsia="Calibri" w:hAnsi="Calibri" w:cs="Calibri"/>
                <w:color w:val="000000"/>
                <w:sz w:val="20"/>
              </w:rPr>
            </w:pPr>
          </w:p>
        </w:tc>
        <w:tc>
          <w:tcPr>
            <w:tcW w:w="103" w:type="pct"/>
            <w:tcBorders>
              <w:top w:val="nil"/>
              <w:left w:val="nil"/>
              <w:bottom w:val="nil"/>
              <w:right w:val="nil"/>
              <w:tl2br w:val="nil"/>
              <w:tr2bl w:val="nil"/>
            </w:tcBorders>
            <w:shd w:val="solid" w:color="FFFFFF" w:fill="FFFFFF"/>
            <w:noWrap/>
            <w:vAlign w:val="bottom"/>
          </w:tcPr>
          <w:p w14:paraId="17B96284" w14:textId="77777777" w:rsidR="006E442A" w:rsidRDefault="006E442A" w:rsidP="006E442A">
            <w:pPr>
              <w:spacing w:after="1"/>
              <w:rPr>
                <w:rFonts w:ascii="Calibri" w:eastAsia="Calibri" w:hAnsi="Calibri" w:cs="Calibri"/>
                <w:color w:val="000000"/>
                <w:sz w:val="20"/>
              </w:rPr>
            </w:pPr>
          </w:p>
        </w:tc>
        <w:tc>
          <w:tcPr>
            <w:tcW w:w="802" w:type="pct"/>
            <w:tcBorders>
              <w:top w:val="nil"/>
              <w:left w:val="nil"/>
              <w:bottom w:val="nil"/>
              <w:right w:val="nil"/>
              <w:tl2br w:val="nil"/>
              <w:tr2bl w:val="nil"/>
            </w:tcBorders>
            <w:shd w:val="solid" w:color="FFFFFF" w:fill="FFFFFF"/>
            <w:noWrap/>
            <w:vAlign w:val="bottom"/>
          </w:tcPr>
          <w:p w14:paraId="3E05325A" w14:textId="77777777" w:rsidR="006E442A" w:rsidRDefault="006E442A" w:rsidP="006E442A">
            <w:pPr>
              <w:spacing w:after="1"/>
              <w:rPr>
                <w:rFonts w:ascii="Calibri" w:eastAsia="Calibri" w:hAnsi="Calibri" w:cs="Calibri"/>
                <w:color w:val="000000"/>
                <w:sz w:val="20"/>
              </w:rPr>
            </w:pPr>
          </w:p>
        </w:tc>
        <w:tc>
          <w:tcPr>
            <w:tcW w:w="159" w:type="pct"/>
            <w:tcBorders>
              <w:top w:val="nil"/>
              <w:left w:val="nil"/>
              <w:bottom w:val="nil"/>
              <w:right w:val="nil"/>
              <w:tl2br w:val="nil"/>
              <w:tr2bl w:val="nil"/>
            </w:tcBorders>
            <w:shd w:val="solid" w:color="FFFFFF" w:fill="FFFFFF"/>
            <w:noWrap/>
            <w:vAlign w:val="bottom"/>
          </w:tcPr>
          <w:p w14:paraId="68697CB6" w14:textId="77777777" w:rsidR="006E442A" w:rsidRDefault="006E442A" w:rsidP="006E442A">
            <w:pPr>
              <w:spacing w:after="1"/>
              <w:rPr>
                <w:rFonts w:ascii="Calibri" w:eastAsia="Calibri" w:hAnsi="Calibri" w:cs="Calibri"/>
                <w:color w:val="000000"/>
                <w:sz w:val="20"/>
              </w:rPr>
            </w:pPr>
          </w:p>
        </w:tc>
        <w:tc>
          <w:tcPr>
            <w:tcW w:w="103" w:type="pct"/>
            <w:tcBorders>
              <w:top w:val="nil"/>
              <w:left w:val="nil"/>
              <w:bottom w:val="nil"/>
              <w:right w:val="nil"/>
              <w:tl2br w:val="nil"/>
              <w:tr2bl w:val="nil"/>
            </w:tcBorders>
            <w:shd w:val="solid" w:color="FFFFFF" w:fill="FFFFFF"/>
            <w:noWrap/>
            <w:vAlign w:val="bottom"/>
          </w:tcPr>
          <w:p w14:paraId="31E2400A" w14:textId="77777777" w:rsidR="006E442A" w:rsidRDefault="006E442A" w:rsidP="006E442A">
            <w:pPr>
              <w:spacing w:after="1"/>
              <w:rPr>
                <w:rFonts w:ascii="Calibri" w:eastAsia="Calibri" w:hAnsi="Calibri" w:cs="Calibri"/>
                <w:color w:val="000000"/>
                <w:sz w:val="20"/>
              </w:rPr>
            </w:pPr>
          </w:p>
        </w:tc>
        <w:tc>
          <w:tcPr>
            <w:tcW w:w="838" w:type="pct"/>
            <w:tcBorders>
              <w:top w:val="nil"/>
              <w:left w:val="nil"/>
              <w:bottom w:val="nil"/>
              <w:right w:val="nil"/>
              <w:tl2br w:val="nil"/>
              <w:tr2bl w:val="nil"/>
            </w:tcBorders>
            <w:shd w:val="solid" w:color="FFFFFF" w:fill="FFFFFF"/>
            <w:noWrap/>
            <w:vAlign w:val="bottom"/>
          </w:tcPr>
          <w:p w14:paraId="4FBF8504" w14:textId="77777777" w:rsidR="006E442A" w:rsidRDefault="006E442A" w:rsidP="006E442A">
            <w:pPr>
              <w:spacing w:after="1"/>
              <w:rPr>
                <w:rFonts w:ascii="Calibri" w:eastAsia="Calibri" w:hAnsi="Calibri" w:cs="Calibri"/>
                <w:color w:val="000000"/>
                <w:sz w:val="20"/>
              </w:rPr>
            </w:pPr>
          </w:p>
        </w:tc>
      </w:tr>
      <w:tr w:rsidR="006E442A" w14:paraId="2E5AC16D" w14:textId="77777777" w:rsidTr="006E442A">
        <w:tc>
          <w:tcPr>
            <w:tcW w:w="2837" w:type="pct"/>
            <w:tcBorders>
              <w:top w:val="nil"/>
              <w:left w:val="nil"/>
              <w:bottom w:val="nil"/>
              <w:right w:val="nil"/>
              <w:tl2br w:val="nil"/>
              <w:tr2bl w:val="nil"/>
            </w:tcBorders>
            <w:shd w:val="solid" w:color="FFFFFF" w:fill="FFFFFF"/>
            <w:vAlign w:val="bottom"/>
          </w:tcPr>
          <w:p w14:paraId="2CC275BA" w14:textId="77777777" w:rsidR="006E442A" w:rsidRDefault="006E442A" w:rsidP="006E442A">
            <w:pPr>
              <w:spacing w:after="1"/>
              <w:ind w:left="240"/>
              <w:rPr>
                <w:rFonts w:ascii="Calibri" w:eastAsia="Calibri" w:hAnsi="Calibri" w:cs="Calibri"/>
                <w:color w:val="000000"/>
                <w:sz w:val="20"/>
              </w:rPr>
            </w:pPr>
            <w:r>
              <w:rPr>
                <w:rFonts w:ascii="Calibri" w:eastAsia="Calibri" w:hAnsi="Calibri" w:cs="Calibri"/>
                <w:color w:val="000000"/>
                <w:sz w:val="20"/>
              </w:rPr>
              <w:t>Basic</w:t>
            </w:r>
          </w:p>
        </w:tc>
        <w:tc>
          <w:tcPr>
            <w:tcW w:w="159" w:type="pct"/>
            <w:tcBorders>
              <w:top w:val="nil"/>
              <w:left w:val="nil"/>
              <w:bottom w:val="nil"/>
              <w:right w:val="nil"/>
              <w:tl2br w:val="nil"/>
              <w:tr2bl w:val="nil"/>
            </w:tcBorders>
            <w:shd w:val="solid" w:color="FFFFFF" w:fill="FFFFFF"/>
            <w:noWrap/>
            <w:vAlign w:val="bottom"/>
          </w:tcPr>
          <w:p w14:paraId="3B2B3B9C" w14:textId="77777777" w:rsidR="006E442A" w:rsidRDefault="006E442A" w:rsidP="006E442A">
            <w:pPr>
              <w:spacing w:after="1"/>
              <w:jc w:val="right"/>
              <w:rPr>
                <w:rFonts w:ascii="Calibri" w:eastAsia="Calibri" w:hAnsi="Calibri" w:cs="Calibri"/>
                <w:color w:val="000000"/>
                <w:sz w:val="20"/>
              </w:rPr>
            </w:pPr>
          </w:p>
        </w:tc>
        <w:tc>
          <w:tcPr>
            <w:tcW w:w="103" w:type="pct"/>
            <w:tcBorders>
              <w:top w:val="nil"/>
              <w:left w:val="nil"/>
              <w:bottom w:val="double" w:sz="4" w:space="0" w:color="000000"/>
              <w:right w:val="nil"/>
              <w:tl2br w:val="nil"/>
              <w:tr2bl w:val="nil"/>
            </w:tcBorders>
            <w:shd w:val="solid" w:color="FFFFFF" w:fill="FFFFFF"/>
            <w:noWrap/>
            <w:vAlign w:val="bottom"/>
          </w:tcPr>
          <w:p w14:paraId="049AA941" w14:textId="77777777" w:rsidR="006E442A" w:rsidRDefault="006E442A" w:rsidP="006E442A">
            <w:pPr>
              <w:spacing w:after="1"/>
              <w:rPr>
                <w:rFonts w:ascii="Calibri" w:eastAsia="Calibri" w:hAnsi="Calibri" w:cs="Calibri"/>
                <w:color w:val="000000"/>
                <w:sz w:val="20"/>
              </w:rPr>
            </w:pPr>
          </w:p>
        </w:tc>
        <w:tc>
          <w:tcPr>
            <w:tcW w:w="802" w:type="pct"/>
            <w:tcBorders>
              <w:top w:val="nil"/>
              <w:left w:val="nil"/>
              <w:bottom w:val="double" w:sz="4" w:space="0" w:color="000000"/>
              <w:right w:val="nil"/>
              <w:tl2br w:val="nil"/>
              <w:tr2bl w:val="nil"/>
            </w:tcBorders>
            <w:shd w:val="solid" w:color="FFFFFF" w:fill="FFFFFF"/>
            <w:noWrap/>
            <w:vAlign w:val="bottom"/>
          </w:tcPr>
          <w:p w14:paraId="3C5BC8AD"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65,331,370</w:t>
            </w:r>
          </w:p>
        </w:tc>
        <w:tc>
          <w:tcPr>
            <w:tcW w:w="159" w:type="pct"/>
            <w:tcBorders>
              <w:top w:val="nil"/>
              <w:left w:val="nil"/>
              <w:bottom w:val="nil"/>
              <w:right w:val="nil"/>
              <w:tl2br w:val="nil"/>
              <w:tr2bl w:val="nil"/>
            </w:tcBorders>
            <w:shd w:val="solid" w:color="FFFFFF" w:fill="FFFFFF"/>
            <w:noWrap/>
            <w:vAlign w:val="bottom"/>
          </w:tcPr>
          <w:p w14:paraId="282E792E" w14:textId="77777777" w:rsidR="006E442A" w:rsidRDefault="006E442A" w:rsidP="006E442A">
            <w:pPr>
              <w:spacing w:after="1"/>
              <w:rPr>
                <w:rFonts w:ascii="Calibri" w:eastAsia="Calibri" w:hAnsi="Calibri" w:cs="Calibri"/>
                <w:color w:val="000000"/>
                <w:sz w:val="20"/>
              </w:rPr>
            </w:pPr>
          </w:p>
        </w:tc>
        <w:tc>
          <w:tcPr>
            <w:tcW w:w="103" w:type="pct"/>
            <w:tcBorders>
              <w:top w:val="nil"/>
              <w:left w:val="nil"/>
              <w:bottom w:val="double" w:sz="4" w:space="0" w:color="000000"/>
              <w:right w:val="nil"/>
              <w:tl2br w:val="nil"/>
              <w:tr2bl w:val="nil"/>
            </w:tcBorders>
            <w:shd w:val="solid" w:color="FFFFFF" w:fill="FFFFFF"/>
            <w:noWrap/>
            <w:vAlign w:val="bottom"/>
          </w:tcPr>
          <w:p w14:paraId="19EB9582"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838" w:type="pct"/>
            <w:tcBorders>
              <w:top w:val="nil"/>
              <w:left w:val="nil"/>
              <w:bottom w:val="double" w:sz="4" w:space="0" w:color="000000"/>
              <w:right w:val="nil"/>
              <w:tl2br w:val="nil"/>
              <w:tr2bl w:val="nil"/>
            </w:tcBorders>
            <w:shd w:val="solid" w:color="FFFFFF" w:fill="FFFFFF"/>
            <w:noWrap/>
            <w:vAlign w:val="bottom"/>
          </w:tcPr>
          <w:p w14:paraId="7DD34DC0"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65,940,004</w:t>
            </w:r>
          </w:p>
        </w:tc>
      </w:tr>
      <w:tr w:rsidR="006E442A" w14:paraId="390E1B06" w14:textId="77777777" w:rsidTr="006E442A">
        <w:tc>
          <w:tcPr>
            <w:tcW w:w="2837" w:type="pct"/>
            <w:tcBorders>
              <w:top w:val="nil"/>
              <w:left w:val="nil"/>
              <w:bottom w:val="nil"/>
              <w:right w:val="nil"/>
              <w:tl2br w:val="nil"/>
              <w:tr2bl w:val="nil"/>
            </w:tcBorders>
            <w:shd w:val="solid" w:color="FFFFFF" w:fill="FFFFFF"/>
            <w:vAlign w:val="bottom"/>
          </w:tcPr>
          <w:p w14:paraId="6ABB440B" w14:textId="77777777" w:rsidR="006E442A" w:rsidRDefault="006E442A" w:rsidP="006E442A">
            <w:pPr>
              <w:spacing w:after="1"/>
              <w:ind w:left="240"/>
              <w:rPr>
                <w:rFonts w:ascii="Calibri" w:eastAsia="Calibri" w:hAnsi="Calibri" w:cs="Calibri"/>
                <w:color w:val="000000"/>
                <w:sz w:val="20"/>
              </w:rPr>
            </w:pPr>
            <w:r>
              <w:rPr>
                <w:rFonts w:ascii="Calibri" w:eastAsia="Calibri" w:hAnsi="Calibri" w:cs="Calibri"/>
                <w:color w:val="000000"/>
                <w:sz w:val="20"/>
              </w:rPr>
              <w:t>Diluted</w:t>
            </w:r>
          </w:p>
        </w:tc>
        <w:tc>
          <w:tcPr>
            <w:tcW w:w="159" w:type="pct"/>
            <w:tcBorders>
              <w:top w:val="nil"/>
              <w:left w:val="nil"/>
              <w:bottom w:val="nil"/>
              <w:right w:val="nil"/>
              <w:tl2br w:val="nil"/>
              <w:tr2bl w:val="nil"/>
            </w:tcBorders>
            <w:shd w:val="solid" w:color="FFFFFF" w:fill="FFFFFF"/>
            <w:noWrap/>
            <w:vAlign w:val="bottom"/>
          </w:tcPr>
          <w:p w14:paraId="2D2E44D8" w14:textId="77777777" w:rsidR="006E442A" w:rsidRDefault="006E442A" w:rsidP="006E442A">
            <w:pPr>
              <w:spacing w:after="1"/>
              <w:jc w:val="right"/>
              <w:rPr>
                <w:rFonts w:ascii="Calibri" w:eastAsia="Calibri" w:hAnsi="Calibri" w:cs="Calibri"/>
                <w:color w:val="000000"/>
                <w:sz w:val="20"/>
              </w:rPr>
            </w:pPr>
          </w:p>
        </w:tc>
        <w:tc>
          <w:tcPr>
            <w:tcW w:w="103" w:type="pct"/>
            <w:tcBorders>
              <w:top w:val="single" w:sz="4" w:space="0" w:color="000000"/>
              <w:left w:val="nil"/>
              <w:bottom w:val="double" w:sz="4" w:space="0" w:color="000000"/>
              <w:right w:val="nil"/>
              <w:tl2br w:val="nil"/>
              <w:tr2bl w:val="nil"/>
            </w:tcBorders>
            <w:shd w:val="solid" w:color="FFFFFF" w:fill="FFFFFF"/>
            <w:noWrap/>
            <w:vAlign w:val="bottom"/>
          </w:tcPr>
          <w:p w14:paraId="6313ED0E" w14:textId="77777777" w:rsidR="006E442A" w:rsidRDefault="006E442A" w:rsidP="006E442A">
            <w:pPr>
              <w:spacing w:after="1"/>
              <w:rPr>
                <w:rFonts w:ascii="Calibri" w:eastAsia="Calibri" w:hAnsi="Calibri" w:cs="Calibri"/>
                <w:color w:val="000000"/>
                <w:sz w:val="20"/>
              </w:rPr>
            </w:pPr>
          </w:p>
        </w:tc>
        <w:tc>
          <w:tcPr>
            <w:tcW w:w="802" w:type="pct"/>
            <w:tcBorders>
              <w:top w:val="single" w:sz="4" w:space="0" w:color="000000"/>
              <w:left w:val="nil"/>
              <w:bottom w:val="double" w:sz="4" w:space="0" w:color="000000"/>
              <w:right w:val="nil"/>
              <w:tl2br w:val="nil"/>
              <w:tr2bl w:val="nil"/>
            </w:tcBorders>
            <w:shd w:val="solid" w:color="FFFFFF" w:fill="FFFFFF"/>
            <w:noWrap/>
            <w:vAlign w:val="bottom"/>
          </w:tcPr>
          <w:p w14:paraId="0E7A2315"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65,767,463</w:t>
            </w:r>
          </w:p>
        </w:tc>
        <w:tc>
          <w:tcPr>
            <w:tcW w:w="159" w:type="pct"/>
            <w:tcBorders>
              <w:top w:val="nil"/>
              <w:left w:val="nil"/>
              <w:bottom w:val="nil"/>
              <w:right w:val="nil"/>
              <w:tl2br w:val="nil"/>
              <w:tr2bl w:val="nil"/>
            </w:tcBorders>
            <w:shd w:val="solid" w:color="FFFFFF" w:fill="FFFFFF"/>
            <w:noWrap/>
            <w:vAlign w:val="bottom"/>
          </w:tcPr>
          <w:p w14:paraId="7EA08CCE" w14:textId="77777777" w:rsidR="006E442A" w:rsidRDefault="006E442A" w:rsidP="006E442A">
            <w:pPr>
              <w:spacing w:after="1"/>
              <w:rPr>
                <w:rFonts w:ascii="Calibri" w:eastAsia="Calibri" w:hAnsi="Calibri" w:cs="Calibri"/>
                <w:color w:val="000000"/>
                <w:sz w:val="20"/>
              </w:rPr>
            </w:pPr>
          </w:p>
        </w:tc>
        <w:tc>
          <w:tcPr>
            <w:tcW w:w="103" w:type="pct"/>
            <w:tcBorders>
              <w:top w:val="single" w:sz="4" w:space="0" w:color="000000"/>
              <w:left w:val="nil"/>
              <w:bottom w:val="double" w:sz="4" w:space="0" w:color="000000"/>
              <w:right w:val="nil"/>
              <w:tl2br w:val="nil"/>
              <w:tr2bl w:val="nil"/>
            </w:tcBorders>
            <w:shd w:val="solid" w:color="FFFFFF" w:fill="FFFFFF"/>
            <w:noWrap/>
            <w:vAlign w:val="bottom"/>
          </w:tcPr>
          <w:p w14:paraId="7046B32B"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838" w:type="pct"/>
            <w:tcBorders>
              <w:top w:val="single" w:sz="4" w:space="0" w:color="000000"/>
              <w:left w:val="nil"/>
              <w:bottom w:val="double" w:sz="4" w:space="0" w:color="000000"/>
              <w:right w:val="nil"/>
              <w:tl2br w:val="nil"/>
              <w:tr2bl w:val="nil"/>
            </w:tcBorders>
            <w:shd w:val="solid" w:color="FFFFFF" w:fill="FFFFFF"/>
            <w:noWrap/>
            <w:vAlign w:val="bottom"/>
          </w:tcPr>
          <w:p w14:paraId="63546E08"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84,174,046</w:t>
            </w:r>
          </w:p>
        </w:tc>
      </w:tr>
    </w:tbl>
    <w:p w14:paraId="6D2F8128" w14:textId="77777777" w:rsidR="003E7B97" w:rsidRDefault="003E7B97" w:rsidP="005E65E6">
      <w:pPr>
        <w:spacing w:after="0" w:line="240" w:lineRule="auto"/>
        <w:contextualSpacing/>
        <w:jc w:val="center"/>
        <w:rPr>
          <w:rFonts w:cstheme="minorHAnsi"/>
          <w:b/>
        </w:rPr>
      </w:pPr>
    </w:p>
    <w:p w14:paraId="527ABC6A" w14:textId="77777777" w:rsidR="0057101E" w:rsidRDefault="0057101E" w:rsidP="005E65E6">
      <w:pPr>
        <w:spacing w:after="0" w:line="240" w:lineRule="auto"/>
        <w:contextualSpacing/>
        <w:jc w:val="center"/>
        <w:rPr>
          <w:rFonts w:cstheme="minorHAnsi"/>
          <w:b/>
        </w:rPr>
      </w:pPr>
    </w:p>
    <w:p w14:paraId="499B031A" w14:textId="77777777" w:rsidR="0057101E" w:rsidRDefault="0057101E" w:rsidP="005E65E6">
      <w:pPr>
        <w:spacing w:after="0" w:line="240" w:lineRule="auto"/>
        <w:contextualSpacing/>
        <w:jc w:val="center"/>
        <w:rPr>
          <w:rFonts w:cstheme="minorHAnsi"/>
          <w:b/>
        </w:rPr>
      </w:pPr>
    </w:p>
    <w:p w14:paraId="5AD2D90E" w14:textId="77777777" w:rsidR="00DD1287" w:rsidRDefault="00DD1287" w:rsidP="005E65E6">
      <w:pPr>
        <w:spacing w:after="0" w:line="240" w:lineRule="auto"/>
        <w:contextualSpacing/>
        <w:jc w:val="center"/>
        <w:rPr>
          <w:rFonts w:cstheme="minorHAnsi"/>
          <w:b/>
        </w:rPr>
      </w:pPr>
    </w:p>
    <w:p w14:paraId="65DDDB68" w14:textId="77777777" w:rsidR="00536C41" w:rsidRDefault="00536C41" w:rsidP="005E65E6">
      <w:pPr>
        <w:spacing w:after="0" w:line="240" w:lineRule="auto"/>
        <w:contextualSpacing/>
        <w:jc w:val="center"/>
        <w:rPr>
          <w:rFonts w:cstheme="minorHAnsi"/>
          <w:b/>
        </w:rPr>
      </w:pPr>
      <w:r>
        <w:rPr>
          <w:rFonts w:cstheme="minorHAnsi"/>
          <w:b/>
        </w:rPr>
        <w:lastRenderedPageBreak/>
        <w:t>FOCUS FINANCIAL PARTNERS INC.</w:t>
      </w:r>
    </w:p>
    <w:p w14:paraId="0B36FF26" w14:textId="77777777" w:rsidR="00536C41" w:rsidRDefault="005E65E6" w:rsidP="005E65E6">
      <w:pPr>
        <w:spacing w:after="0" w:line="240" w:lineRule="auto"/>
        <w:contextualSpacing/>
        <w:jc w:val="center"/>
        <w:rPr>
          <w:rFonts w:cstheme="minorHAnsi"/>
          <w:b/>
        </w:rPr>
      </w:pPr>
      <w:r>
        <w:rPr>
          <w:rFonts w:cstheme="minorHAnsi"/>
          <w:b/>
        </w:rPr>
        <w:t xml:space="preserve">Unaudited </w:t>
      </w:r>
      <w:r w:rsidR="000E4CFD">
        <w:rPr>
          <w:rFonts w:cstheme="minorHAnsi"/>
          <w:b/>
        </w:rPr>
        <w:t>C</w:t>
      </w:r>
      <w:r w:rsidR="00536C41">
        <w:rPr>
          <w:rFonts w:cstheme="minorHAnsi"/>
          <w:b/>
        </w:rPr>
        <w:t xml:space="preserve">ondensed </w:t>
      </w:r>
      <w:r w:rsidR="00371281">
        <w:rPr>
          <w:rFonts w:cstheme="minorHAnsi"/>
          <w:b/>
        </w:rPr>
        <w:t>C</w:t>
      </w:r>
      <w:r w:rsidR="00536C41">
        <w:rPr>
          <w:rFonts w:cstheme="minorHAnsi"/>
          <w:b/>
        </w:rPr>
        <w:t xml:space="preserve">onsolidated </w:t>
      </w:r>
      <w:r w:rsidR="00371281">
        <w:rPr>
          <w:rFonts w:cstheme="minorHAnsi"/>
          <w:b/>
        </w:rPr>
        <w:t>B</w:t>
      </w:r>
      <w:r w:rsidR="00536C41">
        <w:rPr>
          <w:rFonts w:cstheme="minorHAnsi"/>
          <w:b/>
        </w:rPr>
        <w:t xml:space="preserve">alance </w:t>
      </w:r>
      <w:r w:rsidR="00371281">
        <w:rPr>
          <w:rFonts w:cstheme="minorHAnsi"/>
          <w:b/>
        </w:rPr>
        <w:t>S</w:t>
      </w:r>
      <w:r w:rsidR="00536C41">
        <w:rPr>
          <w:rFonts w:cstheme="minorHAnsi"/>
          <w:b/>
        </w:rPr>
        <w:t>heets</w:t>
      </w:r>
    </w:p>
    <w:p w14:paraId="57E70A87" w14:textId="77777777" w:rsidR="00536C41" w:rsidRDefault="00536C41" w:rsidP="005E65E6">
      <w:pPr>
        <w:spacing w:after="0" w:line="240" w:lineRule="auto"/>
        <w:contextualSpacing/>
        <w:jc w:val="center"/>
        <w:rPr>
          <w:rFonts w:cstheme="minorHAnsi"/>
          <w:b/>
        </w:rPr>
      </w:pPr>
      <w:r>
        <w:rPr>
          <w:rFonts w:cstheme="minorHAnsi"/>
          <w:b/>
        </w:rPr>
        <w:t>(</w:t>
      </w:r>
      <w:proofErr w:type="gramStart"/>
      <w:r>
        <w:rPr>
          <w:rFonts w:cstheme="minorHAnsi"/>
          <w:b/>
        </w:rPr>
        <w:t>in</w:t>
      </w:r>
      <w:proofErr w:type="gramEnd"/>
      <w:r>
        <w:rPr>
          <w:rFonts w:cstheme="minorHAnsi"/>
          <w:b/>
        </w:rPr>
        <w:t xml:space="preserve"> thousands, except share and per share amounts)</w:t>
      </w:r>
    </w:p>
    <w:p w14:paraId="558BBFF3" w14:textId="77777777" w:rsidR="00893EF4" w:rsidRPr="006F2C93" w:rsidRDefault="00893EF4" w:rsidP="005E65E6">
      <w:pPr>
        <w:spacing w:after="0" w:line="240" w:lineRule="auto"/>
        <w:contextualSpacing/>
        <w:jc w:val="center"/>
        <w:rPr>
          <w:rFonts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62"/>
        <w:gridCol w:w="256"/>
        <w:gridCol w:w="165"/>
        <w:gridCol w:w="1078"/>
        <w:gridCol w:w="256"/>
        <w:gridCol w:w="165"/>
        <w:gridCol w:w="1078"/>
      </w:tblGrid>
      <w:tr w:rsidR="008B409B" w14:paraId="247E9BE9" w14:textId="77777777" w:rsidTr="008B409B">
        <w:trPr>
          <w:trHeight w:hRule="exact" w:val="20"/>
        </w:trPr>
        <w:tc>
          <w:tcPr>
            <w:tcW w:w="3398" w:type="pct"/>
            <w:tcBorders>
              <w:top w:val="nil"/>
              <w:left w:val="nil"/>
              <w:bottom w:val="nil"/>
              <w:right w:val="nil"/>
            </w:tcBorders>
            <w:vAlign w:val="bottom"/>
          </w:tcPr>
          <w:p w14:paraId="6D4F9E1F" w14:textId="77777777" w:rsidR="008B409B" w:rsidRDefault="008B409B" w:rsidP="008B409B">
            <w:pPr>
              <w:keepNext/>
              <w:spacing w:after="1"/>
              <w:rPr>
                <w:sz w:val="2"/>
              </w:rPr>
            </w:pPr>
          </w:p>
        </w:tc>
        <w:tc>
          <w:tcPr>
            <w:tcW w:w="137" w:type="pct"/>
            <w:tcBorders>
              <w:top w:val="nil"/>
              <w:left w:val="nil"/>
              <w:bottom w:val="nil"/>
              <w:right w:val="nil"/>
            </w:tcBorders>
            <w:noWrap/>
            <w:vAlign w:val="bottom"/>
          </w:tcPr>
          <w:p w14:paraId="22720B17" w14:textId="77777777" w:rsidR="008B409B" w:rsidRDefault="008B409B" w:rsidP="008B409B">
            <w:pPr>
              <w:keepNext/>
              <w:spacing w:after="1"/>
              <w:rPr>
                <w:sz w:val="2"/>
              </w:rPr>
            </w:pPr>
          </w:p>
        </w:tc>
        <w:tc>
          <w:tcPr>
            <w:tcW w:w="88" w:type="pct"/>
            <w:tcBorders>
              <w:top w:val="nil"/>
              <w:left w:val="nil"/>
              <w:bottom w:val="nil"/>
              <w:right w:val="nil"/>
            </w:tcBorders>
            <w:noWrap/>
            <w:vAlign w:val="bottom"/>
          </w:tcPr>
          <w:p w14:paraId="0C2046B4" w14:textId="77777777" w:rsidR="008B409B" w:rsidRDefault="008B409B" w:rsidP="008B409B">
            <w:pPr>
              <w:keepNext/>
              <w:spacing w:after="1"/>
              <w:rPr>
                <w:sz w:val="2"/>
              </w:rPr>
            </w:pPr>
          </w:p>
        </w:tc>
        <w:tc>
          <w:tcPr>
            <w:tcW w:w="575" w:type="pct"/>
            <w:tcBorders>
              <w:top w:val="nil"/>
              <w:left w:val="nil"/>
              <w:bottom w:val="nil"/>
              <w:right w:val="nil"/>
            </w:tcBorders>
            <w:noWrap/>
            <w:vAlign w:val="bottom"/>
          </w:tcPr>
          <w:p w14:paraId="4D451698" w14:textId="77777777" w:rsidR="008B409B" w:rsidRDefault="008B409B" w:rsidP="008B409B">
            <w:pPr>
              <w:keepNext/>
              <w:spacing w:after="1"/>
              <w:rPr>
                <w:sz w:val="2"/>
              </w:rPr>
            </w:pPr>
          </w:p>
        </w:tc>
        <w:tc>
          <w:tcPr>
            <w:tcW w:w="137" w:type="pct"/>
            <w:tcBorders>
              <w:top w:val="nil"/>
              <w:left w:val="nil"/>
              <w:bottom w:val="nil"/>
              <w:right w:val="nil"/>
            </w:tcBorders>
            <w:noWrap/>
            <w:vAlign w:val="bottom"/>
          </w:tcPr>
          <w:p w14:paraId="6E80AFB0" w14:textId="77777777" w:rsidR="008B409B" w:rsidRDefault="008B409B" w:rsidP="008B409B">
            <w:pPr>
              <w:keepNext/>
              <w:spacing w:after="1"/>
              <w:rPr>
                <w:sz w:val="2"/>
              </w:rPr>
            </w:pPr>
          </w:p>
        </w:tc>
        <w:tc>
          <w:tcPr>
            <w:tcW w:w="88" w:type="pct"/>
            <w:tcBorders>
              <w:top w:val="nil"/>
              <w:left w:val="nil"/>
              <w:bottom w:val="nil"/>
              <w:right w:val="nil"/>
            </w:tcBorders>
            <w:noWrap/>
            <w:vAlign w:val="bottom"/>
          </w:tcPr>
          <w:p w14:paraId="59E0F769" w14:textId="77777777" w:rsidR="008B409B" w:rsidRDefault="008B409B" w:rsidP="008B409B">
            <w:pPr>
              <w:keepNext/>
              <w:spacing w:after="1"/>
              <w:rPr>
                <w:sz w:val="2"/>
              </w:rPr>
            </w:pPr>
          </w:p>
        </w:tc>
        <w:tc>
          <w:tcPr>
            <w:tcW w:w="575" w:type="pct"/>
            <w:tcBorders>
              <w:top w:val="nil"/>
              <w:left w:val="nil"/>
              <w:bottom w:val="nil"/>
              <w:right w:val="nil"/>
            </w:tcBorders>
            <w:noWrap/>
            <w:vAlign w:val="bottom"/>
          </w:tcPr>
          <w:p w14:paraId="26805661" w14:textId="77777777" w:rsidR="008B409B" w:rsidRDefault="008B409B" w:rsidP="008B409B">
            <w:pPr>
              <w:keepNext/>
              <w:spacing w:after="1"/>
              <w:rPr>
                <w:sz w:val="2"/>
              </w:rPr>
            </w:pPr>
          </w:p>
        </w:tc>
      </w:tr>
      <w:tr w:rsidR="008B409B" w14:paraId="11DD388B" w14:textId="77777777" w:rsidTr="008B409B">
        <w:tc>
          <w:tcPr>
            <w:tcW w:w="3398" w:type="pct"/>
            <w:tcBorders>
              <w:top w:val="nil"/>
              <w:left w:val="nil"/>
              <w:bottom w:val="nil"/>
              <w:right w:val="nil"/>
              <w:tl2br w:val="nil"/>
              <w:tr2bl w:val="nil"/>
            </w:tcBorders>
            <w:shd w:val="solid" w:color="FFFFFF" w:fill="FFFFFF"/>
            <w:vAlign w:val="bottom"/>
          </w:tcPr>
          <w:p w14:paraId="282FF6DD" w14:textId="77777777" w:rsidR="008B409B" w:rsidRDefault="008B409B" w:rsidP="008B409B">
            <w:pPr>
              <w:spacing w:after="1"/>
              <w:rPr>
                <w:rFonts w:ascii="Calibri" w:eastAsia="Calibri" w:hAnsi="Calibri" w:cs="Calibri"/>
                <w:b/>
                <w:color w:val="000000"/>
                <w:sz w:val="16"/>
              </w:rPr>
            </w:pPr>
          </w:p>
        </w:tc>
        <w:tc>
          <w:tcPr>
            <w:tcW w:w="137" w:type="pct"/>
            <w:tcBorders>
              <w:top w:val="nil"/>
              <w:left w:val="nil"/>
              <w:bottom w:val="nil"/>
              <w:right w:val="nil"/>
              <w:tl2br w:val="nil"/>
              <w:tr2bl w:val="nil"/>
            </w:tcBorders>
            <w:shd w:val="solid" w:color="FFFFFF" w:fill="FFFFFF"/>
            <w:noWrap/>
            <w:vAlign w:val="bottom"/>
          </w:tcPr>
          <w:p w14:paraId="531E3F1F" w14:textId="77777777" w:rsidR="008B409B" w:rsidRDefault="008B409B" w:rsidP="008B409B">
            <w:pPr>
              <w:spacing w:after="1"/>
              <w:rPr>
                <w:rFonts w:ascii="Calibri" w:eastAsia="Calibri" w:hAnsi="Calibri" w:cs="Calibri"/>
                <w:b/>
                <w:color w:val="000000"/>
                <w:sz w:val="16"/>
              </w:rPr>
            </w:pPr>
            <w:r>
              <w:rPr>
                <w:rFonts w:ascii="Calibri" w:eastAsia="Calibri" w:hAnsi="Calibri" w:cs="Calibri"/>
                <w:b/>
                <w:color w:val="000000"/>
                <w:sz w:val="16"/>
              </w:rPr>
              <w:t>    </w:t>
            </w:r>
          </w:p>
        </w:tc>
        <w:tc>
          <w:tcPr>
            <w:tcW w:w="664" w:type="pct"/>
            <w:gridSpan w:val="2"/>
            <w:tcBorders>
              <w:top w:val="nil"/>
              <w:left w:val="nil"/>
              <w:bottom w:val="nil"/>
              <w:right w:val="nil"/>
              <w:tl2br w:val="nil"/>
              <w:tr2bl w:val="nil"/>
            </w:tcBorders>
            <w:shd w:val="solid" w:color="FFFFFF" w:fill="FFFFFF"/>
            <w:noWrap/>
            <w:vAlign w:val="bottom"/>
          </w:tcPr>
          <w:p w14:paraId="4A686300" w14:textId="77777777" w:rsidR="008B409B" w:rsidRDefault="008B409B" w:rsidP="008B409B">
            <w:pPr>
              <w:spacing w:after="1"/>
              <w:jc w:val="center"/>
              <w:rPr>
                <w:rFonts w:ascii="Calibri" w:eastAsia="Calibri" w:hAnsi="Calibri" w:cs="Calibri"/>
                <w:b/>
                <w:color w:val="000000"/>
                <w:sz w:val="20"/>
              </w:rPr>
            </w:pPr>
            <w:r>
              <w:rPr>
                <w:rFonts w:ascii="Calibri" w:eastAsia="Calibri" w:hAnsi="Calibri" w:cs="Calibri"/>
                <w:b/>
                <w:color w:val="000000"/>
                <w:sz w:val="20"/>
              </w:rPr>
              <w:t>December 31, </w:t>
            </w:r>
          </w:p>
        </w:tc>
        <w:tc>
          <w:tcPr>
            <w:tcW w:w="137" w:type="pct"/>
            <w:tcBorders>
              <w:top w:val="nil"/>
              <w:left w:val="nil"/>
              <w:bottom w:val="nil"/>
              <w:right w:val="nil"/>
              <w:tl2br w:val="nil"/>
              <w:tr2bl w:val="nil"/>
            </w:tcBorders>
            <w:shd w:val="solid" w:color="FFFFFF" w:fill="FFFFFF"/>
            <w:noWrap/>
            <w:vAlign w:val="bottom"/>
          </w:tcPr>
          <w:p w14:paraId="21AACF91" w14:textId="77777777" w:rsidR="008B409B" w:rsidRDefault="008B409B" w:rsidP="008B409B">
            <w:pPr>
              <w:spacing w:after="1"/>
              <w:rPr>
                <w:rFonts w:ascii="Calibri" w:eastAsia="Calibri" w:hAnsi="Calibri" w:cs="Calibri"/>
                <w:b/>
                <w:color w:val="000000"/>
                <w:sz w:val="20"/>
              </w:rPr>
            </w:pPr>
            <w:r>
              <w:rPr>
                <w:rFonts w:ascii="Calibri" w:eastAsia="Calibri" w:hAnsi="Calibri" w:cs="Calibri"/>
                <w:b/>
                <w:color w:val="000000"/>
                <w:sz w:val="20"/>
              </w:rPr>
              <w:t>    </w:t>
            </w:r>
          </w:p>
        </w:tc>
        <w:tc>
          <w:tcPr>
            <w:tcW w:w="664" w:type="pct"/>
            <w:gridSpan w:val="2"/>
            <w:tcBorders>
              <w:top w:val="nil"/>
              <w:left w:val="nil"/>
              <w:bottom w:val="nil"/>
              <w:right w:val="nil"/>
              <w:tl2br w:val="nil"/>
              <w:tr2bl w:val="nil"/>
            </w:tcBorders>
            <w:shd w:val="solid" w:color="FFFFFF" w:fill="FFFFFF"/>
            <w:noWrap/>
            <w:vAlign w:val="bottom"/>
          </w:tcPr>
          <w:p w14:paraId="30E9BBFA" w14:textId="77777777" w:rsidR="008B409B" w:rsidRDefault="008B409B" w:rsidP="008B409B">
            <w:pPr>
              <w:spacing w:after="1"/>
              <w:jc w:val="center"/>
              <w:rPr>
                <w:rFonts w:ascii="Calibri" w:eastAsia="Calibri" w:hAnsi="Calibri" w:cs="Calibri"/>
                <w:b/>
                <w:color w:val="000000"/>
                <w:sz w:val="20"/>
              </w:rPr>
            </w:pPr>
            <w:r>
              <w:rPr>
                <w:rFonts w:ascii="Calibri" w:eastAsia="Calibri" w:hAnsi="Calibri" w:cs="Calibri"/>
                <w:b/>
                <w:color w:val="000000"/>
                <w:sz w:val="20"/>
              </w:rPr>
              <w:t>March 31, </w:t>
            </w:r>
          </w:p>
        </w:tc>
      </w:tr>
      <w:tr w:rsidR="008B409B" w14:paraId="46D9E17B" w14:textId="77777777" w:rsidTr="008B409B">
        <w:tc>
          <w:tcPr>
            <w:tcW w:w="3398" w:type="pct"/>
            <w:tcBorders>
              <w:top w:val="nil"/>
              <w:left w:val="nil"/>
              <w:bottom w:val="nil"/>
              <w:right w:val="nil"/>
              <w:tl2br w:val="nil"/>
              <w:tr2bl w:val="nil"/>
            </w:tcBorders>
            <w:shd w:val="solid" w:color="FFFFFF" w:fill="FFFFFF"/>
            <w:vAlign w:val="bottom"/>
          </w:tcPr>
          <w:p w14:paraId="6ECEF45A" w14:textId="77777777" w:rsidR="008B409B" w:rsidRDefault="008B409B" w:rsidP="008B409B">
            <w:pPr>
              <w:spacing w:after="1"/>
              <w:rPr>
                <w:rFonts w:ascii="Calibri" w:eastAsia="Calibri" w:hAnsi="Calibri" w:cs="Calibri"/>
                <w:b/>
                <w:color w:val="000000"/>
                <w:sz w:val="16"/>
              </w:rPr>
            </w:pPr>
          </w:p>
        </w:tc>
        <w:tc>
          <w:tcPr>
            <w:tcW w:w="137" w:type="pct"/>
            <w:tcBorders>
              <w:top w:val="nil"/>
              <w:left w:val="nil"/>
              <w:bottom w:val="nil"/>
              <w:right w:val="nil"/>
              <w:tl2br w:val="nil"/>
              <w:tr2bl w:val="nil"/>
            </w:tcBorders>
            <w:shd w:val="solid" w:color="FFFFFF" w:fill="FFFFFF"/>
            <w:noWrap/>
            <w:vAlign w:val="bottom"/>
          </w:tcPr>
          <w:p w14:paraId="148101F5" w14:textId="77777777" w:rsidR="008B409B" w:rsidRDefault="008B409B" w:rsidP="008B409B">
            <w:pPr>
              <w:spacing w:after="1"/>
              <w:rPr>
                <w:rFonts w:ascii="Calibri" w:eastAsia="Calibri" w:hAnsi="Calibri" w:cs="Calibri"/>
                <w:color w:val="000000"/>
                <w:sz w:val="16"/>
              </w:rPr>
            </w:pPr>
          </w:p>
        </w:tc>
        <w:tc>
          <w:tcPr>
            <w:tcW w:w="664" w:type="pct"/>
            <w:gridSpan w:val="2"/>
            <w:tcBorders>
              <w:top w:val="nil"/>
              <w:left w:val="nil"/>
              <w:bottom w:val="single" w:sz="4" w:space="0" w:color="000000"/>
              <w:right w:val="nil"/>
              <w:tl2br w:val="nil"/>
              <w:tr2bl w:val="nil"/>
            </w:tcBorders>
            <w:shd w:val="solid" w:color="FFFFFF" w:fill="FFFFFF"/>
            <w:noWrap/>
            <w:vAlign w:val="bottom"/>
          </w:tcPr>
          <w:p w14:paraId="3434BECA" w14:textId="77777777" w:rsidR="008B409B" w:rsidRDefault="008B409B" w:rsidP="008B409B">
            <w:pPr>
              <w:spacing w:after="1"/>
              <w:jc w:val="center"/>
              <w:rPr>
                <w:rFonts w:ascii="Calibri" w:eastAsia="Calibri" w:hAnsi="Calibri" w:cs="Calibri"/>
                <w:b/>
                <w:color w:val="000000"/>
                <w:sz w:val="20"/>
              </w:rPr>
            </w:pPr>
            <w:r>
              <w:rPr>
                <w:rFonts w:ascii="Calibri" w:eastAsia="Calibri" w:hAnsi="Calibri" w:cs="Calibri"/>
                <w:b/>
                <w:color w:val="000000"/>
                <w:sz w:val="20"/>
              </w:rPr>
              <w:t>2022</w:t>
            </w:r>
          </w:p>
        </w:tc>
        <w:tc>
          <w:tcPr>
            <w:tcW w:w="137" w:type="pct"/>
            <w:tcBorders>
              <w:top w:val="nil"/>
              <w:left w:val="nil"/>
              <w:bottom w:val="nil"/>
              <w:right w:val="nil"/>
              <w:tl2br w:val="nil"/>
              <w:tr2bl w:val="nil"/>
            </w:tcBorders>
            <w:shd w:val="solid" w:color="FFFFFF" w:fill="FFFFFF"/>
            <w:noWrap/>
            <w:vAlign w:val="bottom"/>
          </w:tcPr>
          <w:p w14:paraId="66881A5B" w14:textId="77777777" w:rsidR="008B409B" w:rsidRDefault="008B409B" w:rsidP="008B409B">
            <w:pPr>
              <w:spacing w:after="1"/>
              <w:rPr>
                <w:rFonts w:ascii="Calibri" w:eastAsia="Calibri" w:hAnsi="Calibri" w:cs="Calibri"/>
                <w:color w:val="000000"/>
                <w:sz w:val="20"/>
              </w:rPr>
            </w:pPr>
          </w:p>
        </w:tc>
        <w:tc>
          <w:tcPr>
            <w:tcW w:w="664" w:type="pct"/>
            <w:gridSpan w:val="2"/>
            <w:tcBorders>
              <w:top w:val="nil"/>
              <w:left w:val="nil"/>
              <w:bottom w:val="single" w:sz="4" w:space="0" w:color="000000"/>
              <w:right w:val="nil"/>
              <w:tl2br w:val="nil"/>
              <w:tr2bl w:val="nil"/>
            </w:tcBorders>
            <w:shd w:val="solid" w:color="FFFFFF" w:fill="FFFFFF"/>
            <w:noWrap/>
            <w:vAlign w:val="bottom"/>
          </w:tcPr>
          <w:p w14:paraId="0E680022" w14:textId="77777777" w:rsidR="008B409B" w:rsidRDefault="008B409B" w:rsidP="008B409B">
            <w:pPr>
              <w:spacing w:after="1"/>
              <w:jc w:val="center"/>
              <w:rPr>
                <w:rFonts w:ascii="Calibri" w:eastAsia="Calibri" w:hAnsi="Calibri" w:cs="Calibri"/>
                <w:b/>
                <w:color w:val="000000"/>
                <w:sz w:val="20"/>
              </w:rPr>
            </w:pPr>
            <w:r>
              <w:rPr>
                <w:rFonts w:ascii="Calibri" w:eastAsia="Calibri" w:hAnsi="Calibri" w:cs="Calibri"/>
                <w:b/>
                <w:color w:val="000000"/>
                <w:sz w:val="20"/>
              </w:rPr>
              <w:t>2023</w:t>
            </w:r>
          </w:p>
        </w:tc>
      </w:tr>
      <w:tr w:rsidR="008B409B" w14:paraId="51332614" w14:textId="77777777" w:rsidTr="008B409B">
        <w:tc>
          <w:tcPr>
            <w:tcW w:w="3398" w:type="pct"/>
            <w:tcBorders>
              <w:top w:val="nil"/>
              <w:left w:val="nil"/>
              <w:bottom w:val="nil"/>
              <w:right w:val="nil"/>
              <w:tl2br w:val="nil"/>
              <w:tr2bl w:val="nil"/>
            </w:tcBorders>
            <w:shd w:val="solid" w:color="FFFFFF" w:fill="FFFFFF"/>
            <w:vAlign w:val="bottom"/>
          </w:tcPr>
          <w:p w14:paraId="2FAC1050" w14:textId="77777777" w:rsidR="008B409B" w:rsidRDefault="008B409B" w:rsidP="008B409B">
            <w:pPr>
              <w:spacing w:after="1"/>
              <w:rPr>
                <w:rFonts w:ascii="Calibri" w:eastAsia="Calibri" w:hAnsi="Calibri" w:cs="Calibri"/>
                <w:b/>
                <w:color w:val="000000"/>
                <w:sz w:val="20"/>
              </w:rPr>
            </w:pPr>
            <w:r>
              <w:rPr>
                <w:rFonts w:ascii="Calibri" w:eastAsia="Calibri" w:hAnsi="Calibri" w:cs="Calibri"/>
                <w:b/>
                <w:color w:val="000000"/>
                <w:sz w:val="20"/>
              </w:rPr>
              <w:t>ASSETS</w:t>
            </w:r>
          </w:p>
        </w:tc>
        <w:tc>
          <w:tcPr>
            <w:tcW w:w="137" w:type="pct"/>
            <w:tcBorders>
              <w:top w:val="nil"/>
              <w:left w:val="nil"/>
              <w:bottom w:val="nil"/>
              <w:right w:val="nil"/>
              <w:tl2br w:val="nil"/>
              <w:tr2bl w:val="nil"/>
            </w:tcBorders>
            <w:shd w:val="solid" w:color="FFFFFF" w:fill="FFFFFF"/>
            <w:noWrap/>
            <w:vAlign w:val="bottom"/>
          </w:tcPr>
          <w:p w14:paraId="76FAA4BA"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 </w:t>
            </w:r>
          </w:p>
        </w:tc>
        <w:tc>
          <w:tcPr>
            <w:tcW w:w="88" w:type="pct"/>
            <w:tcBorders>
              <w:top w:val="nil"/>
              <w:left w:val="nil"/>
              <w:bottom w:val="nil"/>
              <w:right w:val="nil"/>
              <w:tl2br w:val="nil"/>
              <w:tr2bl w:val="nil"/>
            </w:tcBorders>
            <w:shd w:val="solid" w:color="FFFFFF" w:fill="FFFFFF"/>
            <w:noWrap/>
            <w:vAlign w:val="bottom"/>
          </w:tcPr>
          <w:p w14:paraId="088E6158" w14:textId="77777777" w:rsidR="008B409B" w:rsidRDefault="008B409B" w:rsidP="008B409B">
            <w:pPr>
              <w:spacing w:after="1"/>
              <w:rPr>
                <w:rFonts w:ascii="Calibri" w:eastAsia="Calibri" w:hAnsi="Calibri" w:cs="Calibri"/>
                <w:color w:val="000000"/>
                <w:sz w:val="20"/>
              </w:rPr>
            </w:pPr>
          </w:p>
        </w:tc>
        <w:tc>
          <w:tcPr>
            <w:tcW w:w="575" w:type="pct"/>
            <w:tcBorders>
              <w:top w:val="nil"/>
              <w:left w:val="nil"/>
              <w:bottom w:val="nil"/>
              <w:right w:val="nil"/>
              <w:tl2br w:val="nil"/>
              <w:tr2bl w:val="nil"/>
            </w:tcBorders>
            <w:shd w:val="solid" w:color="FFFFFF" w:fill="FFFFFF"/>
            <w:noWrap/>
            <w:vAlign w:val="bottom"/>
          </w:tcPr>
          <w:p w14:paraId="5939247D" w14:textId="77777777" w:rsidR="008B409B" w:rsidRDefault="008B409B" w:rsidP="008B409B">
            <w:pPr>
              <w:spacing w:after="1"/>
              <w:jc w:val="right"/>
              <w:rPr>
                <w:rFonts w:ascii="Calibri" w:eastAsia="Calibri" w:hAnsi="Calibri" w:cs="Calibri"/>
                <w:color w:val="000000"/>
                <w:sz w:val="20"/>
              </w:rPr>
            </w:pPr>
            <w:r>
              <w:rPr>
                <w:rFonts w:ascii="Calibri" w:eastAsia="Calibri" w:hAnsi="Calibri" w:cs="Calibri"/>
                <w:color w:val="000000"/>
                <w:sz w:val="20"/>
              </w:rPr>
              <w:t>  </w:t>
            </w:r>
          </w:p>
        </w:tc>
        <w:tc>
          <w:tcPr>
            <w:tcW w:w="137" w:type="pct"/>
            <w:tcBorders>
              <w:top w:val="nil"/>
              <w:left w:val="nil"/>
              <w:bottom w:val="nil"/>
              <w:right w:val="nil"/>
              <w:tl2br w:val="nil"/>
              <w:tr2bl w:val="nil"/>
            </w:tcBorders>
            <w:shd w:val="solid" w:color="FFFFFF" w:fill="FFFFFF"/>
            <w:noWrap/>
            <w:vAlign w:val="bottom"/>
          </w:tcPr>
          <w:p w14:paraId="0039C01B"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 </w:t>
            </w:r>
          </w:p>
        </w:tc>
        <w:tc>
          <w:tcPr>
            <w:tcW w:w="88" w:type="pct"/>
            <w:tcBorders>
              <w:top w:val="nil"/>
              <w:left w:val="nil"/>
              <w:bottom w:val="nil"/>
              <w:right w:val="nil"/>
              <w:tl2br w:val="nil"/>
              <w:tr2bl w:val="nil"/>
            </w:tcBorders>
            <w:shd w:val="solid" w:color="FFFFFF" w:fill="FFFFFF"/>
            <w:noWrap/>
            <w:vAlign w:val="bottom"/>
          </w:tcPr>
          <w:p w14:paraId="428B867A" w14:textId="77777777" w:rsidR="008B409B" w:rsidRDefault="008B409B" w:rsidP="008B409B">
            <w:pPr>
              <w:spacing w:after="1"/>
              <w:rPr>
                <w:rFonts w:ascii="Calibri" w:eastAsia="Calibri" w:hAnsi="Calibri" w:cs="Calibri"/>
                <w:color w:val="000000"/>
                <w:sz w:val="20"/>
              </w:rPr>
            </w:pPr>
          </w:p>
        </w:tc>
        <w:tc>
          <w:tcPr>
            <w:tcW w:w="575" w:type="pct"/>
            <w:tcBorders>
              <w:top w:val="nil"/>
              <w:left w:val="nil"/>
              <w:bottom w:val="nil"/>
              <w:right w:val="nil"/>
              <w:tl2br w:val="nil"/>
              <w:tr2bl w:val="nil"/>
            </w:tcBorders>
            <w:shd w:val="solid" w:color="FFFFFF" w:fill="FFFFFF"/>
            <w:noWrap/>
            <w:vAlign w:val="bottom"/>
          </w:tcPr>
          <w:p w14:paraId="7DB2D8C6" w14:textId="77777777" w:rsidR="008B409B" w:rsidRDefault="008B409B" w:rsidP="008B409B">
            <w:pPr>
              <w:spacing w:after="1"/>
              <w:jc w:val="right"/>
              <w:rPr>
                <w:rFonts w:ascii="Calibri" w:eastAsia="Calibri" w:hAnsi="Calibri" w:cs="Calibri"/>
                <w:color w:val="000000"/>
                <w:sz w:val="20"/>
              </w:rPr>
            </w:pPr>
            <w:r>
              <w:rPr>
                <w:rFonts w:ascii="Calibri" w:eastAsia="Calibri" w:hAnsi="Calibri" w:cs="Calibri"/>
                <w:color w:val="000000"/>
                <w:sz w:val="20"/>
              </w:rPr>
              <w:t>  </w:t>
            </w:r>
          </w:p>
        </w:tc>
      </w:tr>
      <w:tr w:rsidR="008B409B" w14:paraId="06489B5E" w14:textId="77777777" w:rsidTr="008B409B">
        <w:tc>
          <w:tcPr>
            <w:tcW w:w="3398" w:type="pct"/>
            <w:tcBorders>
              <w:top w:val="nil"/>
              <w:left w:val="nil"/>
              <w:bottom w:val="nil"/>
              <w:right w:val="nil"/>
              <w:tl2br w:val="nil"/>
              <w:tr2bl w:val="nil"/>
            </w:tcBorders>
            <w:shd w:val="solid" w:color="FFFFFF" w:fill="FFFFFF"/>
            <w:vAlign w:val="bottom"/>
          </w:tcPr>
          <w:p w14:paraId="3248BABD" w14:textId="77777777" w:rsidR="008B409B" w:rsidRDefault="008B409B" w:rsidP="008B409B">
            <w:pPr>
              <w:spacing w:after="1"/>
              <w:ind w:left="120"/>
              <w:rPr>
                <w:rFonts w:ascii="Calibri" w:eastAsia="Calibri" w:hAnsi="Calibri" w:cs="Calibri"/>
                <w:color w:val="000000"/>
                <w:sz w:val="20"/>
              </w:rPr>
            </w:pPr>
            <w:r>
              <w:rPr>
                <w:rFonts w:ascii="Calibri" w:eastAsia="Calibri" w:hAnsi="Calibri" w:cs="Calibri"/>
                <w:color w:val="000000"/>
                <w:sz w:val="20"/>
              </w:rPr>
              <w:t>Cash and cash equivalents</w:t>
            </w:r>
          </w:p>
        </w:tc>
        <w:tc>
          <w:tcPr>
            <w:tcW w:w="137" w:type="pct"/>
            <w:tcBorders>
              <w:top w:val="nil"/>
              <w:left w:val="nil"/>
              <w:bottom w:val="nil"/>
              <w:right w:val="nil"/>
              <w:tl2br w:val="nil"/>
              <w:tr2bl w:val="nil"/>
            </w:tcBorders>
            <w:shd w:val="solid" w:color="FFFFFF" w:fill="FFFFFF"/>
            <w:noWrap/>
            <w:vAlign w:val="bottom"/>
          </w:tcPr>
          <w:p w14:paraId="2B30A699"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04740F6E"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w:t>
            </w:r>
          </w:p>
        </w:tc>
        <w:tc>
          <w:tcPr>
            <w:tcW w:w="575" w:type="pct"/>
            <w:tcBorders>
              <w:top w:val="nil"/>
              <w:left w:val="nil"/>
              <w:bottom w:val="nil"/>
              <w:right w:val="nil"/>
              <w:tl2br w:val="nil"/>
              <w:tr2bl w:val="nil"/>
            </w:tcBorders>
            <w:shd w:val="solid" w:color="FFFFFF" w:fill="FFFFFF"/>
            <w:noWrap/>
            <w:vAlign w:val="bottom"/>
          </w:tcPr>
          <w:p w14:paraId="7380AC40" w14:textId="77777777"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139,973</w:t>
            </w:r>
          </w:p>
        </w:tc>
        <w:tc>
          <w:tcPr>
            <w:tcW w:w="137" w:type="pct"/>
            <w:tcBorders>
              <w:top w:val="nil"/>
              <w:left w:val="nil"/>
              <w:bottom w:val="nil"/>
              <w:right w:val="nil"/>
              <w:tl2br w:val="nil"/>
              <w:tr2bl w:val="nil"/>
            </w:tcBorders>
            <w:shd w:val="solid" w:color="FFFFFF" w:fill="FFFFFF"/>
            <w:noWrap/>
            <w:vAlign w:val="bottom"/>
          </w:tcPr>
          <w:p w14:paraId="2A5D036B"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4D58F690"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w:t>
            </w:r>
          </w:p>
        </w:tc>
        <w:tc>
          <w:tcPr>
            <w:tcW w:w="575" w:type="pct"/>
            <w:tcBorders>
              <w:top w:val="nil"/>
              <w:left w:val="nil"/>
              <w:bottom w:val="nil"/>
              <w:right w:val="nil"/>
              <w:tl2br w:val="nil"/>
              <w:tr2bl w:val="nil"/>
            </w:tcBorders>
            <w:shd w:val="solid" w:color="FFFFFF" w:fill="FFFFFF"/>
            <w:noWrap/>
            <w:vAlign w:val="bottom"/>
          </w:tcPr>
          <w:p w14:paraId="68F7D238" w14:textId="77777777"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100,199</w:t>
            </w:r>
          </w:p>
        </w:tc>
      </w:tr>
      <w:tr w:rsidR="008B409B" w14:paraId="7ACCDE3A" w14:textId="77777777" w:rsidTr="008B409B">
        <w:tc>
          <w:tcPr>
            <w:tcW w:w="3398" w:type="pct"/>
            <w:tcBorders>
              <w:top w:val="nil"/>
              <w:left w:val="nil"/>
              <w:bottom w:val="nil"/>
              <w:right w:val="nil"/>
              <w:tl2br w:val="nil"/>
              <w:tr2bl w:val="nil"/>
            </w:tcBorders>
            <w:shd w:val="solid" w:color="FFFFFF" w:fill="FFFFFF"/>
            <w:vAlign w:val="bottom"/>
          </w:tcPr>
          <w:p w14:paraId="2A7D23A4" w14:textId="51A9A027" w:rsidR="008B409B" w:rsidRDefault="008B409B" w:rsidP="008B409B">
            <w:pPr>
              <w:spacing w:after="1"/>
              <w:ind w:left="120"/>
              <w:rPr>
                <w:rFonts w:ascii="Calibri" w:eastAsia="Calibri" w:hAnsi="Calibri" w:cs="Calibri"/>
                <w:color w:val="000000"/>
                <w:sz w:val="20"/>
              </w:rPr>
            </w:pPr>
            <w:r>
              <w:rPr>
                <w:rFonts w:ascii="Calibri" w:eastAsia="Calibri" w:hAnsi="Calibri" w:cs="Calibri"/>
                <w:color w:val="000000"/>
                <w:sz w:val="20"/>
              </w:rPr>
              <w:t>Accounts receivable less allowances of $3,862 at 2022 and $</w:t>
            </w:r>
            <w:r w:rsidR="00364576">
              <w:rPr>
                <w:rFonts w:ascii="Calibri" w:eastAsia="Calibri" w:hAnsi="Calibri" w:cs="Calibri"/>
                <w:color w:val="000000"/>
                <w:sz w:val="20"/>
              </w:rPr>
              <w:t>3,887</w:t>
            </w:r>
            <w:r>
              <w:rPr>
                <w:rFonts w:ascii="Calibri" w:eastAsia="Calibri" w:hAnsi="Calibri" w:cs="Calibri"/>
                <w:color w:val="000000"/>
                <w:sz w:val="20"/>
              </w:rPr>
              <w:t xml:space="preserve"> at 2023</w:t>
            </w:r>
          </w:p>
        </w:tc>
        <w:tc>
          <w:tcPr>
            <w:tcW w:w="137" w:type="pct"/>
            <w:tcBorders>
              <w:top w:val="nil"/>
              <w:left w:val="nil"/>
              <w:bottom w:val="nil"/>
              <w:right w:val="nil"/>
              <w:tl2br w:val="nil"/>
              <w:tr2bl w:val="nil"/>
            </w:tcBorders>
            <w:shd w:val="solid" w:color="FFFFFF" w:fill="FFFFFF"/>
            <w:noWrap/>
            <w:vAlign w:val="bottom"/>
          </w:tcPr>
          <w:p w14:paraId="1DCD10CA"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5F09D06D"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 </w:t>
            </w:r>
          </w:p>
        </w:tc>
        <w:tc>
          <w:tcPr>
            <w:tcW w:w="575" w:type="pct"/>
            <w:tcBorders>
              <w:top w:val="nil"/>
              <w:left w:val="nil"/>
              <w:bottom w:val="nil"/>
              <w:right w:val="nil"/>
              <w:tl2br w:val="nil"/>
              <w:tr2bl w:val="nil"/>
            </w:tcBorders>
            <w:shd w:val="solid" w:color="FFFFFF" w:fill="FFFFFF"/>
            <w:noWrap/>
            <w:vAlign w:val="bottom"/>
          </w:tcPr>
          <w:p w14:paraId="168DC489" w14:textId="77777777"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217,219</w:t>
            </w:r>
          </w:p>
        </w:tc>
        <w:tc>
          <w:tcPr>
            <w:tcW w:w="137" w:type="pct"/>
            <w:tcBorders>
              <w:top w:val="nil"/>
              <w:left w:val="nil"/>
              <w:bottom w:val="nil"/>
              <w:right w:val="nil"/>
              <w:tl2br w:val="nil"/>
              <w:tr2bl w:val="nil"/>
            </w:tcBorders>
            <w:shd w:val="solid" w:color="FFFFFF" w:fill="FFFFFF"/>
            <w:noWrap/>
            <w:vAlign w:val="bottom"/>
          </w:tcPr>
          <w:p w14:paraId="57B97490"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00B9AC61"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 </w:t>
            </w:r>
          </w:p>
        </w:tc>
        <w:tc>
          <w:tcPr>
            <w:tcW w:w="575" w:type="pct"/>
            <w:tcBorders>
              <w:top w:val="nil"/>
              <w:left w:val="nil"/>
              <w:bottom w:val="nil"/>
              <w:right w:val="nil"/>
              <w:tl2br w:val="nil"/>
              <w:tr2bl w:val="nil"/>
            </w:tcBorders>
            <w:shd w:val="solid" w:color="FFFFFF" w:fill="FFFFFF"/>
            <w:noWrap/>
            <w:vAlign w:val="bottom"/>
          </w:tcPr>
          <w:p w14:paraId="6E16C693" w14:textId="77777777"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225,257</w:t>
            </w:r>
          </w:p>
        </w:tc>
      </w:tr>
      <w:tr w:rsidR="008B409B" w14:paraId="7C696537" w14:textId="77777777" w:rsidTr="008B409B">
        <w:tc>
          <w:tcPr>
            <w:tcW w:w="3398" w:type="pct"/>
            <w:tcBorders>
              <w:top w:val="nil"/>
              <w:left w:val="nil"/>
              <w:bottom w:val="nil"/>
              <w:right w:val="nil"/>
              <w:tl2br w:val="nil"/>
              <w:tr2bl w:val="nil"/>
            </w:tcBorders>
            <w:shd w:val="solid" w:color="FFFFFF" w:fill="FFFFFF"/>
            <w:vAlign w:val="bottom"/>
          </w:tcPr>
          <w:p w14:paraId="207640F2" w14:textId="77777777" w:rsidR="008B409B" w:rsidRDefault="008B409B" w:rsidP="008B409B">
            <w:pPr>
              <w:spacing w:after="1"/>
              <w:ind w:left="120"/>
              <w:rPr>
                <w:rFonts w:ascii="Calibri" w:eastAsia="Calibri" w:hAnsi="Calibri" w:cs="Calibri"/>
                <w:color w:val="000000"/>
                <w:sz w:val="20"/>
              </w:rPr>
            </w:pPr>
            <w:r>
              <w:rPr>
                <w:rFonts w:ascii="Calibri" w:eastAsia="Calibri" w:hAnsi="Calibri" w:cs="Calibri"/>
                <w:color w:val="000000"/>
                <w:sz w:val="20"/>
              </w:rPr>
              <w:t>Prepaid expenses and other assets</w:t>
            </w:r>
          </w:p>
        </w:tc>
        <w:tc>
          <w:tcPr>
            <w:tcW w:w="137" w:type="pct"/>
            <w:tcBorders>
              <w:top w:val="nil"/>
              <w:left w:val="nil"/>
              <w:bottom w:val="nil"/>
              <w:right w:val="nil"/>
              <w:tl2br w:val="nil"/>
              <w:tr2bl w:val="nil"/>
            </w:tcBorders>
            <w:shd w:val="solid" w:color="FFFFFF" w:fill="FFFFFF"/>
            <w:noWrap/>
            <w:vAlign w:val="bottom"/>
          </w:tcPr>
          <w:p w14:paraId="73A650B6"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4E735D4A"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 </w:t>
            </w:r>
          </w:p>
        </w:tc>
        <w:tc>
          <w:tcPr>
            <w:tcW w:w="575" w:type="pct"/>
            <w:tcBorders>
              <w:top w:val="nil"/>
              <w:left w:val="nil"/>
              <w:bottom w:val="nil"/>
              <w:right w:val="nil"/>
              <w:tl2br w:val="nil"/>
              <w:tr2bl w:val="nil"/>
            </w:tcBorders>
            <w:shd w:val="solid" w:color="FFFFFF" w:fill="FFFFFF"/>
            <w:noWrap/>
            <w:vAlign w:val="bottom"/>
          </w:tcPr>
          <w:p w14:paraId="3ACEAD6F" w14:textId="77777777"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151,356</w:t>
            </w:r>
          </w:p>
        </w:tc>
        <w:tc>
          <w:tcPr>
            <w:tcW w:w="137" w:type="pct"/>
            <w:tcBorders>
              <w:top w:val="nil"/>
              <w:left w:val="nil"/>
              <w:bottom w:val="nil"/>
              <w:right w:val="nil"/>
              <w:tl2br w:val="nil"/>
              <w:tr2bl w:val="nil"/>
            </w:tcBorders>
            <w:shd w:val="solid" w:color="FFFFFF" w:fill="FFFFFF"/>
            <w:noWrap/>
            <w:vAlign w:val="bottom"/>
          </w:tcPr>
          <w:p w14:paraId="25E05517"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2A2D1E10"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 </w:t>
            </w:r>
          </w:p>
        </w:tc>
        <w:tc>
          <w:tcPr>
            <w:tcW w:w="575" w:type="pct"/>
            <w:tcBorders>
              <w:top w:val="nil"/>
              <w:left w:val="nil"/>
              <w:bottom w:val="nil"/>
              <w:right w:val="nil"/>
              <w:tl2br w:val="nil"/>
              <w:tr2bl w:val="nil"/>
            </w:tcBorders>
            <w:shd w:val="solid" w:color="FFFFFF" w:fill="FFFFFF"/>
            <w:noWrap/>
            <w:vAlign w:val="bottom"/>
          </w:tcPr>
          <w:p w14:paraId="1FE702F6" w14:textId="6E5C335C"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17</w:t>
            </w:r>
            <w:r w:rsidR="00454F83">
              <w:rPr>
                <w:rFonts w:ascii="Calibri" w:eastAsia="Calibri" w:hAnsi="Calibri" w:cs="Calibri"/>
                <w:color w:val="000000"/>
                <w:sz w:val="20"/>
              </w:rPr>
              <w:t>3</w:t>
            </w:r>
            <w:r>
              <w:rPr>
                <w:rFonts w:ascii="Calibri" w:eastAsia="Calibri" w:hAnsi="Calibri" w:cs="Calibri"/>
                <w:color w:val="000000"/>
                <w:sz w:val="20"/>
              </w:rPr>
              <w:t>,</w:t>
            </w:r>
            <w:r w:rsidR="00205E17">
              <w:rPr>
                <w:rFonts w:ascii="Calibri" w:eastAsia="Calibri" w:hAnsi="Calibri" w:cs="Calibri"/>
                <w:color w:val="000000"/>
                <w:sz w:val="20"/>
              </w:rPr>
              <w:t>167</w:t>
            </w:r>
          </w:p>
        </w:tc>
      </w:tr>
      <w:tr w:rsidR="008B409B" w14:paraId="756DA9AF" w14:textId="77777777" w:rsidTr="008B409B">
        <w:tc>
          <w:tcPr>
            <w:tcW w:w="3398" w:type="pct"/>
            <w:tcBorders>
              <w:top w:val="nil"/>
              <w:left w:val="nil"/>
              <w:bottom w:val="nil"/>
              <w:right w:val="nil"/>
              <w:tl2br w:val="nil"/>
              <w:tr2bl w:val="nil"/>
            </w:tcBorders>
            <w:shd w:val="solid" w:color="FFFFFF" w:fill="FFFFFF"/>
            <w:vAlign w:val="bottom"/>
          </w:tcPr>
          <w:p w14:paraId="725CE49D" w14:textId="77777777" w:rsidR="008B409B" w:rsidRDefault="008B409B" w:rsidP="008B409B">
            <w:pPr>
              <w:spacing w:after="1"/>
              <w:ind w:left="120"/>
              <w:rPr>
                <w:rFonts w:ascii="Calibri" w:eastAsia="Calibri" w:hAnsi="Calibri" w:cs="Calibri"/>
                <w:color w:val="000000"/>
                <w:sz w:val="20"/>
              </w:rPr>
            </w:pPr>
            <w:r>
              <w:rPr>
                <w:rFonts w:ascii="Calibri" w:eastAsia="Calibri" w:hAnsi="Calibri" w:cs="Calibri"/>
                <w:color w:val="000000"/>
                <w:sz w:val="20"/>
              </w:rPr>
              <w:t>Fixed assets—net</w:t>
            </w:r>
          </w:p>
        </w:tc>
        <w:tc>
          <w:tcPr>
            <w:tcW w:w="137" w:type="pct"/>
            <w:tcBorders>
              <w:top w:val="nil"/>
              <w:left w:val="nil"/>
              <w:bottom w:val="nil"/>
              <w:right w:val="nil"/>
              <w:tl2br w:val="nil"/>
              <w:tr2bl w:val="nil"/>
            </w:tcBorders>
            <w:shd w:val="solid" w:color="FFFFFF" w:fill="FFFFFF"/>
            <w:noWrap/>
            <w:vAlign w:val="bottom"/>
          </w:tcPr>
          <w:p w14:paraId="70BB6221"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5FB07902"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 </w:t>
            </w:r>
          </w:p>
        </w:tc>
        <w:tc>
          <w:tcPr>
            <w:tcW w:w="575" w:type="pct"/>
            <w:tcBorders>
              <w:top w:val="nil"/>
              <w:left w:val="nil"/>
              <w:bottom w:val="nil"/>
              <w:right w:val="nil"/>
              <w:tl2br w:val="nil"/>
              <w:tr2bl w:val="nil"/>
            </w:tcBorders>
            <w:shd w:val="solid" w:color="FFFFFF" w:fill="FFFFFF"/>
            <w:noWrap/>
            <w:vAlign w:val="bottom"/>
          </w:tcPr>
          <w:p w14:paraId="101F26A9" w14:textId="77777777"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54,748</w:t>
            </w:r>
          </w:p>
        </w:tc>
        <w:tc>
          <w:tcPr>
            <w:tcW w:w="137" w:type="pct"/>
            <w:tcBorders>
              <w:top w:val="nil"/>
              <w:left w:val="nil"/>
              <w:bottom w:val="nil"/>
              <w:right w:val="nil"/>
              <w:tl2br w:val="nil"/>
              <w:tr2bl w:val="nil"/>
            </w:tcBorders>
            <w:shd w:val="solid" w:color="FFFFFF" w:fill="FFFFFF"/>
            <w:noWrap/>
            <w:vAlign w:val="bottom"/>
          </w:tcPr>
          <w:p w14:paraId="161AC836"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1C7F768B"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 </w:t>
            </w:r>
          </w:p>
        </w:tc>
        <w:tc>
          <w:tcPr>
            <w:tcW w:w="575" w:type="pct"/>
            <w:tcBorders>
              <w:top w:val="nil"/>
              <w:left w:val="nil"/>
              <w:bottom w:val="nil"/>
              <w:right w:val="nil"/>
              <w:tl2br w:val="nil"/>
              <w:tr2bl w:val="nil"/>
            </w:tcBorders>
            <w:shd w:val="solid" w:color="FFFFFF" w:fill="FFFFFF"/>
            <w:noWrap/>
            <w:vAlign w:val="bottom"/>
          </w:tcPr>
          <w:p w14:paraId="60F36B71" w14:textId="77777777"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56,840</w:t>
            </w:r>
          </w:p>
        </w:tc>
      </w:tr>
      <w:tr w:rsidR="008B409B" w14:paraId="06CFA625" w14:textId="77777777" w:rsidTr="008B409B">
        <w:tc>
          <w:tcPr>
            <w:tcW w:w="3398" w:type="pct"/>
            <w:tcBorders>
              <w:top w:val="nil"/>
              <w:left w:val="nil"/>
              <w:bottom w:val="nil"/>
              <w:right w:val="nil"/>
              <w:tl2br w:val="nil"/>
              <w:tr2bl w:val="nil"/>
            </w:tcBorders>
            <w:shd w:val="solid" w:color="FFFFFF" w:fill="FFFFFF"/>
            <w:vAlign w:val="bottom"/>
          </w:tcPr>
          <w:p w14:paraId="0B13A466" w14:textId="77777777" w:rsidR="008B409B" w:rsidRDefault="008B409B" w:rsidP="008B409B">
            <w:pPr>
              <w:spacing w:after="1"/>
              <w:ind w:left="120"/>
              <w:rPr>
                <w:rFonts w:ascii="Calibri" w:eastAsia="Calibri" w:hAnsi="Calibri" w:cs="Calibri"/>
                <w:color w:val="000000"/>
                <w:sz w:val="20"/>
              </w:rPr>
            </w:pPr>
            <w:r>
              <w:rPr>
                <w:rFonts w:ascii="Calibri" w:eastAsia="Calibri" w:hAnsi="Calibri" w:cs="Calibri"/>
                <w:color w:val="000000"/>
                <w:sz w:val="20"/>
              </w:rPr>
              <w:t>Operating lease assets</w:t>
            </w:r>
          </w:p>
        </w:tc>
        <w:tc>
          <w:tcPr>
            <w:tcW w:w="137" w:type="pct"/>
            <w:tcBorders>
              <w:top w:val="nil"/>
              <w:left w:val="nil"/>
              <w:bottom w:val="nil"/>
              <w:right w:val="nil"/>
              <w:tl2br w:val="nil"/>
              <w:tr2bl w:val="nil"/>
            </w:tcBorders>
            <w:shd w:val="solid" w:color="FFFFFF" w:fill="FFFFFF"/>
            <w:noWrap/>
            <w:vAlign w:val="bottom"/>
          </w:tcPr>
          <w:p w14:paraId="0B96A06B"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2C94E7AA" w14:textId="77777777" w:rsidR="008B409B" w:rsidRDefault="008B409B" w:rsidP="008B409B">
            <w:pPr>
              <w:spacing w:after="1"/>
              <w:rPr>
                <w:rFonts w:ascii="Calibri" w:eastAsia="Calibri" w:hAnsi="Calibri" w:cs="Calibri"/>
                <w:color w:val="000000"/>
                <w:sz w:val="20"/>
              </w:rPr>
            </w:pPr>
          </w:p>
        </w:tc>
        <w:tc>
          <w:tcPr>
            <w:tcW w:w="575" w:type="pct"/>
            <w:tcBorders>
              <w:top w:val="nil"/>
              <w:left w:val="nil"/>
              <w:bottom w:val="nil"/>
              <w:right w:val="nil"/>
              <w:tl2br w:val="nil"/>
              <w:tr2bl w:val="nil"/>
            </w:tcBorders>
            <w:shd w:val="solid" w:color="FFFFFF" w:fill="FFFFFF"/>
            <w:noWrap/>
            <w:vAlign w:val="bottom"/>
          </w:tcPr>
          <w:p w14:paraId="67882079" w14:textId="77777777"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258,697</w:t>
            </w:r>
          </w:p>
        </w:tc>
        <w:tc>
          <w:tcPr>
            <w:tcW w:w="137" w:type="pct"/>
            <w:tcBorders>
              <w:top w:val="nil"/>
              <w:left w:val="nil"/>
              <w:bottom w:val="nil"/>
              <w:right w:val="nil"/>
              <w:tl2br w:val="nil"/>
              <w:tr2bl w:val="nil"/>
            </w:tcBorders>
            <w:shd w:val="solid" w:color="FFFFFF" w:fill="FFFFFF"/>
            <w:noWrap/>
            <w:vAlign w:val="bottom"/>
          </w:tcPr>
          <w:p w14:paraId="6C52B93E"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3C995FF5" w14:textId="77777777" w:rsidR="008B409B" w:rsidRDefault="008B409B" w:rsidP="008B409B">
            <w:pPr>
              <w:spacing w:after="1"/>
              <w:rPr>
                <w:rFonts w:ascii="Calibri" w:eastAsia="Calibri" w:hAnsi="Calibri" w:cs="Calibri"/>
                <w:color w:val="000000"/>
                <w:sz w:val="20"/>
              </w:rPr>
            </w:pPr>
          </w:p>
        </w:tc>
        <w:tc>
          <w:tcPr>
            <w:tcW w:w="575" w:type="pct"/>
            <w:tcBorders>
              <w:top w:val="nil"/>
              <w:left w:val="nil"/>
              <w:bottom w:val="nil"/>
              <w:right w:val="nil"/>
              <w:tl2br w:val="nil"/>
              <w:tr2bl w:val="nil"/>
            </w:tcBorders>
            <w:shd w:val="solid" w:color="FFFFFF" w:fill="FFFFFF"/>
            <w:noWrap/>
            <w:vAlign w:val="bottom"/>
          </w:tcPr>
          <w:p w14:paraId="63030B26" w14:textId="77777777"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268,783</w:t>
            </w:r>
          </w:p>
        </w:tc>
      </w:tr>
      <w:tr w:rsidR="008B409B" w14:paraId="6F16A99C" w14:textId="77777777" w:rsidTr="008B409B">
        <w:tc>
          <w:tcPr>
            <w:tcW w:w="3398" w:type="pct"/>
            <w:tcBorders>
              <w:top w:val="nil"/>
              <w:left w:val="nil"/>
              <w:bottom w:val="nil"/>
              <w:right w:val="nil"/>
              <w:tl2br w:val="nil"/>
              <w:tr2bl w:val="nil"/>
            </w:tcBorders>
            <w:shd w:val="solid" w:color="FFFFFF" w:fill="FFFFFF"/>
            <w:vAlign w:val="bottom"/>
          </w:tcPr>
          <w:p w14:paraId="67259E26" w14:textId="77777777" w:rsidR="008B409B" w:rsidRDefault="008B409B" w:rsidP="008B409B">
            <w:pPr>
              <w:spacing w:after="1"/>
              <w:ind w:left="120"/>
              <w:rPr>
                <w:rFonts w:ascii="Calibri" w:eastAsia="Calibri" w:hAnsi="Calibri" w:cs="Calibri"/>
                <w:color w:val="000000"/>
                <w:sz w:val="20"/>
              </w:rPr>
            </w:pPr>
            <w:r>
              <w:rPr>
                <w:rFonts w:ascii="Calibri" w:eastAsia="Calibri" w:hAnsi="Calibri" w:cs="Calibri"/>
                <w:color w:val="000000"/>
                <w:sz w:val="20"/>
              </w:rPr>
              <w:t>Debt financing costs—net</w:t>
            </w:r>
          </w:p>
        </w:tc>
        <w:tc>
          <w:tcPr>
            <w:tcW w:w="137" w:type="pct"/>
            <w:tcBorders>
              <w:top w:val="nil"/>
              <w:left w:val="nil"/>
              <w:bottom w:val="nil"/>
              <w:right w:val="nil"/>
              <w:tl2br w:val="nil"/>
              <w:tr2bl w:val="nil"/>
            </w:tcBorders>
            <w:shd w:val="solid" w:color="FFFFFF" w:fill="FFFFFF"/>
            <w:noWrap/>
            <w:vAlign w:val="bottom"/>
          </w:tcPr>
          <w:p w14:paraId="2931074D"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58F1D33D"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 </w:t>
            </w:r>
          </w:p>
        </w:tc>
        <w:tc>
          <w:tcPr>
            <w:tcW w:w="575" w:type="pct"/>
            <w:tcBorders>
              <w:top w:val="nil"/>
              <w:left w:val="nil"/>
              <w:bottom w:val="nil"/>
              <w:right w:val="nil"/>
              <w:tl2br w:val="nil"/>
              <w:tr2bl w:val="nil"/>
            </w:tcBorders>
            <w:shd w:val="solid" w:color="FFFFFF" w:fill="FFFFFF"/>
            <w:noWrap/>
            <w:vAlign w:val="bottom"/>
          </w:tcPr>
          <w:p w14:paraId="5041A2D3" w14:textId="77777777"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7,590</w:t>
            </w:r>
          </w:p>
        </w:tc>
        <w:tc>
          <w:tcPr>
            <w:tcW w:w="137" w:type="pct"/>
            <w:tcBorders>
              <w:top w:val="nil"/>
              <w:left w:val="nil"/>
              <w:bottom w:val="nil"/>
              <w:right w:val="nil"/>
              <w:tl2br w:val="nil"/>
              <w:tr2bl w:val="nil"/>
            </w:tcBorders>
            <w:shd w:val="solid" w:color="FFFFFF" w:fill="FFFFFF"/>
            <w:noWrap/>
            <w:vAlign w:val="bottom"/>
          </w:tcPr>
          <w:p w14:paraId="0110666D"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6D361B0B"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 </w:t>
            </w:r>
          </w:p>
        </w:tc>
        <w:tc>
          <w:tcPr>
            <w:tcW w:w="575" w:type="pct"/>
            <w:tcBorders>
              <w:top w:val="nil"/>
              <w:left w:val="nil"/>
              <w:bottom w:val="nil"/>
              <w:right w:val="nil"/>
              <w:tl2br w:val="nil"/>
              <w:tr2bl w:val="nil"/>
            </w:tcBorders>
            <w:shd w:val="solid" w:color="FFFFFF" w:fill="FFFFFF"/>
            <w:noWrap/>
            <w:vAlign w:val="bottom"/>
          </w:tcPr>
          <w:p w14:paraId="4FB85EB8" w14:textId="77777777"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7,204</w:t>
            </w:r>
          </w:p>
        </w:tc>
      </w:tr>
      <w:tr w:rsidR="008B409B" w14:paraId="25E53A7E" w14:textId="77777777" w:rsidTr="008B409B">
        <w:tc>
          <w:tcPr>
            <w:tcW w:w="3398" w:type="pct"/>
            <w:tcBorders>
              <w:top w:val="nil"/>
              <w:left w:val="nil"/>
              <w:bottom w:val="nil"/>
              <w:right w:val="nil"/>
              <w:tl2br w:val="nil"/>
              <w:tr2bl w:val="nil"/>
            </w:tcBorders>
            <w:shd w:val="solid" w:color="FFFFFF" w:fill="FFFFFF"/>
            <w:vAlign w:val="bottom"/>
          </w:tcPr>
          <w:p w14:paraId="5375ADAC" w14:textId="77777777" w:rsidR="008B409B" w:rsidRDefault="008B409B" w:rsidP="008B409B">
            <w:pPr>
              <w:spacing w:after="1"/>
              <w:ind w:left="120"/>
              <w:rPr>
                <w:rFonts w:ascii="Calibri" w:eastAsia="Calibri" w:hAnsi="Calibri" w:cs="Calibri"/>
                <w:color w:val="000000"/>
                <w:sz w:val="20"/>
              </w:rPr>
            </w:pPr>
            <w:r>
              <w:rPr>
                <w:rFonts w:ascii="Calibri" w:eastAsia="Calibri" w:hAnsi="Calibri" w:cs="Calibri"/>
                <w:color w:val="000000"/>
                <w:sz w:val="20"/>
              </w:rPr>
              <w:t>Deferred tax assets—net</w:t>
            </w:r>
          </w:p>
        </w:tc>
        <w:tc>
          <w:tcPr>
            <w:tcW w:w="137" w:type="pct"/>
            <w:tcBorders>
              <w:top w:val="nil"/>
              <w:left w:val="nil"/>
              <w:bottom w:val="nil"/>
              <w:right w:val="nil"/>
              <w:tl2br w:val="nil"/>
              <w:tr2bl w:val="nil"/>
            </w:tcBorders>
            <w:shd w:val="solid" w:color="FFFFFF" w:fill="FFFFFF"/>
            <w:noWrap/>
            <w:vAlign w:val="bottom"/>
          </w:tcPr>
          <w:p w14:paraId="64947DD1"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2FABAF11" w14:textId="77777777" w:rsidR="008B409B" w:rsidRDefault="008B409B" w:rsidP="008B409B">
            <w:pPr>
              <w:spacing w:after="1"/>
              <w:rPr>
                <w:rFonts w:ascii="Calibri" w:eastAsia="Calibri" w:hAnsi="Calibri" w:cs="Calibri"/>
                <w:color w:val="000000"/>
                <w:sz w:val="20"/>
              </w:rPr>
            </w:pPr>
          </w:p>
        </w:tc>
        <w:tc>
          <w:tcPr>
            <w:tcW w:w="575" w:type="pct"/>
            <w:tcBorders>
              <w:top w:val="nil"/>
              <w:left w:val="nil"/>
              <w:bottom w:val="nil"/>
              <w:right w:val="nil"/>
              <w:tl2br w:val="nil"/>
              <w:tr2bl w:val="nil"/>
            </w:tcBorders>
            <w:shd w:val="solid" w:color="FFFFFF" w:fill="FFFFFF"/>
            <w:noWrap/>
            <w:vAlign w:val="bottom"/>
          </w:tcPr>
          <w:p w14:paraId="6867E77B" w14:textId="77777777"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230,130</w:t>
            </w:r>
          </w:p>
        </w:tc>
        <w:tc>
          <w:tcPr>
            <w:tcW w:w="137" w:type="pct"/>
            <w:tcBorders>
              <w:top w:val="nil"/>
              <w:left w:val="nil"/>
              <w:bottom w:val="nil"/>
              <w:right w:val="nil"/>
              <w:tl2br w:val="nil"/>
              <w:tr2bl w:val="nil"/>
            </w:tcBorders>
            <w:shd w:val="solid" w:color="FFFFFF" w:fill="FFFFFF"/>
            <w:noWrap/>
            <w:vAlign w:val="bottom"/>
          </w:tcPr>
          <w:p w14:paraId="75283E62"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23EE3A9A" w14:textId="77777777" w:rsidR="008B409B" w:rsidRDefault="008B409B" w:rsidP="008B409B">
            <w:pPr>
              <w:spacing w:after="1"/>
              <w:rPr>
                <w:rFonts w:ascii="Calibri" w:eastAsia="Calibri" w:hAnsi="Calibri" w:cs="Calibri"/>
                <w:color w:val="000000"/>
                <w:sz w:val="20"/>
              </w:rPr>
            </w:pPr>
          </w:p>
        </w:tc>
        <w:tc>
          <w:tcPr>
            <w:tcW w:w="575" w:type="pct"/>
            <w:tcBorders>
              <w:top w:val="nil"/>
              <w:left w:val="nil"/>
              <w:bottom w:val="nil"/>
              <w:right w:val="nil"/>
              <w:tl2br w:val="nil"/>
              <w:tr2bl w:val="nil"/>
            </w:tcBorders>
            <w:shd w:val="solid" w:color="FFFFFF" w:fill="FFFFFF"/>
            <w:noWrap/>
            <w:vAlign w:val="bottom"/>
          </w:tcPr>
          <w:p w14:paraId="054AE94F" w14:textId="77777777"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231,432</w:t>
            </w:r>
          </w:p>
        </w:tc>
      </w:tr>
      <w:tr w:rsidR="008B409B" w14:paraId="5B6BF332" w14:textId="77777777" w:rsidTr="008B409B">
        <w:tc>
          <w:tcPr>
            <w:tcW w:w="3398" w:type="pct"/>
            <w:tcBorders>
              <w:top w:val="nil"/>
              <w:left w:val="nil"/>
              <w:bottom w:val="nil"/>
              <w:right w:val="nil"/>
              <w:tl2br w:val="nil"/>
              <w:tr2bl w:val="nil"/>
            </w:tcBorders>
            <w:shd w:val="solid" w:color="FFFFFF" w:fill="FFFFFF"/>
            <w:vAlign w:val="bottom"/>
          </w:tcPr>
          <w:p w14:paraId="6601AF7D" w14:textId="77777777" w:rsidR="008B409B" w:rsidRDefault="008B409B" w:rsidP="008B409B">
            <w:pPr>
              <w:spacing w:after="1"/>
              <w:ind w:left="120"/>
              <w:rPr>
                <w:rFonts w:ascii="Calibri" w:eastAsia="Calibri" w:hAnsi="Calibri" w:cs="Calibri"/>
                <w:color w:val="000000"/>
                <w:sz w:val="20"/>
              </w:rPr>
            </w:pPr>
            <w:r>
              <w:rPr>
                <w:rFonts w:ascii="Calibri" w:eastAsia="Calibri" w:hAnsi="Calibri" w:cs="Calibri"/>
                <w:color w:val="000000"/>
                <w:sz w:val="20"/>
              </w:rPr>
              <w:t>Goodwill</w:t>
            </w:r>
          </w:p>
        </w:tc>
        <w:tc>
          <w:tcPr>
            <w:tcW w:w="137" w:type="pct"/>
            <w:tcBorders>
              <w:top w:val="nil"/>
              <w:left w:val="nil"/>
              <w:bottom w:val="nil"/>
              <w:right w:val="nil"/>
              <w:tl2br w:val="nil"/>
              <w:tr2bl w:val="nil"/>
            </w:tcBorders>
            <w:shd w:val="solid" w:color="FFFFFF" w:fill="FFFFFF"/>
            <w:noWrap/>
            <w:vAlign w:val="bottom"/>
          </w:tcPr>
          <w:p w14:paraId="69B645B2"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109C9E1A"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 </w:t>
            </w:r>
          </w:p>
        </w:tc>
        <w:tc>
          <w:tcPr>
            <w:tcW w:w="575" w:type="pct"/>
            <w:tcBorders>
              <w:top w:val="nil"/>
              <w:left w:val="nil"/>
              <w:bottom w:val="nil"/>
              <w:right w:val="nil"/>
              <w:tl2br w:val="nil"/>
              <w:tr2bl w:val="nil"/>
            </w:tcBorders>
            <w:shd w:val="solid" w:color="FFFFFF" w:fill="FFFFFF"/>
            <w:noWrap/>
            <w:vAlign w:val="bottom"/>
          </w:tcPr>
          <w:p w14:paraId="6369F627" w14:textId="77777777"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2,167,917</w:t>
            </w:r>
          </w:p>
        </w:tc>
        <w:tc>
          <w:tcPr>
            <w:tcW w:w="137" w:type="pct"/>
            <w:tcBorders>
              <w:top w:val="nil"/>
              <w:left w:val="nil"/>
              <w:bottom w:val="nil"/>
              <w:right w:val="nil"/>
              <w:tl2br w:val="nil"/>
              <w:tr2bl w:val="nil"/>
            </w:tcBorders>
            <w:shd w:val="solid" w:color="FFFFFF" w:fill="FFFFFF"/>
            <w:noWrap/>
            <w:vAlign w:val="bottom"/>
          </w:tcPr>
          <w:p w14:paraId="73152489"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0D278AF7"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 </w:t>
            </w:r>
          </w:p>
        </w:tc>
        <w:tc>
          <w:tcPr>
            <w:tcW w:w="575" w:type="pct"/>
            <w:tcBorders>
              <w:top w:val="nil"/>
              <w:left w:val="nil"/>
              <w:bottom w:val="nil"/>
              <w:right w:val="nil"/>
              <w:tl2br w:val="nil"/>
              <w:tr2bl w:val="nil"/>
            </w:tcBorders>
            <w:shd w:val="solid" w:color="FFFFFF" w:fill="FFFFFF"/>
            <w:noWrap/>
            <w:vAlign w:val="bottom"/>
          </w:tcPr>
          <w:p w14:paraId="410AEE7C" w14:textId="77777777"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2,213,019</w:t>
            </w:r>
          </w:p>
        </w:tc>
      </w:tr>
      <w:tr w:rsidR="008B409B" w14:paraId="2188FC56" w14:textId="77777777" w:rsidTr="008B409B">
        <w:tc>
          <w:tcPr>
            <w:tcW w:w="3398" w:type="pct"/>
            <w:tcBorders>
              <w:top w:val="nil"/>
              <w:left w:val="nil"/>
              <w:bottom w:val="nil"/>
              <w:right w:val="nil"/>
              <w:tl2br w:val="nil"/>
              <w:tr2bl w:val="nil"/>
            </w:tcBorders>
            <w:shd w:val="solid" w:color="FFFFFF" w:fill="FFFFFF"/>
            <w:vAlign w:val="bottom"/>
          </w:tcPr>
          <w:p w14:paraId="575DB16F" w14:textId="77777777" w:rsidR="008B409B" w:rsidRDefault="008B409B" w:rsidP="008B409B">
            <w:pPr>
              <w:spacing w:after="1"/>
              <w:ind w:left="120"/>
              <w:rPr>
                <w:rFonts w:ascii="Calibri" w:eastAsia="Calibri" w:hAnsi="Calibri" w:cs="Calibri"/>
                <w:color w:val="000000"/>
                <w:sz w:val="20"/>
              </w:rPr>
            </w:pPr>
            <w:r>
              <w:rPr>
                <w:rFonts w:ascii="Calibri" w:eastAsia="Calibri" w:hAnsi="Calibri" w:cs="Calibri"/>
                <w:color w:val="000000"/>
                <w:sz w:val="20"/>
              </w:rPr>
              <w:t>Other intangible assets—net</w:t>
            </w:r>
          </w:p>
        </w:tc>
        <w:tc>
          <w:tcPr>
            <w:tcW w:w="137" w:type="pct"/>
            <w:tcBorders>
              <w:top w:val="nil"/>
              <w:left w:val="nil"/>
              <w:bottom w:val="nil"/>
              <w:right w:val="nil"/>
              <w:tl2br w:val="nil"/>
              <w:tr2bl w:val="nil"/>
            </w:tcBorders>
            <w:shd w:val="solid" w:color="FFFFFF" w:fill="FFFFFF"/>
            <w:noWrap/>
            <w:vAlign w:val="bottom"/>
          </w:tcPr>
          <w:p w14:paraId="406CDB39"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single" w:sz="4" w:space="0" w:color="000000"/>
              <w:right w:val="nil"/>
              <w:tl2br w:val="nil"/>
              <w:tr2bl w:val="nil"/>
            </w:tcBorders>
            <w:shd w:val="solid" w:color="FFFFFF" w:fill="FFFFFF"/>
            <w:noWrap/>
            <w:vAlign w:val="bottom"/>
          </w:tcPr>
          <w:p w14:paraId="2B22E2C4"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 </w:t>
            </w:r>
          </w:p>
        </w:tc>
        <w:tc>
          <w:tcPr>
            <w:tcW w:w="575" w:type="pct"/>
            <w:tcBorders>
              <w:top w:val="nil"/>
              <w:left w:val="nil"/>
              <w:bottom w:val="single" w:sz="4" w:space="0" w:color="000000"/>
              <w:right w:val="nil"/>
              <w:tl2br w:val="nil"/>
              <w:tr2bl w:val="nil"/>
            </w:tcBorders>
            <w:shd w:val="solid" w:color="FFFFFF" w:fill="FFFFFF"/>
            <w:noWrap/>
            <w:vAlign w:val="bottom"/>
          </w:tcPr>
          <w:p w14:paraId="7462307F" w14:textId="77777777"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1,639,124</w:t>
            </w:r>
          </w:p>
        </w:tc>
        <w:tc>
          <w:tcPr>
            <w:tcW w:w="137" w:type="pct"/>
            <w:tcBorders>
              <w:top w:val="nil"/>
              <w:left w:val="nil"/>
              <w:bottom w:val="nil"/>
              <w:right w:val="nil"/>
              <w:tl2br w:val="nil"/>
              <w:tr2bl w:val="nil"/>
            </w:tcBorders>
            <w:shd w:val="solid" w:color="FFFFFF" w:fill="FFFFFF"/>
            <w:noWrap/>
            <w:vAlign w:val="bottom"/>
          </w:tcPr>
          <w:p w14:paraId="75EB7A49"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single" w:sz="4" w:space="0" w:color="000000"/>
              <w:right w:val="nil"/>
              <w:tl2br w:val="nil"/>
              <w:tr2bl w:val="nil"/>
            </w:tcBorders>
            <w:shd w:val="solid" w:color="FFFFFF" w:fill="FFFFFF"/>
            <w:noWrap/>
            <w:vAlign w:val="bottom"/>
          </w:tcPr>
          <w:p w14:paraId="65BF2FFD"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 </w:t>
            </w:r>
          </w:p>
        </w:tc>
        <w:tc>
          <w:tcPr>
            <w:tcW w:w="575" w:type="pct"/>
            <w:tcBorders>
              <w:top w:val="nil"/>
              <w:left w:val="nil"/>
              <w:bottom w:val="single" w:sz="4" w:space="0" w:color="000000"/>
              <w:right w:val="nil"/>
              <w:tl2br w:val="nil"/>
              <w:tr2bl w:val="nil"/>
            </w:tcBorders>
            <w:shd w:val="solid" w:color="FFFFFF" w:fill="FFFFFF"/>
            <w:noWrap/>
            <w:vAlign w:val="bottom"/>
          </w:tcPr>
          <w:p w14:paraId="72A0E548" w14:textId="77777777"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1,749,829</w:t>
            </w:r>
          </w:p>
        </w:tc>
      </w:tr>
      <w:tr w:rsidR="008B409B" w14:paraId="5CFA24A7" w14:textId="77777777" w:rsidTr="008B409B">
        <w:tc>
          <w:tcPr>
            <w:tcW w:w="3398" w:type="pct"/>
            <w:tcBorders>
              <w:top w:val="nil"/>
              <w:left w:val="nil"/>
              <w:bottom w:val="nil"/>
              <w:right w:val="nil"/>
              <w:tl2br w:val="nil"/>
              <w:tr2bl w:val="nil"/>
            </w:tcBorders>
            <w:shd w:val="solid" w:color="FFFFFF" w:fill="FFFFFF"/>
            <w:vAlign w:val="bottom"/>
          </w:tcPr>
          <w:p w14:paraId="1F45286A"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TOTAL ASSETS</w:t>
            </w:r>
          </w:p>
        </w:tc>
        <w:tc>
          <w:tcPr>
            <w:tcW w:w="137" w:type="pct"/>
            <w:tcBorders>
              <w:top w:val="nil"/>
              <w:left w:val="nil"/>
              <w:bottom w:val="nil"/>
              <w:right w:val="nil"/>
              <w:tl2br w:val="nil"/>
              <w:tr2bl w:val="nil"/>
            </w:tcBorders>
            <w:shd w:val="solid" w:color="FFFFFF" w:fill="FFFFFF"/>
            <w:noWrap/>
            <w:vAlign w:val="bottom"/>
          </w:tcPr>
          <w:p w14:paraId="3B2C34B0"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double" w:sz="4" w:space="0" w:color="000000"/>
              <w:right w:val="nil"/>
              <w:tl2br w:val="nil"/>
              <w:tr2bl w:val="nil"/>
            </w:tcBorders>
            <w:shd w:val="solid" w:color="FFFFFF" w:fill="FFFFFF"/>
            <w:noWrap/>
            <w:vAlign w:val="bottom"/>
          </w:tcPr>
          <w:p w14:paraId="29EE1709"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w:t>
            </w:r>
          </w:p>
        </w:tc>
        <w:tc>
          <w:tcPr>
            <w:tcW w:w="575" w:type="pct"/>
            <w:tcBorders>
              <w:top w:val="nil"/>
              <w:left w:val="nil"/>
              <w:bottom w:val="double" w:sz="4" w:space="0" w:color="000000"/>
              <w:right w:val="nil"/>
              <w:tl2br w:val="nil"/>
              <w:tr2bl w:val="nil"/>
            </w:tcBorders>
            <w:shd w:val="solid" w:color="FFFFFF" w:fill="FFFFFF"/>
            <w:noWrap/>
            <w:vAlign w:val="bottom"/>
          </w:tcPr>
          <w:p w14:paraId="2DF6789B" w14:textId="77777777"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4,866,754</w:t>
            </w:r>
          </w:p>
        </w:tc>
        <w:tc>
          <w:tcPr>
            <w:tcW w:w="137" w:type="pct"/>
            <w:tcBorders>
              <w:top w:val="nil"/>
              <w:left w:val="nil"/>
              <w:bottom w:val="nil"/>
              <w:right w:val="nil"/>
              <w:tl2br w:val="nil"/>
              <w:tr2bl w:val="nil"/>
            </w:tcBorders>
            <w:shd w:val="solid" w:color="FFFFFF" w:fill="FFFFFF"/>
            <w:noWrap/>
            <w:vAlign w:val="bottom"/>
          </w:tcPr>
          <w:p w14:paraId="637D9EF5"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double" w:sz="4" w:space="0" w:color="000000"/>
              <w:right w:val="nil"/>
              <w:tl2br w:val="nil"/>
              <w:tr2bl w:val="nil"/>
            </w:tcBorders>
            <w:shd w:val="solid" w:color="FFFFFF" w:fill="FFFFFF"/>
            <w:noWrap/>
            <w:vAlign w:val="bottom"/>
          </w:tcPr>
          <w:p w14:paraId="6548163C"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w:t>
            </w:r>
          </w:p>
        </w:tc>
        <w:tc>
          <w:tcPr>
            <w:tcW w:w="575" w:type="pct"/>
            <w:tcBorders>
              <w:top w:val="nil"/>
              <w:left w:val="nil"/>
              <w:bottom w:val="double" w:sz="4" w:space="0" w:color="000000"/>
              <w:right w:val="nil"/>
              <w:tl2br w:val="nil"/>
              <w:tr2bl w:val="nil"/>
            </w:tcBorders>
            <w:shd w:val="solid" w:color="FFFFFF" w:fill="FFFFFF"/>
            <w:noWrap/>
            <w:vAlign w:val="bottom"/>
          </w:tcPr>
          <w:p w14:paraId="1989F7F5" w14:textId="514A8252"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5,025,</w:t>
            </w:r>
            <w:r w:rsidR="00205E17">
              <w:rPr>
                <w:rFonts w:ascii="Calibri" w:eastAsia="Calibri" w:hAnsi="Calibri" w:cs="Calibri"/>
                <w:color w:val="000000"/>
                <w:sz w:val="20"/>
              </w:rPr>
              <w:t>730</w:t>
            </w:r>
          </w:p>
        </w:tc>
      </w:tr>
      <w:tr w:rsidR="008B409B" w14:paraId="57C13F01" w14:textId="77777777" w:rsidTr="008B409B">
        <w:tc>
          <w:tcPr>
            <w:tcW w:w="3398" w:type="pct"/>
            <w:tcBorders>
              <w:top w:val="nil"/>
              <w:left w:val="nil"/>
              <w:bottom w:val="nil"/>
              <w:right w:val="nil"/>
              <w:tl2br w:val="nil"/>
              <w:tr2bl w:val="nil"/>
            </w:tcBorders>
            <w:shd w:val="solid" w:color="FFFFFF" w:fill="FFFFFF"/>
            <w:vAlign w:val="bottom"/>
          </w:tcPr>
          <w:p w14:paraId="035D12C8" w14:textId="77777777" w:rsidR="008B409B" w:rsidRDefault="008B409B" w:rsidP="008B409B">
            <w:pPr>
              <w:spacing w:after="1"/>
              <w:rPr>
                <w:rFonts w:ascii="Calibri" w:eastAsia="Calibri" w:hAnsi="Calibri" w:cs="Calibri"/>
                <w:b/>
                <w:color w:val="000000"/>
                <w:sz w:val="20"/>
              </w:rPr>
            </w:pPr>
            <w:r>
              <w:rPr>
                <w:rFonts w:ascii="Calibri" w:eastAsia="Calibri" w:hAnsi="Calibri" w:cs="Calibri"/>
                <w:b/>
                <w:color w:val="000000"/>
                <w:sz w:val="20"/>
              </w:rPr>
              <w:t>LIABILITIES AND EQUITY</w:t>
            </w:r>
          </w:p>
        </w:tc>
        <w:tc>
          <w:tcPr>
            <w:tcW w:w="137" w:type="pct"/>
            <w:tcBorders>
              <w:top w:val="nil"/>
              <w:left w:val="nil"/>
              <w:bottom w:val="nil"/>
              <w:right w:val="nil"/>
              <w:tl2br w:val="nil"/>
              <w:tr2bl w:val="nil"/>
            </w:tcBorders>
            <w:shd w:val="solid" w:color="FFFFFF" w:fill="FFFFFF"/>
            <w:noWrap/>
            <w:vAlign w:val="bottom"/>
          </w:tcPr>
          <w:p w14:paraId="24A63CA7"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18719CC6" w14:textId="77777777" w:rsidR="008B409B" w:rsidRDefault="008B409B" w:rsidP="008B409B">
            <w:pPr>
              <w:spacing w:after="1"/>
              <w:rPr>
                <w:rFonts w:ascii="Calibri" w:eastAsia="Calibri" w:hAnsi="Calibri" w:cs="Calibri"/>
                <w:color w:val="000000"/>
                <w:sz w:val="20"/>
              </w:rPr>
            </w:pPr>
          </w:p>
        </w:tc>
        <w:tc>
          <w:tcPr>
            <w:tcW w:w="575" w:type="pct"/>
            <w:tcBorders>
              <w:top w:val="nil"/>
              <w:left w:val="nil"/>
              <w:bottom w:val="nil"/>
              <w:right w:val="nil"/>
              <w:tl2br w:val="nil"/>
              <w:tr2bl w:val="nil"/>
            </w:tcBorders>
            <w:shd w:val="solid" w:color="FFFFFF" w:fill="FFFFFF"/>
            <w:noWrap/>
            <w:vAlign w:val="bottom"/>
          </w:tcPr>
          <w:p w14:paraId="5998240E" w14:textId="77777777" w:rsidR="008B409B" w:rsidRDefault="008B409B" w:rsidP="008B409B">
            <w:pPr>
              <w:spacing w:after="1"/>
              <w:jc w:val="right"/>
              <w:rPr>
                <w:rFonts w:ascii="Calibri" w:eastAsia="Calibri" w:hAnsi="Calibri" w:cs="Calibri"/>
                <w:color w:val="000000"/>
                <w:sz w:val="20"/>
              </w:rPr>
            </w:pPr>
          </w:p>
        </w:tc>
        <w:tc>
          <w:tcPr>
            <w:tcW w:w="137" w:type="pct"/>
            <w:tcBorders>
              <w:top w:val="nil"/>
              <w:left w:val="nil"/>
              <w:bottom w:val="nil"/>
              <w:right w:val="nil"/>
              <w:tl2br w:val="nil"/>
              <w:tr2bl w:val="nil"/>
            </w:tcBorders>
            <w:shd w:val="solid" w:color="FFFFFF" w:fill="FFFFFF"/>
            <w:noWrap/>
            <w:vAlign w:val="bottom"/>
          </w:tcPr>
          <w:p w14:paraId="3CAC1BE8"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31B75F8F"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 </w:t>
            </w:r>
          </w:p>
        </w:tc>
        <w:tc>
          <w:tcPr>
            <w:tcW w:w="575" w:type="pct"/>
            <w:tcBorders>
              <w:top w:val="nil"/>
              <w:left w:val="nil"/>
              <w:bottom w:val="nil"/>
              <w:right w:val="nil"/>
              <w:tl2br w:val="nil"/>
              <w:tr2bl w:val="nil"/>
            </w:tcBorders>
            <w:shd w:val="solid" w:color="FFFFFF" w:fill="FFFFFF"/>
            <w:noWrap/>
            <w:vAlign w:val="bottom"/>
          </w:tcPr>
          <w:p w14:paraId="62D9C757" w14:textId="77777777" w:rsidR="008B409B" w:rsidRDefault="008B409B" w:rsidP="008B409B">
            <w:pPr>
              <w:spacing w:after="1"/>
              <w:jc w:val="right"/>
              <w:rPr>
                <w:rFonts w:ascii="Calibri" w:eastAsia="Calibri" w:hAnsi="Calibri" w:cs="Calibri"/>
                <w:color w:val="000000"/>
                <w:sz w:val="20"/>
              </w:rPr>
            </w:pPr>
            <w:r>
              <w:rPr>
                <w:rFonts w:ascii="Calibri" w:eastAsia="Calibri" w:hAnsi="Calibri" w:cs="Calibri"/>
                <w:color w:val="000000"/>
                <w:sz w:val="20"/>
              </w:rPr>
              <w:t>  </w:t>
            </w:r>
          </w:p>
        </w:tc>
      </w:tr>
      <w:tr w:rsidR="008B409B" w14:paraId="11C3FCC7" w14:textId="77777777" w:rsidTr="008B409B">
        <w:tc>
          <w:tcPr>
            <w:tcW w:w="3398" w:type="pct"/>
            <w:tcBorders>
              <w:top w:val="nil"/>
              <w:left w:val="nil"/>
              <w:bottom w:val="nil"/>
              <w:right w:val="nil"/>
              <w:tl2br w:val="nil"/>
              <w:tr2bl w:val="nil"/>
            </w:tcBorders>
            <w:shd w:val="solid" w:color="FFFFFF" w:fill="FFFFFF"/>
            <w:vAlign w:val="bottom"/>
          </w:tcPr>
          <w:p w14:paraId="2B9AE082"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LIABILITIES</w:t>
            </w:r>
          </w:p>
        </w:tc>
        <w:tc>
          <w:tcPr>
            <w:tcW w:w="137" w:type="pct"/>
            <w:tcBorders>
              <w:top w:val="nil"/>
              <w:left w:val="nil"/>
              <w:bottom w:val="nil"/>
              <w:right w:val="nil"/>
              <w:tl2br w:val="nil"/>
              <w:tr2bl w:val="nil"/>
            </w:tcBorders>
            <w:shd w:val="solid" w:color="FFFFFF" w:fill="FFFFFF"/>
            <w:noWrap/>
            <w:vAlign w:val="bottom"/>
          </w:tcPr>
          <w:p w14:paraId="6FA39837"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721370A3" w14:textId="77777777" w:rsidR="008B409B" w:rsidRDefault="008B409B" w:rsidP="008B409B">
            <w:pPr>
              <w:spacing w:after="1"/>
              <w:rPr>
                <w:rFonts w:ascii="Calibri" w:eastAsia="Calibri" w:hAnsi="Calibri" w:cs="Calibri"/>
                <w:color w:val="000000"/>
                <w:sz w:val="20"/>
              </w:rPr>
            </w:pPr>
          </w:p>
        </w:tc>
        <w:tc>
          <w:tcPr>
            <w:tcW w:w="575" w:type="pct"/>
            <w:tcBorders>
              <w:top w:val="nil"/>
              <w:left w:val="nil"/>
              <w:bottom w:val="nil"/>
              <w:right w:val="nil"/>
              <w:tl2br w:val="nil"/>
              <w:tr2bl w:val="nil"/>
            </w:tcBorders>
            <w:shd w:val="solid" w:color="FFFFFF" w:fill="FFFFFF"/>
            <w:noWrap/>
            <w:vAlign w:val="bottom"/>
          </w:tcPr>
          <w:p w14:paraId="6ED50463" w14:textId="77777777" w:rsidR="008B409B" w:rsidRDefault="008B409B" w:rsidP="008B409B">
            <w:pPr>
              <w:spacing w:after="1"/>
              <w:jc w:val="right"/>
              <w:rPr>
                <w:rFonts w:ascii="Calibri" w:eastAsia="Calibri" w:hAnsi="Calibri" w:cs="Calibri"/>
                <w:color w:val="000000"/>
                <w:sz w:val="20"/>
              </w:rPr>
            </w:pPr>
          </w:p>
        </w:tc>
        <w:tc>
          <w:tcPr>
            <w:tcW w:w="137" w:type="pct"/>
            <w:tcBorders>
              <w:top w:val="nil"/>
              <w:left w:val="nil"/>
              <w:bottom w:val="nil"/>
              <w:right w:val="nil"/>
              <w:tl2br w:val="nil"/>
              <w:tr2bl w:val="nil"/>
            </w:tcBorders>
            <w:shd w:val="solid" w:color="FFFFFF" w:fill="FFFFFF"/>
            <w:noWrap/>
            <w:vAlign w:val="bottom"/>
          </w:tcPr>
          <w:p w14:paraId="7D164ECF"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5BDA5D59"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 </w:t>
            </w:r>
          </w:p>
        </w:tc>
        <w:tc>
          <w:tcPr>
            <w:tcW w:w="575" w:type="pct"/>
            <w:tcBorders>
              <w:top w:val="nil"/>
              <w:left w:val="nil"/>
              <w:bottom w:val="nil"/>
              <w:right w:val="nil"/>
              <w:tl2br w:val="nil"/>
              <w:tr2bl w:val="nil"/>
            </w:tcBorders>
            <w:shd w:val="solid" w:color="FFFFFF" w:fill="FFFFFF"/>
            <w:noWrap/>
            <w:vAlign w:val="bottom"/>
          </w:tcPr>
          <w:p w14:paraId="633C0CCD" w14:textId="77777777" w:rsidR="008B409B" w:rsidRDefault="008B409B" w:rsidP="008B409B">
            <w:pPr>
              <w:spacing w:after="1"/>
              <w:jc w:val="right"/>
              <w:rPr>
                <w:rFonts w:ascii="Calibri" w:eastAsia="Calibri" w:hAnsi="Calibri" w:cs="Calibri"/>
                <w:color w:val="000000"/>
                <w:sz w:val="20"/>
              </w:rPr>
            </w:pPr>
            <w:r>
              <w:rPr>
                <w:rFonts w:ascii="Calibri" w:eastAsia="Calibri" w:hAnsi="Calibri" w:cs="Calibri"/>
                <w:color w:val="000000"/>
                <w:sz w:val="20"/>
              </w:rPr>
              <w:t>  </w:t>
            </w:r>
          </w:p>
        </w:tc>
      </w:tr>
      <w:tr w:rsidR="008B409B" w14:paraId="59D13B16" w14:textId="77777777" w:rsidTr="008B409B">
        <w:tc>
          <w:tcPr>
            <w:tcW w:w="3398" w:type="pct"/>
            <w:tcBorders>
              <w:top w:val="nil"/>
              <w:left w:val="nil"/>
              <w:bottom w:val="nil"/>
              <w:right w:val="nil"/>
              <w:tl2br w:val="nil"/>
              <w:tr2bl w:val="nil"/>
            </w:tcBorders>
            <w:shd w:val="solid" w:color="FFFFFF" w:fill="FFFFFF"/>
            <w:vAlign w:val="bottom"/>
          </w:tcPr>
          <w:p w14:paraId="26C50BC7" w14:textId="77777777" w:rsidR="008B409B" w:rsidRDefault="008B409B" w:rsidP="008B409B">
            <w:pPr>
              <w:spacing w:after="1"/>
              <w:ind w:left="120"/>
              <w:rPr>
                <w:rFonts w:ascii="Calibri" w:eastAsia="Calibri" w:hAnsi="Calibri" w:cs="Calibri"/>
                <w:color w:val="000000"/>
                <w:sz w:val="20"/>
              </w:rPr>
            </w:pPr>
            <w:r>
              <w:rPr>
                <w:rFonts w:ascii="Calibri" w:eastAsia="Calibri" w:hAnsi="Calibri" w:cs="Calibri"/>
                <w:color w:val="000000"/>
                <w:sz w:val="20"/>
              </w:rPr>
              <w:t>Accounts payable</w:t>
            </w:r>
          </w:p>
        </w:tc>
        <w:tc>
          <w:tcPr>
            <w:tcW w:w="137" w:type="pct"/>
            <w:tcBorders>
              <w:top w:val="nil"/>
              <w:left w:val="nil"/>
              <w:bottom w:val="nil"/>
              <w:right w:val="nil"/>
              <w:tl2br w:val="nil"/>
              <w:tr2bl w:val="nil"/>
            </w:tcBorders>
            <w:shd w:val="solid" w:color="FFFFFF" w:fill="FFFFFF"/>
            <w:noWrap/>
            <w:vAlign w:val="bottom"/>
          </w:tcPr>
          <w:p w14:paraId="70618E95"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69A7DA4B"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w:t>
            </w:r>
          </w:p>
        </w:tc>
        <w:tc>
          <w:tcPr>
            <w:tcW w:w="575" w:type="pct"/>
            <w:tcBorders>
              <w:top w:val="nil"/>
              <w:left w:val="nil"/>
              <w:bottom w:val="nil"/>
              <w:right w:val="nil"/>
              <w:tl2br w:val="nil"/>
              <w:tr2bl w:val="nil"/>
            </w:tcBorders>
            <w:shd w:val="solid" w:color="FFFFFF" w:fill="FFFFFF"/>
            <w:noWrap/>
            <w:vAlign w:val="bottom"/>
          </w:tcPr>
          <w:p w14:paraId="676E6C4D" w14:textId="77777777"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12,213</w:t>
            </w:r>
          </w:p>
        </w:tc>
        <w:tc>
          <w:tcPr>
            <w:tcW w:w="137" w:type="pct"/>
            <w:tcBorders>
              <w:top w:val="nil"/>
              <w:left w:val="nil"/>
              <w:bottom w:val="nil"/>
              <w:right w:val="nil"/>
              <w:tl2br w:val="nil"/>
              <w:tr2bl w:val="nil"/>
            </w:tcBorders>
            <w:shd w:val="solid" w:color="FFFFFF" w:fill="FFFFFF"/>
            <w:noWrap/>
            <w:vAlign w:val="bottom"/>
          </w:tcPr>
          <w:p w14:paraId="123DA5E2"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621195C2"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w:t>
            </w:r>
          </w:p>
        </w:tc>
        <w:tc>
          <w:tcPr>
            <w:tcW w:w="575" w:type="pct"/>
            <w:tcBorders>
              <w:top w:val="nil"/>
              <w:left w:val="nil"/>
              <w:bottom w:val="nil"/>
              <w:right w:val="nil"/>
              <w:tl2br w:val="nil"/>
              <w:tr2bl w:val="nil"/>
            </w:tcBorders>
            <w:shd w:val="solid" w:color="FFFFFF" w:fill="FFFFFF"/>
            <w:noWrap/>
            <w:vAlign w:val="bottom"/>
          </w:tcPr>
          <w:p w14:paraId="57AB1854" w14:textId="77777777"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15,100</w:t>
            </w:r>
          </w:p>
        </w:tc>
      </w:tr>
      <w:tr w:rsidR="008B409B" w14:paraId="3BFD571D" w14:textId="77777777" w:rsidTr="008B409B">
        <w:tc>
          <w:tcPr>
            <w:tcW w:w="3398" w:type="pct"/>
            <w:tcBorders>
              <w:top w:val="nil"/>
              <w:left w:val="nil"/>
              <w:bottom w:val="nil"/>
              <w:right w:val="nil"/>
              <w:tl2br w:val="nil"/>
              <w:tr2bl w:val="nil"/>
            </w:tcBorders>
            <w:shd w:val="solid" w:color="FFFFFF" w:fill="FFFFFF"/>
            <w:vAlign w:val="bottom"/>
          </w:tcPr>
          <w:p w14:paraId="4AD49C66" w14:textId="77777777" w:rsidR="008B409B" w:rsidRDefault="008B409B" w:rsidP="008B409B">
            <w:pPr>
              <w:spacing w:after="1"/>
              <w:ind w:left="120"/>
              <w:rPr>
                <w:rFonts w:ascii="Calibri" w:eastAsia="Calibri" w:hAnsi="Calibri" w:cs="Calibri"/>
                <w:color w:val="000000"/>
                <w:sz w:val="20"/>
              </w:rPr>
            </w:pPr>
            <w:r>
              <w:rPr>
                <w:rFonts w:ascii="Calibri" w:eastAsia="Calibri" w:hAnsi="Calibri" w:cs="Calibri"/>
                <w:color w:val="000000"/>
                <w:sz w:val="20"/>
              </w:rPr>
              <w:t>Accrued expenses</w:t>
            </w:r>
          </w:p>
        </w:tc>
        <w:tc>
          <w:tcPr>
            <w:tcW w:w="137" w:type="pct"/>
            <w:tcBorders>
              <w:top w:val="nil"/>
              <w:left w:val="nil"/>
              <w:bottom w:val="nil"/>
              <w:right w:val="nil"/>
              <w:tl2br w:val="nil"/>
              <w:tr2bl w:val="nil"/>
            </w:tcBorders>
            <w:shd w:val="solid" w:color="FFFFFF" w:fill="FFFFFF"/>
            <w:noWrap/>
            <w:vAlign w:val="bottom"/>
          </w:tcPr>
          <w:p w14:paraId="5980D3FD"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3E517012"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 </w:t>
            </w:r>
          </w:p>
        </w:tc>
        <w:tc>
          <w:tcPr>
            <w:tcW w:w="575" w:type="pct"/>
            <w:tcBorders>
              <w:top w:val="nil"/>
              <w:left w:val="nil"/>
              <w:bottom w:val="nil"/>
              <w:right w:val="nil"/>
              <w:tl2br w:val="nil"/>
              <w:tr2bl w:val="nil"/>
            </w:tcBorders>
            <w:shd w:val="solid" w:color="FFFFFF" w:fill="FFFFFF"/>
            <w:noWrap/>
            <w:vAlign w:val="bottom"/>
          </w:tcPr>
          <w:p w14:paraId="5545303D" w14:textId="77777777"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80,679</w:t>
            </w:r>
          </w:p>
        </w:tc>
        <w:tc>
          <w:tcPr>
            <w:tcW w:w="137" w:type="pct"/>
            <w:tcBorders>
              <w:top w:val="nil"/>
              <w:left w:val="nil"/>
              <w:bottom w:val="nil"/>
              <w:right w:val="nil"/>
              <w:tl2br w:val="nil"/>
              <w:tr2bl w:val="nil"/>
            </w:tcBorders>
            <w:shd w:val="solid" w:color="FFFFFF" w:fill="FFFFFF"/>
            <w:noWrap/>
            <w:vAlign w:val="bottom"/>
          </w:tcPr>
          <w:p w14:paraId="5A587BDC"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0F948FC0"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 </w:t>
            </w:r>
          </w:p>
        </w:tc>
        <w:tc>
          <w:tcPr>
            <w:tcW w:w="575" w:type="pct"/>
            <w:tcBorders>
              <w:top w:val="nil"/>
              <w:left w:val="nil"/>
              <w:bottom w:val="nil"/>
              <w:right w:val="nil"/>
              <w:tl2br w:val="nil"/>
              <w:tr2bl w:val="nil"/>
            </w:tcBorders>
            <w:shd w:val="solid" w:color="FFFFFF" w:fill="FFFFFF"/>
            <w:noWrap/>
            <w:vAlign w:val="bottom"/>
          </w:tcPr>
          <w:p w14:paraId="515B70A5" w14:textId="77777777"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79,117</w:t>
            </w:r>
          </w:p>
        </w:tc>
      </w:tr>
      <w:tr w:rsidR="008B409B" w14:paraId="6E0E587D" w14:textId="77777777" w:rsidTr="008B409B">
        <w:tc>
          <w:tcPr>
            <w:tcW w:w="3398" w:type="pct"/>
            <w:tcBorders>
              <w:top w:val="nil"/>
              <w:left w:val="nil"/>
              <w:bottom w:val="nil"/>
              <w:right w:val="nil"/>
              <w:tl2br w:val="nil"/>
              <w:tr2bl w:val="nil"/>
            </w:tcBorders>
            <w:shd w:val="solid" w:color="FFFFFF" w:fill="FFFFFF"/>
            <w:vAlign w:val="bottom"/>
          </w:tcPr>
          <w:p w14:paraId="0103BFF7" w14:textId="77777777" w:rsidR="008B409B" w:rsidRDefault="008B409B" w:rsidP="008B409B">
            <w:pPr>
              <w:spacing w:after="1"/>
              <w:ind w:left="120"/>
              <w:rPr>
                <w:rFonts w:ascii="Calibri" w:eastAsia="Calibri" w:hAnsi="Calibri" w:cs="Calibri"/>
                <w:color w:val="000000"/>
                <w:sz w:val="20"/>
              </w:rPr>
            </w:pPr>
            <w:r>
              <w:rPr>
                <w:rFonts w:ascii="Calibri" w:eastAsia="Calibri" w:hAnsi="Calibri" w:cs="Calibri"/>
                <w:color w:val="000000"/>
                <w:sz w:val="20"/>
              </w:rPr>
              <w:t>Due to affiliates</w:t>
            </w:r>
          </w:p>
        </w:tc>
        <w:tc>
          <w:tcPr>
            <w:tcW w:w="137" w:type="pct"/>
            <w:tcBorders>
              <w:top w:val="nil"/>
              <w:left w:val="nil"/>
              <w:bottom w:val="nil"/>
              <w:right w:val="nil"/>
              <w:tl2br w:val="nil"/>
              <w:tr2bl w:val="nil"/>
            </w:tcBorders>
            <w:shd w:val="solid" w:color="FFFFFF" w:fill="FFFFFF"/>
            <w:noWrap/>
            <w:vAlign w:val="bottom"/>
          </w:tcPr>
          <w:p w14:paraId="07E824B3"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6FD4A2D2"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 </w:t>
            </w:r>
          </w:p>
        </w:tc>
        <w:tc>
          <w:tcPr>
            <w:tcW w:w="575" w:type="pct"/>
            <w:tcBorders>
              <w:top w:val="nil"/>
              <w:left w:val="nil"/>
              <w:bottom w:val="nil"/>
              <w:right w:val="nil"/>
              <w:tl2br w:val="nil"/>
              <w:tr2bl w:val="nil"/>
            </w:tcBorders>
            <w:shd w:val="solid" w:color="FFFFFF" w:fill="FFFFFF"/>
            <w:noWrap/>
            <w:vAlign w:val="bottom"/>
          </w:tcPr>
          <w:p w14:paraId="4B7735AE" w14:textId="77777777"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70,974</w:t>
            </w:r>
          </w:p>
        </w:tc>
        <w:tc>
          <w:tcPr>
            <w:tcW w:w="137" w:type="pct"/>
            <w:tcBorders>
              <w:top w:val="nil"/>
              <w:left w:val="nil"/>
              <w:bottom w:val="nil"/>
              <w:right w:val="nil"/>
              <w:tl2br w:val="nil"/>
              <w:tr2bl w:val="nil"/>
            </w:tcBorders>
            <w:shd w:val="solid" w:color="FFFFFF" w:fill="FFFFFF"/>
            <w:noWrap/>
            <w:vAlign w:val="bottom"/>
          </w:tcPr>
          <w:p w14:paraId="37533F49"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0FAF9CA7"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 </w:t>
            </w:r>
          </w:p>
        </w:tc>
        <w:tc>
          <w:tcPr>
            <w:tcW w:w="575" w:type="pct"/>
            <w:tcBorders>
              <w:top w:val="nil"/>
              <w:left w:val="nil"/>
              <w:bottom w:val="nil"/>
              <w:right w:val="nil"/>
              <w:tl2br w:val="nil"/>
              <w:tr2bl w:val="nil"/>
            </w:tcBorders>
            <w:shd w:val="solid" w:color="FFFFFF" w:fill="FFFFFF"/>
            <w:noWrap/>
            <w:vAlign w:val="bottom"/>
          </w:tcPr>
          <w:p w14:paraId="5F1970EF" w14:textId="77777777"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21,920</w:t>
            </w:r>
          </w:p>
        </w:tc>
      </w:tr>
      <w:tr w:rsidR="008B409B" w14:paraId="1539F15C" w14:textId="77777777" w:rsidTr="008B409B">
        <w:tc>
          <w:tcPr>
            <w:tcW w:w="3398" w:type="pct"/>
            <w:tcBorders>
              <w:top w:val="nil"/>
              <w:left w:val="nil"/>
              <w:bottom w:val="nil"/>
              <w:right w:val="nil"/>
              <w:tl2br w:val="nil"/>
              <w:tr2bl w:val="nil"/>
            </w:tcBorders>
            <w:shd w:val="solid" w:color="FFFFFF" w:fill="FFFFFF"/>
            <w:vAlign w:val="bottom"/>
          </w:tcPr>
          <w:p w14:paraId="3765A12E" w14:textId="77777777" w:rsidR="008B409B" w:rsidRDefault="008B409B" w:rsidP="008B409B">
            <w:pPr>
              <w:spacing w:after="1"/>
              <w:ind w:left="120"/>
              <w:rPr>
                <w:rFonts w:ascii="Calibri" w:eastAsia="Calibri" w:hAnsi="Calibri" w:cs="Calibri"/>
                <w:color w:val="000000"/>
                <w:sz w:val="20"/>
              </w:rPr>
            </w:pPr>
            <w:r>
              <w:rPr>
                <w:rFonts w:ascii="Calibri" w:eastAsia="Calibri" w:hAnsi="Calibri" w:cs="Calibri"/>
                <w:color w:val="000000"/>
                <w:sz w:val="20"/>
              </w:rPr>
              <w:t>Deferred revenue</w:t>
            </w:r>
          </w:p>
        </w:tc>
        <w:tc>
          <w:tcPr>
            <w:tcW w:w="137" w:type="pct"/>
            <w:tcBorders>
              <w:top w:val="nil"/>
              <w:left w:val="nil"/>
              <w:bottom w:val="nil"/>
              <w:right w:val="nil"/>
              <w:tl2br w:val="nil"/>
              <w:tr2bl w:val="nil"/>
            </w:tcBorders>
            <w:shd w:val="solid" w:color="FFFFFF" w:fill="FFFFFF"/>
            <w:noWrap/>
            <w:vAlign w:val="bottom"/>
          </w:tcPr>
          <w:p w14:paraId="50E53F98"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05C59AEA"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 </w:t>
            </w:r>
          </w:p>
        </w:tc>
        <w:tc>
          <w:tcPr>
            <w:tcW w:w="575" w:type="pct"/>
            <w:tcBorders>
              <w:top w:val="nil"/>
              <w:left w:val="nil"/>
              <w:bottom w:val="nil"/>
              <w:right w:val="nil"/>
              <w:tl2br w:val="nil"/>
              <w:tr2bl w:val="nil"/>
            </w:tcBorders>
            <w:shd w:val="solid" w:color="FFFFFF" w:fill="FFFFFF"/>
            <w:noWrap/>
            <w:vAlign w:val="bottom"/>
          </w:tcPr>
          <w:p w14:paraId="08D4BDAE" w14:textId="77777777"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10,726</w:t>
            </w:r>
          </w:p>
        </w:tc>
        <w:tc>
          <w:tcPr>
            <w:tcW w:w="137" w:type="pct"/>
            <w:tcBorders>
              <w:top w:val="nil"/>
              <w:left w:val="nil"/>
              <w:bottom w:val="nil"/>
              <w:right w:val="nil"/>
              <w:tl2br w:val="nil"/>
              <w:tr2bl w:val="nil"/>
            </w:tcBorders>
            <w:shd w:val="solid" w:color="FFFFFF" w:fill="FFFFFF"/>
            <w:noWrap/>
            <w:vAlign w:val="bottom"/>
          </w:tcPr>
          <w:p w14:paraId="647D784D"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3C7D15BD"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 </w:t>
            </w:r>
          </w:p>
        </w:tc>
        <w:tc>
          <w:tcPr>
            <w:tcW w:w="575" w:type="pct"/>
            <w:tcBorders>
              <w:top w:val="nil"/>
              <w:left w:val="nil"/>
              <w:bottom w:val="nil"/>
              <w:right w:val="nil"/>
              <w:tl2br w:val="nil"/>
              <w:tr2bl w:val="nil"/>
            </w:tcBorders>
            <w:shd w:val="solid" w:color="FFFFFF" w:fill="FFFFFF"/>
            <w:noWrap/>
            <w:vAlign w:val="bottom"/>
          </w:tcPr>
          <w:p w14:paraId="25B7BF7D" w14:textId="77777777"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12,086</w:t>
            </w:r>
          </w:p>
        </w:tc>
      </w:tr>
      <w:tr w:rsidR="008B409B" w14:paraId="463F51EC" w14:textId="77777777" w:rsidTr="008B409B">
        <w:tc>
          <w:tcPr>
            <w:tcW w:w="3398" w:type="pct"/>
            <w:tcBorders>
              <w:top w:val="nil"/>
              <w:left w:val="nil"/>
              <w:bottom w:val="nil"/>
              <w:right w:val="nil"/>
              <w:tl2br w:val="nil"/>
              <w:tr2bl w:val="nil"/>
            </w:tcBorders>
            <w:shd w:val="solid" w:color="FFFFFF" w:fill="FFFFFF"/>
            <w:vAlign w:val="bottom"/>
          </w:tcPr>
          <w:p w14:paraId="6AED0CD1" w14:textId="77777777" w:rsidR="008B409B" w:rsidRDefault="008B409B" w:rsidP="008B409B">
            <w:pPr>
              <w:spacing w:after="1"/>
              <w:ind w:left="120"/>
              <w:rPr>
                <w:rFonts w:ascii="Calibri" w:eastAsia="Calibri" w:hAnsi="Calibri" w:cs="Calibri"/>
                <w:color w:val="000000"/>
                <w:sz w:val="20"/>
              </w:rPr>
            </w:pPr>
            <w:r>
              <w:rPr>
                <w:rFonts w:ascii="Calibri" w:eastAsia="Calibri" w:hAnsi="Calibri" w:cs="Calibri"/>
                <w:color w:val="000000"/>
                <w:sz w:val="20"/>
              </w:rPr>
              <w:t>Contingent consideration and other liabilities</w:t>
            </w:r>
          </w:p>
        </w:tc>
        <w:tc>
          <w:tcPr>
            <w:tcW w:w="137" w:type="pct"/>
            <w:tcBorders>
              <w:top w:val="nil"/>
              <w:left w:val="nil"/>
              <w:bottom w:val="nil"/>
              <w:right w:val="nil"/>
              <w:tl2br w:val="nil"/>
              <w:tr2bl w:val="nil"/>
            </w:tcBorders>
            <w:shd w:val="solid" w:color="FFFFFF" w:fill="FFFFFF"/>
            <w:noWrap/>
            <w:vAlign w:val="bottom"/>
          </w:tcPr>
          <w:p w14:paraId="2311A92F"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77944244"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 </w:t>
            </w:r>
          </w:p>
        </w:tc>
        <w:tc>
          <w:tcPr>
            <w:tcW w:w="575" w:type="pct"/>
            <w:tcBorders>
              <w:top w:val="nil"/>
              <w:left w:val="nil"/>
              <w:bottom w:val="nil"/>
              <w:right w:val="nil"/>
              <w:tl2br w:val="nil"/>
              <w:tr2bl w:val="nil"/>
            </w:tcBorders>
            <w:shd w:val="solid" w:color="FFFFFF" w:fill="FFFFFF"/>
            <w:noWrap/>
            <w:vAlign w:val="bottom"/>
          </w:tcPr>
          <w:p w14:paraId="0DBF34E0" w14:textId="77777777"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335,033</w:t>
            </w:r>
          </w:p>
        </w:tc>
        <w:tc>
          <w:tcPr>
            <w:tcW w:w="137" w:type="pct"/>
            <w:tcBorders>
              <w:top w:val="nil"/>
              <w:left w:val="nil"/>
              <w:bottom w:val="nil"/>
              <w:right w:val="nil"/>
              <w:tl2br w:val="nil"/>
              <w:tr2bl w:val="nil"/>
            </w:tcBorders>
            <w:shd w:val="solid" w:color="FFFFFF" w:fill="FFFFFF"/>
            <w:noWrap/>
            <w:vAlign w:val="bottom"/>
          </w:tcPr>
          <w:p w14:paraId="7B5C26C0"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1947887E"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 </w:t>
            </w:r>
          </w:p>
        </w:tc>
        <w:tc>
          <w:tcPr>
            <w:tcW w:w="575" w:type="pct"/>
            <w:tcBorders>
              <w:top w:val="nil"/>
              <w:left w:val="nil"/>
              <w:bottom w:val="nil"/>
              <w:right w:val="nil"/>
              <w:tl2br w:val="nil"/>
              <w:tr2bl w:val="nil"/>
            </w:tcBorders>
            <w:shd w:val="solid" w:color="FFFFFF" w:fill="FFFFFF"/>
            <w:noWrap/>
            <w:vAlign w:val="bottom"/>
          </w:tcPr>
          <w:p w14:paraId="684BFD3F" w14:textId="7DABA799"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42</w:t>
            </w:r>
            <w:r w:rsidR="00205E17">
              <w:rPr>
                <w:rFonts w:ascii="Calibri" w:eastAsia="Calibri" w:hAnsi="Calibri" w:cs="Calibri"/>
                <w:color w:val="000000"/>
                <w:sz w:val="20"/>
              </w:rPr>
              <w:t>1</w:t>
            </w:r>
            <w:r>
              <w:rPr>
                <w:rFonts w:ascii="Calibri" w:eastAsia="Calibri" w:hAnsi="Calibri" w:cs="Calibri"/>
                <w:color w:val="000000"/>
                <w:sz w:val="20"/>
              </w:rPr>
              <w:t>,</w:t>
            </w:r>
            <w:r w:rsidR="00410442">
              <w:rPr>
                <w:rFonts w:ascii="Calibri" w:eastAsia="Calibri" w:hAnsi="Calibri" w:cs="Calibri"/>
                <w:color w:val="000000"/>
                <w:sz w:val="20"/>
              </w:rPr>
              <w:t>185</w:t>
            </w:r>
          </w:p>
        </w:tc>
      </w:tr>
      <w:tr w:rsidR="008B409B" w14:paraId="51F7D44B" w14:textId="77777777" w:rsidTr="008B409B">
        <w:tc>
          <w:tcPr>
            <w:tcW w:w="3398" w:type="pct"/>
            <w:tcBorders>
              <w:top w:val="nil"/>
              <w:left w:val="nil"/>
              <w:bottom w:val="nil"/>
              <w:right w:val="nil"/>
              <w:tl2br w:val="nil"/>
              <w:tr2bl w:val="nil"/>
            </w:tcBorders>
            <w:shd w:val="solid" w:color="FFFFFF" w:fill="FFFFFF"/>
            <w:vAlign w:val="bottom"/>
          </w:tcPr>
          <w:p w14:paraId="0636A421" w14:textId="77777777" w:rsidR="008B409B" w:rsidRDefault="008B409B" w:rsidP="008B409B">
            <w:pPr>
              <w:spacing w:after="1"/>
              <w:ind w:left="120"/>
              <w:rPr>
                <w:rFonts w:ascii="Calibri" w:eastAsia="Calibri" w:hAnsi="Calibri" w:cs="Calibri"/>
                <w:color w:val="000000"/>
                <w:sz w:val="20"/>
              </w:rPr>
            </w:pPr>
            <w:r>
              <w:rPr>
                <w:rFonts w:ascii="Calibri" w:eastAsia="Calibri" w:hAnsi="Calibri" w:cs="Calibri"/>
                <w:color w:val="000000"/>
                <w:sz w:val="20"/>
              </w:rPr>
              <w:t>Deferred tax liabilities</w:t>
            </w:r>
          </w:p>
        </w:tc>
        <w:tc>
          <w:tcPr>
            <w:tcW w:w="137" w:type="pct"/>
            <w:tcBorders>
              <w:top w:val="nil"/>
              <w:left w:val="nil"/>
              <w:bottom w:val="nil"/>
              <w:right w:val="nil"/>
              <w:tl2br w:val="nil"/>
              <w:tr2bl w:val="nil"/>
            </w:tcBorders>
            <w:shd w:val="solid" w:color="FFFFFF" w:fill="FFFFFF"/>
            <w:noWrap/>
            <w:vAlign w:val="bottom"/>
          </w:tcPr>
          <w:p w14:paraId="79432DD9"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2142CFF3"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 </w:t>
            </w:r>
          </w:p>
        </w:tc>
        <w:tc>
          <w:tcPr>
            <w:tcW w:w="575" w:type="pct"/>
            <w:tcBorders>
              <w:top w:val="nil"/>
              <w:left w:val="nil"/>
              <w:bottom w:val="nil"/>
              <w:right w:val="nil"/>
              <w:tl2br w:val="nil"/>
              <w:tr2bl w:val="nil"/>
            </w:tcBorders>
            <w:shd w:val="solid" w:color="FFFFFF" w:fill="FFFFFF"/>
            <w:noWrap/>
            <w:vAlign w:val="bottom"/>
          </w:tcPr>
          <w:p w14:paraId="1B306955" w14:textId="77777777"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29,579</w:t>
            </w:r>
          </w:p>
        </w:tc>
        <w:tc>
          <w:tcPr>
            <w:tcW w:w="137" w:type="pct"/>
            <w:tcBorders>
              <w:top w:val="nil"/>
              <w:left w:val="nil"/>
              <w:bottom w:val="nil"/>
              <w:right w:val="nil"/>
              <w:tl2br w:val="nil"/>
              <w:tr2bl w:val="nil"/>
            </w:tcBorders>
            <w:shd w:val="solid" w:color="FFFFFF" w:fill="FFFFFF"/>
            <w:noWrap/>
            <w:vAlign w:val="bottom"/>
          </w:tcPr>
          <w:p w14:paraId="2B45A35E"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29991D8C"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 </w:t>
            </w:r>
          </w:p>
        </w:tc>
        <w:tc>
          <w:tcPr>
            <w:tcW w:w="575" w:type="pct"/>
            <w:tcBorders>
              <w:top w:val="nil"/>
              <w:left w:val="nil"/>
              <w:bottom w:val="nil"/>
              <w:right w:val="nil"/>
              <w:tl2br w:val="nil"/>
              <w:tr2bl w:val="nil"/>
            </w:tcBorders>
            <w:shd w:val="solid" w:color="FFFFFF" w:fill="FFFFFF"/>
            <w:noWrap/>
            <w:vAlign w:val="bottom"/>
          </w:tcPr>
          <w:p w14:paraId="720F59E0" w14:textId="77777777"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28,373</w:t>
            </w:r>
          </w:p>
        </w:tc>
      </w:tr>
      <w:tr w:rsidR="008B409B" w14:paraId="3BBEB7A6" w14:textId="77777777" w:rsidTr="008B409B">
        <w:tc>
          <w:tcPr>
            <w:tcW w:w="3398" w:type="pct"/>
            <w:tcBorders>
              <w:top w:val="nil"/>
              <w:left w:val="nil"/>
              <w:bottom w:val="nil"/>
              <w:right w:val="nil"/>
              <w:tl2br w:val="nil"/>
              <w:tr2bl w:val="nil"/>
            </w:tcBorders>
            <w:shd w:val="solid" w:color="FFFFFF" w:fill="FFFFFF"/>
            <w:vAlign w:val="bottom"/>
          </w:tcPr>
          <w:p w14:paraId="2B982D12" w14:textId="77777777" w:rsidR="008B409B" w:rsidRDefault="008B409B" w:rsidP="008B409B">
            <w:pPr>
              <w:spacing w:after="1"/>
              <w:ind w:left="120"/>
              <w:rPr>
                <w:rFonts w:ascii="Calibri" w:eastAsia="Calibri" w:hAnsi="Calibri" w:cs="Calibri"/>
                <w:color w:val="000000"/>
                <w:sz w:val="20"/>
              </w:rPr>
            </w:pPr>
            <w:r>
              <w:rPr>
                <w:rFonts w:ascii="Calibri" w:eastAsia="Calibri" w:hAnsi="Calibri" w:cs="Calibri"/>
                <w:color w:val="000000"/>
                <w:sz w:val="20"/>
              </w:rPr>
              <w:t>Operating lease liabilities</w:t>
            </w:r>
          </w:p>
        </w:tc>
        <w:tc>
          <w:tcPr>
            <w:tcW w:w="137" w:type="pct"/>
            <w:tcBorders>
              <w:top w:val="nil"/>
              <w:left w:val="nil"/>
              <w:bottom w:val="nil"/>
              <w:right w:val="nil"/>
              <w:tl2br w:val="nil"/>
              <w:tr2bl w:val="nil"/>
            </w:tcBorders>
            <w:shd w:val="solid" w:color="FFFFFF" w:fill="FFFFFF"/>
            <w:noWrap/>
            <w:vAlign w:val="bottom"/>
          </w:tcPr>
          <w:p w14:paraId="0805CDA1"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61AE54E8" w14:textId="77777777" w:rsidR="008B409B" w:rsidRDefault="008B409B" w:rsidP="008B409B">
            <w:pPr>
              <w:spacing w:after="1"/>
              <w:rPr>
                <w:rFonts w:ascii="Calibri" w:eastAsia="Calibri" w:hAnsi="Calibri" w:cs="Calibri"/>
                <w:color w:val="000000"/>
                <w:sz w:val="20"/>
              </w:rPr>
            </w:pPr>
          </w:p>
        </w:tc>
        <w:tc>
          <w:tcPr>
            <w:tcW w:w="575" w:type="pct"/>
            <w:tcBorders>
              <w:top w:val="nil"/>
              <w:left w:val="nil"/>
              <w:bottom w:val="nil"/>
              <w:right w:val="nil"/>
              <w:tl2br w:val="nil"/>
              <w:tr2bl w:val="nil"/>
            </w:tcBorders>
            <w:shd w:val="solid" w:color="FFFFFF" w:fill="FFFFFF"/>
            <w:noWrap/>
            <w:vAlign w:val="bottom"/>
          </w:tcPr>
          <w:p w14:paraId="77FC23B1" w14:textId="77777777"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288,895</w:t>
            </w:r>
          </w:p>
        </w:tc>
        <w:tc>
          <w:tcPr>
            <w:tcW w:w="137" w:type="pct"/>
            <w:tcBorders>
              <w:top w:val="nil"/>
              <w:left w:val="nil"/>
              <w:bottom w:val="nil"/>
              <w:right w:val="nil"/>
              <w:tl2br w:val="nil"/>
              <w:tr2bl w:val="nil"/>
            </w:tcBorders>
            <w:shd w:val="solid" w:color="FFFFFF" w:fill="FFFFFF"/>
            <w:noWrap/>
            <w:vAlign w:val="bottom"/>
          </w:tcPr>
          <w:p w14:paraId="1EF22E38"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4BE3E9FE" w14:textId="77777777" w:rsidR="008B409B" w:rsidRDefault="008B409B" w:rsidP="008B409B">
            <w:pPr>
              <w:spacing w:after="1"/>
              <w:rPr>
                <w:rFonts w:ascii="Calibri" w:eastAsia="Calibri" w:hAnsi="Calibri" w:cs="Calibri"/>
                <w:color w:val="000000"/>
                <w:sz w:val="20"/>
              </w:rPr>
            </w:pPr>
          </w:p>
        </w:tc>
        <w:tc>
          <w:tcPr>
            <w:tcW w:w="575" w:type="pct"/>
            <w:tcBorders>
              <w:top w:val="nil"/>
              <w:left w:val="nil"/>
              <w:bottom w:val="nil"/>
              <w:right w:val="nil"/>
              <w:tl2br w:val="nil"/>
              <w:tr2bl w:val="nil"/>
            </w:tcBorders>
            <w:shd w:val="solid" w:color="FFFFFF" w:fill="FFFFFF"/>
            <w:noWrap/>
            <w:vAlign w:val="bottom"/>
          </w:tcPr>
          <w:p w14:paraId="01949257" w14:textId="6CE33C0A"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301,23</w:t>
            </w:r>
            <w:r w:rsidR="003871DD">
              <w:rPr>
                <w:rFonts w:ascii="Calibri" w:eastAsia="Calibri" w:hAnsi="Calibri" w:cs="Calibri"/>
                <w:color w:val="000000"/>
                <w:sz w:val="20"/>
              </w:rPr>
              <w:t>7</w:t>
            </w:r>
          </w:p>
        </w:tc>
      </w:tr>
      <w:tr w:rsidR="008B409B" w14:paraId="358B3E51" w14:textId="77777777" w:rsidTr="008B409B">
        <w:tc>
          <w:tcPr>
            <w:tcW w:w="3398" w:type="pct"/>
            <w:tcBorders>
              <w:top w:val="nil"/>
              <w:left w:val="nil"/>
              <w:bottom w:val="nil"/>
              <w:right w:val="nil"/>
              <w:tl2br w:val="nil"/>
              <w:tr2bl w:val="nil"/>
            </w:tcBorders>
            <w:shd w:val="solid" w:color="FFFFFF" w:fill="FFFFFF"/>
            <w:vAlign w:val="bottom"/>
          </w:tcPr>
          <w:p w14:paraId="1E981CF2" w14:textId="77777777" w:rsidR="008B409B" w:rsidRDefault="008B409B" w:rsidP="008B409B">
            <w:pPr>
              <w:spacing w:after="1"/>
              <w:ind w:left="120"/>
              <w:rPr>
                <w:rFonts w:ascii="Calibri" w:eastAsia="Calibri" w:hAnsi="Calibri" w:cs="Calibri"/>
                <w:color w:val="000000"/>
                <w:sz w:val="20"/>
              </w:rPr>
            </w:pPr>
            <w:r>
              <w:rPr>
                <w:rFonts w:ascii="Calibri" w:eastAsia="Calibri" w:hAnsi="Calibri" w:cs="Calibri"/>
                <w:color w:val="000000"/>
                <w:sz w:val="20"/>
              </w:rPr>
              <w:t xml:space="preserve">Borrowings under credit facilities (stated value of $2,563,970 and </w:t>
            </w:r>
          </w:p>
        </w:tc>
        <w:tc>
          <w:tcPr>
            <w:tcW w:w="137" w:type="pct"/>
            <w:tcBorders>
              <w:top w:val="nil"/>
              <w:left w:val="nil"/>
              <w:bottom w:val="nil"/>
              <w:right w:val="nil"/>
              <w:tl2br w:val="nil"/>
              <w:tr2bl w:val="nil"/>
            </w:tcBorders>
            <w:shd w:val="solid" w:color="FFFFFF" w:fill="FFFFFF"/>
            <w:noWrap/>
            <w:vAlign w:val="bottom"/>
          </w:tcPr>
          <w:p w14:paraId="4C9B3359"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790DC973" w14:textId="77777777" w:rsidR="008B409B" w:rsidRDefault="008B409B" w:rsidP="008B409B">
            <w:pPr>
              <w:spacing w:after="1"/>
              <w:rPr>
                <w:rFonts w:ascii="Calibri" w:eastAsia="Calibri" w:hAnsi="Calibri" w:cs="Calibri"/>
                <w:color w:val="000000"/>
                <w:sz w:val="20"/>
              </w:rPr>
            </w:pPr>
          </w:p>
        </w:tc>
        <w:tc>
          <w:tcPr>
            <w:tcW w:w="575" w:type="pct"/>
            <w:tcBorders>
              <w:top w:val="nil"/>
              <w:left w:val="nil"/>
              <w:bottom w:val="nil"/>
              <w:right w:val="nil"/>
              <w:tl2br w:val="nil"/>
              <w:tr2bl w:val="nil"/>
            </w:tcBorders>
            <w:shd w:val="solid" w:color="FFFFFF" w:fill="FFFFFF"/>
            <w:noWrap/>
            <w:vAlign w:val="bottom"/>
          </w:tcPr>
          <w:p w14:paraId="20F6451A" w14:textId="77777777" w:rsidR="008B409B" w:rsidRDefault="008B409B" w:rsidP="008B409B">
            <w:pPr>
              <w:spacing w:after="1"/>
              <w:jc w:val="right"/>
              <w:rPr>
                <w:rFonts w:ascii="Calibri" w:eastAsia="Calibri" w:hAnsi="Calibri" w:cs="Calibri"/>
                <w:color w:val="000000"/>
                <w:sz w:val="20"/>
              </w:rPr>
            </w:pPr>
          </w:p>
        </w:tc>
        <w:tc>
          <w:tcPr>
            <w:tcW w:w="137" w:type="pct"/>
            <w:tcBorders>
              <w:top w:val="nil"/>
              <w:left w:val="nil"/>
              <w:bottom w:val="nil"/>
              <w:right w:val="nil"/>
              <w:tl2br w:val="nil"/>
              <w:tr2bl w:val="nil"/>
            </w:tcBorders>
            <w:shd w:val="solid" w:color="FFFFFF" w:fill="FFFFFF"/>
            <w:noWrap/>
            <w:vAlign w:val="bottom"/>
          </w:tcPr>
          <w:p w14:paraId="22C5C7E5"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189260AE" w14:textId="77777777" w:rsidR="008B409B" w:rsidRDefault="008B409B" w:rsidP="008B409B">
            <w:pPr>
              <w:spacing w:after="1"/>
              <w:rPr>
                <w:rFonts w:ascii="Calibri" w:eastAsia="Calibri" w:hAnsi="Calibri" w:cs="Calibri"/>
                <w:color w:val="000000"/>
                <w:sz w:val="20"/>
              </w:rPr>
            </w:pPr>
          </w:p>
        </w:tc>
        <w:tc>
          <w:tcPr>
            <w:tcW w:w="575" w:type="pct"/>
            <w:tcBorders>
              <w:top w:val="nil"/>
              <w:left w:val="nil"/>
              <w:bottom w:val="nil"/>
              <w:right w:val="nil"/>
              <w:tl2br w:val="nil"/>
              <w:tr2bl w:val="nil"/>
            </w:tcBorders>
            <w:shd w:val="solid" w:color="FFFFFF" w:fill="FFFFFF"/>
            <w:noWrap/>
            <w:vAlign w:val="bottom"/>
          </w:tcPr>
          <w:p w14:paraId="4293A770" w14:textId="77777777" w:rsidR="008B409B" w:rsidRDefault="008B409B" w:rsidP="008B409B">
            <w:pPr>
              <w:spacing w:after="1"/>
              <w:jc w:val="right"/>
              <w:rPr>
                <w:rFonts w:ascii="Calibri" w:eastAsia="Calibri" w:hAnsi="Calibri" w:cs="Calibri"/>
                <w:color w:val="000000"/>
                <w:sz w:val="20"/>
              </w:rPr>
            </w:pPr>
          </w:p>
        </w:tc>
      </w:tr>
      <w:tr w:rsidR="008B409B" w14:paraId="1F55355F" w14:textId="77777777" w:rsidTr="008B409B">
        <w:tc>
          <w:tcPr>
            <w:tcW w:w="3398" w:type="pct"/>
            <w:tcBorders>
              <w:top w:val="nil"/>
              <w:left w:val="nil"/>
              <w:bottom w:val="nil"/>
              <w:right w:val="nil"/>
              <w:tl2br w:val="nil"/>
              <w:tr2bl w:val="nil"/>
            </w:tcBorders>
            <w:shd w:val="solid" w:color="FFFFFF" w:fill="FFFFFF"/>
            <w:vAlign w:val="bottom"/>
          </w:tcPr>
          <w:p w14:paraId="39E27FF8" w14:textId="77777777" w:rsidR="008B409B" w:rsidRDefault="008B409B" w:rsidP="008B409B">
            <w:pPr>
              <w:spacing w:after="1"/>
              <w:ind w:left="240"/>
              <w:rPr>
                <w:rFonts w:ascii="Calibri" w:eastAsia="Calibri" w:hAnsi="Calibri" w:cs="Calibri"/>
                <w:color w:val="000000"/>
                <w:sz w:val="20"/>
              </w:rPr>
            </w:pPr>
            <w:r>
              <w:rPr>
                <w:rFonts w:ascii="Calibri" w:eastAsia="Calibri" w:hAnsi="Calibri" w:cs="Calibri"/>
                <w:color w:val="000000"/>
                <w:sz w:val="20"/>
              </w:rPr>
              <w:t xml:space="preserve">$2,657,519 </w:t>
            </w:r>
            <w:proofErr w:type="gramStart"/>
            <w:r>
              <w:rPr>
                <w:rFonts w:ascii="Calibri" w:eastAsia="Calibri" w:hAnsi="Calibri" w:cs="Calibri"/>
                <w:color w:val="000000"/>
                <w:sz w:val="20"/>
              </w:rPr>
              <w:t>at</w:t>
            </w:r>
            <w:proofErr w:type="gramEnd"/>
            <w:r>
              <w:rPr>
                <w:rFonts w:ascii="Calibri" w:eastAsia="Calibri" w:hAnsi="Calibri" w:cs="Calibri"/>
                <w:color w:val="000000"/>
                <w:sz w:val="20"/>
              </w:rPr>
              <w:t xml:space="preserve"> December 31, 2022 and March 31, 2023, respectively)</w:t>
            </w:r>
          </w:p>
        </w:tc>
        <w:tc>
          <w:tcPr>
            <w:tcW w:w="137" w:type="pct"/>
            <w:tcBorders>
              <w:top w:val="nil"/>
              <w:left w:val="nil"/>
              <w:bottom w:val="nil"/>
              <w:right w:val="nil"/>
              <w:tl2br w:val="nil"/>
              <w:tr2bl w:val="nil"/>
            </w:tcBorders>
            <w:shd w:val="solid" w:color="FFFFFF" w:fill="FFFFFF"/>
            <w:noWrap/>
            <w:vAlign w:val="bottom"/>
          </w:tcPr>
          <w:p w14:paraId="41541F11"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53389E13"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 </w:t>
            </w:r>
          </w:p>
        </w:tc>
        <w:tc>
          <w:tcPr>
            <w:tcW w:w="575" w:type="pct"/>
            <w:tcBorders>
              <w:top w:val="nil"/>
              <w:left w:val="nil"/>
              <w:bottom w:val="nil"/>
              <w:right w:val="nil"/>
              <w:tl2br w:val="nil"/>
              <w:tr2bl w:val="nil"/>
            </w:tcBorders>
            <w:shd w:val="solid" w:color="FFFFFF" w:fill="FFFFFF"/>
            <w:noWrap/>
            <w:vAlign w:val="bottom"/>
          </w:tcPr>
          <w:p w14:paraId="3E152302" w14:textId="77777777"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2,510,749</w:t>
            </w:r>
          </w:p>
        </w:tc>
        <w:tc>
          <w:tcPr>
            <w:tcW w:w="137" w:type="pct"/>
            <w:tcBorders>
              <w:top w:val="nil"/>
              <w:left w:val="nil"/>
              <w:bottom w:val="nil"/>
              <w:right w:val="nil"/>
              <w:tl2br w:val="nil"/>
              <w:tr2bl w:val="nil"/>
            </w:tcBorders>
            <w:shd w:val="solid" w:color="FFFFFF" w:fill="FFFFFF"/>
            <w:noWrap/>
            <w:vAlign w:val="bottom"/>
          </w:tcPr>
          <w:p w14:paraId="4BECD0FA"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5719EB13"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 </w:t>
            </w:r>
          </w:p>
        </w:tc>
        <w:tc>
          <w:tcPr>
            <w:tcW w:w="575" w:type="pct"/>
            <w:tcBorders>
              <w:top w:val="nil"/>
              <w:left w:val="nil"/>
              <w:bottom w:val="nil"/>
              <w:right w:val="nil"/>
              <w:tl2br w:val="nil"/>
              <w:tr2bl w:val="nil"/>
            </w:tcBorders>
            <w:shd w:val="solid" w:color="FFFFFF" w:fill="FFFFFF"/>
            <w:noWrap/>
            <w:vAlign w:val="bottom"/>
          </w:tcPr>
          <w:p w14:paraId="185C1318" w14:textId="77777777"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2,604,929</w:t>
            </w:r>
          </w:p>
        </w:tc>
      </w:tr>
      <w:tr w:rsidR="008B409B" w14:paraId="0CE8D820" w14:textId="77777777" w:rsidTr="008B409B">
        <w:tc>
          <w:tcPr>
            <w:tcW w:w="3398" w:type="pct"/>
            <w:tcBorders>
              <w:top w:val="nil"/>
              <w:left w:val="nil"/>
              <w:bottom w:val="nil"/>
              <w:right w:val="nil"/>
              <w:tl2br w:val="nil"/>
              <w:tr2bl w:val="nil"/>
            </w:tcBorders>
            <w:shd w:val="solid" w:color="FFFFFF" w:fill="FFFFFF"/>
            <w:vAlign w:val="bottom"/>
          </w:tcPr>
          <w:p w14:paraId="22ED3316" w14:textId="77777777" w:rsidR="008B409B" w:rsidRDefault="008B409B" w:rsidP="008B409B">
            <w:pPr>
              <w:spacing w:after="1"/>
              <w:ind w:left="120"/>
              <w:rPr>
                <w:rFonts w:ascii="Calibri" w:eastAsia="Calibri" w:hAnsi="Calibri" w:cs="Calibri"/>
                <w:color w:val="000000"/>
                <w:sz w:val="20"/>
              </w:rPr>
            </w:pPr>
            <w:r>
              <w:rPr>
                <w:rFonts w:ascii="Calibri" w:eastAsia="Calibri" w:hAnsi="Calibri" w:cs="Calibri"/>
                <w:color w:val="000000"/>
                <w:sz w:val="20"/>
              </w:rPr>
              <w:t>Tax receivable agreements obligations</w:t>
            </w:r>
          </w:p>
        </w:tc>
        <w:tc>
          <w:tcPr>
            <w:tcW w:w="137" w:type="pct"/>
            <w:tcBorders>
              <w:top w:val="nil"/>
              <w:left w:val="nil"/>
              <w:bottom w:val="nil"/>
              <w:right w:val="nil"/>
              <w:tl2br w:val="nil"/>
              <w:tr2bl w:val="nil"/>
            </w:tcBorders>
            <w:shd w:val="solid" w:color="FFFFFF" w:fill="FFFFFF"/>
            <w:noWrap/>
            <w:vAlign w:val="bottom"/>
          </w:tcPr>
          <w:p w14:paraId="00CDA7F7"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single" w:sz="4" w:space="0" w:color="000000"/>
              <w:right w:val="nil"/>
              <w:tl2br w:val="nil"/>
              <w:tr2bl w:val="nil"/>
            </w:tcBorders>
            <w:shd w:val="solid" w:color="FFFFFF" w:fill="FFFFFF"/>
            <w:noWrap/>
            <w:vAlign w:val="bottom"/>
          </w:tcPr>
          <w:p w14:paraId="6CB16174" w14:textId="77777777" w:rsidR="008B409B" w:rsidRDefault="008B409B" w:rsidP="008B409B">
            <w:pPr>
              <w:spacing w:after="1"/>
              <w:rPr>
                <w:rFonts w:ascii="Calibri" w:eastAsia="Calibri" w:hAnsi="Calibri" w:cs="Calibri"/>
                <w:color w:val="000000"/>
                <w:sz w:val="20"/>
              </w:rPr>
            </w:pPr>
          </w:p>
        </w:tc>
        <w:tc>
          <w:tcPr>
            <w:tcW w:w="575" w:type="pct"/>
            <w:tcBorders>
              <w:top w:val="nil"/>
              <w:left w:val="nil"/>
              <w:bottom w:val="single" w:sz="4" w:space="0" w:color="000000"/>
              <w:right w:val="nil"/>
              <w:tl2br w:val="nil"/>
              <w:tr2bl w:val="nil"/>
            </w:tcBorders>
            <w:shd w:val="solid" w:color="FFFFFF" w:fill="FFFFFF"/>
            <w:noWrap/>
            <w:vAlign w:val="bottom"/>
          </w:tcPr>
          <w:p w14:paraId="6BF49E38" w14:textId="77777777"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224,611</w:t>
            </w:r>
          </w:p>
        </w:tc>
        <w:tc>
          <w:tcPr>
            <w:tcW w:w="137" w:type="pct"/>
            <w:tcBorders>
              <w:top w:val="nil"/>
              <w:left w:val="nil"/>
              <w:bottom w:val="nil"/>
              <w:right w:val="nil"/>
              <w:tl2br w:val="nil"/>
              <w:tr2bl w:val="nil"/>
            </w:tcBorders>
            <w:shd w:val="solid" w:color="FFFFFF" w:fill="FFFFFF"/>
            <w:noWrap/>
            <w:vAlign w:val="bottom"/>
          </w:tcPr>
          <w:p w14:paraId="2266B21F"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single" w:sz="4" w:space="0" w:color="000000"/>
              <w:right w:val="nil"/>
              <w:tl2br w:val="nil"/>
              <w:tr2bl w:val="nil"/>
            </w:tcBorders>
            <w:shd w:val="solid" w:color="FFFFFF" w:fill="FFFFFF"/>
            <w:noWrap/>
            <w:vAlign w:val="bottom"/>
          </w:tcPr>
          <w:p w14:paraId="58CC18C4" w14:textId="77777777" w:rsidR="008B409B" w:rsidRDefault="008B409B" w:rsidP="008B409B">
            <w:pPr>
              <w:spacing w:after="1"/>
              <w:rPr>
                <w:rFonts w:ascii="Calibri" w:eastAsia="Calibri" w:hAnsi="Calibri" w:cs="Calibri"/>
                <w:color w:val="000000"/>
                <w:sz w:val="20"/>
              </w:rPr>
            </w:pPr>
          </w:p>
        </w:tc>
        <w:tc>
          <w:tcPr>
            <w:tcW w:w="575" w:type="pct"/>
            <w:tcBorders>
              <w:top w:val="nil"/>
              <w:left w:val="nil"/>
              <w:bottom w:val="single" w:sz="4" w:space="0" w:color="000000"/>
              <w:right w:val="nil"/>
              <w:tl2br w:val="nil"/>
              <w:tr2bl w:val="nil"/>
            </w:tcBorders>
            <w:shd w:val="solid" w:color="FFFFFF" w:fill="FFFFFF"/>
            <w:noWrap/>
            <w:vAlign w:val="bottom"/>
          </w:tcPr>
          <w:p w14:paraId="28DEF850" w14:textId="1C23A0F1"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215,01</w:t>
            </w:r>
            <w:r w:rsidR="003871DD">
              <w:rPr>
                <w:rFonts w:ascii="Calibri" w:eastAsia="Calibri" w:hAnsi="Calibri" w:cs="Calibri"/>
                <w:color w:val="000000"/>
                <w:sz w:val="20"/>
              </w:rPr>
              <w:t>3</w:t>
            </w:r>
          </w:p>
        </w:tc>
      </w:tr>
      <w:tr w:rsidR="008B409B" w14:paraId="0BA9BCD1" w14:textId="77777777" w:rsidTr="008B409B">
        <w:tc>
          <w:tcPr>
            <w:tcW w:w="3398" w:type="pct"/>
            <w:tcBorders>
              <w:top w:val="nil"/>
              <w:left w:val="nil"/>
              <w:bottom w:val="nil"/>
              <w:right w:val="nil"/>
              <w:tl2br w:val="nil"/>
              <w:tr2bl w:val="nil"/>
            </w:tcBorders>
            <w:shd w:val="solid" w:color="FFFFFF" w:fill="FFFFFF"/>
            <w:vAlign w:val="bottom"/>
          </w:tcPr>
          <w:p w14:paraId="5BB80CE7"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TOTAL LIABILITIES</w:t>
            </w:r>
          </w:p>
        </w:tc>
        <w:tc>
          <w:tcPr>
            <w:tcW w:w="137" w:type="pct"/>
            <w:tcBorders>
              <w:top w:val="nil"/>
              <w:left w:val="nil"/>
              <w:bottom w:val="nil"/>
              <w:right w:val="nil"/>
              <w:tl2br w:val="nil"/>
              <w:tr2bl w:val="nil"/>
            </w:tcBorders>
            <w:shd w:val="solid" w:color="FFFFFF" w:fill="FFFFFF"/>
            <w:noWrap/>
            <w:vAlign w:val="bottom"/>
          </w:tcPr>
          <w:p w14:paraId="3ED3EC7C"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single" w:sz="4" w:space="0" w:color="000000"/>
              <w:right w:val="nil"/>
              <w:tl2br w:val="nil"/>
              <w:tr2bl w:val="nil"/>
            </w:tcBorders>
            <w:shd w:val="solid" w:color="FFFFFF" w:fill="FFFFFF"/>
            <w:noWrap/>
            <w:vAlign w:val="bottom"/>
          </w:tcPr>
          <w:p w14:paraId="63242078"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 </w:t>
            </w:r>
          </w:p>
        </w:tc>
        <w:tc>
          <w:tcPr>
            <w:tcW w:w="575" w:type="pct"/>
            <w:tcBorders>
              <w:top w:val="nil"/>
              <w:left w:val="nil"/>
              <w:bottom w:val="single" w:sz="4" w:space="0" w:color="000000"/>
              <w:right w:val="nil"/>
              <w:tl2br w:val="nil"/>
              <w:tr2bl w:val="nil"/>
            </w:tcBorders>
            <w:shd w:val="solid" w:color="FFFFFF" w:fill="FFFFFF"/>
            <w:noWrap/>
            <w:vAlign w:val="bottom"/>
          </w:tcPr>
          <w:p w14:paraId="7BFE8A1C" w14:textId="77777777"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3,563,459</w:t>
            </w:r>
          </w:p>
        </w:tc>
        <w:tc>
          <w:tcPr>
            <w:tcW w:w="137" w:type="pct"/>
            <w:tcBorders>
              <w:top w:val="nil"/>
              <w:left w:val="nil"/>
              <w:bottom w:val="nil"/>
              <w:right w:val="nil"/>
              <w:tl2br w:val="nil"/>
              <w:tr2bl w:val="nil"/>
            </w:tcBorders>
            <w:shd w:val="solid" w:color="FFFFFF" w:fill="FFFFFF"/>
            <w:noWrap/>
            <w:vAlign w:val="bottom"/>
          </w:tcPr>
          <w:p w14:paraId="6F05514D"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single" w:sz="4" w:space="0" w:color="000000"/>
              <w:right w:val="nil"/>
              <w:tl2br w:val="nil"/>
              <w:tr2bl w:val="nil"/>
            </w:tcBorders>
            <w:shd w:val="solid" w:color="FFFFFF" w:fill="FFFFFF"/>
            <w:noWrap/>
            <w:vAlign w:val="bottom"/>
          </w:tcPr>
          <w:p w14:paraId="3A0CDE00"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 </w:t>
            </w:r>
          </w:p>
        </w:tc>
        <w:tc>
          <w:tcPr>
            <w:tcW w:w="575" w:type="pct"/>
            <w:tcBorders>
              <w:top w:val="nil"/>
              <w:left w:val="nil"/>
              <w:bottom w:val="single" w:sz="4" w:space="0" w:color="000000"/>
              <w:right w:val="nil"/>
              <w:tl2br w:val="nil"/>
              <w:tr2bl w:val="nil"/>
            </w:tcBorders>
            <w:shd w:val="solid" w:color="FFFFFF" w:fill="FFFFFF"/>
            <w:noWrap/>
            <w:vAlign w:val="bottom"/>
          </w:tcPr>
          <w:p w14:paraId="1AAD768D" w14:textId="665D3835"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3,698,9</w:t>
            </w:r>
            <w:r w:rsidR="00410442">
              <w:rPr>
                <w:rFonts w:ascii="Calibri" w:eastAsia="Calibri" w:hAnsi="Calibri" w:cs="Calibri"/>
                <w:color w:val="000000"/>
                <w:sz w:val="20"/>
              </w:rPr>
              <w:t>60</w:t>
            </w:r>
          </w:p>
        </w:tc>
      </w:tr>
      <w:tr w:rsidR="008B409B" w14:paraId="18C35DB5" w14:textId="77777777" w:rsidTr="008B409B">
        <w:tc>
          <w:tcPr>
            <w:tcW w:w="3398" w:type="pct"/>
            <w:tcBorders>
              <w:top w:val="nil"/>
              <w:left w:val="nil"/>
              <w:bottom w:val="nil"/>
              <w:right w:val="nil"/>
              <w:tl2br w:val="nil"/>
              <w:tr2bl w:val="nil"/>
            </w:tcBorders>
            <w:shd w:val="solid" w:color="FFFFFF" w:fill="FFFFFF"/>
            <w:vAlign w:val="bottom"/>
          </w:tcPr>
          <w:p w14:paraId="09BD5D3E"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EQUITY</w:t>
            </w:r>
          </w:p>
        </w:tc>
        <w:tc>
          <w:tcPr>
            <w:tcW w:w="137" w:type="pct"/>
            <w:tcBorders>
              <w:top w:val="nil"/>
              <w:left w:val="nil"/>
              <w:bottom w:val="nil"/>
              <w:right w:val="nil"/>
              <w:tl2br w:val="nil"/>
              <w:tr2bl w:val="nil"/>
            </w:tcBorders>
            <w:shd w:val="solid" w:color="FFFFFF" w:fill="FFFFFF"/>
            <w:noWrap/>
            <w:vAlign w:val="bottom"/>
          </w:tcPr>
          <w:p w14:paraId="40AED9A8"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0EE0DC79" w14:textId="77777777" w:rsidR="008B409B" w:rsidRDefault="008B409B" w:rsidP="008B409B">
            <w:pPr>
              <w:spacing w:after="1"/>
              <w:rPr>
                <w:rFonts w:ascii="Calibri" w:eastAsia="Calibri" w:hAnsi="Calibri" w:cs="Calibri"/>
                <w:color w:val="000000"/>
                <w:sz w:val="20"/>
              </w:rPr>
            </w:pPr>
          </w:p>
        </w:tc>
        <w:tc>
          <w:tcPr>
            <w:tcW w:w="575" w:type="pct"/>
            <w:tcBorders>
              <w:top w:val="nil"/>
              <w:left w:val="nil"/>
              <w:bottom w:val="nil"/>
              <w:right w:val="nil"/>
              <w:tl2br w:val="nil"/>
              <w:tr2bl w:val="nil"/>
            </w:tcBorders>
            <w:shd w:val="solid" w:color="FFFFFF" w:fill="FFFFFF"/>
            <w:noWrap/>
            <w:vAlign w:val="bottom"/>
          </w:tcPr>
          <w:p w14:paraId="6376CAA6" w14:textId="77777777" w:rsidR="008B409B" w:rsidRDefault="008B409B" w:rsidP="008B409B">
            <w:pPr>
              <w:spacing w:after="1"/>
              <w:jc w:val="right"/>
              <w:rPr>
                <w:rFonts w:ascii="Calibri" w:eastAsia="Calibri" w:hAnsi="Calibri" w:cs="Calibri"/>
                <w:color w:val="000000"/>
                <w:sz w:val="20"/>
              </w:rPr>
            </w:pPr>
          </w:p>
        </w:tc>
        <w:tc>
          <w:tcPr>
            <w:tcW w:w="137" w:type="pct"/>
            <w:tcBorders>
              <w:top w:val="nil"/>
              <w:left w:val="nil"/>
              <w:bottom w:val="nil"/>
              <w:right w:val="nil"/>
              <w:tl2br w:val="nil"/>
              <w:tr2bl w:val="nil"/>
            </w:tcBorders>
            <w:shd w:val="solid" w:color="FFFFFF" w:fill="FFFFFF"/>
            <w:noWrap/>
            <w:vAlign w:val="bottom"/>
          </w:tcPr>
          <w:p w14:paraId="5F492116"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13874095" w14:textId="77777777" w:rsidR="008B409B" w:rsidRDefault="008B409B" w:rsidP="008B409B">
            <w:pPr>
              <w:spacing w:after="1"/>
              <w:rPr>
                <w:rFonts w:ascii="Calibri" w:eastAsia="Calibri" w:hAnsi="Calibri" w:cs="Calibri"/>
                <w:color w:val="000000"/>
                <w:sz w:val="20"/>
              </w:rPr>
            </w:pPr>
          </w:p>
        </w:tc>
        <w:tc>
          <w:tcPr>
            <w:tcW w:w="575" w:type="pct"/>
            <w:tcBorders>
              <w:top w:val="nil"/>
              <w:left w:val="nil"/>
              <w:bottom w:val="nil"/>
              <w:right w:val="nil"/>
              <w:tl2br w:val="nil"/>
              <w:tr2bl w:val="nil"/>
            </w:tcBorders>
            <w:shd w:val="solid" w:color="FFFFFF" w:fill="FFFFFF"/>
            <w:noWrap/>
            <w:vAlign w:val="bottom"/>
          </w:tcPr>
          <w:p w14:paraId="46C543B5" w14:textId="77777777" w:rsidR="008B409B" w:rsidRDefault="008B409B" w:rsidP="008B409B">
            <w:pPr>
              <w:spacing w:after="1"/>
              <w:jc w:val="right"/>
              <w:rPr>
                <w:rFonts w:ascii="Calibri" w:eastAsia="Calibri" w:hAnsi="Calibri" w:cs="Calibri"/>
                <w:color w:val="000000"/>
                <w:sz w:val="20"/>
              </w:rPr>
            </w:pPr>
          </w:p>
        </w:tc>
      </w:tr>
      <w:tr w:rsidR="008B409B" w14:paraId="67DAA201" w14:textId="77777777" w:rsidTr="008B409B">
        <w:tc>
          <w:tcPr>
            <w:tcW w:w="3398" w:type="pct"/>
            <w:tcBorders>
              <w:top w:val="nil"/>
              <w:left w:val="nil"/>
              <w:bottom w:val="nil"/>
              <w:right w:val="nil"/>
              <w:tl2br w:val="nil"/>
              <w:tr2bl w:val="nil"/>
            </w:tcBorders>
            <w:shd w:val="solid" w:color="FFFFFF" w:fill="FFFFFF"/>
            <w:vAlign w:val="bottom"/>
          </w:tcPr>
          <w:p w14:paraId="19EEB243"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 xml:space="preserve">Class A common stock, par value $0.01, 500,000,000 shares </w:t>
            </w:r>
            <w:proofErr w:type="gramStart"/>
            <w:r>
              <w:rPr>
                <w:rFonts w:ascii="Calibri" w:eastAsia="Calibri" w:hAnsi="Calibri" w:cs="Calibri"/>
                <w:color w:val="000000"/>
                <w:sz w:val="20"/>
              </w:rPr>
              <w:t>authorized;</w:t>
            </w:r>
            <w:proofErr w:type="gramEnd"/>
          </w:p>
        </w:tc>
        <w:tc>
          <w:tcPr>
            <w:tcW w:w="137" w:type="pct"/>
            <w:tcBorders>
              <w:top w:val="nil"/>
              <w:left w:val="nil"/>
              <w:bottom w:val="nil"/>
              <w:right w:val="nil"/>
              <w:tl2br w:val="nil"/>
              <w:tr2bl w:val="nil"/>
            </w:tcBorders>
            <w:shd w:val="solid" w:color="FFFFFF" w:fill="FFFFFF"/>
            <w:noWrap/>
            <w:vAlign w:val="bottom"/>
          </w:tcPr>
          <w:p w14:paraId="75396F15"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3767620E" w14:textId="77777777" w:rsidR="008B409B" w:rsidRDefault="008B409B" w:rsidP="008B409B">
            <w:pPr>
              <w:spacing w:after="1"/>
              <w:rPr>
                <w:rFonts w:ascii="Calibri" w:eastAsia="Calibri" w:hAnsi="Calibri" w:cs="Calibri"/>
                <w:color w:val="000000"/>
                <w:sz w:val="20"/>
              </w:rPr>
            </w:pPr>
          </w:p>
        </w:tc>
        <w:tc>
          <w:tcPr>
            <w:tcW w:w="575" w:type="pct"/>
            <w:tcBorders>
              <w:top w:val="nil"/>
              <w:left w:val="nil"/>
              <w:bottom w:val="nil"/>
              <w:right w:val="nil"/>
              <w:tl2br w:val="nil"/>
              <w:tr2bl w:val="nil"/>
            </w:tcBorders>
            <w:shd w:val="solid" w:color="FFFFFF" w:fill="FFFFFF"/>
            <w:noWrap/>
            <w:vAlign w:val="bottom"/>
          </w:tcPr>
          <w:p w14:paraId="14297C72" w14:textId="77777777" w:rsidR="008B409B" w:rsidRDefault="008B409B" w:rsidP="008B409B">
            <w:pPr>
              <w:spacing w:after="1"/>
              <w:jc w:val="right"/>
              <w:rPr>
                <w:rFonts w:ascii="Calibri" w:eastAsia="Calibri" w:hAnsi="Calibri" w:cs="Calibri"/>
                <w:color w:val="000000"/>
                <w:sz w:val="20"/>
              </w:rPr>
            </w:pPr>
          </w:p>
        </w:tc>
        <w:tc>
          <w:tcPr>
            <w:tcW w:w="137" w:type="pct"/>
            <w:tcBorders>
              <w:top w:val="nil"/>
              <w:left w:val="nil"/>
              <w:bottom w:val="nil"/>
              <w:right w:val="nil"/>
              <w:tl2br w:val="nil"/>
              <w:tr2bl w:val="nil"/>
            </w:tcBorders>
            <w:shd w:val="solid" w:color="FFFFFF" w:fill="FFFFFF"/>
            <w:noWrap/>
            <w:vAlign w:val="bottom"/>
          </w:tcPr>
          <w:p w14:paraId="1697CE39"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58CF2C02" w14:textId="77777777" w:rsidR="008B409B" w:rsidRDefault="008B409B" w:rsidP="008B409B">
            <w:pPr>
              <w:spacing w:after="1"/>
              <w:rPr>
                <w:rFonts w:ascii="Calibri" w:eastAsia="Calibri" w:hAnsi="Calibri" w:cs="Calibri"/>
                <w:color w:val="000000"/>
                <w:sz w:val="20"/>
              </w:rPr>
            </w:pPr>
          </w:p>
        </w:tc>
        <w:tc>
          <w:tcPr>
            <w:tcW w:w="575" w:type="pct"/>
            <w:tcBorders>
              <w:top w:val="nil"/>
              <w:left w:val="nil"/>
              <w:bottom w:val="nil"/>
              <w:right w:val="nil"/>
              <w:tl2br w:val="nil"/>
              <w:tr2bl w:val="nil"/>
            </w:tcBorders>
            <w:shd w:val="solid" w:color="FFFFFF" w:fill="FFFFFF"/>
            <w:noWrap/>
            <w:vAlign w:val="bottom"/>
          </w:tcPr>
          <w:p w14:paraId="1ED8379F" w14:textId="77777777" w:rsidR="008B409B" w:rsidRDefault="008B409B" w:rsidP="008B409B">
            <w:pPr>
              <w:spacing w:after="1"/>
              <w:jc w:val="right"/>
              <w:rPr>
                <w:rFonts w:ascii="Calibri" w:eastAsia="Calibri" w:hAnsi="Calibri" w:cs="Calibri"/>
                <w:color w:val="000000"/>
                <w:sz w:val="20"/>
              </w:rPr>
            </w:pPr>
          </w:p>
        </w:tc>
      </w:tr>
      <w:tr w:rsidR="008B409B" w14:paraId="7CF892FF" w14:textId="77777777" w:rsidTr="008B409B">
        <w:tc>
          <w:tcPr>
            <w:tcW w:w="3398" w:type="pct"/>
            <w:tcBorders>
              <w:top w:val="nil"/>
              <w:left w:val="nil"/>
              <w:bottom w:val="nil"/>
              <w:right w:val="nil"/>
              <w:tl2br w:val="nil"/>
              <w:tr2bl w:val="nil"/>
            </w:tcBorders>
            <w:shd w:val="solid" w:color="FFFFFF" w:fill="FFFFFF"/>
            <w:vAlign w:val="bottom"/>
          </w:tcPr>
          <w:p w14:paraId="4985F8FF" w14:textId="77777777" w:rsidR="008B409B" w:rsidRDefault="008B409B" w:rsidP="008B409B">
            <w:pPr>
              <w:spacing w:after="1"/>
              <w:ind w:left="120"/>
              <w:rPr>
                <w:rFonts w:ascii="Calibri" w:eastAsia="Calibri" w:hAnsi="Calibri" w:cs="Calibri"/>
                <w:color w:val="000000"/>
                <w:sz w:val="20"/>
              </w:rPr>
            </w:pPr>
            <w:r>
              <w:rPr>
                <w:rFonts w:ascii="Calibri" w:eastAsia="Calibri" w:hAnsi="Calibri" w:cs="Calibri"/>
                <w:color w:val="000000"/>
                <w:sz w:val="20"/>
              </w:rPr>
              <w:t>65,929,644 and 65,960,079 shares issued and outstanding at</w:t>
            </w:r>
          </w:p>
        </w:tc>
        <w:tc>
          <w:tcPr>
            <w:tcW w:w="137" w:type="pct"/>
            <w:tcBorders>
              <w:top w:val="nil"/>
              <w:left w:val="nil"/>
              <w:bottom w:val="nil"/>
              <w:right w:val="nil"/>
              <w:tl2br w:val="nil"/>
              <w:tr2bl w:val="nil"/>
            </w:tcBorders>
            <w:shd w:val="solid" w:color="FFFFFF" w:fill="FFFFFF"/>
            <w:noWrap/>
            <w:vAlign w:val="bottom"/>
          </w:tcPr>
          <w:p w14:paraId="33AE3969"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3DDD44C4" w14:textId="77777777" w:rsidR="008B409B" w:rsidRDefault="008B409B" w:rsidP="008B409B">
            <w:pPr>
              <w:spacing w:after="1"/>
              <w:rPr>
                <w:rFonts w:ascii="Calibri" w:eastAsia="Calibri" w:hAnsi="Calibri" w:cs="Calibri"/>
                <w:color w:val="000000"/>
                <w:sz w:val="20"/>
              </w:rPr>
            </w:pPr>
          </w:p>
        </w:tc>
        <w:tc>
          <w:tcPr>
            <w:tcW w:w="575" w:type="pct"/>
            <w:tcBorders>
              <w:top w:val="nil"/>
              <w:left w:val="nil"/>
              <w:bottom w:val="nil"/>
              <w:right w:val="nil"/>
              <w:tl2br w:val="nil"/>
              <w:tr2bl w:val="nil"/>
            </w:tcBorders>
            <w:shd w:val="solid" w:color="FFFFFF" w:fill="FFFFFF"/>
            <w:noWrap/>
            <w:vAlign w:val="bottom"/>
          </w:tcPr>
          <w:p w14:paraId="6CA3E1F3" w14:textId="77777777" w:rsidR="008B409B" w:rsidRDefault="008B409B" w:rsidP="008B409B">
            <w:pPr>
              <w:spacing w:after="1"/>
              <w:jc w:val="right"/>
              <w:rPr>
                <w:rFonts w:ascii="Calibri" w:eastAsia="Calibri" w:hAnsi="Calibri" w:cs="Calibri"/>
                <w:color w:val="000000"/>
                <w:sz w:val="20"/>
              </w:rPr>
            </w:pPr>
          </w:p>
        </w:tc>
        <w:tc>
          <w:tcPr>
            <w:tcW w:w="137" w:type="pct"/>
            <w:tcBorders>
              <w:top w:val="nil"/>
              <w:left w:val="nil"/>
              <w:bottom w:val="nil"/>
              <w:right w:val="nil"/>
              <w:tl2br w:val="nil"/>
              <w:tr2bl w:val="nil"/>
            </w:tcBorders>
            <w:shd w:val="solid" w:color="FFFFFF" w:fill="FFFFFF"/>
            <w:noWrap/>
            <w:vAlign w:val="bottom"/>
          </w:tcPr>
          <w:p w14:paraId="662023CE"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7A0A91D7" w14:textId="77777777" w:rsidR="008B409B" w:rsidRDefault="008B409B" w:rsidP="008B409B">
            <w:pPr>
              <w:spacing w:after="1"/>
              <w:rPr>
                <w:rFonts w:ascii="Calibri" w:eastAsia="Calibri" w:hAnsi="Calibri" w:cs="Calibri"/>
                <w:color w:val="000000"/>
                <w:sz w:val="20"/>
              </w:rPr>
            </w:pPr>
          </w:p>
        </w:tc>
        <w:tc>
          <w:tcPr>
            <w:tcW w:w="575" w:type="pct"/>
            <w:tcBorders>
              <w:top w:val="nil"/>
              <w:left w:val="nil"/>
              <w:bottom w:val="nil"/>
              <w:right w:val="nil"/>
              <w:tl2br w:val="nil"/>
              <w:tr2bl w:val="nil"/>
            </w:tcBorders>
            <w:shd w:val="solid" w:color="FFFFFF" w:fill="FFFFFF"/>
            <w:noWrap/>
            <w:vAlign w:val="bottom"/>
          </w:tcPr>
          <w:p w14:paraId="0289D68D" w14:textId="77777777" w:rsidR="008B409B" w:rsidRDefault="008B409B" w:rsidP="008B409B">
            <w:pPr>
              <w:spacing w:after="1"/>
              <w:jc w:val="right"/>
              <w:rPr>
                <w:rFonts w:ascii="Calibri" w:eastAsia="Calibri" w:hAnsi="Calibri" w:cs="Calibri"/>
                <w:color w:val="000000"/>
                <w:sz w:val="20"/>
              </w:rPr>
            </w:pPr>
          </w:p>
        </w:tc>
      </w:tr>
      <w:tr w:rsidR="008B409B" w14:paraId="65CBD5C3" w14:textId="77777777" w:rsidTr="008B409B">
        <w:tc>
          <w:tcPr>
            <w:tcW w:w="3398" w:type="pct"/>
            <w:tcBorders>
              <w:top w:val="nil"/>
              <w:left w:val="nil"/>
              <w:bottom w:val="nil"/>
              <w:right w:val="nil"/>
              <w:tl2br w:val="nil"/>
              <w:tr2bl w:val="nil"/>
            </w:tcBorders>
            <w:shd w:val="solid" w:color="FFFFFF" w:fill="FFFFFF"/>
            <w:vAlign w:val="bottom"/>
          </w:tcPr>
          <w:p w14:paraId="672C2E2F" w14:textId="77777777" w:rsidR="008B409B" w:rsidRDefault="008B409B" w:rsidP="008B409B">
            <w:pPr>
              <w:spacing w:after="1"/>
              <w:ind w:left="120"/>
              <w:rPr>
                <w:rFonts w:ascii="Calibri" w:eastAsia="Calibri" w:hAnsi="Calibri" w:cs="Calibri"/>
                <w:color w:val="000000"/>
                <w:sz w:val="20"/>
              </w:rPr>
            </w:pPr>
            <w:r>
              <w:rPr>
                <w:rFonts w:ascii="Calibri" w:eastAsia="Calibri" w:hAnsi="Calibri" w:cs="Calibri"/>
                <w:color w:val="000000"/>
                <w:sz w:val="20"/>
              </w:rPr>
              <w:t>December 31, </w:t>
            </w:r>
            <w:proofErr w:type="gramStart"/>
            <w:r>
              <w:rPr>
                <w:rFonts w:ascii="Calibri" w:eastAsia="Calibri" w:hAnsi="Calibri" w:cs="Calibri"/>
                <w:color w:val="000000"/>
                <w:sz w:val="20"/>
              </w:rPr>
              <w:t>2022</w:t>
            </w:r>
            <w:proofErr w:type="gramEnd"/>
            <w:r>
              <w:rPr>
                <w:rFonts w:ascii="Calibri" w:eastAsia="Calibri" w:hAnsi="Calibri" w:cs="Calibri"/>
                <w:color w:val="000000"/>
                <w:sz w:val="20"/>
              </w:rPr>
              <w:t xml:space="preserve"> and March 31, 2023, respectively</w:t>
            </w:r>
          </w:p>
        </w:tc>
        <w:tc>
          <w:tcPr>
            <w:tcW w:w="137" w:type="pct"/>
            <w:tcBorders>
              <w:top w:val="nil"/>
              <w:left w:val="nil"/>
              <w:bottom w:val="nil"/>
              <w:right w:val="nil"/>
              <w:tl2br w:val="nil"/>
              <w:tr2bl w:val="nil"/>
            </w:tcBorders>
            <w:shd w:val="solid" w:color="FFFFFF" w:fill="FFFFFF"/>
            <w:noWrap/>
            <w:vAlign w:val="bottom"/>
          </w:tcPr>
          <w:p w14:paraId="24F4A10F"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57D38A13" w14:textId="77777777" w:rsidR="008B409B" w:rsidRDefault="008B409B" w:rsidP="008B409B">
            <w:pPr>
              <w:spacing w:after="1"/>
              <w:rPr>
                <w:rFonts w:ascii="Calibri" w:eastAsia="Calibri" w:hAnsi="Calibri" w:cs="Calibri"/>
                <w:color w:val="000000"/>
                <w:sz w:val="20"/>
              </w:rPr>
            </w:pPr>
          </w:p>
        </w:tc>
        <w:tc>
          <w:tcPr>
            <w:tcW w:w="575" w:type="pct"/>
            <w:tcBorders>
              <w:top w:val="nil"/>
              <w:left w:val="nil"/>
              <w:bottom w:val="nil"/>
              <w:right w:val="nil"/>
              <w:tl2br w:val="nil"/>
              <w:tr2bl w:val="nil"/>
            </w:tcBorders>
            <w:shd w:val="solid" w:color="FFFFFF" w:fill="FFFFFF"/>
            <w:noWrap/>
            <w:vAlign w:val="bottom"/>
          </w:tcPr>
          <w:p w14:paraId="6964DBA2" w14:textId="77777777"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659</w:t>
            </w:r>
          </w:p>
        </w:tc>
        <w:tc>
          <w:tcPr>
            <w:tcW w:w="137" w:type="pct"/>
            <w:tcBorders>
              <w:top w:val="nil"/>
              <w:left w:val="nil"/>
              <w:bottom w:val="nil"/>
              <w:right w:val="nil"/>
              <w:tl2br w:val="nil"/>
              <w:tr2bl w:val="nil"/>
            </w:tcBorders>
            <w:shd w:val="solid" w:color="FFFFFF" w:fill="FFFFFF"/>
            <w:noWrap/>
            <w:vAlign w:val="bottom"/>
          </w:tcPr>
          <w:p w14:paraId="5D4AC2CC"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181FE9FF"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 </w:t>
            </w:r>
          </w:p>
        </w:tc>
        <w:tc>
          <w:tcPr>
            <w:tcW w:w="575" w:type="pct"/>
            <w:tcBorders>
              <w:top w:val="nil"/>
              <w:left w:val="nil"/>
              <w:bottom w:val="nil"/>
              <w:right w:val="nil"/>
              <w:tl2br w:val="nil"/>
              <w:tr2bl w:val="nil"/>
            </w:tcBorders>
            <w:shd w:val="solid" w:color="FFFFFF" w:fill="FFFFFF"/>
            <w:noWrap/>
            <w:vAlign w:val="bottom"/>
          </w:tcPr>
          <w:p w14:paraId="1B60A5F8" w14:textId="77777777"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660</w:t>
            </w:r>
          </w:p>
        </w:tc>
      </w:tr>
      <w:tr w:rsidR="008B409B" w14:paraId="0B1B0AD7" w14:textId="77777777" w:rsidTr="008B409B">
        <w:tc>
          <w:tcPr>
            <w:tcW w:w="3398" w:type="pct"/>
            <w:tcBorders>
              <w:top w:val="nil"/>
              <w:left w:val="nil"/>
              <w:bottom w:val="nil"/>
              <w:right w:val="nil"/>
              <w:tl2br w:val="nil"/>
              <w:tr2bl w:val="nil"/>
            </w:tcBorders>
            <w:shd w:val="solid" w:color="FFFFFF" w:fill="FFFFFF"/>
            <w:vAlign w:val="bottom"/>
          </w:tcPr>
          <w:p w14:paraId="57D47C4B"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 xml:space="preserve">Class B common stock, par value $0.01, 500,000,000 shares </w:t>
            </w:r>
            <w:proofErr w:type="gramStart"/>
            <w:r>
              <w:rPr>
                <w:rFonts w:ascii="Calibri" w:eastAsia="Calibri" w:hAnsi="Calibri" w:cs="Calibri"/>
                <w:color w:val="000000"/>
                <w:sz w:val="20"/>
              </w:rPr>
              <w:t>authorized;</w:t>
            </w:r>
            <w:proofErr w:type="gramEnd"/>
            <w:r>
              <w:rPr>
                <w:rFonts w:ascii="Calibri" w:eastAsia="Calibri" w:hAnsi="Calibri" w:cs="Calibri"/>
                <w:color w:val="000000"/>
                <w:sz w:val="20"/>
              </w:rPr>
              <w:t xml:space="preserve"> </w:t>
            </w:r>
          </w:p>
        </w:tc>
        <w:tc>
          <w:tcPr>
            <w:tcW w:w="137" w:type="pct"/>
            <w:tcBorders>
              <w:top w:val="nil"/>
              <w:left w:val="nil"/>
              <w:bottom w:val="nil"/>
              <w:right w:val="nil"/>
              <w:tl2br w:val="nil"/>
              <w:tr2bl w:val="nil"/>
            </w:tcBorders>
            <w:shd w:val="solid" w:color="FFFFFF" w:fill="FFFFFF"/>
            <w:noWrap/>
            <w:vAlign w:val="bottom"/>
          </w:tcPr>
          <w:p w14:paraId="0DB13D04"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637E67EA" w14:textId="77777777" w:rsidR="008B409B" w:rsidRDefault="008B409B" w:rsidP="008B409B">
            <w:pPr>
              <w:spacing w:after="1"/>
              <w:rPr>
                <w:rFonts w:ascii="Calibri" w:eastAsia="Calibri" w:hAnsi="Calibri" w:cs="Calibri"/>
                <w:color w:val="000000"/>
                <w:sz w:val="20"/>
              </w:rPr>
            </w:pPr>
          </w:p>
        </w:tc>
        <w:tc>
          <w:tcPr>
            <w:tcW w:w="575" w:type="pct"/>
            <w:tcBorders>
              <w:top w:val="nil"/>
              <w:left w:val="nil"/>
              <w:bottom w:val="nil"/>
              <w:right w:val="nil"/>
              <w:tl2br w:val="nil"/>
              <w:tr2bl w:val="nil"/>
            </w:tcBorders>
            <w:shd w:val="solid" w:color="FFFFFF" w:fill="FFFFFF"/>
            <w:noWrap/>
            <w:vAlign w:val="bottom"/>
          </w:tcPr>
          <w:p w14:paraId="03657552" w14:textId="77777777" w:rsidR="008B409B" w:rsidRDefault="008B409B" w:rsidP="008B409B">
            <w:pPr>
              <w:spacing w:after="1"/>
              <w:jc w:val="right"/>
              <w:rPr>
                <w:rFonts w:ascii="Calibri" w:eastAsia="Calibri" w:hAnsi="Calibri" w:cs="Calibri"/>
                <w:color w:val="000000"/>
                <w:sz w:val="20"/>
              </w:rPr>
            </w:pPr>
          </w:p>
        </w:tc>
        <w:tc>
          <w:tcPr>
            <w:tcW w:w="137" w:type="pct"/>
            <w:tcBorders>
              <w:top w:val="nil"/>
              <w:left w:val="nil"/>
              <w:bottom w:val="nil"/>
              <w:right w:val="nil"/>
              <w:tl2br w:val="nil"/>
              <w:tr2bl w:val="nil"/>
            </w:tcBorders>
            <w:shd w:val="solid" w:color="FFFFFF" w:fill="FFFFFF"/>
            <w:noWrap/>
            <w:vAlign w:val="bottom"/>
          </w:tcPr>
          <w:p w14:paraId="6652812F"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0632E356" w14:textId="77777777" w:rsidR="008B409B" w:rsidRDefault="008B409B" w:rsidP="008B409B">
            <w:pPr>
              <w:spacing w:after="1"/>
              <w:rPr>
                <w:rFonts w:ascii="Calibri" w:eastAsia="Calibri" w:hAnsi="Calibri" w:cs="Calibri"/>
                <w:color w:val="000000"/>
                <w:sz w:val="20"/>
              </w:rPr>
            </w:pPr>
          </w:p>
        </w:tc>
        <w:tc>
          <w:tcPr>
            <w:tcW w:w="575" w:type="pct"/>
            <w:tcBorders>
              <w:top w:val="nil"/>
              <w:left w:val="nil"/>
              <w:bottom w:val="nil"/>
              <w:right w:val="nil"/>
              <w:tl2br w:val="nil"/>
              <w:tr2bl w:val="nil"/>
            </w:tcBorders>
            <w:shd w:val="solid" w:color="FFFFFF" w:fill="FFFFFF"/>
            <w:noWrap/>
            <w:vAlign w:val="bottom"/>
          </w:tcPr>
          <w:p w14:paraId="69480600" w14:textId="77777777" w:rsidR="008B409B" w:rsidRDefault="008B409B" w:rsidP="008B409B">
            <w:pPr>
              <w:spacing w:after="1"/>
              <w:jc w:val="right"/>
              <w:rPr>
                <w:rFonts w:ascii="Calibri" w:eastAsia="Calibri" w:hAnsi="Calibri" w:cs="Calibri"/>
                <w:color w:val="000000"/>
                <w:sz w:val="20"/>
              </w:rPr>
            </w:pPr>
          </w:p>
        </w:tc>
      </w:tr>
      <w:tr w:rsidR="008B409B" w14:paraId="49EB028D" w14:textId="77777777" w:rsidTr="008B409B">
        <w:tc>
          <w:tcPr>
            <w:tcW w:w="3398" w:type="pct"/>
            <w:tcBorders>
              <w:top w:val="nil"/>
              <w:left w:val="nil"/>
              <w:bottom w:val="nil"/>
              <w:right w:val="nil"/>
              <w:tl2br w:val="nil"/>
              <w:tr2bl w:val="nil"/>
            </w:tcBorders>
            <w:shd w:val="solid" w:color="FFFFFF" w:fill="FFFFFF"/>
            <w:vAlign w:val="bottom"/>
          </w:tcPr>
          <w:p w14:paraId="277B8F9B" w14:textId="77777777" w:rsidR="008B409B" w:rsidRDefault="008B409B" w:rsidP="008B409B">
            <w:pPr>
              <w:spacing w:after="1"/>
              <w:ind w:left="120"/>
              <w:rPr>
                <w:rFonts w:ascii="Calibri" w:eastAsia="Calibri" w:hAnsi="Calibri" w:cs="Calibri"/>
                <w:color w:val="000000"/>
                <w:sz w:val="20"/>
              </w:rPr>
            </w:pPr>
            <w:r>
              <w:rPr>
                <w:rFonts w:ascii="Calibri" w:eastAsia="Calibri" w:hAnsi="Calibri" w:cs="Calibri"/>
                <w:color w:val="000000"/>
                <w:sz w:val="20"/>
              </w:rPr>
              <w:t>11,827,321 and 12,540,262 shares issued and outstanding at</w:t>
            </w:r>
          </w:p>
        </w:tc>
        <w:tc>
          <w:tcPr>
            <w:tcW w:w="137" w:type="pct"/>
            <w:tcBorders>
              <w:top w:val="nil"/>
              <w:left w:val="nil"/>
              <w:bottom w:val="nil"/>
              <w:right w:val="nil"/>
              <w:tl2br w:val="nil"/>
              <w:tr2bl w:val="nil"/>
            </w:tcBorders>
            <w:shd w:val="solid" w:color="FFFFFF" w:fill="FFFFFF"/>
            <w:noWrap/>
            <w:vAlign w:val="bottom"/>
          </w:tcPr>
          <w:p w14:paraId="4A40FB4F"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39F5E2E9" w14:textId="77777777" w:rsidR="008B409B" w:rsidRDefault="008B409B" w:rsidP="008B409B">
            <w:pPr>
              <w:spacing w:after="1"/>
              <w:rPr>
                <w:rFonts w:ascii="Calibri" w:eastAsia="Calibri" w:hAnsi="Calibri" w:cs="Calibri"/>
                <w:color w:val="000000"/>
                <w:sz w:val="20"/>
              </w:rPr>
            </w:pPr>
          </w:p>
        </w:tc>
        <w:tc>
          <w:tcPr>
            <w:tcW w:w="575" w:type="pct"/>
            <w:tcBorders>
              <w:top w:val="nil"/>
              <w:left w:val="nil"/>
              <w:bottom w:val="nil"/>
              <w:right w:val="nil"/>
              <w:tl2br w:val="nil"/>
              <w:tr2bl w:val="nil"/>
            </w:tcBorders>
            <w:shd w:val="solid" w:color="FFFFFF" w:fill="FFFFFF"/>
            <w:noWrap/>
            <w:vAlign w:val="bottom"/>
          </w:tcPr>
          <w:p w14:paraId="290EDCFD" w14:textId="77777777" w:rsidR="008B409B" w:rsidRDefault="008B409B" w:rsidP="008B409B">
            <w:pPr>
              <w:spacing w:after="1"/>
              <w:jc w:val="right"/>
              <w:rPr>
                <w:rFonts w:ascii="Calibri" w:eastAsia="Calibri" w:hAnsi="Calibri" w:cs="Calibri"/>
                <w:color w:val="000000"/>
                <w:sz w:val="20"/>
              </w:rPr>
            </w:pPr>
          </w:p>
        </w:tc>
        <w:tc>
          <w:tcPr>
            <w:tcW w:w="137" w:type="pct"/>
            <w:tcBorders>
              <w:top w:val="nil"/>
              <w:left w:val="nil"/>
              <w:bottom w:val="nil"/>
              <w:right w:val="nil"/>
              <w:tl2br w:val="nil"/>
              <w:tr2bl w:val="nil"/>
            </w:tcBorders>
            <w:shd w:val="solid" w:color="FFFFFF" w:fill="FFFFFF"/>
            <w:noWrap/>
            <w:vAlign w:val="bottom"/>
          </w:tcPr>
          <w:p w14:paraId="3A408F4E"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59C6826B" w14:textId="77777777" w:rsidR="008B409B" w:rsidRDefault="008B409B" w:rsidP="008B409B">
            <w:pPr>
              <w:spacing w:after="1"/>
              <w:rPr>
                <w:rFonts w:ascii="Calibri" w:eastAsia="Calibri" w:hAnsi="Calibri" w:cs="Calibri"/>
                <w:color w:val="000000"/>
                <w:sz w:val="20"/>
              </w:rPr>
            </w:pPr>
          </w:p>
        </w:tc>
        <w:tc>
          <w:tcPr>
            <w:tcW w:w="575" w:type="pct"/>
            <w:tcBorders>
              <w:top w:val="nil"/>
              <w:left w:val="nil"/>
              <w:bottom w:val="nil"/>
              <w:right w:val="nil"/>
              <w:tl2br w:val="nil"/>
              <w:tr2bl w:val="nil"/>
            </w:tcBorders>
            <w:shd w:val="solid" w:color="FFFFFF" w:fill="FFFFFF"/>
            <w:noWrap/>
            <w:vAlign w:val="bottom"/>
          </w:tcPr>
          <w:p w14:paraId="2F862FF8" w14:textId="77777777" w:rsidR="008B409B" w:rsidRDefault="008B409B" w:rsidP="008B409B">
            <w:pPr>
              <w:spacing w:after="1"/>
              <w:jc w:val="right"/>
              <w:rPr>
                <w:rFonts w:ascii="Calibri" w:eastAsia="Calibri" w:hAnsi="Calibri" w:cs="Calibri"/>
                <w:color w:val="000000"/>
                <w:sz w:val="20"/>
              </w:rPr>
            </w:pPr>
          </w:p>
        </w:tc>
      </w:tr>
      <w:tr w:rsidR="008B409B" w14:paraId="4DA0AFB9" w14:textId="77777777" w:rsidTr="008B409B">
        <w:tc>
          <w:tcPr>
            <w:tcW w:w="3398" w:type="pct"/>
            <w:tcBorders>
              <w:top w:val="nil"/>
              <w:left w:val="nil"/>
              <w:bottom w:val="nil"/>
              <w:right w:val="nil"/>
              <w:tl2br w:val="nil"/>
              <w:tr2bl w:val="nil"/>
            </w:tcBorders>
            <w:shd w:val="solid" w:color="FFFFFF" w:fill="FFFFFF"/>
            <w:vAlign w:val="bottom"/>
          </w:tcPr>
          <w:p w14:paraId="57CDC3AC" w14:textId="77777777" w:rsidR="008B409B" w:rsidRDefault="008B409B" w:rsidP="008B409B">
            <w:pPr>
              <w:spacing w:after="1"/>
              <w:ind w:left="120"/>
              <w:rPr>
                <w:rFonts w:ascii="Calibri" w:eastAsia="Calibri" w:hAnsi="Calibri" w:cs="Calibri"/>
                <w:color w:val="000000"/>
                <w:sz w:val="20"/>
              </w:rPr>
            </w:pPr>
            <w:r>
              <w:rPr>
                <w:rFonts w:ascii="Calibri" w:eastAsia="Calibri" w:hAnsi="Calibri" w:cs="Calibri"/>
                <w:color w:val="000000"/>
                <w:sz w:val="20"/>
              </w:rPr>
              <w:t>December 31, </w:t>
            </w:r>
            <w:proofErr w:type="gramStart"/>
            <w:r>
              <w:rPr>
                <w:rFonts w:ascii="Calibri" w:eastAsia="Calibri" w:hAnsi="Calibri" w:cs="Calibri"/>
                <w:color w:val="000000"/>
                <w:sz w:val="20"/>
              </w:rPr>
              <w:t>2022</w:t>
            </w:r>
            <w:proofErr w:type="gramEnd"/>
            <w:r>
              <w:rPr>
                <w:rFonts w:ascii="Calibri" w:eastAsia="Calibri" w:hAnsi="Calibri" w:cs="Calibri"/>
                <w:color w:val="000000"/>
                <w:sz w:val="20"/>
              </w:rPr>
              <w:t xml:space="preserve"> and March 31, 2023, respectively</w:t>
            </w:r>
          </w:p>
        </w:tc>
        <w:tc>
          <w:tcPr>
            <w:tcW w:w="137" w:type="pct"/>
            <w:tcBorders>
              <w:top w:val="nil"/>
              <w:left w:val="nil"/>
              <w:bottom w:val="nil"/>
              <w:right w:val="nil"/>
              <w:tl2br w:val="nil"/>
              <w:tr2bl w:val="nil"/>
            </w:tcBorders>
            <w:shd w:val="solid" w:color="FFFFFF" w:fill="FFFFFF"/>
            <w:noWrap/>
            <w:vAlign w:val="bottom"/>
          </w:tcPr>
          <w:p w14:paraId="0BD87F45"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0B972F1F" w14:textId="77777777" w:rsidR="008B409B" w:rsidRDefault="008B409B" w:rsidP="008B409B">
            <w:pPr>
              <w:spacing w:after="1"/>
              <w:rPr>
                <w:rFonts w:ascii="Calibri" w:eastAsia="Calibri" w:hAnsi="Calibri" w:cs="Calibri"/>
                <w:color w:val="000000"/>
                <w:sz w:val="20"/>
              </w:rPr>
            </w:pPr>
          </w:p>
        </w:tc>
        <w:tc>
          <w:tcPr>
            <w:tcW w:w="575" w:type="pct"/>
            <w:tcBorders>
              <w:top w:val="nil"/>
              <w:left w:val="nil"/>
              <w:bottom w:val="nil"/>
              <w:right w:val="nil"/>
              <w:tl2br w:val="nil"/>
              <w:tr2bl w:val="nil"/>
            </w:tcBorders>
            <w:shd w:val="solid" w:color="FFFFFF" w:fill="FFFFFF"/>
            <w:noWrap/>
            <w:vAlign w:val="bottom"/>
          </w:tcPr>
          <w:p w14:paraId="41F75C74" w14:textId="77777777"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118</w:t>
            </w:r>
          </w:p>
        </w:tc>
        <w:tc>
          <w:tcPr>
            <w:tcW w:w="137" w:type="pct"/>
            <w:tcBorders>
              <w:top w:val="nil"/>
              <w:left w:val="nil"/>
              <w:bottom w:val="nil"/>
              <w:right w:val="nil"/>
              <w:tl2br w:val="nil"/>
              <w:tr2bl w:val="nil"/>
            </w:tcBorders>
            <w:shd w:val="solid" w:color="FFFFFF" w:fill="FFFFFF"/>
            <w:noWrap/>
            <w:vAlign w:val="bottom"/>
          </w:tcPr>
          <w:p w14:paraId="49A29DB7"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7E894B92"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 </w:t>
            </w:r>
          </w:p>
        </w:tc>
        <w:tc>
          <w:tcPr>
            <w:tcW w:w="575" w:type="pct"/>
            <w:tcBorders>
              <w:top w:val="nil"/>
              <w:left w:val="nil"/>
              <w:bottom w:val="nil"/>
              <w:right w:val="nil"/>
              <w:tl2br w:val="nil"/>
              <w:tr2bl w:val="nil"/>
            </w:tcBorders>
            <w:shd w:val="solid" w:color="FFFFFF" w:fill="FFFFFF"/>
            <w:noWrap/>
            <w:vAlign w:val="bottom"/>
          </w:tcPr>
          <w:p w14:paraId="742514ED" w14:textId="77777777"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125</w:t>
            </w:r>
          </w:p>
        </w:tc>
      </w:tr>
      <w:tr w:rsidR="008B409B" w14:paraId="72F7F415" w14:textId="77777777" w:rsidTr="008B409B">
        <w:tc>
          <w:tcPr>
            <w:tcW w:w="3398" w:type="pct"/>
            <w:tcBorders>
              <w:top w:val="nil"/>
              <w:left w:val="nil"/>
              <w:bottom w:val="nil"/>
              <w:right w:val="nil"/>
              <w:tl2br w:val="nil"/>
              <w:tr2bl w:val="nil"/>
            </w:tcBorders>
            <w:shd w:val="solid" w:color="FFFFFF" w:fill="FFFFFF"/>
            <w:vAlign w:val="bottom"/>
          </w:tcPr>
          <w:p w14:paraId="28822E24"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Additional paid-in capital</w:t>
            </w:r>
          </w:p>
        </w:tc>
        <w:tc>
          <w:tcPr>
            <w:tcW w:w="137" w:type="pct"/>
            <w:tcBorders>
              <w:top w:val="nil"/>
              <w:left w:val="nil"/>
              <w:bottom w:val="nil"/>
              <w:right w:val="nil"/>
              <w:tl2br w:val="nil"/>
              <w:tr2bl w:val="nil"/>
            </w:tcBorders>
            <w:shd w:val="solid" w:color="FFFFFF" w:fill="FFFFFF"/>
            <w:noWrap/>
            <w:vAlign w:val="bottom"/>
          </w:tcPr>
          <w:p w14:paraId="2530DE11"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5EC3F47C" w14:textId="77777777" w:rsidR="008B409B" w:rsidRDefault="008B409B" w:rsidP="008B409B">
            <w:pPr>
              <w:spacing w:after="1"/>
              <w:rPr>
                <w:rFonts w:ascii="Calibri" w:eastAsia="Calibri" w:hAnsi="Calibri" w:cs="Calibri"/>
                <w:color w:val="000000"/>
                <w:sz w:val="20"/>
              </w:rPr>
            </w:pPr>
          </w:p>
        </w:tc>
        <w:tc>
          <w:tcPr>
            <w:tcW w:w="575" w:type="pct"/>
            <w:tcBorders>
              <w:top w:val="nil"/>
              <w:left w:val="nil"/>
              <w:bottom w:val="nil"/>
              <w:right w:val="nil"/>
              <w:tl2br w:val="nil"/>
              <w:tr2bl w:val="nil"/>
            </w:tcBorders>
            <w:shd w:val="solid" w:color="FFFFFF" w:fill="FFFFFF"/>
            <w:noWrap/>
            <w:vAlign w:val="bottom"/>
          </w:tcPr>
          <w:p w14:paraId="1E872FBC" w14:textId="77777777"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918,044</w:t>
            </w:r>
          </w:p>
        </w:tc>
        <w:tc>
          <w:tcPr>
            <w:tcW w:w="137" w:type="pct"/>
            <w:tcBorders>
              <w:top w:val="nil"/>
              <w:left w:val="nil"/>
              <w:bottom w:val="nil"/>
              <w:right w:val="nil"/>
              <w:tl2br w:val="nil"/>
              <w:tr2bl w:val="nil"/>
            </w:tcBorders>
            <w:shd w:val="solid" w:color="FFFFFF" w:fill="FFFFFF"/>
            <w:noWrap/>
            <w:vAlign w:val="bottom"/>
          </w:tcPr>
          <w:p w14:paraId="433F0E59"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65163802"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 </w:t>
            </w:r>
          </w:p>
        </w:tc>
        <w:tc>
          <w:tcPr>
            <w:tcW w:w="575" w:type="pct"/>
            <w:tcBorders>
              <w:top w:val="nil"/>
              <w:left w:val="nil"/>
              <w:bottom w:val="nil"/>
              <w:right w:val="nil"/>
              <w:tl2br w:val="nil"/>
              <w:tr2bl w:val="nil"/>
            </w:tcBorders>
            <w:shd w:val="solid" w:color="FFFFFF" w:fill="FFFFFF"/>
            <w:noWrap/>
            <w:vAlign w:val="bottom"/>
          </w:tcPr>
          <w:p w14:paraId="206F901A" w14:textId="77777777"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907,591</w:t>
            </w:r>
          </w:p>
        </w:tc>
      </w:tr>
      <w:tr w:rsidR="008B409B" w14:paraId="1FADE0E1" w14:textId="77777777" w:rsidTr="008B409B">
        <w:tc>
          <w:tcPr>
            <w:tcW w:w="3398" w:type="pct"/>
            <w:tcBorders>
              <w:top w:val="nil"/>
              <w:left w:val="nil"/>
              <w:bottom w:val="nil"/>
              <w:right w:val="nil"/>
              <w:tl2br w:val="nil"/>
              <w:tr2bl w:val="nil"/>
            </w:tcBorders>
            <w:shd w:val="solid" w:color="FFFFFF" w:fill="FFFFFF"/>
            <w:vAlign w:val="bottom"/>
          </w:tcPr>
          <w:p w14:paraId="2D5BC423"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 xml:space="preserve">Retained earnings </w:t>
            </w:r>
          </w:p>
        </w:tc>
        <w:tc>
          <w:tcPr>
            <w:tcW w:w="137" w:type="pct"/>
            <w:tcBorders>
              <w:top w:val="nil"/>
              <w:left w:val="nil"/>
              <w:bottom w:val="nil"/>
              <w:right w:val="nil"/>
              <w:tl2br w:val="nil"/>
              <w:tr2bl w:val="nil"/>
            </w:tcBorders>
            <w:shd w:val="solid" w:color="FFFFFF" w:fill="FFFFFF"/>
            <w:noWrap/>
            <w:vAlign w:val="bottom"/>
          </w:tcPr>
          <w:p w14:paraId="34804BF5"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38EEB64B" w14:textId="77777777" w:rsidR="008B409B" w:rsidRDefault="008B409B" w:rsidP="008B409B">
            <w:pPr>
              <w:spacing w:after="1"/>
              <w:rPr>
                <w:rFonts w:ascii="Calibri" w:eastAsia="Calibri" w:hAnsi="Calibri" w:cs="Calibri"/>
                <w:color w:val="000000"/>
                <w:sz w:val="20"/>
              </w:rPr>
            </w:pPr>
          </w:p>
        </w:tc>
        <w:tc>
          <w:tcPr>
            <w:tcW w:w="575" w:type="pct"/>
            <w:tcBorders>
              <w:top w:val="nil"/>
              <w:left w:val="nil"/>
              <w:bottom w:val="nil"/>
              <w:right w:val="nil"/>
              <w:tl2br w:val="nil"/>
              <w:tr2bl w:val="nil"/>
            </w:tcBorders>
            <w:shd w:val="solid" w:color="FFFFFF" w:fill="FFFFFF"/>
            <w:noWrap/>
            <w:vAlign w:val="bottom"/>
          </w:tcPr>
          <w:p w14:paraId="38D42F3E" w14:textId="77777777"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116,779</w:t>
            </w:r>
          </w:p>
        </w:tc>
        <w:tc>
          <w:tcPr>
            <w:tcW w:w="137" w:type="pct"/>
            <w:tcBorders>
              <w:top w:val="nil"/>
              <w:left w:val="nil"/>
              <w:bottom w:val="nil"/>
              <w:right w:val="nil"/>
              <w:tl2br w:val="nil"/>
              <w:tr2bl w:val="nil"/>
            </w:tcBorders>
            <w:shd w:val="solid" w:color="FFFFFF" w:fill="FFFFFF"/>
            <w:noWrap/>
            <w:vAlign w:val="bottom"/>
          </w:tcPr>
          <w:p w14:paraId="3F2528C0"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0F9935AE"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 </w:t>
            </w:r>
          </w:p>
        </w:tc>
        <w:tc>
          <w:tcPr>
            <w:tcW w:w="575" w:type="pct"/>
            <w:tcBorders>
              <w:top w:val="nil"/>
              <w:left w:val="nil"/>
              <w:bottom w:val="nil"/>
              <w:right w:val="nil"/>
              <w:tl2br w:val="nil"/>
              <w:tr2bl w:val="nil"/>
            </w:tcBorders>
            <w:shd w:val="solid" w:color="FFFFFF" w:fill="FFFFFF"/>
            <w:noWrap/>
            <w:vAlign w:val="bottom"/>
          </w:tcPr>
          <w:p w14:paraId="03AD0538" w14:textId="77777777"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116,147</w:t>
            </w:r>
          </w:p>
        </w:tc>
      </w:tr>
      <w:tr w:rsidR="008B409B" w14:paraId="27CC7CE8" w14:textId="77777777" w:rsidTr="008B409B">
        <w:tc>
          <w:tcPr>
            <w:tcW w:w="3398" w:type="pct"/>
            <w:tcBorders>
              <w:top w:val="nil"/>
              <w:left w:val="nil"/>
              <w:bottom w:val="nil"/>
              <w:right w:val="nil"/>
              <w:tl2br w:val="nil"/>
              <w:tr2bl w:val="nil"/>
            </w:tcBorders>
            <w:shd w:val="solid" w:color="FFFFFF" w:fill="FFFFFF"/>
            <w:vAlign w:val="bottom"/>
          </w:tcPr>
          <w:p w14:paraId="6C98DFAB"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Accumulated other comprehensive income</w:t>
            </w:r>
          </w:p>
        </w:tc>
        <w:tc>
          <w:tcPr>
            <w:tcW w:w="137" w:type="pct"/>
            <w:tcBorders>
              <w:top w:val="nil"/>
              <w:left w:val="nil"/>
              <w:bottom w:val="nil"/>
              <w:right w:val="nil"/>
              <w:tl2br w:val="nil"/>
              <w:tr2bl w:val="nil"/>
            </w:tcBorders>
            <w:shd w:val="solid" w:color="FFFFFF" w:fill="FFFFFF"/>
            <w:noWrap/>
            <w:vAlign w:val="bottom"/>
          </w:tcPr>
          <w:p w14:paraId="3FC98B59"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single" w:sz="4" w:space="0" w:color="000000"/>
              <w:right w:val="nil"/>
              <w:tl2br w:val="nil"/>
              <w:tr2bl w:val="nil"/>
            </w:tcBorders>
            <w:shd w:val="solid" w:color="FFFFFF" w:fill="FFFFFF"/>
            <w:noWrap/>
            <w:vAlign w:val="bottom"/>
          </w:tcPr>
          <w:p w14:paraId="31F3A249" w14:textId="77777777" w:rsidR="008B409B" w:rsidRDefault="008B409B" w:rsidP="008B409B">
            <w:pPr>
              <w:spacing w:after="1"/>
              <w:rPr>
                <w:rFonts w:ascii="Calibri" w:eastAsia="Calibri" w:hAnsi="Calibri" w:cs="Calibri"/>
                <w:color w:val="000000"/>
                <w:sz w:val="20"/>
              </w:rPr>
            </w:pPr>
          </w:p>
        </w:tc>
        <w:tc>
          <w:tcPr>
            <w:tcW w:w="575" w:type="pct"/>
            <w:tcBorders>
              <w:top w:val="nil"/>
              <w:left w:val="nil"/>
              <w:bottom w:val="single" w:sz="4" w:space="0" w:color="000000"/>
              <w:right w:val="nil"/>
              <w:tl2br w:val="nil"/>
              <w:tr2bl w:val="nil"/>
            </w:tcBorders>
            <w:shd w:val="solid" w:color="FFFFFF" w:fill="FFFFFF"/>
            <w:noWrap/>
            <w:vAlign w:val="bottom"/>
          </w:tcPr>
          <w:p w14:paraId="6AA592E6" w14:textId="77777777"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18,318</w:t>
            </w:r>
          </w:p>
        </w:tc>
        <w:tc>
          <w:tcPr>
            <w:tcW w:w="137" w:type="pct"/>
            <w:tcBorders>
              <w:top w:val="nil"/>
              <w:left w:val="nil"/>
              <w:bottom w:val="nil"/>
              <w:right w:val="nil"/>
              <w:tl2br w:val="nil"/>
              <w:tr2bl w:val="nil"/>
            </w:tcBorders>
            <w:shd w:val="solid" w:color="FFFFFF" w:fill="FFFFFF"/>
            <w:noWrap/>
            <w:vAlign w:val="bottom"/>
          </w:tcPr>
          <w:p w14:paraId="6D016D39"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single" w:sz="4" w:space="0" w:color="000000"/>
              <w:right w:val="nil"/>
              <w:tl2br w:val="nil"/>
              <w:tr2bl w:val="nil"/>
            </w:tcBorders>
            <w:shd w:val="solid" w:color="FFFFFF" w:fill="FFFFFF"/>
            <w:noWrap/>
            <w:vAlign w:val="bottom"/>
          </w:tcPr>
          <w:p w14:paraId="6AC82495"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 </w:t>
            </w:r>
          </w:p>
        </w:tc>
        <w:tc>
          <w:tcPr>
            <w:tcW w:w="575" w:type="pct"/>
            <w:tcBorders>
              <w:top w:val="nil"/>
              <w:left w:val="nil"/>
              <w:bottom w:val="single" w:sz="4" w:space="0" w:color="000000"/>
              <w:right w:val="nil"/>
              <w:tl2br w:val="nil"/>
              <w:tr2bl w:val="nil"/>
            </w:tcBorders>
            <w:shd w:val="solid" w:color="FFFFFF" w:fill="FFFFFF"/>
            <w:noWrap/>
            <w:vAlign w:val="bottom"/>
          </w:tcPr>
          <w:p w14:paraId="1B305228" w14:textId="77777777"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12,635</w:t>
            </w:r>
          </w:p>
        </w:tc>
      </w:tr>
      <w:tr w:rsidR="008B409B" w14:paraId="45BF39E8" w14:textId="77777777" w:rsidTr="008B409B">
        <w:tc>
          <w:tcPr>
            <w:tcW w:w="3398" w:type="pct"/>
            <w:tcBorders>
              <w:top w:val="nil"/>
              <w:left w:val="nil"/>
              <w:bottom w:val="nil"/>
              <w:right w:val="nil"/>
              <w:tl2br w:val="nil"/>
              <w:tr2bl w:val="nil"/>
            </w:tcBorders>
            <w:shd w:val="solid" w:color="FFFFFF" w:fill="FFFFFF"/>
            <w:vAlign w:val="bottom"/>
          </w:tcPr>
          <w:p w14:paraId="6AE0A8D8" w14:textId="77777777" w:rsidR="008B409B" w:rsidRDefault="008B409B" w:rsidP="008B409B">
            <w:pPr>
              <w:spacing w:after="1"/>
              <w:ind w:left="120"/>
              <w:rPr>
                <w:rFonts w:ascii="Calibri" w:eastAsia="Calibri" w:hAnsi="Calibri" w:cs="Calibri"/>
                <w:color w:val="000000"/>
                <w:sz w:val="20"/>
              </w:rPr>
            </w:pPr>
            <w:r>
              <w:rPr>
                <w:rFonts w:ascii="Calibri" w:eastAsia="Calibri" w:hAnsi="Calibri" w:cs="Calibri"/>
                <w:color w:val="000000"/>
                <w:sz w:val="20"/>
              </w:rPr>
              <w:t>Total shareholders' equity</w:t>
            </w:r>
          </w:p>
        </w:tc>
        <w:tc>
          <w:tcPr>
            <w:tcW w:w="137" w:type="pct"/>
            <w:tcBorders>
              <w:top w:val="nil"/>
              <w:left w:val="nil"/>
              <w:bottom w:val="nil"/>
              <w:right w:val="nil"/>
              <w:tl2br w:val="nil"/>
              <w:tr2bl w:val="nil"/>
            </w:tcBorders>
            <w:shd w:val="solid" w:color="FFFFFF" w:fill="FFFFFF"/>
            <w:noWrap/>
            <w:vAlign w:val="bottom"/>
          </w:tcPr>
          <w:p w14:paraId="47BA5B22"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5346FA25" w14:textId="77777777" w:rsidR="008B409B" w:rsidRDefault="008B409B" w:rsidP="008B409B">
            <w:pPr>
              <w:spacing w:after="1"/>
              <w:rPr>
                <w:rFonts w:ascii="Calibri" w:eastAsia="Calibri" w:hAnsi="Calibri" w:cs="Calibri"/>
                <w:color w:val="000000"/>
                <w:sz w:val="20"/>
              </w:rPr>
            </w:pPr>
          </w:p>
        </w:tc>
        <w:tc>
          <w:tcPr>
            <w:tcW w:w="575" w:type="pct"/>
            <w:tcBorders>
              <w:top w:val="nil"/>
              <w:left w:val="nil"/>
              <w:bottom w:val="nil"/>
              <w:right w:val="nil"/>
              <w:tl2br w:val="nil"/>
              <w:tr2bl w:val="nil"/>
            </w:tcBorders>
            <w:shd w:val="solid" w:color="FFFFFF" w:fill="FFFFFF"/>
            <w:noWrap/>
            <w:vAlign w:val="bottom"/>
          </w:tcPr>
          <w:p w14:paraId="64F752A1" w14:textId="77777777"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1,053,918</w:t>
            </w:r>
          </w:p>
        </w:tc>
        <w:tc>
          <w:tcPr>
            <w:tcW w:w="137" w:type="pct"/>
            <w:tcBorders>
              <w:top w:val="nil"/>
              <w:left w:val="nil"/>
              <w:bottom w:val="nil"/>
              <w:right w:val="nil"/>
              <w:tl2br w:val="nil"/>
              <w:tr2bl w:val="nil"/>
            </w:tcBorders>
            <w:shd w:val="solid" w:color="FFFFFF" w:fill="FFFFFF"/>
            <w:noWrap/>
            <w:vAlign w:val="bottom"/>
          </w:tcPr>
          <w:p w14:paraId="7F29C79F"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nil"/>
              <w:right w:val="nil"/>
              <w:tl2br w:val="nil"/>
              <w:tr2bl w:val="nil"/>
            </w:tcBorders>
            <w:shd w:val="solid" w:color="FFFFFF" w:fill="FFFFFF"/>
            <w:noWrap/>
            <w:vAlign w:val="bottom"/>
          </w:tcPr>
          <w:p w14:paraId="00DC1680" w14:textId="77777777" w:rsidR="008B409B" w:rsidRDefault="008B409B" w:rsidP="008B409B">
            <w:pPr>
              <w:spacing w:after="1"/>
              <w:rPr>
                <w:rFonts w:ascii="Calibri" w:eastAsia="Calibri" w:hAnsi="Calibri" w:cs="Calibri"/>
                <w:color w:val="000000"/>
                <w:sz w:val="20"/>
              </w:rPr>
            </w:pPr>
          </w:p>
        </w:tc>
        <w:tc>
          <w:tcPr>
            <w:tcW w:w="575" w:type="pct"/>
            <w:tcBorders>
              <w:top w:val="nil"/>
              <w:left w:val="nil"/>
              <w:bottom w:val="nil"/>
              <w:right w:val="nil"/>
              <w:tl2br w:val="nil"/>
              <w:tr2bl w:val="nil"/>
            </w:tcBorders>
            <w:shd w:val="solid" w:color="FFFFFF" w:fill="FFFFFF"/>
            <w:noWrap/>
            <w:vAlign w:val="bottom"/>
          </w:tcPr>
          <w:p w14:paraId="1657EA2B" w14:textId="77777777"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1,037,158</w:t>
            </w:r>
          </w:p>
        </w:tc>
      </w:tr>
      <w:tr w:rsidR="008B409B" w14:paraId="09FD604D" w14:textId="77777777" w:rsidTr="008B409B">
        <w:tc>
          <w:tcPr>
            <w:tcW w:w="3398" w:type="pct"/>
            <w:tcBorders>
              <w:top w:val="nil"/>
              <w:left w:val="nil"/>
              <w:bottom w:val="nil"/>
              <w:right w:val="nil"/>
              <w:tl2br w:val="nil"/>
              <w:tr2bl w:val="nil"/>
            </w:tcBorders>
            <w:shd w:val="solid" w:color="FFFFFF" w:fill="FFFFFF"/>
            <w:vAlign w:val="bottom"/>
          </w:tcPr>
          <w:p w14:paraId="541D46CB"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Non-controlling interest</w:t>
            </w:r>
          </w:p>
        </w:tc>
        <w:tc>
          <w:tcPr>
            <w:tcW w:w="137" w:type="pct"/>
            <w:tcBorders>
              <w:top w:val="nil"/>
              <w:left w:val="nil"/>
              <w:bottom w:val="nil"/>
              <w:right w:val="nil"/>
              <w:tl2br w:val="nil"/>
              <w:tr2bl w:val="nil"/>
            </w:tcBorders>
            <w:shd w:val="solid" w:color="FFFFFF" w:fill="FFFFFF"/>
            <w:noWrap/>
            <w:vAlign w:val="bottom"/>
          </w:tcPr>
          <w:p w14:paraId="0231C340"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single" w:sz="4" w:space="0" w:color="000000"/>
              <w:right w:val="nil"/>
              <w:tl2br w:val="nil"/>
              <w:tr2bl w:val="nil"/>
            </w:tcBorders>
            <w:shd w:val="solid" w:color="FFFFFF" w:fill="FFFFFF"/>
            <w:noWrap/>
            <w:vAlign w:val="bottom"/>
          </w:tcPr>
          <w:p w14:paraId="4A1C1822" w14:textId="77777777" w:rsidR="008B409B" w:rsidRDefault="008B409B" w:rsidP="008B409B">
            <w:pPr>
              <w:spacing w:after="1"/>
              <w:rPr>
                <w:rFonts w:ascii="Calibri" w:eastAsia="Calibri" w:hAnsi="Calibri" w:cs="Calibri"/>
                <w:color w:val="000000"/>
                <w:sz w:val="20"/>
              </w:rPr>
            </w:pPr>
          </w:p>
        </w:tc>
        <w:tc>
          <w:tcPr>
            <w:tcW w:w="575" w:type="pct"/>
            <w:tcBorders>
              <w:top w:val="nil"/>
              <w:left w:val="nil"/>
              <w:bottom w:val="single" w:sz="4" w:space="0" w:color="000000"/>
              <w:right w:val="nil"/>
              <w:tl2br w:val="nil"/>
              <w:tr2bl w:val="nil"/>
            </w:tcBorders>
            <w:shd w:val="solid" w:color="FFFFFF" w:fill="FFFFFF"/>
            <w:noWrap/>
            <w:vAlign w:val="bottom"/>
          </w:tcPr>
          <w:p w14:paraId="32D6BECD" w14:textId="77777777"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249,377</w:t>
            </w:r>
          </w:p>
        </w:tc>
        <w:tc>
          <w:tcPr>
            <w:tcW w:w="137" w:type="pct"/>
            <w:tcBorders>
              <w:top w:val="nil"/>
              <w:left w:val="nil"/>
              <w:bottom w:val="nil"/>
              <w:right w:val="nil"/>
              <w:tl2br w:val="nil"/>
              <w:tr2bl w:val="nil"/>
            </w:tcBorders>
            <w:shd w:val="solid" w:color="FFFFFF" w:fill="FFFFFF"/>
            <w:noWrap/>
            <w:vAlign w:val="bottom"/>
          </w:tcPr>
          <w:p w14:paraId="73627EE8"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single" w:sz="4" w:space="0" w:color="000000"/>
              <w:right w:val="nil"/>
              <w:tl2br w:val="nil"/>
              <w:tr2bl w:val="nil"/>
            </w:tcBorders>
            <w:shd w:val="solid" w:color="FFFFFF" w:fill="FFFFFF"/>
            <w:noWrap/>
            <w:vAlign w:val="bottom"/>
          </w:tcPr>
          <w:p w14:paraId="24AB9294"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 </w:t>
            </w:r>
          </w:p>
        </w:tc>
        <w:tc>
          <w:tcPr>
            <w:tcW w:w="575" w:type="pct"/>
            <w:tcBorders>
              <w:top w:val="nil"/>
              <w:left w:val="nil"/>
              <w:bottom w:val="single" w:sz="4" w:space="0" w:color="000000"/>
              <w:right w:val="nil"/>
              <w:tl2br w:val="nil"/>
              <w:tr2bl w:val="nil"/>
            </w:tcBorders>
            <w:shd w:val="solid" w:color="FFFFFF" w:fill="FFFFFF"/>
            <w:noWrap/>
            <w:vAlign w:val="bottom"/>
          </w:tcPr>
          <w:p w14:paraId="6522FAD3" w14:textId="77777777"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289,612</w:t>
            </w:r>
          </w:p>
        </w:tc>
      </w:tr>
      <w:tr w:rsidR="008B409B" w14:paraId="4D30C551" w14:textId="77777777" w:rsidTr="008B409B">
        <w:tc>
          <w:tcPr>
            <w:tcW w:w="3398" w:type="pct"/>
            <w:tcBorders>
              <w:top w:val="nil"/>
              <w:left w:val="nil"/>
              <w:bottom w:val="nil"/>
              <w:right w:val="nil"/>
              <w:tl2br w:val="nil"/>
              <w:tr2bl w:val="nil"/>
            </w:tcBorders>
            <w:shd w:val="solid" w:color="FFFFFF" w:fill="FFFFFF"/>
            <w:vAlign w:val="bottom"/>
          </w:tcPr>
          <w:p w14:paraId="58640FCF" w14:textId="77777777" w:rsidR="008B409B" w:rsidRDefault="008B409B" w:rsidP="008B409B">
            <w:pPr>
              <w:spacing w:after="1"/>
              <w:ind w:left="120"/>
              <w:rPr>
                <w:rFonts w:ascii="Calibri" w:eastAsia="Calibri" w:hAnsi="Calibri" w:cs="Calibri"/>
                <w:color w:val="000000"/>
                <w:sz w:val="20"/>
              </w:rPr>
            </w:pPr>
            <w:r>
              <w:rPr>
                <w:rFonts w:ascii="Calibri" w:eastAsia="Calibri" w:hAnsi="Calibri" w:cs="Calibri"/>
                <w:color w:val="000000"/>
                <w:sz w:val="20"/>
              </w:rPr>
              <w:t>Total equity</w:t>
            </w:r>
          </w:p>
        </w:tc>
        <w:tc>
          <w:tcPr>
            <w:tcW w:w="137" w:type="pct"/>
            <w:tcBorders>
              <w:top w:val="nil"/>
              <w:left w:val="nil"/>
              <w:bottom w:val="nil"/>
              <w:right w:val="nil"/>
              <w:tl2br w:val="nil"/>
              <w:tr2bl w:val="nil"/>
            </w:tcBorders>
            <w:shd w:val="solid" w:color="FFFFFF" w:fill="FFFFFF"/>
            <w:noWrap/>
            <w:vAlign w:val="bottom"/>
          </w:tcPr>
          <w:p w14:paraId="11BF6DFD"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single" w:sz="4" w:space="0" w:color="000000"/>
              <w:right w:val="nil"/>
              <w:tl2br w:val="nil"/>
              <w:tr2bl w:val="nil"/>
            </w:tcBorders>
            <w:shd w:val="solid" w:color="FFFFFF" w:fill="FFFFFF"/>
            <w:noWrap/>
            <w:vAlign w:val="bottom"/>
          </w:tcPr>
          <w:p w14:paraId="77EB4B10" w14:textId="77777777" w:rsidR="008B409B" w:rsidRDefault="008B409B" w:rsidP="008B409B">
            <w:pPr>
              <w:spacing w:after="1"/>
              <w:rPr>
                <w:rFonts w:ascii="Calibri" w:eastAsia="Calibri" w:hAnsi="Calibri" w:cs="Calibri"/>
                <w:color w:val="000000"/>
                <w:sz w:val="20"/>
              </w:rPr>
            </w:pPr>
          </w:p>
        </w:tc>
        <w:tc>
          <w:tcPr>
            <w:tcW w:w="575" w:type="pct"/>
            <w:tcBorders>
              <w:top w:val="nil"/>
              <w:left w:val="nil"/>
              <w:bottom w:val="single" w:sz="4" w:space="0" w:color="000000"/>
              <w:right w:val="nil"/>
              <w:tl2br w:val="nil"/>
              <w:tr2bl w:val="nil"/>
            </w:tcBorders>
            <w:shd w:val="solid" w:color="FFFFFF" w:fill="FFFFFF"/>
            <w:noWrap/>
            <w:vAlign w:val="bottom"/>
          </w:tcPr>
          <w:p w14:paraId="18ABA1F2" w14:textId="77777777"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1,303,295</w:t>
            </w:r>
          </w:p>
        </w:tc>
        <w:tc>
          <w:tcPr>
            <w:tcW w:w="137" w:type="pct"/>
            <w:tcBorders>
              <w:top w:val="nil"/>
              <w:left w:val="nil"/>
              <w:bottom w:val="nil"/>
              <w:right w:val="nil"/>
              <w:tl2br w:val="nil"/>
              <w:tr2bl w:val="nil"/>
            </w:tcBorders>
            <w:shd w:val="solid" w:color="FFFFFF" w:fill="FFFFFF"/>
            <w:noWrap/>
            <w:vAlign w:val="bottom"/>
          </w:tcPr>
          <w:p w14:paraId="0B708195"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single" w:sz="4" w:space="0" w:color="000000"/>
              <w:right w:val="nil"/>
              <w:tl2br w:val="nil"/>
              <w:tr2bl w:val="nil"/>
            </w:tcBorders>
            <w:shd w:val="solid" w:color="FFFFFF" w:fill="FFFFFF"/>
            <w:noWrap/>
            <w:vAlign w:val="bottom"/>
          </w:tcPr>
          <w:p w14:paraId="7627DB3C" w14:textId="77777777" w:rsidR="008B409B" w:rsidRDefault="008B409B" w:rsidP="008B409B">
            <w:pPr>
              <w:spacing w:after="1"/>
              <w:rPr>
                <w:rFonts w:ascii="Calibri" w:eastAsia="Calibri" w:hAnsi="Calibri" w:cs="Calibri"/>
                <w:color w:val="000000"/>
                <w:sz w:val="20"/>
              </w:rPr>
            </w:pPr>
          </w:p>
        </w:tc>
        <w:tc>
          <w:tcPr>
            <w:tcW w:w="575" w:type="pct"/>
            <w:tcBorders>
              <w:top w:val="nil"/>
              <w:left w:val="nil"/>
              <w:bottom w:val="single" w:sz="4" w:space="0" w:color="000000"/>
              <w:right w:val="nil"/>
              <w:tl2br w:val="nil"/>
              <w:tr2bl w:val="nil"/>
            </w:tcBorders>
            <w:shd w:val="solid" w:color="FFFFFF" w:fill="FFFFFF"/>
            <w:noWrap/>
            <w:vAlign w:val="bottom"/>
          </w:tcPr>
          <w:p w14:paraId="72129025" w14:textId="77777777"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1,326,770</w:t>
            </w:r>
          </w:p>
        </w:tc>
      </w:tr>
      <w:tr w:rsidR="008B409B" w14:paraId="79614C5D" w14:textId="77777777" w:rsidTr="008B409B">
        <w:tc>
          <w:tcPr>
            <w:tcW w:w="3398" w:type="pct"/>
            <w:tcBorders>
              <w:top w:val="nil"/>
              <w:left w:val="nil"/>
              <w:bottom w:val="nil"/>
              <w:right w:val="nil"/>
              <w:tl2br w:val="nil"/>
              <w:tr2bl w:val="nil"/>
            </w:tcBorders>
            <w:shd w:val="solid" w:color="FFFFFF" w:fill="FFFFFF"/>
            <w:vAlign w:val="bottom"/>
          </w:tcPr>
          <w:p w14:paraId="630E813A"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TOTAL LIABILITIES AND EQUITY</w:t>
            </w:r>
          </w:p>
        </w:tc>
        <w:tc>
          <w:tcPr>
            <w:tcW w:w="137" w:type="pct"/>
            <w:tcBorders>
              <w:top w:val="nil"/>
              <w:left w:val="nil"/>
              <w:bottom w:val="nil"/>
              <w:right w:val="nil"/>
              <w:tl2br w:val="nil"/>
              <w:tr2bl w:val="nil"/>
            </w:tcBorders>
            <w:shd w:val="solid" w:color="FFFFFF" w:fill="FFFFFF"/>
            <w:noWrap/>
            <w:vAlign w:val="bottom"/>
          </w:tcPr>
          <w:p w14:paraId="3E806EE1"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double" w:sz="4" w:space="0" w:color="000000"/>
              <w:right w:val="nil"/>
              <w:tl2br w:val="nil"/>
              <w:tr2bl w:val="nil"/>
            </w:tcBorders>
            <w:shd w:val="solid" w:color="FFFFFF" w:fill="FFFFFF"/>
            <w:noWrap/>
            <w:vAlign w:val="bottom"/>
          </w:tcPr>
          <w:p w14:paraId="602A7B4A"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w:t>
            </w:r>
          </w:p>
        </w:tc>
        <w:tc>
          <w:tcPr>
            <w:tcW w:w="575" w:type="pct"/>
            <w:tcBorders>
              <w:top w:val="nil"/>
              <w:left w:val="nil"/>
              <w:bottom w:val="double" w:sz="4" w:space="0" w:color="000000"/>
              <w:right w:val="nil"/>
              <w:tl2br w:val="nil"/>
              <w:tr2bl w:val="nil"/>
            </w:tcBorders>
            <w:shd w:val="solid" w:color="FFFFFF" w:fill="FFFFFF"/>
            <w:noWrap/>
            <w:vAlign w:val="bottom"/>
          </w:tcPr>
          <w:p w14:paraId="58C89FA5" w14:textId="77777777"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4,866,754</w:t>
            </w:r>
          </w:p>
        </w:tc>
        <w:tc>
          <w:tcPr>
            <w:tcW w:w="137" w:type="pct"/>
            <w:tcBorders>
              <w:top w:val="nil"/>
              <w:left w:val="nil"/>
              <w:bottom w:val="nil"/>
              <w:right w:val="nil"/>
              <w:tl2br w:val="nil"/>
              <w:tr2bl w:val="nil"/>
            </w:tcBorders>
            <w:shd w:val="solid" w:color="FFFFFF" w:fill="FFFFFF"/>
            <w:noWrap/>
            <w:vAlign w:val="bottom"/>
          </w:tcPr>
          <w:p w14:paraId="23A16E03" w14:textId="77777777" w:rsidR="008B409B" w:rsidRDefault="008B409B" w:rsidP="008B409B">
            <w:pPr>
              <w:spacing w:after="1"/>
              <w:rPr>
                <w:rFonts w:ascii="Calibri" w:eastAsia="Calibri" w:hAnsi="Calibri" w:cs="Calibri"/>
                <w:color w:val="000000"/>
                <w:sz w:val="20"/>
              </w:rPr>
            </w:pPr>
          </w:p>
        </w:tc>
        <w:tc>
          <w:tcPr>
            <w:tcW w:w="88" w:type="pct"/>
            <w:tcBorders>
              <w:top w:val="nil"/>
              <w:left w:val="nil"/>
              <w:bottom w:val="double" w:sz="4" w:space="0" w:color="000000"/>
              <w:right w:val="nil"/>
              <w:tl2br w:val="nil"/>
              <w:tr2bl w:val="nil"/>
            </w:tcBorders>
            <w:shd w:val="solid" w:color="FFFFFF" w:fill="FFFFFF"/>
            <w:noWrap/>
            <w:vAlign w:val="bottom"/>
          </w:tcPr>
          <w:p w14:paraId="0306203E" w14:textId="77777777" w:rsidR="008B409B" w:rsidRDefault="008B409B" w:rsidP="008B409B">
            <w:pPr>
              <w:spacing w:after="1"/>
              <w:rPr>
                <w:rFonts w:ascii="Calibri" w:eastAsia="Calibri" w:hAnsi="Calibri" w:cs="Calibri"/>
                <w:color w:val="000000"/>
                <w:sz w:val="20"/>
              </w:rPr>
            </w:pPr>
            <w:r>
              <w:rPr>
                <w:rFonts w:ascii="Calibri" w:eastAsia="Calibri" w:hAnsi="Calibri" w:cs="Calibri"/>
                <w:color w:val="000000"/>
                <w:sz w:val="20"/>
              </w:rPr>
              <w:t>$</w:t>
            </w:r>
          </w:p>
        </w:tc>
        <w:tc>
          <w:tcPr>
            <w:tcW w:w="575" w:type="pct"/>
            <w:tcBorders>
              <w:top w:val="nil"/>
              <w:left w:val="nil"/>
              <w:bottom w:val="double" w:sz="4" w:space="0" w:color="000000"/>
              <w:right w:val="nil"/>
              <w:tl2br w:val="nil"/>
              <w:tr2bl w:val="nil"/>
            </w:tcBorders>
            <w:shd w:val="solid" w:color="FFFFFF" w:fill="FFFFFF"/>
            <w:noWrap/>
            <w:vAlign w:val="bottom"/>
          </w:tcPr>
          <w:p w14:paraId="1D0F9203" w14:textId="6491CD45" w:rsidR="008B409B" w:rsidRDefault="008B409B" w:rsidP="008B409B">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5,025,</w:t>
            </w:r>
            <w:r w:rsidR="007D59B2">
              <w:rPr>
                <w:rFonts w:ascii="Calibri" w:eastAsia="Calibri" w:hAnsi="Calibri" w:cs="Calibri"/>
                <w:color w:val="000000"/>
                <w:sz w:val="20"/>
              </w:rPr>
              <w:t>730</w:t>
            </w:r>
          </w:p>
        </w:tc>
      </w:tr>
      <w:tr w:rsidR="008B409B" w14:paraId="0C475E49" w14:textId="77777777" w:rsidTr="008B409B">
        <w:tc>
          <w:tcPr>
            <w:tcW w:w="3398" w:type="pct"/>
            <w:tcBorders>
              <w:top w:val="nil"/>
              <w:left w:val="nil"/>
              <w:bottom w:val="nil"/>
              <w:right w:val="nil"/>
              <w:tl2br w:val="nil"/>
              <w:tr2bl w:val="nil"/>
            </w:tcBorders>
            <w:shd w:val="solid" w:color="FFFFFF" w:fill="FFFFFF"/>
            <w:noWrap/>
            <w:vAlign w:val="bottom"/>
          </w:tcPr>
          <w:p w14:paraId="24BB835F" w14:textId="77777777" w:rsidR="008B409B" w:rsidRDefault="008B409B" w:rsidP="008B409B">
            <w:pPr>
              <w:spacing w:after="1"/>
              <w:rPr>
                <w:rFonts w:ascii="Calibri" w:eastAsia="Calibri" w:hAnsi="Calibri" w:cs="Calibri"/>
                <w:color w:val="000000"/>
              </w:rPr>
            </w:pPr>
          </w:p>
        </w:tc>
        <w:tc>
          <w:tcPr>
            <w:tcW w:w="137" w:type="pct"/>
            <w:tcBorders>
              <w:top w:val="nil"/>
              <w:left w:val="nil"/>
              <w:bottom w:val="nil"/>
              <w:right w:val="nil"/>
              <w:tl2br w:val="nil"/>
              <w:tr2bl w:val="nil"/>
            </w:tcBorders>
            <w:shd w:val="solid" w:color="FFFFFF" w:fill="FFFFFF"/>
            <w:noWrap/>
            <w:vAlign w:val="bottom"/>
          </w:tcPr>
          <w:p w14:paraId="48ABA974" w14:textId="77777777" w:rsidR="008B409B" w:rsidRDefault="008B409B" w:rsidP="008B409B">
            <w:pPr>
              <w:spacing w:after="1"/>
              <w:rPr>
                <w:rFonts w:ascii="Calibri" w:eastAsia="Calibri" w:hAnsi="Calibri" w:cs="Calibri"/>
                <w:color w:val="000000"/>
              </w:rPr>
            </w:pPr>
          </w:p>
        </w:tc>
        <w:tc>
          <w:tcPr>
            <w:tcW w:w="88" w:type="pct"/>
            <w:tcBorders>
              <w:top w:val="nil"/>
              <w:left w:val="nil"/>
              <w:bottom w:val="nil"/>
              <w:right w:val="nil"/>
              <w:tl2br w:val="nil"/>
              <w:tr2bl w:val="nil"/>
            </w:tcBorders>
            <w:shd w:val="solid" w:color="FFFFFF" w:fill="FFFFFF"/>
            <w:noWrap/>
            <w:vAlign w:val="bottom"/>
          </w:tcPr>
          <w:p w14:paraId="7C90AE17" w14:textId="77777777" w:rsidR="008B409B" w:rsidRDefault="008B409B" w:rsidP="008B409B">
            <w:pPr>
              <w:spacing w:after="1"/>
              <w:rPr>
                <w:rFonts w:ascii="Calibri" w:eastAsia="Calibri" w:hAnsi="Calibri" w:cs="Calibri"/>
                <w:color w:val="000000"/>
              </w:rPr>
            </w:pPr>
          </w:p>
        </w:tc>
        <w:tc>
          <w:tcPr>
            <w:tcW w:w="575" w:type="pct"/>
            <w:tcBorders>
              <w:top w:val="nil"/>
              <w:left w:val="nil"/>
              <w:bottom w:val="nil"/>
              <w:right w:val="nil"/>
              <w:tl2br w:val="nil"/>
              <w:tr2bl w:val="nil"/>
            </w:tcBorders>
            <w:shd w:val="solid" w:color="FFFFFF" w:fill="FFFFFF"/>
            <w:noWrap/>
            <w:vAlign w:val="bottom"/>
          </w:tcPr>
          <w:p w14:paraId="55739839" w14:textId="77777777" w:rsidR="008B409B" w:rsidRDefault="008B409B" w:rsidP="008B409B">
            <w:pPr>
              <w:spacing w:after="1"/>
              <w:rPr>
                <w:rFonts w:ascii="Calibri" w:eastAsia="Calibri" w:hAnsi="Calibri" w:cs="Calibri"/>
                <w:color w:val="000000"/>
              </w:rPr>
            </w:pPr>
          </w:p>
        </w:tc>
        <w:tc>
          <w:tcPr>
            <w:tcW w:w="137" w:type="pct"/>
            <w:tcBorders>
              <w:top w:val="nil"/>
              <w:left w:val="nil"/>
              <w:bottom w:val="nil"/>
              <w:right w:val="nil"/>
              <w:tl2br w:val="nil"/>
              <w:tr2bl w:val="nil"/>
            </w:tcBorders>
            <w:shd w:val="solid" w:color="FFFFFF" w:fill="FFFFFF"/>
            <w:noWrap/>
            <w:vAlign w:val="bottom"/>
          </w:tcPr>
          <w:p w14:paraId="4EA3A3E3" w14:textId="77777777" w:rsidR="008B409B" w:rsidRDefault="008B409B" w:rsidP="008B409B">
            <w:pPr>
              <w:spacing w:after="1"/>
              <w:rPr>
                <w:rFonts w:ascii="Calibri" w:eastAsia="Calibri" w:hAnsi="Calibri" w:cs="Calibri"/>
                <w:color w:val="000000"/>
              </w:rPr>
            </w:pPr>
          </w:p>
        </w:tc>
        <w:tc>
          <w:tcPr>
            <w:tcW w:w="88" w:type="pct"/>
            <w:tcBorders>
              <w:top w:val="nil"/>
              <w:left w:val="nil"/>
              <w:bottom w:val="nil"/>
              <w:right w:val="nil"/>
              <w:tl2br w:val="nil"/>
              <w:tr2bl w:val="nil"/>
            </w:tcBorders>
            <w:shd w:val="solid" w:color="FFFFFF" w:fill="FFFFFF"/>
            <w:noWrap/>
            <w:vAlign w:val="bottom"/>
          </w:tcPr>
          <w:p w14:paraId="76D32BDB" w14:textId="77777777" w:rsidR="008B409B" w:rsidRDefault="008B409B" w:rsidP="008B409B">
            <w:pPr>
              <w:spacing w:after="1"/>
              <w:rPr>
                <w:rFonts w:ascii="Calibri" w:eastAsia="Calibri" w:hAnsi="Calibri" w:cs="Calibri"/>
                <w:color w:val="000000"/>
              </w:rPr>
            </w:pPr>
          </w:p>
        </w:tc>
        <w:tc>
          <w:tcPr>
            <w:tcW w:w="575" w:type="pct"/>
            <w:tcBorders>
              <w:top w:val="nil"/>
              <w:left w:val="nil"/>
              <w:bottom w:val="nil"/>
              <w:right w:val="nil"/>
              <w:tl2br w:val="nil"/>
              <w:tr2bl w:val="nil"/>
            </w:tcBorders>
            <w:shd w:val="solid" w:color="FFFFFF" w:fill="FFFFFF"/>
            <w:noWrap/>
            <w:vAlign w:val="bottom"/>
          </w:tcPr>
          <w:p w14:paraId="1E465C15" w14:textId="77777777" w:rsidR="008B409B" w:rsidRDefault="008B409B" w:rsidP="008B409B">
            <w:pPr>
              <w:spacing w:after="1"/>
              <w:rPr>
                <w:rFonts w:ascii="Calibri" w:eastAsia="Calibri" w:hAnsi="Calibri" w:cs="Calibri"/>
                <w:color w:val="000000"/>
              </w:rPr>
            </w:pPr>
          </w:p>
        </w:tc>
      </w:tr>
    </w:tbl>
    <w:p w14:paraId="28F8C307" w14:textId="77777777" w:rsidR="00AB067C" w:rsidRPr="006F2C93" w:rsidRDefault="00AB067C" w:rsidP="005E65E6">
      <w:pPr>
        <w:spacing w:after="0" w:line="240" w:lineRule="auto"/>
        <w:contextualSpacing/>
        <w:rPr>
          <w:rFonts w:cstheme="minorHAnsi"/>
        </w:rPr>
      </w:pPr>
      <w:r w:rsidRPr="006F2C93">
        <w:rPr>
          <w:rFonts w:cstheme="minorHAnsi"/>
        </w:rPr>
        <w:br w:type="page"/>
      </w:r>
    </w:p>
    <w:p w14:paraId="6A5EB955" w14:textId="77777777" w:rsidR="00536C41" w:rsidRDefault="00536C41" w:rsidP="005E65E6">
      <w:pPr>
        <w:spacing w:after="0" w:line="240" w:lineRule="auto"/>
        <w:contextualSpacing/>
        <w:jc w:val="center"/>
        <w:rPr>
          <w:rFonts w:cstheme="minorHAnsi"/>
          <w:b/>
        </w:rPr>
      </w:pPr>
      <w:r>
        <w:rPr>
          <w:rFonts w:cstheme="minorHAnsi"/>
          <w:b/>
        </w:rPr>
        <w:lastRenderedPageBreak/>
        <w:t>FOCUS FINANCIAL PARTNERS INC.</w:t>
      </w:r>
    </w:p>
    <w:p w14:paraId="4EF8F142" w14:textId="77777777" w:rsidR="00536C41" w:rsidRDefault="005E65E6" w:rsidP="005E65E6">
      <w:pPr>
        <w:spacing w:after="0" w:line="240" w:lineRule="auto"/>
        <w:contextualSpacing/>
        <w:jc w:val="center"/>
        <w:rPr>
          <w:rFonts w:cstheme="minorHAnsi"/>
          <w:b/>
        </w:rPr>
      </w:pPr>
      <w:r>
        <w:rPr>
          <w:rFonts w:cstheme="minorHAnsi"/>
          <w:b/>
        </w:rPr>
        <w:t xml:space="preserve">Unaudited </w:t>
      </w:r>
      <w:r w:rsidR="000E4CFD">
        <w:rPr>
          <w:rFonts w:cstheme="minorHAnsi"/>
          <w:b/>
        </w:rPr>
        <w:t>C</w:t>
      </w:r>
      <w:r w:rsidR="00536C41">
        <w:rPr>
          <w:rFonts w:cstheme="minorHAnsi"/>
          <w:b/>
        </w:rPr>
        <w:t xml:space="preserve">ondensed </w:t>
      </w:r>
      <w:r w:rsidR="00371281">
        <w:rPr>
          <w:rFonts w:cstheme="minorHAnsi"/>
          <w:b/>
        </w:rPr>
        <w:t>C</w:t>
      </w:r>
      <w:r w:rsidR="00536C41">
        <w:rPr>
          <w:rFonts w:cstheme="minorHAnsi"/>
          <w:b/>
        </w:rPr>
        <w:t xml:space="preserve">onsolidated </w:t>
      </w:r>
      <w:r w:rsidR="00371281">
        <w:rPr>
          <w:rFonts w:cstheme="minorHAnsi"/>
          <w:b/>
        </w:rPr>
        <w:t>S</w:t>
      </w:r>
      <w:r w:rsidR="00536C41">
        <w:rPr>
          <w:rFonts w:cstheme="minorHAnsi"/>
          <w:b/>
        </w:rPr>
        <w:t xml:space="preserve">tatements of </w:t>
      </w:r>
      <w:r w:rsidR="00371281">
        <w:rPr>
          <w:rFonts w:cstheme="minorHAnsi"/>
          <w:b/>
        </w:rPr>
        <w:t>C</w:t>
      </w:r>
      <w:r w:rsidR="00536C41">
        <w:rPr>
          <w:rFonts w:cstheme="minorHAnsi"/>
          <w:b/>
        </w:rPr>
        <w:t xml:space="preserve">ash </w:t>
      </w:r>
      <w:r w:rsidR="00371281">
        <w:rPr>
          <w:rFonts w:cstheme="minorHAnsi"/>
          <w:b/>
        </w:rPr>
        <w:t>F</w:t>
      </w:r>
      <w:r w:rsidR="00536C41">
        <w:rPr>
          <w:rFonts w:cstheme="minorHAnsi"/>
          <w:b/>
        </w:rPr>
        <w:t>lows</w:t>
      </w:r>
    </w:p>
    <w:p w14:paraId="3F4C42B9" w14:textId="77777777" w:rsidR="00536C41" w:rsidRDefault="00536C41" w:rsidP="005E65E6">
      <w:pPr>
        <w:spacing w:after="0" w:line="240" w:lineRule="auto"/>
        <w:contextualSpacing/>
        <w:jc w:val="center"/>
        <w:rPr>
          <w:rFonts w:cstheme="minorHAnsi"/>
          <w:b/>
        </w:rPr>
      </w:pPr>
      <w:r>
        <w:rPr>
          <w:rFonts w:cstheme="minorHAnsi"/>
          <w:b/>
        </w:rPr>
        <w:t>(</w:t>
      </w:r>
      <w:proofErr w:type="gramStart"/>
      <w:r>
        <w:rPr>
          <w:rFonts w:cstheme="minorHAnsi"/>
          <w:b/>
        </w:rPr>
        <w:t>in</w:t>
      </w:r>
      <w:proofErr w:type="gramEnd"/>
      <w:r>
        <w:rPr>
          <w:rFonts w:cstheme="minorHAnsi"/>
          <w:b/>
        </w:rPr>
        <w:t xml:space="preserve"> thousands)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52"/>
        <w:gridCol w:w="264"/>
        <w:gridCol w:w="170"/>
        <w:gridCol w:w="919"/>
        <w:gridCol w:w="264"/>
        <w:gridCol w:w="170"/>
        <w:gridCol w:w="921"/>
      </w:tblGrid>
      <w:tr w:rsidR="006E442A" w14:paraId="6F047A9B" w14:textId="77777777" w:rsidTr="006E442A">
        <w:trPr>
          <w:trHeight w:hRule="exact" w:val="20"/>
        </w:trPr>
        <w:tc>
          <w:tcPr>
            <w:tcW w:w="3553" w:type="pct"/>
            <w:tcBorders>
              <w:top w:val="nil"/>
              <w:left w:val="nil"/>
              <w:bottom w:val="nil"/>
              <w:right w:val="nil"/>
            </w:tcBorders>
            <w:vAlign w:val="bottom"/>
          </w:tcPr>
          <w:p w14:paraId="6BA89390" w14:textId="77777777" w:rsidR="006E442A" w:rsidRDefault="006E442A" w:rsidP="006E442A">
            <w:pPr>
              <w:keepNext/>
              <w:spacing w:after="1"/>
              <w:rPr>
                <w:sz w:val="2"/>
              </w:rPr>
            </w:pPr>
          </w:p>
        </w:tc>
        <w:tc>
          <w:tcPr>
            <w:tcW w:w="141" w:type="pct"/>
            <w:tcBorders>
              <w:top w:val="nil"/>
              <w:left w:val="nil"/>
              <w:bottom w:val="nil"/>
              <w:right w:val="nil"/>
            </w:tcBorders>
            <w:noWrap/>
            <w:vAlign w:val="bottom"/>
          </w:tcPr>
          <w:p w14:paraId="3D31EBC8" w14:textId="77777777" w:rsidR="006E442A" w:rsidRDefault="006E442A" w:rsidP="006E442A">
            <w:pPr>
              <w:keepNext/>
              <w:spacing w:after="1"/>
              <w:rPr>
                <w:sz w:val="2"/>
              </w:rPr>
            </w:pPr>
          </w:p>
        </w:tc>
        <w:tc>
          <w:tcPr>
            <w:tcW w:w="91" w:type="pct"/>
            <w:tcBorders>
              <w:top w:val="nil"/>
              <w:left w:val="nil"/>
              <w:bottom w:val="nil"/>
              <w:right w:val="nil"/>
            </w:tcBorders>
            <w:noWrap/>
            <w:vAlign w:val="bottom"/>
          </w:tcPr>
          <w:p w14:paraId="3F2F23DC" w14:textId="77777777" w:rsidR="006E442A" w:rsidRDefault="006E442A" w:rsidP="006E442A">
            <w:pPr>
              <w:keepNext/>
              <w:spacing w:after="1"/>
              <w:rPr>
                <w:sz w:val="2"/>
              </w:rPr>
            </w:pPr>
          </w:p>
        </w:tc>
        <w:tc>
          <w:tcPr>
            <w:tcW w:w="491" w:type="pct"/>
            <w:tcBorders>
              <w:top w:val="nil"/>
              <w:left w:val="nil"/>
              <w:bottom w:val="nil"/>
              <w:right w:val="nil"/>
            </w:tcBorders>
            <w:noWrap/>
            <w:vAlign w:val="bottom"/>
          </w:tcPr>
          <w:p w14:paraId="0E7F7E59" w14:textId="77777777" w:rsidR="006E442A" w:rsidRDefault="006E442A" w:rsidP="006E442A">
            <w:pPr>
              <w:keepNext/>
              <w:spacing w:after="1"/>
              <w:rPr>
                <w:sz w:val="2"/>
              </w:rPr>
            </w:pPr>
          </w:p>
        </w:tc>
        <w:tc>
          <w:tcPr>
            <w:tcW w:w="141" w:type="pct"/>
            <w:tcBorders>
              <w:top w:val="nil"/>
              <w:left w:val="nil"/>
              <w:bottom w:val="nil"/>
              <w:right w:val="nil"/>
            </w:tcBorders>
            <w:noWrap/>
            <w:vAlign w:val="bottom"/>
          </w:tcPr>
          <w:p w14:paraId="4C1EE47D" w14:textId="77777777" w:rsidR="006E442A" w:rsidRDefault="006E442A" w:rsidP="006E442A">
            <w:pPr>
              <w:keepNext/>
              <w:spacing w:after="1"/>
              <w:rPr>
                <w:sz w:val="2"/>
              </w:rPr>
            </w:pPr>
          </w:p>
        </w:tc>
        <w:tc>
          <w:tcPr>
            <w:tcW w:w="91" w:type="pct"/>
            <w:tcBorders>
              <w:top w:val="nil"/>
              <w:left w:val="nil"/>
              <w:bottom w:val="nil"/>
              <w:right w:val="nil"/>
            </w:tcBorders>
            <w:noWrap/>
            <w:vAlign w:val="bottom"/>
          </w:tcPr>
          <w:p w14:paraId="5830662D" w14:textId="77777777" w:rsidR="006E442A" w:rsidRDefault="006E442A" w:rsidP="006E442A">
            <w:pPr>
              <w:keepNext/>
              <w:spacing w:after="1"/>
              <w:rPr>
                <w:sz w:val="2"/>
              </w:rPr>
            </w:pPr>
          </w:p>
        </w:tc>
        <w:tc>
          <w:tcPr>
            <w:tcW w:w="491" w:type="pct"/>
            <w:tcBorders>
              <w:top w:val="nil"/>
              <w:left w:val="nil"/>
              <w:bottom w:val="nil"/>
              <w:right w:val="nil"/>
            </w:tcBorders>
            <w:noWrap/>
            <w:vAlign w:val="bottom"/>
          </w:tcPr>
          <w:p w14:paraId="53CCB339" w14:textId="77777777" w:rsidR="006E442A" w:rsidRDefault="006E442A" w:rsidP="006E442A">
            <w:pPr>
              <w:keepNext/>
              <w:spacing w:after="1"/>
              <w:rPr>
                <w:sz w:val="2"/>
              </w:rPr>
            </w:pPr>
          </w:p>
        </w:tc>
      </w:tr>
      <w:tr w:rsidR="006E442A" w14:paraId="0444F30F" w14:textId="77777777" w:rsidTr="006E442A">
        <w:tc>
          <w:tcPr>
            <w:tcW w:w="3553" w:type="pct"/>
            <w:tcBorders>
              <w:top w:val="nil"/>
              <w:left w:val="nil"/>
              <w:bottom w:val="nil"/>
              <w:right w:val="nil"/>
              <w:tl2br w:val="nil"/>
              <w:tr2bl w:val="nil"/>
            </w:tcBorders>
            <w:shd w:val="solid" w:color="FFFFFF" w:fill="FFFFFF"/>
            <w:vAlign w:val="bottom"/>
          </w:tcPr>
          <w:p w14:paraId="19E0718A" w14:textId="77777777" w:rsidR="006E442A" w:rsidRDefault="006E442A" w:rsidP="006E442A">
            <w:pPr>
              <w:spacing w:after="1"/>
              <w:rPr>
                <w:rFonts w:ascii="Calibri" w:eastAsia="Calibri" w:hAnsi="Calibri" w:cs="Calibri"/>
                <w:b/>
                <w:color w:val="000000"/>
                <w:sz w:val="19"/>
              </w:rPr>
            </w:pPr>
          </w:p>
        </w:tc>
        <w:tc>
          <w:tcPr>
            <w:tcW w:w="141" w:type="pct"/>
            <w:tcBorders>
              <w:top w:val="nil"/>
              <w:left w:val="nil"/>
              <w:bottom w:val="nil"/>
              <w:right w:val="nil"/>
              <w:tl2br w:val="nil"/>
              <w:tr2bl w:val="nil"/>
            </w:tcBorders>
            <w:shd w:val="solid" w:color="FFFFFF" w:fill="FFFFFF"/>
            <w:noWrap/>
            <w:vAlign w:val="bottom"/>
          </w:tcPr>
          <w:p w14:paraId="52707DE5" w14:textId="77777777" w:rsidR="006E442A" w:rsidRDefault="006E442A" w:rsidP="006E442A">
            <w:pPr>
              <w:spacing w:after="1"/>
              <w:rPr>
                <w:rFonts w:ascii="Calibri" w:eastAsia="Calibri" w:hAnsi="Calibri" w:cs="Calibri"/>
                <w:color w:val="000000"/>
                <w:sz w:val="19"/>
              </w:rPr>
            </w:pPr>
          </w:p>
        </w:tc>
        <w:tc>
          <w:tcPr>
            <w:tcW w:w="1306" w:type="pct"/>
            <w:gridSpan w:val="5"/>
            <w:tcBorders>
              <w:top w:val="nil"/>
              <w:left w:val="nil"/>
              <w:bottom w:val="nil"/>
              <w:right w:val="nil"/>
              <w:tl2br w:val="nil"/>
              <w:tr2bl w:val="nil"/>
            </w:tcBorders>
            <w:shd w:val="solid" w:color="FFFFFF" w:fill="FFFFFF"/>
            <w:noWrap/>
            <w:vAlign w:val="bottom"/>
          </w:tcPr>
          <w:p w14:paraId="409A8DF6" w14:textId="77777777" w:rsidR="006E442A" w:rsidRDefault="006E442A" w:rsidP="006E442A">
            <w:pPr>
              <w:spacing w:after="1"/>
              <w:jc w:val="center"/>
              <w:rPr>
                <w:rFonts w:ascii="Calibri" w:eastAsia="Calibri" w:hAnsi="Calibri" w:cs="Calibri"/>
                <w:b/>
                <w:color w:val="000000"/>
                <w:sz w:val="19"/>
              </w:rPr>
            </w:pPr>
            <w:r>
              <w:rPr>
                <w:rFonts w:ascii="Calibri" w:eastAsia="Calibri" w:hAnsi="Calibri" w:cs="Calibri"/>
                <w:b/>
                <w:color w:val="000000"/>
                <w:sz w:val="19"/>
              </w:rPr>
              <w:t xml:space="preserve"> For the three months ended </w:t>
            </w:r>
          </w:p>
        </w:tc>
      </w:tr>
      <w:tr w:rsidR="006E442A" w14:paraId="6E41B4FD" w14:textId="77777777" w:rsidTr="006E442A">
        <w:tc>
          <w:tcPr>
            <w:tcW w:w="3553" w:type="pct"/>
            <w:tcBorders>
              <w:top w:val="nil"/>
              <w:left w:val="nil"/>
              <w:bottom w:val="nil"/>
              <w:right w:val="nil"/>
              <w:tl2br w:val="nil"/>
              <w:tr2bl w:val="nil"/>
            </w:tcBorders>
            <w:shd w:val="solid" w:color="FFFFFF" w:fill="FFFFFF"/>
            <w:vAlign w:val="bottom"/>
          </w:tcPr>
          <w:p w14:paraId="642D2E02" w14:textId="77777777" w:rsidR="006E442A" w:rsidRDefault="006E442A" w:rsidP="006E442A">
            <w:pPr>
              <w:spacing w:after="1"/>
              <w:rPr>
                <w:rFonts w:ascii="Calibri" w:eastAsia="Calibri" w:hAnsi="Calibri" w:cs="Calibri"/>
                <w:b/>
                <w:color w:val="000000"/>
                <w:sz w:val="19"/>
              </w:rPr>
            </w:pPr>
          </w:p>
        </w:tc>
        <w:tc>
          <w:tcPr>
            <w:tcW w:w="141" w:type="pct"/>
            <w:tcBorders>
              <w:top w:val="nil"/>
              <w:left w:val="nil"/>
              <w:bottom w:val="nil"/>
              <w:right w:val="nil"/>
              <w:tl2br w:val="nil"/>
              <w:tr2bl w:val="nil"/>
            </w:tcBorders>
            <w:shd w:val="solid" w:color="FFFFFF" w:fill="FFFFFF"/>
            <w:noWrap/>
            <w:vAlign w:val="bottom"/>
          </w:tcPr>
          <w:p w14:paraId="344AFF55" w14:textId="77777777" w:rsidR="006E442A" w:rsidRDefault="006E442A" w:rsidP="006E442A">
            <w:pPr>
              <w:spacing w:after="1"/>
              <w:rPr>
                <w:rFonts w:ascii="Calibri" w:eastAsia="Calibri" w:hAnsi="Calibri" w:cs="Calibri"/>
                <w:color w:val="000000"/>
                <w:sz w:val="19"/>
              </w:rPr>
            </w:pPr>
          </w:p>
        </w:tc>
        <w:tc>
          <w:tcPr>
            <w:tcW w:w="1306" w:type="pct"/>
            <w:gridSpan w:val="5"/>
            <w:tcBorders>
              <w:top w:val="nil"/>
              <w:left w:val="nil"/>
              <w:bottom w:val="single" w:sz="4" w:space="0" w:color="000000"/>
              <w:right w:val="nil"/>
              <w:tl2br w:val="nil"/>
              <w:tr2bl w:val="nil"/>
            </w:tcBorders>
            <w:shd w:val="solid" w:color="FFFFFF" w:fill="FFFFFF"/>
            <w:noWrap/>
            <w:vAlign w:val="bottom"/>
          </w:tcPr>
          <w:p w14:paraId="3C323C57" w14:textId="77777777" w:rsidR="006E442A" w:rsidRDefault="006E442A" w:rsidP="006E442A">
            <w:pPr>
              <w:spacing w:after="1"/>
              <w:jc w:val="center"/>
              <w:rPr>
                <w:rFonts w:ascii="Calibri" w:eastAsia="Calibri" w:hAnsi="Calibri" w:cs="Calibri"/>
                <w:b/>
                <w:color w:val="000000"/>
                <w:sz w:val="19"/>
              </w:rPr>
            </w:pPr>
            <w:r>
              <w:rPr>
                <w:rFonts w:ascii="Calibri" w:eastAsia="Calibri" w:hAnsi="Calibri" w:cs="Calibri"/>
                <w:b/>
                <w:color w:val="000000"/>
                <w:sz w:val="19"/>
              </w:rPr>
              <w:t>March 31, </w:t>
            </w:r>
          </w:p>
        </w:tc>
      </w:tr>
      <w:tr w:rsidR="006E442A" w14:paraId="610355CE" w14:textId="77777777" w:rsidTr="006E442A">
        <w:tc>
          <w:tcPr>
            <w:tcW w:w="3553" w:type="pct"/>
            <w:tcBorders>
              <w:top w:val="nil"/>
              <w:left w:val="nil"/>
              <w:bottom w:val="nil"/>
              <w:right w:val="nil"/>
              <w:tl2br w:val="nil"/>
              <w:tr2bl w:val="nil"/>
            </w:tcBorders>
            <w:shd w:val="solid" w:color="FFFFFF" w:fill="FFFFFF"/>
            <w:vAlign w:val="bottom"/>
          </w:tcPr>
          <w:p w14:paraId="69C93083" w14:textId="77777777" w:rsidR="006E442A" w:rsidRDefault="006E442A" w:rsidP="006E442A">
            <w:pPr>
              <w:spacing w:after="1"/>
              <w:rPr>
                <w:rFonts w:ascii="Calibri" w:eastAsia="Calibri" w:hAnsi="Calibri" w:cs="Calibri"/>
                <w:b/>
                <w:color w:val="000000"/>
                <w:sz w:val="19"/>
              </w:rPr>
            </w:pPr>
          </w:p>
        </w:tc>
        <w:tc>
          <w:tcPr>
            <w:tcW w:w="141" w:type="pct"/>
            <w:tcBorders>
              <w:top w:val="nil"/>
              <w:left w:val="nil"/>
              <w:bottom w:val="nil"/>
              <w:right w:val="nil"/>
              <w:tl2br w:val="nil"/>
              <w:tr2bl w:val="nil"/>
            </w:tcBorders>
            <w:shd w:val="solid" w:color="FFFFFF" w:fill="FFFFFF"/>
            <w:noWrap/>
            <w:vAlign w:val="bottom"/>
          </w:tcPr>
          <w:p w14:paraId="6657134A" w14:textId="77777777" w:rsidR="006E442A" w:rsidRDefault="006E442A" w:rsidP="006E442A">
            <w:pPr>
              <w:spacing w:after="1"/>
              <w:rPr>
                <w:rFonts w:ascii="Calibri" w:eastAsia="Calibri" w:hAnsi="Calibri" w:cs="Calibri"/>
                <w:b/>
                <w:color w:val="000000"/>
                <w:sz w:val="19"/>
              </w:rPr>
            </w:pPr>
            <w:r>
              <w:rPr>
                <w:rFonts w:ascii="Calibri" w:eastAsia="Calibri" w:hAnsi="Calibri" w:cs="Calibri"/>
                <w:b/>
                <w:color w:val="000000"/>
                <w:sz w:val="19"/>
              </w:rPr>
              <w:t>    </w:t>
            </w:r>
          </w:p>
        </w:tc>
        <w:tc>
          <w:tcPr>
            <w:tcW w:w="582" w:type="pct"/>
            <w:gridSpan w:val="2"/>
            <w:tcBorders>
              <w:top w:val="nil"/>
              <w:left w:val="nil"/>
              <w:bottom w:val="single" w:sz="4" w:space="0" w:color="000000"/>
              <w:right w:val="nil"/>
              <w:tl2br w:val="nil"/>
              <w:tr2bl w:val="nil"/>
            </w:tcBorders>
            <w:shd w:val="solid" w:color="FFFFFF" w:fill="FFFFFF"/>
            <w:noWrap/>
            <w:vAlign w:val="bottom"/>
          </w:tcPr>
          <w:p w14:paraId="358BE7D5" w14:textId="77777777" w:rsidR="006E442A" w:rsidRDefault="006E442A" w:rsidP="006E442A">
            <w:pPr>
              <w:spacing w:after="1"/>
              <w:jc w:val="center"/>
              <w:rPr>
                <w:rFonts w:ascii="Calibri" w:eastAsia="Calibri" w:hAnsi="Calibri" w:cs="Calibri"/>
                <w:b/>
                <w:color w:val="000000"/>
                <w:sz w:val="19"/>
              </w:rPr>
            </w:pPr>
            <w:r>
              <w:rPr>
                <w:rFonts w:ascii="Calibri" w:eastAsia="Calibri" w:hAnsi="Calibri" w:cs="Calibri"/>
                <w:b/>
                <w:color w:val="000000"/>
                <w:sz w:val="19"/>
              </w:rPr>
              <w:t>2022</w:t>
            </w:r>
          </w:p>
        </w:tc>
        <w:tc>
          <w:tcPr>
            <w:tcW w:w="141" w:type="pct"/>
            <w:tcBorders>
              <w:top w:val="nil"/>
              <w:left w:val="nil"/>
              <w:bottom w:val="nil"/>
              <w:right w:val="nil"/>
              <w:tl2br w:val="nil"/>
              <w:tr2bl w:val="nil"/>
            </w:tcBorders>
            <w:shd w:val="solid" w:color="FFFFFF" w:fill="FFFFFF"/>
            <w:noWrap/>
            <w:vAlign w:val="bottom"/>
          </w:tcPr>
          <w:p w14:paraId="5349AA13" w14:textId="77777777" w:rsidR="006E442A" w:rsidRDefault="006E442A" w:rsidP="006E442A">
            <w:pPr>
              <w:spacing w:after="1"/>
              <w:rPr>
                <w:rFonts w:ascii="Calibri" w:eastAsia="Calibri" w:hAnsi="Calibri" w:cs="Calibri"/>
                <w:b/>
                <w:color w:val="000000"/>
                <w:sz w:val="19"/>
              </w:rPr>
            </w:pPr>
            <w:r>
              <w:rPr>
                <w:rFonts w:ascii="Calibri" w:eastAsia="Calibri" w:hAnsi="Calibri" w:cs="Calibri"/>
                <w:b/>
                <w:color w:val="000000"/>
                <w:sz w:val="19"/>
              </w:rPr>
              <w:t>    </w:t>
            </w:r>
          </w:p>
        </w:tc>
        <w:tc>
          <w:tcPr>
            <w:tcW w:w="582" w:type="pct"/>
            <w:gridSpan w:val="2"/>
            <w:tcBorders>
              <w:top w:val="nil"/>
              <w:left w:val="nil"/>
              <w:bottom w:val="single" w:sz="4" w:space="0" w:color="000000"/>
              <w:right w:val="nil"/>
              <w:tl2br w:val="nil"/>
              <w:tr2bl w:val="nil"/>
            </w:tcBorders>
            <w:shd w:val="solid" w:color="FFFFFF" w:fill="FFFFFF"/>
            <w:noWrap/>
            <w:vAlign w:val="bottom"/>
          </w:tcPr>
          <w:p w14:paraId="4C0E709F" w14:textId="77777777" w:rsidR="006E442A" w:rsidRDefault="006E442A" w:rsidP="006E442A">
            <w:pPr>
              <w:spacing w:after="1"/>
              <w:jc w:val="center"/>
              <w:rPr>
                <w:rFonts w:ascii="Calibri" w:eastAsia="Calibri" w:hAnsi="Calibri" w:cs="Calibri"/>
                <w:b/>
                <w:color w:val="000000"/>
                <w:sz w:val="19"/>
              </w:rPr>
            </w:pPr>
            <w:r>
              <w:rPr>
                <w:rFonts w:ascii="Calibri" w:eastAsia="Calibri" w:hAnsi="Calibri" w:cs="Calibri"/>
                <w:b/>
                <w:color w:val="000000"/>
                <w:sz w:val="19"/>
              </w:rPr>
              <w:t>2023</w:t>
            </w:r>
          </w:p>
        </w:tc>
      </w:tr>
      <w:tr w:rsidR="006E442A" w14:paraId="6F7EEAF3" w14:textId="77777777" w:rsidTr="006E442A">
        <w:tc>
          <w:tcPr>
            <w:tcW w:w="3553" w:type="pct"/>
            <w:tcBorders>
              <w:top w:val="nil"/>
              <w:left w:val="nil"/>
              <w:bottom w:val="nil"/>
              <w:right w:val="nil"/>
              <w:tl2br w:val="nil"/>
              <w:tr2bl w:val="nil"/>
            </w:tcBorders>
            <w:shd w:val="solid" w:color="FFFFFF" w:fill="FFFFFF"/>
            <w:vAlign w:val="bottom"/>
          </w:tcPr>
          <w:p w14:paraId="57FFBC11"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CASH FLOWS FROM OPERATING ACTIVITIES:</w:t>
            </w:r>
          </w:p>
        </w:tc>
        <w:tc>
          <w:tcPr>
            <w:tcW w:w="141" w:type="pct"/>
            <w:tcBorders>
              <w:top w:val="nil"/>
              <w:left w:val="nil"/>
              <w:bottom w:val="nil"/>
              <w:right w:val="nil"/>
              <w:tl2br w:val="nil"/>
              <w:tr2bl w:val="nil"/>
            </w:tcBorders>
            <w:shd w:val="solid" w:color="FFFFFF" w:fill="FFFFFF"/>
            <w:noWrap/>
            <w:vAlign w:val="bottom"/>
          </w:tcPr>
          <w:p w14:paraId="08DEB82A"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91" w:type="pct"/>
            <w:tcBorders>
              <w:top w:val="nil"/>
              <w:left w:val="nil"/>
              <w:bottom w:val="nil"/>
              <w:right w:val="nil"/>
              <w:tl2br w:val="nil"/>
              <w:tr2bl w:val="nil"/>
            </w:tcBorders>
            <w:shd w:val="solid" w:color="FFFFFF" w:fill="FFFFFF"/>
            <w:noWrap/>
            <w:vAlign w:val="bottom"/>
          </w:tcPr>
          <w:p w14:paraId="634BCA85" w14:textId="77777777" w:rsidR="006E442A" w:rsidRDefault="006E442A" w:rsidP="006E442A">
            <w:pPr>
              <w:spacing w:after="1"/>
              <w:rPr>
                <w:rFonts w:ascii="Calibri" w:eastAsia="Calibri" w:hAnsi="Calibri" w:cs="Calibri"/>
                <w:color w:val="000000"/>
                <w:sz w:val="19"/>
              </w:rPr>
            </w:pPr>
          </w:p>
        </w:tc>
        <w:tc>
          <w:tcPr>
            <w:tcW w:w="491" w:type="pct"/>
            <w:tcBorders>
              <w:top w:val="nil"/>
              <w:left w:val="nil"/>
              <w:bottom w:val="nil"/>
              <w:right w:val="nil"/>
              <w:tl2br w:val="nil"/>
              <w:tr2bl w:val="nil"/>
            </w:tcBorders>
            <w:shd w:val="solid" w:color="FFFFFF" w:fill="FFFFFF"/>
            <w:noWrap/>
            <w:vAlign w:val="bottom"/>
          </w:tcPr>
          <w:p w14:paraId="6DA5310C"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w:t>
            </w:r>
          </w:p>
        </w:tc>
        <w:tc>
          <w:tcPr>
            <w:tcW w:w="141" w:type="pct"/>
            <w:tcBorders>
              <w:top w:val="nil"/>
              <w:left w:val="nil"/>
              <w:bottom w:val="nil"/>
              <w:right w:val="nil"/>
              <w:tl2br w:val="nil"/>
              <w:tr2bl w:val="nil"/>
            </w:tcBorders>
            <w:shd w:val="solid" w:color="FFFFFF" w:fill="FFFFFF"/>
            <w:noWrap/>
            <w:vAlign w:val="bottom"/>
          </w:tcPr>
          <w:p w14:paraId="7557864D"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91" w:type="pct"/>
            <w:tcBorders>
              <w:top w:val="nil"/>
              <w:left w:val="nil"/>
              <w:bottom w:val="nil"/>
              <w:right w:val="nil"/>
              <w:tl2br w:val="nil"/>
              <w:tr2bl w:val="nil"/>
            </w:tcBorders>
            <w:shd w:val="solid" w:color="FFFFFF" w:fill="FFFFFF"/>
            <w:noWrap/>
            <w:vAlign w:val="bottom"/>
          </w:tcPr>
          <w:p w14:paraId="39C83C5F" w14:textId="77777777" w:rsidR="006E442A" w:rsidRDefault="006E442A" w:rsidP="006E442A">
            <w:pPr>
              <w:spacing w:after="1"/>
              <w:rPr>
                <w:rFonts w:ascii="Calibri" w:eastAsia="Calibri" w:hAnsi="Calibri" w:cs="Calibri"/>
                <w:color w:val="000000"/>
                <w:sz w:val="19"/>
              </w:rPr>
            </w:pPr>
          </w:p>
        </w:tc>
        <w:tc>
          <w:tcPr>
            <w:tcW w:w="491" w:type="pct"/>
            <w:tcBorders>
              <w:top w:val="nil"/>
              <w:left w:val="nil"/>
              <w:bottom w:val="nil"/>
              <w:right w:val="nil"/>
              <w:tl2br w:val="nil"/>
              <w:tr2bl w:val="nil"/>
            </w:tcBorders>
            <w:shd w:val="solid" w:color="FFFFFF" w:fill="FFFFFF"/>
            <w:noWrap/>
            <w:vAlign w:val="bottom"/>
          </w:tcPr>
          <w:p w14:paraId="51C0E0DA"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w:t>
            </w:r>
          </w:p>
        </w:tc>
      </w:tr>
      <w:tr w:rsidR="006E442A" w14:paraId="1D5F542D" w14:textId="77777777" w:rsidTr="006E442A">
        <w:tc>
          <w:tcPr>
            <w:tcW w:w="3553" w:type="pct"/>
            <w:tcBorders>
              <w:top w:val="nil"/>
              <w:left w:val="nil"/>
              <w:bottom w:val="nil"/>
              <w:right w:val="nil"/>
              <w:tl2br w:val="nil"/>
              <w:tr2bl w:val="nil"/>
            </w:tcBorders>
            <w:shd w:val="solid" w:color="FFFFFF" w:fill="FFFFFF"/>
            <w:vAlign w:val="bottom"/>
          </w:tcPr>
          <w:p w14:paraId="730871B9" w14:textId="77777777" w:rsidR="006E442A" w:rsidRDefault="006E442A" w:rsidP="006E442A">
            <w:pPr>
              <w:spacing w:after="1"/>
              <w:ind w:left="120"/>
              <w:rPr>
                <w:rFonts w:ascii="Calibri" w:eastAsia="Calibri" w:hAnsi="Calibri" w:cs="Calibri"/>
                <w:color w:val="000000"/>
                <w:sz w:val="19"/>
              </w:rPr>
            </w:pPr>
            <w:r>
              <w:rPr>
                <w:rFonts w:ascii="Calibri" w:eastAsia="Calibri" w:hAnsi="Calibri" w:cs="Calibri"/>
                <w:color w:val="000000"/>
                <w:sz w:val="19"/>
              </w:rPr>
              <w:t>Net income (loss)</w:t>
            </w:r>
          </w:p>
        </w:tc>
        <w:tc>
          <w:tcPr>
            <w:tcW w:w="141" w:type="pct"/>
            <w:tcBorders>
              <w:top w:val="nil"/>
              <w:left w:val="nil"/>
              <w:bottom w:val="nil"/>
              <w:right w:val="nil"/>
              <w:tl2br w:val="nil"/>
              <w:tr2bl w:val="nil"/>
            </w:tcBorders>
            <w:shd w:val="solid" w:color="FFFFFF" w:fill="FFFFFF"/>
            <w:noWrap/>
            <w:vAlign w:val="bottom"/>
          </w:tcPr>
          <w:p w14:paraId="25FFB361"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5D915CBD"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w:t>
            </w:r>
          </w:p>
        </w:tc>
        <w:tc>
          <w:tcPr>
            <w:tcW w:w="491" w:type="pct"/>
            <w:tcBorders>
              <w:top w:val="nil"/>
              <w:left w:val="nil"/>
              <w:bottom w:val="nil"/>
              <w:right w:val="nil"/>
              <w:tl2br w:val="nil"/>
              <w:tr2bl w:val="nil"/>
            </w:tcBorders>
            <w:shd w:val="solid" w:color="FFFFFF" w:fill="FFFFFF"/>
            <w:noWrap/>
            <w:vAlign w:val="bottom"/>
          </w:tcPr>
          <w:p w14:paraId="2C9FA9F5"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39,082</w:t>
            </w:r>
          </w:p>
        </w:tc>
        <w:tc>
          <w:tcPr>
            <w:tcW w:w="141" w:type="pct"/>
            <w:tcBorders>
              <w:top w:val="nil"/>
              <w:left w:val="nil"/>
              <w:bottom w:val="nil"/>
              <w:right w:val="nil"/>
              <w:tl2br w:val="nil"/>
              <w:tr2bl w:val="nil"/>
            </w:tcBorders>
            <w:shd w:val="solid" w:color="FFFFFF" w:fill="FFFFFF"/>
            <w:noWrap/>
            <w:vAlign w:val="bottom"/>
          </w:tcPr>
          <w:p w14:paraId="0447FA0B"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585029E6"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w:t>
            </w:r>
          </w:p>
        </w:tc>
        <w:tc>
          <w:tcPr>
            <w:tcW w:w="491" w:type="pct"/>
            <w:tcBorders>
              <w:top w:val="nil"/>
              <w:left w:val="nil"/>
              <w:bottom w:val="nil"/>
              <w:right w:val="nil"/>
              <w:tl2br w:val="nil"/>
              <w:tr2bl w:val="nil"/>
            </w:tcBorders>
            <w:shd w:val="solid" w:color="FFFFFF" w:fill="FFFFFF"/>
            <w:noWrap/>
            <w:vAlign w:val="bottom"/>
          </w:tcPr>
          <w:p w14:paraId="16643559"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xml:space="preserve"> (6,977)</w:t>
            </w:r>
          </w:p>
        </w:tc>
      </w:tr>
      <w:tr w:rsidR="006E442A" w14:paraId="5DD80A84" w14:textId="77777777" w:rsidTr="006E442A">
        <w:tc>
          <w:tcPr>
            <w:tcW w:w="3553" w:type="pct"/>
            <w:tcBorders>
              <w:top w:val="nil"/>
              <w:left w:val="nil"/>
              <w:bottom w:val="nil"/>
              <w:right w:val="nil"/>
              <w:tl2br w:val="nil"/>
              <w:tr2bl w:val="nil"/>
            </w:tcBorders>
            <w:shd w:val="solid" w:color="FFFFFF" w:fill="FFFFFF"/>
            <w:vAlign w:val="bottom"/>
          </w:tcPr>
          <w:p w14:paraId="6D2D08B4" w14:textId="77777777" w:rsidR="006E442A" w:rsidRDefault="006E442A" w:rsidP="006E442A">
            <w:pPr>
              <w:spacing w:after="1"/>
              <w:ind w:left="240"/>
              <w:rPr>
                <w:rFonts w:ascii="Calibri" w:eastAsia="Calibri" w:hAnsi="Calibri" w:cs="Calibri"/>
                <w:color w:val="000000"/>
                <w:sz w:val="19"/>
              </w:rPr>
            </w:pPr>
            <w:r>
              <w:rPr>
                <w:rFonts w:ascii="Calibri" w:eastAsia="Calibri" w:hAnsi="Calibri" w:cs="Calibri"/>
                <w:color w:val="000000"/>
                <w:sz w:val="19"/>
              </w:rPr>
              <w:t>Adjustments to reconcile net income (loss) to net cash provided by operating</w:t>
            </w:r>
          </w:p>
        </w:tc>
        <w:tc>
          <w:tcPr>
            <w:tcW w:w="141" w:type="pct"/>
            <w:tcBorders>
              <w:top w:val="nil"/>
              <w:left w:val="nil"/>
              <w:bottom w:val="nil"/>
              <w:right w:val="nil"/>
              <w:tl2br w:val="nil"/>
              <w:tr2bl w:val="nil"/>
            </w:tcBorders>
            <w:shd w:val="solid" w:color="FFFFFF" w:fill="FFFFFF"/>
            <w:noWrap/>
            <w:vAlign w:val="bottom"/>
          </w:tcPr>
          <w:p w14:paraId="73B3D0BB"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545B9323" w14:textId="77777777" w:rsidR="006E442A" w:rsidRDefault="006E442A" w:rsidP="006E442A">
            <w:pPr>
              <w:spacing w:after="1"/>
              <w:rPr>
                <w:rFonts w:ascii="Calibri" w:eastAsia="Calibri" w:hAnsi="Calibri" w:cs="Calibri"/>
                <w:color w:val="000000"/>
                <w:sz w:val="19"/>
              </w:rPr>
            </w:pPr>
          </w:p>
        </w:tc>
        <w:tc>
          <w:tcPr>
            <w:tcW w:w="491" w:type="pct"/>
            <w:tcBorders>
              <w:top w:val="nil"/>
              <w:left w:val="nil"/>
              <w:bottom w:val="nil"/>
              <w:right w:val="nil"/>
              <w:tl2br w:val="nil"/>
              <w:tr2bl w:val="nil"/>
            </w:tcBorders>
            <w:shd w:val="solid" w:color="FFFFFF" w:fill="FFFFFF"/>
            <w:noWrap/>
            <w:vAlign w:val="bottom"/>
          </w:tcPr>
          <w:p w14:paraId="582893A2" w14:textId="77777777" w:rsidR="006E442A" w:rsidRDefault="006E442A" w:rsidP="006E442A">
            <w:pPr>
              <w:spacing w:after="1"/>
              <w:jc w:val="right"/>
              <w:rPr>
                <w:rFonts w:ascii="Calibri" w:eastAsia="Calibri" w:hAnsi="Calibri" w:cs="Calibri"/>
                <w:color w:val="000000"/>
                <w:sz w:val="19"/>
              </w:rPr>
            </w:pPr>
          </w:p>
        </w:tc>
        <w:tc>
          <w:tcPr>
            <w:tcW w:w="141" w:type="pct"/>
            <w:tcBorders>
              <w:top w:val="nil"/>
              <w:left w:val="nil"/>
              <w:bottom w:val="nil"/>
              <w:right w:val="nil"/>
              <w:tl2br w:val="nil"/>
              <w:tr2bl w:val="nil"/>
            </w:tcBorders>
            <w:shd w:val="solid" w:color="FFFFFF" w:fill="FFFFFF"/>
            <w:noWrap/>
            <w:vAlign w:val="bottom"/>
          </w:tcPr>
          <w:p w14:paraId="27B4999A"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56756410" w14:textId="77777777" w:rsidR="006E442A" w:rsidRDefault="006E442A" w:rsidP="006E442A">
            <w:pPr>
              <w:spacing w:after="1"/>
              <w:rPr>
                <w:rFonts w:ascii="Calibri" w:eastAsia="Calibri" w:hAnsi="Calibri" w:cs="Calibri"/>
                <w:color w:val="000000"/>
                <w:sz w:val="19"/>
              </w:rPr>
            </w:pPr>
          </w:p>
        </w:tc>
        <w:tc>
          <w:tcPr>
            <w:tcW w:w="491" w:type="pct"/>
            <w:tcBorders>
              <w:top w:val="nil"/>
              <w:left w:val="nil"/>
              <w:bottom w:val="nil"/>
              <w:right w:val="nil"/>
              <w:tl2br w:val="nil"/>
              <w:tr2bl w:val="nil"/>
            </w:tcBorders>
            <w:shd w:val="solid" w:color="FFFFFF" w:fill="FFFFFF"/>
            <w:noWrap/>
            <w:vAlign w:val="bottom"/>
          </w:tcPr>
          <w:p w14:paraId="708C9FB6" w14:textId="77777777" w:rsidR="006E442A" w:rsidRDefault="006E442A" w:rsidP="006E442A">
            <w:pPr>
              <w:spacing w:after="1"/>
              <w:jc w:val="right"/>
              <w:rPr>
                <w:rFonts w:ascii="Calibri" w:eastAsia="Calibri" w:hAnsi="Calibri" w:cs="Calibri"/>
                <w:color w:val="000000"/>
                <w:sz w:val="19"/>
              </w:rPr>
            </w:pPr>
          </w:p>
        </w:tc>
      </w:tr>
      <w:tr w:rsidR="006E442A" w14:paraId="3DC6B234" w14:textId="77777777" w:rsidTr="006E442A">
        <w:tc>
          <w:tcPr>
            <w:tcW w:w="3553" w:type="pct"/>
            <w:tcBorders>
              <w:top w:val="nil"/>
              <w:left w:val="nil"/>
              <w:bottom w:val="nil"/>
              <w:right w:val="nil"/>
              <w:tl2br w:val="nil"/>
              <w:tr2bl w:val="nil"/>
            </w:tcBorders>
            <w:shd w:val="solid" w:color="FFFFFF" w:fill="FFFFFF"/>
            <w:vAlign w:val="bottom"/>
          </w:tcPr>
          <w:p w14:paraId="44185E77" w14:textId="77777777" w:rsidR="006E442A" w:rsidRDefault="006E442A" w:rsidP="006E442A">
            <w:pPr>
              <w:spacing w:after="1"/>
              <w:ind w:left="360"/>
              <w:rPr>
                <w:rFonts w:ascii="Calibri" w:eastAsia="Calibri" w:hAnsi="Calibri" w:cs="Calibri"/>
                <w:color w:val="000000"/>
                <w:sz w:val="19"/>
              </w:rPr>
            </w:pPr>
            <w:r>
              <w:rPr>
                <w:rFonts w:ascii="Calibri" w:eastAsia="Calibri" w:hAnsi="Calibri" w:cs="Calibri"/>
                <w:color w:val="000000"/>
                <w:sz w:val="19"/>
              </w:rPr>
              <w:t>activities—net of effect of acquisitions:</w:t>
            </w:r>
          </w:p>
        </w:tc>
        <w:tc>
          <w:tcPr>
            <w:tcW w:w="141" w:type="pct"/>
            <w:tcBorders>
              <w:top w:val="nil"/>
              <w:left w:val="nil"/>
              <w:bottom w:val="nil"/>
              <w:right w:val="nil"/>
              <w:tl2br w:val="nil"/>
              <w:tr2bl w:val="nil"/>
            </w:tcBorders>
            <w:shd w:val="solid" w:color="FFFFFF" w:fill="FFFFFF"/>
            <w:noWrap/>
            <w:vAlign w:val="bottom"/>
          </w:tcPr>
          <w:p w14:paraId="75ECE660"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1C4EE757"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1A0DAED4"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w:t>
            </w:r>
          </w:p>
        </w:tc>
        <w:tc>
          <w:tcPr>
            <w:tcW w:w="141" w:type="pct"/>
            <w:tcBorders>
              <w:top w:val="nil"/>
              <w:left w:val="nil"/>
              <w:bottom w:val="nil"/>
              <w:right w:val="nil"/>
              <w:tl2br w:val="nil"/>
              <w:tr2bl w:val="nil"/>
            </w:tcBorders>
            <w:shd w:val="solid" w:color="FFFFFF" w:fill="FFFFFF"/>
            <w:noWrap/>
            <w:vAlign w:val="bottom"/>
          </w:tcPr>
          <w:p w14:paraId="19F8B3AA"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75114085"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31E51E43"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w:t>
            </w:r>
          </w:p>
        </w:tc>
      </w:tr>
      <w:tr w:rsidR="006E442A" w14:paraId="5F08CF40" w14:textId="77777777" w:rsidTr="006E442A">
        <w:tc>
          <w:tcPr>
            <w:tcW w:w="3553" w:type="pct"/>
            <w:tcBorders>
              <w:top w:val="nil"/>
              <w:left w:val="nil"/>
              <w:bottom w:val="nil"/>
              <w:right w:val="nil"/>
              <w:tl2br w:val="nil"/>
              <w:tr2bl w:val="nil"/>
            </w:tcBorders>
            <w:shd w:val="solid" w:color="FFFFFF" w:fill="FFFFFF"/>
            <w:vAlign w:val="bottom"/>
          </w:tcPr>
          <w:p w14:paraId="0AAF41C5" w14:textId="77777777" w:rsidR="006E442A" w:rsidRDefault="006E442A" w:rsidP="006E442A">
            <w:pPr>
              <w:spacing w:after="1"/>
              <w:ind w:left="240"/>
              <w:rPr>
                <w:rFonts w:ascii="Calibri" w:eastAsia="Calibri" w:hAnsi="Calibri" w:cs="Calibri"/>
                <w:color w:val="000000"/>
                <w:sz w:val="19"/>
              </w:rPr>
            </w:pPr>
            <w:r>
              <w:rPr>
                <w:rFonts w:ascii="Calibri" w:eastAsia="Calibri" w:hAnsi="Calibri" w:cs="Calibri"/>
                <w:color w:val="000000"/>
                <w:sz w:val="19"/>
              </w:rPr>
              <w:t>Intangible amortization</w:t>
            </w:r>
          </w:p>
        </w:tc>
        <w:tc>
          <w:tcPr>
            <w:tcW w:w="141" w:type="pct"/>
            <w:tcBorders>
              <w:top w:val="nil"/>
              <w:left w:val="nil"/>
              <w:bottom w:val="nil"/>
              <w:right w:val="nil"/>
              <w:tl2br w:val="nil"/>
              <w:tr2bl w:val="nil"/>
            </w:tcBorders>
            <w:shd w:val="solid" w:color="FFFFFF" w:fill="FFFFFF"/>
            <w:noWrap/>
            <w:vAlign w:val="bottom"/>
          </w:tcPr>
          <w:p w14:paraId="007AE3FC"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0588DD9E"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6EAAAA2C"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60,276</w:t>
            </w:r>
          </w:p>
        </w:tc>
        <w:tc>
          <w:tcPr>
            <w:tcW w:w="141" w:type="pct"/>
            <w:tcBorders>
              <w:top w:val="nil"/>
              <w:left w:val="nil"/>
              <w:bottom w:val="nil"/>
              <w:right w:val="nil"/>
              <w:tl2br w:val="nil"/>
              <w:tr2bl w:val="nil"/>
            </w:tcBorders>
            <w:shd w:val="solid" w:color="FFFFFF" w:fill="FFFFFF"/>
            <w:noWrap/>
            <w:vAlign w:val="bottom"/>
          </w:tcPr>
          <w:p w14:paraId="244F5307"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1231037F"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7D5FCB57"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71,786</w:t>
            </w:r>
          </w:p>
        </w:tc>
      </w:tr>
      <w:tr w:rsidR="006E442A" w14:paraId="773B9637" w14:textId="77777777" w:rsidTr="006E442A">
        <w:tc>
          <w:tcPr>
            <w:tcW w:w="3553" w:type="pct"/>
            <w:tcBorders>
              <w:top w:val="nil"/>
              <w:left w:val="nil"/>
              <w:bottom w:val="nil"/>
              <w:right w:val="nil"/>
              <w:tl2br w:val="nil"/>
              <w:tr2bl w:val="nil"/>
            </w:tcBorders>
            <w:shd w:val="solid" w:color="FFFFFF" w:fill="FFFFFF"/>
            <w:vAlign w:val="bottom"/>
          </w:tcPr>
          <w:p w14:paraId="7003B3D2" w14:textId="77777777" w:rsidR="006E442A" w:rsidRDefault="006E442A" w:rsidP="006E442A">
            <w:pPr>
              <w:spacing w:after="1"/>
              <w:ind w:left="240"/>
              <w:rPr>
                <w:rFonts w:ascii="Calibri" w:eastAsia="Calibri" w:hAnsi="Calibri" w:cs="Calibri"/>
                <w:color w:val="000000"/>
                <w:sz w:val="19"/>
              </w:rPr>
            </w:pPr>
            <w:r>
              <w:rPr>
                <w:rFonts w:ascii="Calibri" w:eastAsia="Calibri" w:hAnsi="Calibri" w:cs="Calibri"/>
                <w:color w:val="000000"/>
                <w:sz w:val="19"/>
              </w:rPr>
              <w:t>Depreciation and other amortization</w:t>
            </w:r>
          </w:p>
        </w:tc>
        <w:tc>
          <w:tcPr>
            <w:tcW w:w="141" w:type="pct"/>
            <w:tcBorders>
              <w:top w:val="nil"/>
              <w:left w:val="nil"/>
              <w:bottom w:val="nil"/>
              <w:right w:val="nil"/>
              <w:tl2br w:val="nil"/>
              <w:tr2bl w:val="nil"/>
            </w:tcBorders>
            <w:shd w:val="solid" w:color="FFFFFF" w:fill="FFFFFF"/>
            <w:noWrap/>
            <w:vAlign w:val="bottom"/>
          </w:tcPr>
          <w:p w14:paraId="59167CDE"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4EC13AF9"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660032A1"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3,633</w:t>
            </w:r>
          </w:p>
        </w:tc>
        <w:tc>
          <w:tcPr>
            <w:tcW w:w="141" w:type="pct"/>
            <w:tcBorders>
              <w:top w:val="nil"/>
              <w:left w:val="nil"/>
              <w:bottom w:val="nil"/>
              <w:right w:val="nil"/>
              <w:tl2br w:val="nil"/>
              <w:tr2bl w:val="nil"/>
            </w:tcBorders>
            <w:shd w:val="solid" w:color="FFFFFF" w:fill="FFFFFF"/>
            <w:noWrap/>
            <w:vAlign w:val="bottom"/>
          </w:tcPr>
          <w:p w14:paraId="30A331F7"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7FC0A4A6"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1C795EEE"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3,967</w:t>
            </w:r>
          </w:p>
        </w:tc>
      </w:tr>
      <w:tr w:rsidR="006E442A" w14:paraId="3EEFC557" w14:textId="77777777" w:rsidTr="006E442A">
        <w:tc>
          <w:tcPr>
            <w:tcW w:w="3553" w:type="pct"/>
            <w:tcBorders>
              <w:top w:val="nil"/>
              <w:left w:val="nil"/>
              <w:bottom w:val="nil"/>
              <w:right w:val="nil"/>
              <w:tl2br w:val="nil"/>
              <w:tr2bl w:val="nil"/>
            </w:tcBorders>
            <w:shd w:val="solid" w:color="FFFFFF" w:fill="FFFFFF"/>
            <w:vAlign w:val="bottom"/>
          </w:tcPr>
          <w:p w14:paraId="43FEC04E" w14:textId="77777777" w:rsidR="006E442A" w:rsidRDefault="006E442A" w:rsidP="006E442A">
            <w:pPr>
              <w:spacing w:after="1"/>
              <w:ind w:left="240"/>
              <w:rPr>
                <w:rFonts w:ascii="Calibri" w:eastAsia="Calibri" w:hAnsi="Calibri" w:cs="Calibri"/>
                <w:color w:val="000000"/>
                <w:sz w:val="19"/>
              </w:rPr>
            </w:pPr>
            <w:r>
              <w:rPr>
                <w:rFonts w:ascii="Calibri" w:eastAsia="Calibri" w:hAnsi="Calibri" w:cs="Calibri"/>
                <w:color w:val="000000"/>
                <w:sz w:val="19"/>
              </w:rPr>
              <w:t>Amortization of debt financing costs</w:t>
            </w:r>
          </w:p>
        </w:tc>
        <w:tc>
          <w:tcPr>
            <w:tcW w:w="141" w:type="pct"/>
            <w:tcBorders>
              <w:top w:val="nil"/>
              <w:left w:val="nil"/>
              <w:bottom w:val="nil"/>
              <w:right w:val="nil"/>
              <w:tl2br w:val="nil"/>
              <w:tr2bl w:val="nil"/>
            </w:tcBorders>
            <w:shd w:val="solid" w:color="FFFFFF" w:fill="FFFFFF"/>
            <w:noWrap/>
            <w:vAlign w:val="bottom"/>
          </w:tcPr>
          <w:p w14:paraId="1F2441C9"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4CFC8081"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0DDAAF74"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1,101</w:t>
            </w:r>
          </w:p>
        </w:tc>
        <w:tc>
          <w:tcPr>
            <w:tcW w:w="141" w:type="pct"/>
            <w:tcBorders>
              <w:top w:val="nil"/>
              <w:left w:val="nil"/>
              <w:bottom w:val="nil"/>
              <w:right w:val="nil"/>
              <w:tl2br w:val="nil"/>
              <w:tr2bl w:val="nil"/>
            </w:tcBorders>
            <w:shd w:val="solid" w:color="FFFFFF" w:fill="FFFFFF"/>
            <w:noWrap/>
            <w:vAlign w:val="bottom"/>
          </w:tcPr>
          <w:p w14:paraId="1989BFC6"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548EBF1C"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03466726"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1,105</w:t>
            </w:r>
          </w:p>
        </w:tc>
      </w:tr>
      <w:tr w:rsidR="006E442A" w14:paraId="3088E2A5" w14:textId="77777777" w:rsidTr="006E442A">
        <w:tc>
          <w:tcPr>
            <w:tcW w:w="3553" w:type="pct"/>
            <w:tcBorders>
              <w:top w:val="nil"/>
              <w:left w:val="nil"/>
              <w:bottom w:val="nil"/>
              <w:right w:val="nil"/>
              <w:tl2br w:val="nil"/>
              <w:tr2bl w:val="nil"/>
            </w:tcBorders>
            <w:shd w:val="solid" w:color="FFFFFF" w:fill="FFFFFF"/>
            <w:vAlign w:val="bottom"/>
          </w:tcPr>
          <w:p w14:paraId="0F727EB7" w14:textId="77777777" w:rsidR="006E442A" w:rsidRDefault="006E442A" w:rsidP="006E442A">
            <w:pPr>
              <w:spacing w:after="1"/>
              <w:ind w:left="240"/>
              <w:rPr>
                <w:rFonts w:ascii="Calibri" w:eastAsia="Calibri" w:hAnsi="Calibri" w:cs="Calibri"/>
                <w:color w:val="000000"/>
                <w:sz w:val="19"/>
              </w:rPr>
            </w:pPr>
            <w:r>
              <w:rPr>
                <w:rFonts w:ascii="Calibri" w:eastAsia="Calibri" w:hAnsi="Calibri" w:cs="Calibri"/>
                <w:color w:val="000000"/>
                <w:sz w:val="19"/>
              </w:rPr>
              <w:t>Non-cash equity compensation expense</w:t>
            </w:r>
          </w:p>
        </w:tc>
        <w:tc>
          <w:tcPr>
            <w:tcW w:w="141" w:type="pct"/>
            <w:tcBorders>
              <w:top w:val="nil"/>
              <w:left w:val="nil"/>
              <w:bottom w:val="nil"/>
              <w:right w:val="nil"/>
              <w:tl2br w:val="nil"/>
              <w:tr2bl w:val="nil"/>
            </w:tcBorders>
            <w:shd w:val="solid" w:color="FFFFFF" w:fill="FFFFFF"/>
            <w:noWrap/>
            <w:vAlign w:val="bottom"/>
          </w:tcPr>
          <w:p w14:paraId="3673F05F"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18D947B4"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62A07A0A"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6,707</w:t>
            </w:r>
          </w:p>
        </w:tc>
        <w:tc>
          <w:tcPr>
            <w:tcW w:w="141" w:type="pct"/>
            <w:tcBorders>
              <w:top w:val="nil"/>
              <w:left w:val="nil"/>
              <w:bottom w:val="nil"/>
              <w:right w:val="nil"/>
              <w:tl2br w:val="nil"/>
              <w:tr2bl w:val="nil"/>
            </w:tcBorders>
            <w:shd w:val="solid" w:color="FFFFFF" w:fill="FFFFFF"/>
            <w:noWrap/>
            <w:vAlign w:val="bottom"/>
          </w:tcPr>
          <w:p w14:paraId="4176AD92"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00ED8F03"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349418D1"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7,911</w:t>
            </w:r>
          </w:p>
        </w:tc>
      </w:tr>
      <w:tr w:rsidR="006E442A" w14:paraId="3738871B" w14:textId="77777777" w:rsidTr="006E442A">
        <w:tc>
          <w:tcPr>
            <w:tcW w:w="3553" w:type="pct"/>
            <w:tcBorders>
              <w:top w:val="nil"/>
              <w:left w:val="nil"/>
              <w:bottom w:val="nil"/>
              <w:right w:val="nil"/>
              <w:tl2br w:val="nil"/>
              <w:tr2bl w:val="nil"/>
            </w:tcBorders>
            <w:shd w:val="solid" w:color="FFFFFF" w:fill="FFFFFF"/>
            <w:vAlign w:val="bottom"/>
          </w:tcPr>
          <w:p w14:paraId="0E6B9552" w14:textId="77777777" w:rsidR="006E442A" w:rsidRDefault="006E442A" w:rsidP="006E442A">
            <w:pPr>
              <w:spacing w:after="1"/>
              <w:ind w:left="240"/>
              <w:rPr>
                <w:rFonts w:ascii="Calibri" w:eastAsia="Calibri" w:hAnsi="Calibri" w:cs="Calibri"/>
                <w:color w:val="000000"/>
                <w:sz w:val="19"/>
              </w:rPr>
            </w:pPr>
            <w:r>
              <w:rPr>
                <w:rFonts w:ascii="Calibri" w:eastAsia="Calibri" w:hAnsi="Calibri" w:cs="Calibri"/>
                <w:color w:val="000000"/>
                <w:sz w:val="19"/>
              </w:rPr>
              <w:t>Non-cash changes in fair value of estimated contingent consideration</w:t>
            </w:r>
          </w:p>
        </w:tc>
        <w:tc>
          <w:tcPr>
            <w:tcW w:w="141" w:type="pct"/>
            <w:tcBorders>
              <w:top w:val="nil"/>
              <w:left w:val="nil"/>
              <w:bottom w:val="nil"/>
              <w:right w:val="nil"/>
              <w:tl2br w:val="nil"/>
              <w:tr2bl w:val="nil"/>
            </w:tcBorders>
            <w:shd w:val="solid" w:color="FFFFFF" w:fill="FFFFFF"/>
            <w:noWrap/>
            <w:vAlign w:val="bottom"/>
          </w:tcPr>
          <w:p w14:paraId="504C1D8D"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1316999B"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650F9657"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xml:space="preserve"> (8,985)</w:t>
            </w:r>
          </w:p>
        </w:tc>
        <w:tc>
          <w:tcPr>
            <w:tcW w:w="141" w:type="pct"/>
            <w:tcBorders>
              <w:top w:val="nil"/>
              <w:left w:val="nil"/>
              <w:bottom w:val="nil"/>
              <w:right w:val="nil"/>
              <w:tl2br w:val="nil"/>
              <w:tr2bl w:val="nil"/>
            </w:tcBorders>
            <w:shd w:val="solid" w:color="FFFFFF" w:fill="FFFFFF"/>
            <w:noWrap/>
            <w:vAlign w:val="bottom"/>
          </w:tcPr>
          <w:p w14:paraId="220768F1"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11519728"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02209674"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16,488</w:t>
            </w:r>
          </w:p>
        </w:tc>
      </w:tr>
      <w:tr w:rsidR="006E442A" w14:paraId="6AF045C0" w14:textId="77777777" w:rsidTr="006E442A">
        <w:tc>
          <w:tcPr>
            <w:tcW w:w="3553" w:type="pct"/>
            <w:tcBorders>
              <w:top w:val="nil"/>
              <w:left w:val="nil"/>
              <w:bottom w:val="nil"/>
              <w:right w:val="nil"/>
              <w:tl2br w:val="nil"/>
              <w:tr2bl w:val="nil"/>
            </w:tcBorders>
            <w:shd w:val="solid" w:color="FFFFFF" w:fill="FFFFFF"/>
            <w:vAlign w:val="bottom"/>
          </w:tcPr>
          <w:p w14:paraId="0EA3DBAC" w14:textId="77777777" w:rsidR="006E442A" w:rsidRDefault="006E442A" w:rsidP="006E442A">
            <w:pPr>
              <w:spacing w:after="1"/>
              <w:ind w:left="240"/>
              <w:rPr>
                <w:rFonts w:ascii="Calibri" w:eastAsia="Calibri" w:hAnsi="Calibri" w:cs="Calibri"/>
                <w:color w:val="000000"/>
                <w:sz w:val="19"/>
              </w:rPr>
            </w:pPr>
            <w:r>
              <w:rPr>
                <w:rFonts w:ascii="Calibri" w:eastAsia="Calibri" w:hAnsi="Calibri" w:cs="Calibri"/>
                <w:color w:val="000000"/>
                <w:sz w:val="19"/>
              </w:rPr>
              <w:t>Income from equity method investments</w:t>
            </w:r>
          </w:p>
        </w:tc>
        <w:tc>
          <w:tcPr>
            <w:tcW w:w="141" w:type="pct"/>
            <w:tcBorders>
              <w:top w:val="nil"/>
              <w:left w:val="nil"/>
              <w:bottom w:val="nil"/>
              <w:right w:val="nil"/>
              <w:tl2br w:val="nil"/>
              <w:tr2bl w:val="nil"/>
            </w:tcBorders>
            <w:shd w:val="solid" w:color="FFFFFF" w:fill="FFFFFF"/>
            <w:noWrap/>
            <w:vAlign w:val="bottom"/>
          </w:tcPr>
          <w:p w14:paraId="3F2F1D31"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0D7FB420"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772DE280"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xml:space="preserve"> (95)</w:t>
            </w:r>
          </w:p>
        </w:tc>
        <w:tc>
          <w:tcPr>
            <w:tcW w:w="141" w:type="pct"/>
            <w:tcBorders>
              <w:top w:val="nil"/>
              <w:left w:val="nil"/>
              <w:bottom w:val="nil"/>
              <w:right w:val="nil"/>
              <w:tl2br w:val="nil"/>
              <w:tr2bl w:val="nil"/>
            </w:tcBorders>
            <w:shd w:val="solid" w:color="FFFFFF" w:fill="FFFFFF"/>
            <w:noWrap/>
            <w:vAlign w:val="bottom"/>
          </w:tcPr>
          <w:p w14:paraId="36572F27"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49B8BF50"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4F90393A"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xml:space="preserve"> (175)</w:t>
            </w:r>
          </w:p>
        </w:tc>
      </w:tr>
      <w:tr w:rsidR="006E442A" w14:paraId="38FA8137" w14:textId="77777777" w:rsidTr="006E442A">
        <w:tc>
          <w:tcPr>
            <w:tcW w:w="3553" w:type="pct"/>
            <w:tcBorders>
              <w:top w:val="nil"/>
              <w:left w:val="nil"/>
              <w:bottom w:val="nil"/>
              <w:right w:val="nil"/>
              <w:tl2br w:val="nil"/>
              <w:tr2bl w:val="nil"/>
            </w:tcBorders>
            <w:shd w:val="solid" w:color="FFFFFF" w:fill="FFFFFF"/>
            <w:vAlign w:val="bottom"/>
          </w:tcPr>
          <w:p w14:paraId="1EB0D53B" w14:textId="77777777" w:rsidR="006E442A" w:rsidRDefault="006E442A" w:rsidP="006E442A">
            <w:pPr>
              <w:spacing w:after="1"/>
              <w:ind w:left="240"/>
              <w:rPr>
                <w:rFonts w:ascii="Calibri" w:eastAsia="Calibri" w:hAnsi="Calibri" w:cs="Calibri"/>
                <w:color w:val="000000"/>
                <w:sz w:val="19"/>
              </w:rPr>
            </w:pPr>
            <w:r>
              <w:rPr>
                <w:rFonts w:ascii="Calibri" w:eastAsia="Calibri" w:hAnsi="Calibri" w:cs="Calibri"/>
                <w:color w:val="000000"/>
                <w:sz w:val="19"/>
              </w:rPr>
              <w:t>Distributions received from equity method investments</w:t>
            </w:r>
          </w:p>
        </w:tc>
        <w:tc>
          <w:tcPr>
            <w:tcW w:w="141" w:type="pct"/>
            <w:tcBorders>
              <w:top w:val="nil"/>
              <w:left w:val="nil"/>
              <w:bottom w:val="nil"/>
              <w:right w:val="nil"/>
              <w:tl2br w:val="nil"/>
              <w:tr2bl w:val="nil"/>
            </w:tcBorders>
            <w:shd w:val="solid" w:color="FFFFFF" w:fill="FFFFFF"/>
            <w:noWrap/>
            <w:vAlign w:val="bottom"/>
          </w:tcPr>
          <w:p w14:paraId="00F1034B"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3917F2F8"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66D0D9B4"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425</w:t>
            </w:r>
          </w:p>
        </w:tc>
        <w:tc>
          <w:tcPr>
            <w:tcW w:w="141" w:type="pct"/>
            <w:tcBorders>
              <w:top w:val="nil"/>
              <w:left w:val="nil"/>
              <w:bottom w:val="nil"/>
              <w:right w:val="nil"/>
              <w:tl2br w:val="nil"/>
              <w:tr2bl w:val="nil"/>
            </w:tcBorders>
            <w:shd w:val="solid" w:color="FFFFFF" w:fill="FFFFFF"/>
            <w:noWrap/>
            <w:vAlign w:val="bottom"/>
          </w:tcPr>
          <w:p w14:paraId="753CA9E0"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334DEE43"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4FBA4BCB"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327</w:t>
            </w:r>
          </w:p>
        </w:tc>
      </w:tr>
      <w:tr w:rsidR="006E442A" w14:paraId="23E9293B" w14:textId="77777777" w:rsidTr="006E442A">
        <w:tc>
          <w:tcPr>
            <w:tcW w:w="3553" w:type="pct"/>
            <w:tcBorders>
              <w:top w:val="nil"/>
              <w:left w:val="nil"/>
              <w:bottom w:val="nil"/>
              <w:right w:val="nil"/>
              <w:tl2br w:val="nil"/>
              <w:tr2bl w:val="nil"/>
            </w:tcBorders>
            <w:shd w:val="solid" w:color="FFFFFF" w:fill="FFFFFF"/>
            <w:vAlign w:val="bottom"/>
          </w:tcPr>
          <w:p w14:paraId="7D3BE5FB" w14:textId="77777777" w:rsidR="006E442A" w:rsidRDefault="006E442A" w:rsidP="006E442A">
            <w:pPr>
              <w:spacing w:after="1"/>
              <w:ind w:left="240"/>
              <w:rPr>
                <w:rFonts w:ascii="Calibri" w:eastAsia="Calibri" w:hAnsi="Calibri" w:cs="Calibri"/>
                <w:color w:val="000000"/>
                <w:sz w:val="19"/>
              </w:rPr>
            </w:pPr>
            <w:r>
              <w:rPr>
                <w:rFonts w:ascii="Calibri" w:eastAsia="Calibri" w:hAnsi="Calibri" w:cs="Calibri"/>
                <w:color w:val="000000"/>
                <w:sz w:val="19"/>
              </w:rPr>
              <w:t>Deferred taxes and other non-cash items</w:t>
            </w:r>
          </w:p>
        </w:tc>
        <w:tc>
          <w:tcPr>
            <w:tcW w:w="141" w:type="pct"/>
            <w:tcBorders>
              <w:top w:val="nil"/>
              <w:left w:val="nil"/>
              <w:bottom w:val="nil"/>
              <w:right w:val="nil"/>
              <w:tl2br w:val="nil"/>
              <w:tr2bl w:val="nil"/>
            </w:tcBorders>
            <w:shd w:val="solid" w:color="FFFFFF" w:fill="FFFFFF"/>
            <w:noWrap/>
            <w:vAlign w:val="bottom"/>
          </w:tcPr>
          <w:p w14:paraId="7DF2C790"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65DEE967"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33AD0BA1"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6,424</w:t>
            </w:r>
          </w:p>
        </w:tc>
        <w:tc>
          <w:tcPr>
            <w:tcW w:w="141" w:type="pct"/>
            <w:tcBorders>
              <w:top w:val="nil"/>
              <w:left w:val="nil"/>
              <w:bottom w:val="nil"/>
              <w:right w:val="nil"/>
              <w:tl2br w:val="nil"/>
              <w:tr2bl w:val="nil"/>
            </w:tcBorders>
            <w:shd w:val="solid" w:color="FFFFFF" w:fill="FFFFFF"/>
            <w:noWrap/>
            <w:vAlign w:val="bottom"/>
          </w:tcPr>
          <w:p w14:paraId="10A3F8F5"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7D927DD5"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77F2425F"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xml:space="preserve"> (2,231)</w:t>
            </w:r>
          </w:p>
        </w:tc>
      </w:tr>
      <w:tr w:rsidR="006E442A" w14:paraId="108418B9" w14:textId="77777777" w:rsidTr="006E442A">
        <w:tc>
          <w:tcPr>
            <w:tcW w:w="3553" w:type="pct"/>
            <w:tcBorders>
              <w:top w:val="nil"/>
              <w:left w:val="nil"/>
              <w:bottom w:val="nil"/>
              <w:right w:val="nil"/>
              <w:tl2br w:val="nil"/>
              <w:tr2bl w:val="nil"/>
            </w:tcBorders>
            <w:shd w:val="solid" w:color="FFFFFF" w:fill="FFFFFF"/>
            <w:vAlign w:val="bottom"/>
          </w:tcPr>
          <w:p w14:paraId="42DF7382" w14:textId="77777777" w:rsidR="006E442A" w:rsidRDefault="006E442A" w:rsidP="006E442A">
            <w:pPr>
              <w:spacing w:after="1"/>
              <w:ind w:left="120"/>
              <w:rPr>
                <w:rFonts w:ascii="Calibri" w:eastAsia="Calibri" w:hAnsi="Calibri" w:cs="Calibri"/>
                <w:color w:val="000000"/>
                <w:sz w:val="19"/>
              </w:rPr>
            </w:pPr>
            <w:r>
              <w:rPr>
                <w:rFonts w:ascii="Calibri" w:eastAsia="Calibri" w:hAnsi="Calibri" w:cs="Calibri"/>
                <w:color w:val="000000"/>
                <w:sz w:val="19"/>
              </w:rPr>
              <w:t>Changes in cash resulting from changes in operating assets and liabilities:</w:t>
            </w:r>
          </w:p>
        </w:tc>
        <w:tc>
          <w:tcPr>
            <w:tcW w:w="141" w:type="pct"/>
            <w:tcBorders>
              <w:top w:val="nil"/>
              <w:left w:val="nil"/>
              <w:bottom w:val="nil"/>
              <w:right w:val="nil"/>
              <w:tl2br w:val="nil"/>
              <w:tr2bl w:val="nil"/>
            </w:tcBorders>
            <w:shd w:val="solid" w:color="FFFFFF" w:fill="FFFFFF"/>
            <w:noWrap/>
            <w:vAlign w:val="bottom"/>
          </w:tcPr>
          <w:p w14:paraId="115F091D"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05ED4A92"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7B527CE1"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w:t>
            </w:r>
          </w:p>
        </w:tc>
        <w:tc>
          <w:tcPr>
            <w:tcW w:w="141" w:type="pct"/>
            <w:tcBorders>
              <w:top w:val="nil"/>
              <w:left w:val="nil"/>
              <w:bottom w:val="nil"/>
              <w:right w:val="nil"/>
              <w:tl2br w:val="nil"/>
              <w:tr2bl w:val="nil"/>
            </w:tcBorders>
            <w:shd w:val="solid" w:color="FFFFFF" w:fill="FFFFFF"/>
            <w:noWrap/>
            <w:vAlign w:val="bottom"/>
          </w:tcPr>
          <w:p w14:paraId="268DCCA2"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28F0374C"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22862D49"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w:t>
            </w:r>
          </w:p>
        </w:tc>
      </w:tr>
      <w:tr w:rsidR="006E442A" w14:paraId="3A7209DD" w14:textId="77777777" w:rsidTr="006E442A">
        <w:tc>
          <w:tcPr>
            <w:tcW w:w="3553" w:type="pct"/>
            <w:tcBorders>
              <w:top w:val="nil"/>
              <w:left w:val="nil"/>
              <w:bottom w:val="nil"/>
              <w:right w:val="nil"/>
              <w:tl2br w:val="nil"/>
              <w:tr2bl w:val="nil"/>
            </w:tcBorders>
            <w:shd w:val="solid" w:color="FFFFFF" w:fill="FFFFFF"/>
            <w:vAlign w:val="bottom"/>
          </w:tcPr>
          <w:p w14:paraId="36B52475" w14:textId="77777777" w:rsidR="006E442A" w:rsidRDefault="006E442A" w:rsidP="006E442A">
            <w:pPr>
              <w:spacing w:after="1"/>
              <w:ind w:left="240"/>
              <w:rPr>
                <w:rFonts w:ascii="Calibri" w:eastAsia="Calibri" w:hAnsi="Calibri" w:cs="Calibri"/>
                <w:color w:val="000000"/>
                <w:sz w:val="19"/>
              </w:rPr>
            </w:pPr>
            <w:r>
              <w:rPr>
                <w:rFonts w:ascii="Calibri" w:eastAsia="Calibri" w:hAnsi="Calibri" w:cs="Calibri"/>
                <w:color w:val="000000"/>
                <w:sz w:val="19"/>
              </w:rPr>
              <w:t>Accounts receivable</w:t>
            </w:r>
          </w:p>
        </w:tc>
        <w:tc>
          <w:tcPr>
            <w:tcW w:w="141" w:type="pct"/>
            <w:tcBorders>
              <w:top w:val="nil"/>
              <w:left w:val="nil"/>
              <w:bottom w:val="nil"/>
              <w:right w:val="nil"/>
              <w:tl2br w:val="nil"/>
              <w:tr2bl w:val="nil"/>
            </w:tcBorders>
            <w:shd w:val="solid" w:color="FFFFFF" w:fill="FFFFFF"/>
            <w:noWrap/>
            <w:vAlign w:val="bottom"/>
          </w:tcPr>
          <w:p w14:paraId="5E447FA2"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04E14F9C"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52B7BA69"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xml:space="preserve"> (10,478)</w:t>
            </w:r>
          </w:p>
        </w:tc>
        <w:tc>
          <w:tcPr>
            <w:tcW w:w="141" w:type="pct"/>
            <w:tcBorders>
              <w:top w:val="nil"/>
              <w:left w:val="nil"/>
              <w:bottom w:val="nil"/>
              <w:right w:val="nil"/>
              <w:tl2br w:val="nil"/>
              <w:tr2bl w:val="nil"/>
            </w:tcBorders>
            <w:shd w:val="solid" w:color="FFFFFF" w:fill="FFFFFF"/>
            <w:noWrap/>
            <w:vAlign w:val="bottom"/>
          </w:tcPr>
          <w:p w14:paraId="6D772476"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0EBEA64D"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42FE8CF2"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xml:space="preserve"> (8,098)</w:t>
            </w:r>
          </w:p>
        </w:tc>
      </w:tr>
      <w:tr w:rsidR="006E442A" w14:paraId="71D81739" w14:textId="77777777" w:rsidTr="006E442A">
        <w:tc>
          <w:tcPr>
            <w:tcW w:w="3553" w:type="pct"/>
            <w:tcBorders>
              <w:top w:val="nil"/>
              <w:left w:val="nil"/>
              <w:bottom w:val="nil"/>
              <w:right w:val="nil"/>
              <w:tl2br w:val="nil"/>
              <w:tr2bl w:val="nil"/>
            </w:tcBorders>
            <w:shd w:val="solid" w:color="FFFFFF" w:fill="FFFFFF"/>
            <w:vAlign w:val="bottom"/>
          </w:tcPr>
          <w:p w14:paraId="43F136FB" w14:textId="77777777" w:rsidR="006E442A" w:rsidRDefault="006E442A" w:rsidP="006E442A">
            <w:pPr>
              <w:spacing w:after="1"/>
              <w:ind w:left="240"/>
              <w:rPr>
                <w:rFonts w:ascii="Calibri" w:eastAsia="Calibri" w:hAnsi="Calibri" w:cs="Calibri"/>
                <w:color w:val="000000"/>
                <w:sz w:val="19"/>
              </w:rPr>
            </w:pPr>
            <w:r>
              <w:rPr>
                <w:rFonts w:ascii="Calibri" w:eastAsia="Calibri" w:hAnsi="Calibri" w:cs="Calibri"/>
                <w:color w:val="000000"/>
                <w:sz w:val="19"/>
              </w:rPr>
              <w:t>Prepaid expenses and other assets</w:t>
            </w:r>
          </w:p>
        </w:tc>
        <w:tc>
          <w:tcPr>
            <w:tcW w:w="141" w:type="pct"/>
            <w:tcBorders>
              <w:top w:val="nil"/>
              <w:left w:val="nil"/>
              <w:bottom w:val="nil"/>
              <w:right w:val="nil"/>
              <w:tl2br w:val="nil"/>
              <w:tr2bl w:val="nil"/>
            </w:tcBorders>
            <w:shd w:val="solid" w:color="FFFFFF" w:fill="FFFFFF"/>
            <w:noWrap/>
            <w:vAlign w:val="bottom"/>
          </w:tcPr>
          <w:p w14:paraId="17D710E8"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30B03FF7"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7492BC98"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xml:space="preserve"> (12,827)</w:t>
            </w:r>
          </w:p>
        </w:tc>
        <w:tc>
          <w:tcPr>
            <w:tcW w:w="141" w:type="pct"/>
            <w:tcBorders>
              <w:top w:val="nil"/>
              <w:left w:val="nil"/>
              <w:bottom w:val="nil"/>
              <w:right w:val="nil"/>
              <w:tl2br w:val="nil"/>
              <w:tr2bl w:val="nil"/>
            </w:tcBorders>
            <w:shd w:val="solid" w:color="FFFFFF" w:fill="FFFFFF"/>
            <w:noWrap/>
            <w:vAlign w:val="bottom"/>
          </w:tcPr>
          <w:p w14:paraId="3C5A1991"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67939D60"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25095394" w14:textId="39B25FB0"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xml:space="preserve"> (3</w:t>
            </w:r>
            <w:r w:rsidR="00FD35E4">
              <w:rPr>
                <w:rFonts w:ascii="Calibri" w:eastAsia="Calibri" w:hAnsi="Calibri" w:cs="Calibri"/>
                <w:color w:val="000000"/>
                <w:sz w:val="19"/>
              </w:rPr>
              <w:t>2</w:t>
            </w:r>
            <w:r>
              <w:rPr>
                <w:rFonts w:ascii="Calibri" w:eastAsia="Calibri" w:hAnsi="Calibri" w:cs="Calibri"/>
                <w:color w:val="000000"/>
                <w:sz w:val="19"/>
              </w:rPr>
              <w:t>,</w:t>
            </w:r>
            <w:r w:rsidR="00FD35E4">
              <w:rPr>
                <w:rFonts w:ascii="Calibri" w:eastAsia="Calibri" w:hAnsi="Calibri" w:cs="Calibri"/>
                <w:color w:val="000000"/>
                <w:sz w:val="19"/>
              </w:rPr>
              <w:t>427</w:t>
            </w:r>
            <w:r>
              <w:rPr>
                <w:rFonts w:ascii="Calibri" w:eastAsia="Calibri" w:hAnsi="Calibri" w:cs="Calibri"/>
                <w:color w:val="000000"/>
                <w:sz w:val="19"/>
              </w:rPr>
              <w:t>)</w:t>
            </w:r>
          </w:p>
        </w:tc>
      </w:tr>
      <w:tr w:rsidR="006E442A" w14:paraId="2C274B4B" w14:textId="77777777" w:rsidTr="006E442A">
        <w:tc>
          <w:tcPr>
            <w:tcW w:w="3553" w:type="pct"/>
            <w:tcBorders>
              <w:top w:val="nil"/>
              <w:left w:val="nil"/>
              <w:bottom w:val="nil"/>
              <w:right w:val="nil"/>
              <w:tl2br w:val="nil"/>
              <w:tr2bl w:val="nil"/>
            </w:tcBorders>
            <w:shd w:val="solid" w:color="FFFFFF" w:fill="FFFFFF"/>
            <w:vAlign w:val="bottom"/>
          </w:tcPr>
          <w:p w14:paraId="09FFEA55" w14:textId="77777777" w:rsidR="006E442A" w:rsidRDefault="006E442A" w:rsidP="006E442A">
            <w:pPr>
              <w:spacing w:after="1"/>
              <w:ind w:left="240"/>
              <w:rPr>
                <w:rFonts w:ascii="Calibri" w:eastAsia="Calibri" w:hAnsi="Calibri" w:cs="Calibri"/>
                <w:color w:val="000000"/>
                <w:sz w:val="19"/>
              </w:rPr>
            </w:pPr>
            <w:r>
              <w:rPr>
                <w:rFonts w:ascii="Calibri" w:eastAsia="Calibri" w:hAnsi="Calibri" w:cs="Calibri"/>
                <w:color w:val="000000"/>
                <w:sz w:val="19"/>
              </w:rPr>
              <w:t>Accounts payable</w:t>
            </w:r>
          </w:p>
        </w:tc>
        <w:tc>
          <w:tcPr>
            <w:tcW w:w="141" w:type="pct"/>
            <w:tcBorders>
              <w:top w:val="nil"/>
              <w:left w:val="nil"/>
              <w:bottom w:val="nil"/>
              <w:right w:val="nil"/>
              <w:tl2br w:val="nil"/>
              <w:tr2bl w:val="nil"/>
            </w:tcBorders>
            <w:shd w:val="solid" w:color="FFFFFF" w:fill="FFFFFF"/>
            <w:noWrap/>
            <w:vAlign w:val="bottom"/>
          </w:tcPr>
          <w:p w14:paraId="39CD85D6"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1C943D1C"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7DF910E4"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3,081</w:t>
            </w:r>
          </w:p>
        </w:tc>
        <w:tc>
          <w:tcPr>
            <w:tcW w:w="141" w:type="pct"/>
            <w:tcBorders>
              <w:top w:val="nil"/>
              <w:left w:val="nil"/>
              <w:bottom w:val="nil"/>
              <w:right w:val="nil"/>
              <w:tl2br w:val="nil"/>
              <w:tr2bl w:val="nil"/>
            </w:tcBorders>
            <w:shd w:val="solid" w:color="FFFFFF" w:fill="FFFFFF"/>
            <w:noWrap/>
            <w:vAlign w:val="bottom"/>
          </w:tcPr>
          <w:p w14:paraId="570A0418"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364C03EE"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1D3F9AEE"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2,883</w:t>
            </w:r>
          </w:p>
        </w:tc>
      </w:tr>
      <w:tr w:rsidR="006E442A" w14:paraId="1A8D25CE" w14:textId="77777777" w:rsidTr="006E442A">
        <w:tc>
          <w:tcPr>
            <w:tcW w:w="3553" w:type="pct"/>
            <w:tcBorders>
              <w:top w:val="nil"/>
              <w:left w:val="nil"/>
              <w:bottom w:val="nil"/>
              <w:right w:val="nil"/>
              <w:tl2br w:val="nil"/>
              <w:tr2bl w:val="nil"/>
            </w:tcBorders>
            <w:shd w:val="solid" w:color="FFFFFF" w:fill="FFFFFF"/>
            <w:vAlign w:val="bottom"/>
          </w:tcPr>
          <w:p w14:paraId="7A8043E0" w14:textId="77777777" w:rsidR="006E442A" w:rsidRDefault="006E442A" w:rsidP="006E442A">
            <w:pPr>
              <w:spacing w:after="1"/>
              <w:ind w:left="240"/>
              <w:rPr>
                <w:rFonts w:ascii="Calibri" w:eastAsia="Calibri" w:hAnsi="Calibri" w:cs="Calibri"/>
                <w:color w:val="000000"/>
                <w:sz w:val="19"/>
              </w:rPr>
            </w:pPr>
            <w:r>
              <w:rPr>
                <w:rFonts w:ascii="Calibri" w:eastAsia="Calibri" w:hAnsi="Calibri" w:cs="Calibri"/>
                <w:color w:val="000000"/>
                <w:sz w:val="19"/>
              </w:rPr>
              <w:t>Accrued expenses</w:t>
            </w:r>
          </w:p>
        </w:tc>
        <w:tc>
          <w:tcPr>
            <w:tcW w:w="141" w:type="pct"/>
            <w:tcBorders>
              <w:top w:val="nil"/>
              <w:left w:val="nil"/>
              <w:bottom w:val="nil"/>
              <w:right w:val="nil"/>
              <w:tl2br w:val="nil"/>
              <w:tr2bl w:val="nil"/>
            </w:tcBorders>
            <w:shd w:val="solid" w:color="FFFFFF" w:fill="FFFFFF"/>
            <w:noWrap/>
            <w:vAlign w:val="bottom"/>
          </w:tcPr>
          <w:p w14:paraId="25B8DB18"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3FB9DECB"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58A4D8A1"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4,721</w:t>
            </w:r>
          </w:p>
        </w:tc>
        <w:tc>
          <w:tcPr>
            <w:tcW w:w="141" w:type="pct"/>
            <w:tcBorders>
              <w:top w:val="nil"/>
              <w:left w:val="nil"/>
              <w:bottom w:val="nil"/>
              <w:right w:val="nil"/>
              <w:tl2br w:val="nil"/>
              <w:tr2bl w:val="nil"/>
            </w:tcBorders>
            <w:shd w:val="solid" w:color="FFFFFF" w:fill="FFFFFF"/>
            <w:noWrap/>
            <w:vAlign w:val="bottom"/>
          </w:tcPr>
          <w:p w14:paraId="47176BE2"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68929D4F"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5BA9C23B" w14:textId="67A165A1"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xml:space="preserve"> (1,25</w:t>
            </w:r>
            <w:r w:rsidR="00E85251">
              <w:rPr>
                <w:rFonts w:ascii="Calibri" w:eastAsia="Calibri" w:hAnsi="Calibri" w:cs="Calibri"/>
                <w:color w:val="000000"/>
                <w:sz w:val="19"/>
              </w:rPr>
              <w:t>3</w:t>
            </w:r>
            <w:r>
              <w:rPr>
                <w:rFonts w:ascii="Calibri" w:eastAsia="Calibri" w:hAnsi="Calibri" w:cs="Calibri"/>
                <w:color w:val="000000"/>
                <w:sz w:val="19"/>
              </w:rPr>
              <w:t>)</w:t>
            </w:r>
          </w:p>
        </w:tc>
      </w:tr>
      <w:tr w:rsidR="006E442A" w14:paraId="502E8435" w14:textId="77777777" w:rsidTr="006E442A">
        <w:tc>
          <w:tcPr>
            <w:tcW w:w="3553" w:type="pct"/>
            <w:tcBorders>
              <w:top w:val="nil"/>
              <w:left w:val="nil"/>
              <w:bottom w:val="nil"/>
              <w:right w:val="nil"/>
              <w:tl2br w:val="nil"/>
              <w:tr2bl w:val="nil"/>
            </w:tcBorders>
            <w:shd w:val="solid" w:color="FFFFFF" w:fill="FFFFFF"/>
            <w:vAlign w:val="bottom"/>
          </w:tcPr>
          <w:p w14:paraId="33F0178B" w14:textId="77777777" w:rsidR="006E442A" w:rsidRDefault="006E442A" w:rsidP="006E442A">
            <w:pPr>
              <w:spacing w:after="1"/>
              <w:ind w:left="240"/>
              <w:rPr>
                <w:rFonts w:ascii="Calibri" w:eastAsia="Calibri" w:hAnsi="Calibri" w:cs="Calibri"/>
                <w:color w:val="000000"/>
                <w:sz w:val="19"/>
              </w:rPr>
            </w:pPr>
            <w:r>
              <w:rPr>
                <w:rFonts w:ascii="Calibri" w:eastAsia="Calibri" w:hAnsi="Calibri" w:cs="Calibri"/>
                <w:color w:val="000000"/>
                <w:sz w:val="19"/>
              </w:rPr>
              <w:t>Due to affiliates</w:t>
            </w:r>
          </w:p>
        </w:tc>
        <w:tc>
          <w:tcPr>
            <w:tcW w:w="141" w:type="pct"/>
            <w:tcBorders>
              <w:top w:val="nil"/>
              <w:left w:val="nil"/>
              <w:bottom w:val="nil"/>
              <w:right w:val="nil"/>
              <w:tl2br w:val="nil"/>
              <w:tr2bl w:val="nil"/>
            </w:tcBorders>
            <w:shd w:val="solid" w:color="FFFFFF" w:fill="FFFFFF"/>
            <w:noWrap/>
            <w:vAlign w:val="bottom"/>
          </w:tcPr>
          <w:p w14:paraId="1CC402D2"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26ACE52B"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51E062E9"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xml:space="preserve"> (76,997)</w:t>
            </w:r>
          </w:p>
        </w:tc>
        <w:tc>
          <w:tcPr>
            <w:tcW w:w="141" w:type="pct"/>
            <w:tcBorders>
              <w:top w:val="nil"/>
              <w:left w:val="nil"/>
              <w:bottom w:val="nil"/>
              <w:right w:val="nil"/>
              <w:tl2br w:val="nil"/>
              <w:tr2bl w:val="nil"/>
            </w:tcBorders>
            <w:shd w:val="solid" w:color="FFFFFF" w:fill="FFFFFF"/>
            <w:noWrap/>
            <w:vAlign w:val="bottom"/>
          </w:tcPr>
          <w:p w14:paraId="283F58A4"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213856CF"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096704C4" w14:textId="4D7A84EC"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xml:space="preserve"> (49,10</w:t>
            </w:r>
            <w:r w:rsidR="00E85251">
              <w:rPr>
                <w:rFonts w:ascii="Calibri" w:eastAsia="Calibri" w:hAnsi="Calibri" w:cs="Calibri"/>
                <w:color w:val="000000"/>
                <w:sz w:val="19"/>
              </w:rPr>
              <w:t>1</w:t>
            </w:r>
            <w:r>
              <w:rPr>
                <w:rFonts w:ascii="Calibri" w:eastAsia="Calibri" w:hAnsi="Calibri" w:cs="Calibri"/>
                <w:color w:val="000000"/>
                <w:sz w:val="19"/>
              </w:rPr>
              <w:t>)</w:t>
            </w:r>
          </w:p>
        </w:tc>
      </w:tr>
      <w:tr w:rsidR="006E442A" w14:paraId="5253B2D2" w14:textId="77777777" w:rsidTr="006E442A">
        <w:tc>
          <w:tcPr>
            <w:tcW w:w="3553" w:type="pct"/>
            <w:tcBorders>
              <w:top w:val="nil"/>
              <w:left w:val="nil"/>
              <w:bottom w:val="nil"/>
              <w:right w:val="nil"/>
              <w:tl2br w:val="nil"/>
              <w:tr2bl w:val="nil"/>
            </w:tcBorders>
            <w:shd w:val="solid" w:color="FFFFFF" w:fill="FFFFFF"/>
            <w:vAlign w:val="bottom"/>
          </w:tcPr>
          <w:p w14:paraId="2392B727" w14:textId="77777777" w:rsidR="006E442A" w:rsidRDefault="006E442A" w:rsidP="006E442A">
            <w:pPr>
              <w:spacing w:after="1"/>
              <w:ind w:left="240"/>
              <w:rPr>
                <w:rFonts w:ascii="Calibri" w:eastAsia="Calibri" w:hAnsi="Calibri" w:cs="Calibri"/>
                <w:color w:val="000000"/>
                <w:sz w:val="19"/>
              </w:rPr>
            </w:pPr>
            <w:r>
              <w:rPr>
                <w:rFonts w:ascii="Calibri" w:eastAsia="Calibri" w:hAnsi="Calibri" w:cs="Calibri"/>
                <w:color w:val="000000"/>
                <w:sz w:val="19"/>
              </w:rPr>
              <w:t>Contingent consideration and other liabilities</w:t>
            </w:r>
          </w:p>
        </w:tc>
        <w:tc>
          <w:tcPr>
            <w:tcW w:w="141" w:type="pct"/>
            <w:tcBorders>
              <w:top w:val="nil"/>
              <w:left w:val="nil"/>
              <w:bottom w:val="nil"/>
              <w:right w:val="nil"/>
              <w:tl2br w:val="nil"/>
              <w:tr2bl w:val="nil"/>
            </w:tcBorders>
            <w:shd w:val="solid" w:color="FFFFFF" w:fill="FFFFFF"/>
            <w:noWrap/>
            <w:vAlign w:val="bottom"/>
          </w:tcPr>
          <w:p w14:paraId="4E891B19"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7CE1764E"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70848193"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xml:space="preserve"> (22,520)</w:t>
            </w:r>
          </w:p>
        </w:tc>
        <w:tc>
          <w:tcPr>
            <w:tcW w:w="141" w:type="pct"/>
            <w:tcBorders>
              <w:top w:val="nil"/>
              <w:left w:val="nil"/>
              <w:bottom w:val="nil"/>
              <w:right w:val="nil"/>
              <w:tl2br w:val="nil"/>
              <w:tr2bl w:val="nil"/>
            </w:tcBorders>
            <w:shd w:val="solid" w:color="FFFFFF" w:fill="FFFFFF"/>
            <w:noWrap/>
            <w:vAlign w:val="bottom"/>
          </w:tcPr>
          <w:p w14:paraId="266BCC54"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108A89F6"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2DDB54DF" w14:textId="358948DE"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xml:space="preserve"> (8,</w:t>
            </w:r>
            <w:r w:rsidR="00FD35E4">
              <w:rPr>
                <w:rFonts w:ascii="Calibri" w:eastAsia="Calibri" w:hAnsi="Calibri" w:cs="Calibri"/>
                <w:color w:val="000000"/>
                <w:sz w:val="19"/>
              </w:rPr>
              <w:t>102</w:t>
            </w:r>
            <w:r>
              <w:rPr>
                <w:rFonts w:ascii="Calibri" w:eastAsia="Calibri" w:hAnsi="Calibri" w:cs="Calibri"/>
                <w:color w:val="000000"/>
                <w:sz w:val="19"/>
              </w:rPr>
              <w:t>)</w:t>
            </w:r>
          </w:p>
        </w:tc>
      </w:tr>
      <w:tr w:rsidR="006E442A" w14:paraId="6DB45FDE" w14:textId="77777777" w:rsidTr="006E442A">
        <w:tc>
          <w:tcPr>
            <w:tcW w:w="3553" w:type="pct"/>
            <w:tcBorders>
              <w:top w:val="nil"/>
              <w:left w:val="nil"/>
              <w:bottom w:val="nil"/>
              <w:right w:val="nil"/>
              <w:tl2br w:val="nil"/>
              <w:tr2bl w:val="nil"/>
            </w:tcBorders>
            <w:shd w:val="solid" w:color="FFFFFF" w:fill="FFFFFF"/>
            <w:vAlign w:val="bottom"/>
          </w:tcPr>
          <w:p w14:paraId="70000AE3" w14:textId="77777777" w:rsidR="006E442A" w:rsidRDefault="006E442A" w:rsidP="006E442A">
            <w:pPr>
              <w:spacing w:after="1"/>
              <w:ind w:left="240"/>
              <w:rPr>
                <w:rFonts w:ascii="Calibri" w:eastAsia="Calibri" w:hAnsi="Calibri" w:cs="Calibri"/>
                <w:color w:val="000000"/>
                <w:sz w:val="19"/>
              </w:rPr>
            </w:pPr>
            <w:r>
              <w:rPr>
                <w:rFonts w:ascii="Calibri" w:eastAsia="Calibri" w:hAnsi="Calibri" w:cs="Calibri"/>
                <w:color w:val="000000"/>
                <w:sz w:val="19"/>
              </w:rPr>
              <w:t>Deferred revenue</w:t>
            </w:r>
          </w:p>
        </w:tc>
        <w:tc>
          <w:tcPr>
            <w:tcW w:w="141" w:type="pct"/>
            <w:tcBorders>
              <w:top w:val="nil"/>
              <w:left w:val="nil"/>
              <w:bottom w:val="nil"/>
              <w:right w:val="nil"/>
              <w:tl2br w:val="nil"/>
              <w:tr2bl w:val="nil"/>
            </w:tcBorders>
            <w:shd w:val="solid" w:color="FFFFFF" w:fill="FFFFFF"/>
            <w:noWrap/>
            <w:vAlign w:val="bottom"/>
          </w:tcPr>
          <w:p w14:paraId="4CAE962F"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single" w:sz="4" w:space="0" w:color="000000"/>
              <w:right w:val="nil"/>
              <w:tl2br w:val="nil"/>
              <w:tr2bl w:val="nil"/>
            </w:tcBorders>
            <w:shd w:val="solid" w:color="FFFFFF" w:fill="FFFFFF"/>
            <w:noWrap/>
            <w:vAlign w:val="bottom"/>
          </w:tcPr>
          <w:p w14:paraId="60C45C51"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single" w:sz="4" w:space="0" w:color="000000"/>
              <w:right w:val="nil"/>
              <w:tl2br w:val="nil"/>
              <w:tr2bl w:val="nil"/>
            </w:tcBorders>
            <w:shd w:val="solid" w:color="FFFFFF" w:fill="FFFFFF"/>
            <w:noWrap/>
            <w:vAlign w:val="bottom"/>
          </w:tcPr>
          <w:p w14:paraId="6816880F"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1,810</w:t>
            </w:r>
          </w:p>
        </w:tc>
        <w:tc>
          <w:tcPr>
            <w:tcW w:w="141" w:type="pct"/>
            <w:tcBorders>
              <w:top w:val="nil"/>
              <w:left w:val="nil"/>
              <w:bottom w:val="nil"/>
              <w:right w:val="nil"/>
              <w:tl2br w:val="nil"/>
              <w:tr2bl w:val="nil"/>
            </w:tcBorders>
            <w:shd w:val="solid" w:color="FFFFFF" w:fill="FFFFFF"/>
            <w:noWrap/>
            <w:vAlign w:val="bottom"/>
          </w:tcPr>
          <w:p w14:paraId="436E9239"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single" w:sz="4" w:space="0" w:color="000000"/>
              <w:right w:val="nil"/>
              <w:tl2br w:val="nil"/>
              <w:tr2bl w:val="nil"/>
            </w:tcBorders>
            <w:shd w:val="solid" w:color="FFFFFF" w:fill="FFFFFF"/>
            <w:noWrap/>
            <w:vAlign w:val="bottom"/>
          </w:tcPr>
          <w:p w14:paraId="03EC6855"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single" w:sz="4" w:space="0" w:color="000000"/>
              <w:right w:val="nil"/>
              <w:tl2br w:val="nil"/>
              <w:tr2bl w:val="nil"/>
            </w:tcBorders>
            <w:shd w:val="solid" w:color="FFFFFF" w:fill="FFFFFF"/>
            <w:noWrap/>
            <w:vAlign w:val="bottom"/>
          </w:tcPr>
          <w:p w14:paraId="1F6B2D44"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669</w:t>
            </w:r>
          </w:p>
        </w:tc>
      </w:tr>
      <w:tr w:rsidR="006E442A" w14:paraId="621A765E" w14:textId="77777777" w:rsidTr="006E442A">
        <w:tc>
          <w:tcPr>
            <w:tcW w:w="3553" w:type="pct"/>
            <w:tcBorders>
              <w:top w:val="nil"/>
              <w:left w:val="nil"/>
              <w:bottom w:val="nil"/>
              <w:right w:val="nil"/>
              <w:tl2br w:val="nil"/>
              <w:tr2bl w:val="nil"/>
            </w:tcBorders>
            <w:shd w:val="solid" w:color="FFFFFF" w:fill="FFFFFF"/>
            <w:vAlign w:val="bottom"/>
          </w:tcPr>
          <w:p w14:paraId="3BCEC381" w14:textId="545ADCAE" w:rsidR="006E442A" w:rsidRDefault="006E442A" w:rsidP="006E442A">
            <w:pPr>
              <w:spacing w:after="1"/>
              <w:ind w:left="360"/>
              <w:rPr>
                <w:rFonts w:ascii="Calibri" w:eastAsia="Calibri" w:hAnsi="Calibri" w:cs="Calibri"/>
                <w:color w:val="000000"/>
                <w:sz w:val="19"/>
              </w:rPr>
            </w:pPr>
            <w:r>
              <w:rPr>
                <w:rFonts w:ascii="Calibri" w:eastAsia="Calibri" w:hAnsi="Calibri" w:cs="Calibri"/>
                <w:color w:val="000000"/>
                <w:sz w:val="19"/>
              </w:rPr>
              <w:t>Net cash used in operating activities</w:t>
            </w:r>
          </w:p>
        </w:tc>
        <w:tc>
          <w:tcPr>
            <w:tcW w:w="141" w:type="pct"/>
            <w:tcBorders>
              <w:top w:val="nil"/>
              <w:left w:val="nil"/>
              <w:bottom w:val="nil"/>
              <w:right w:val="nil"/>
              <w:tl2br w:val="nil"/>
              <w:tr2bl w:val="nil"/>
            </w:tcBorders>
            <w:shd w:val="solid" w:color="FFFFFF" w:fill="FFFFFF"/>
            <w:noWrap/>
            <w:vAlign w:val="bottom"/>
          </w:tcPr>
          <w:p w14:paraId="062F0F72"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single" w:sz="4" w:space="0" w:color="000000"/>
              <w:right w:val="nil"/>
              <w:tl2br w:val="nil"/>
              <w:tr2bl w:val="nil"/>
            </w:tcBorders>
            <w:shd w:val="solid" w:color="FFFFFF" w:fill="FFFFFF"/>
            <w:noWrap/>
            <w:vAlign w:val="bottom"/>
          </w:tcPr>
          <w:p w14:paraId="56704B40"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single" w:sz="4" w:space="0" w:color="000000"/>
              <w:right w:val="nil"/>
              <w:tl2br w:val="nil"/>
              <w:tr2bl w:val="nil"/>
            </w:tcBorders>
            <w:shd w:val="solid" w:color="FFFFFF" w:fill="FFFFFF"/>
            <w:noWrap/>
            <w:vAlign w:val="bottom"/>
          </w:tcPr>
          <w:p w14:paraId="2D03B0FD"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xml:space="preserve"> (4,642)</w:t>
            </w:r>
          </w:p>
        </w:tc>
        <w:tc>
          <w:tcPr>
            <w:tcW w:w="141" w:type="pct"/>
            <w:tcBorders>
              <w:top w:val="nil"/>
              <w:left w:val="nil"/>
              <w:bottom w:val="nil"/>
              <w:right w:val="nil"/>
              <w:tl2br w:val="nil"/>
              <w:tr2bl w:val="nil"/>
            </w:tcBorders>
            <w:shd w:val="solid" w:color="FFFFFF" w:fill="FFFFFF"/>
            <w:noWrap/>
            <w:vAlign w:val="bottom"/>
          </w:tcPr>
          <w:p w14:paraId="01A9B27B"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single" w:sz="4" w:space="0" w:color="000000"/>
              <w:right w:val="nil"/>
              <w:tl2br w:val="nil"/>
              <w:tr2bl w:val="nil"/>
            </w:tcBorders>
            <w:shd w:val="solid" w:color="FFFFFF" w:fill="FFFFFF"/>
            <w:noWrap/>
            <w:vAlign w:val="bottom"/>
          </w:tcPr>
          <w:p w14:paraId="6630C09E"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single" w:sz="4" w:space="0" w:color="000000"/>
              <w:right w:val="nil"/>
              <w:tl2br w:val="nil"/>
              <w:tr2bl w:val="nil"/>
            </w:tcBorders>
            <w:shd w:val="solid" w:color="FFFFFF" w:fill="FFFFFF"/>
            <w:noWrap/>
            <w:vAlign w:val="bottom"/>
          </w:tcPr>
          <w:p w14:paraId="775A667B"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xml:space="preserve"> (3,228)</w:t>
            </w:r>
          </w:p>
        </w:tc>
      </w:tr>
      <w:tr w:rsidR="006E442A" w14:paraId="08B228AB" w14:textId="77777777" w:rsidTr="006E442A">
        <w:tc>
          <w:tcPr>
            <w:tcW w:w="3553" w:type="pct"/>
            <w:tcBorders>
              <w:top w:val="nil"/>
              <w:left w:val="nil"/>
              <w:bottom w:val="nil"/>
              <w:right w:val="nil"/>
              <w:tl2br w:val="nil"/>
              <w:tr2bl w:val="nil"/>
            </w:tcBorders>
            <w:shd w:val="solid" w:color="FFFFFF" w:fill="FFFFFF"/>
            <w:vAlign w:val="bottom"/>
          </w:tcPr>
          <w:p w14:paraId="2C3BCD64"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CASH FLOWS FROM INVESTING ACTIVITIES:</w:t>
            </w:r>
          </w:p>
        </w:tc>
        <w:tc>
          <w:tcPr>
            <w:tcW w:w="141" w:type="pct"/>
            <w:tcBorders>
              <w:top w:val="nil"/>
              <w:left w:val="nil"/>
              <w:bottom w:val="nil"/>
              <w:right w:val="nil"/>
              <w:tl2br w:val="nil"/>
              <w:tr2bl w:val="nil"/>
            </w:tcBorders>
            <w:shd w:val="solid" w:color="FFFFFF" w:fill="FFFFFF"/>
            <w:noWrap/>
            <w:vAlign w:val="bottom"/>
          </w:tcPr>
          <w:p w14:paraId="0D43359F"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666CC264"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756A67EB"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w:t>
            </w:r>
          </w:p>
        </w:tc>
        <w:tc>
          <w:tcPr>
            <w:tcW w:w="141" w:type="pct"/>
            <w:tcBorders>
              <w:top w:val="nil"/>
              <w:left w:val="nil"/>
              <w:bottom w:val="nil"/>
              <w:right w:val="nil"/>
              <w:tl2br w:val="nil"/>
              <w:tr2bl w:val="nil"/>
            </w:tcBorders>
            <w:shd w:val="solid" w:color="FFFFFF" w:fill="FFFFFF"/>
            <w:noWrap/>
            <w:vAlign w:val="bottom"/>
          </w:tcPr>
          <w:p w14:paraId="0E218A4D"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37C35D0D"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5CD59496"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w:t>
            </w:r>
          </w:p>
        </w:tc>
      </w:tr>
      <w:tr w:rsidR="006E442A" w14:paraId="2D88CA03" w14:textId="77777777" w:rsidTr="006E442A">
        <w:tc>
          <w:tcPr>
            <w:tcW w:w="3553" w:type="pct"/>
            <w:tcBorders>
              <w:top w:val="nil"/>
              <w:left w:val="nil"/>
              <w:bottom w:val="nil"/>
              <w:right w:val="nil"/>
              <w:tl2br w:val="nil"/>
              <w:tr2bl w:val="nil"/>
            </w:tcBorders>
            <w:shd w:val="solid" w:color="FFFFFF" w:fill="FFFFFF"/>
            <w:vAlign w:val="bottom"/>
          </w:tcPr>
          <w:p w14:paraId="35CEEA5C" w14:textId="77777777" w:rsidR="006E442A" w:rsidRDefault="006E442A" w:rsidP="006E442A">
            <w:pPr>
              <w:spacing w:after="1"/>
              <w:ind w:left="120"/>
              <w:rPr>
                <w:rFonts w:ascii="Calibri" w:eastAsia="Calibri" w:hAnsi="Calibri" w:cs="Calibri"/>
                <w:color w:val="000000"/>
                <w:sz w:val="19"/>
              </w:rPr>
            </w:pPr>
            <w:r>
              <w:rPr>
                <w:rFonts w:ascii="Calibri" w:eastAsia="Calibri" w:hAnsi="Calibri" w:cs="Calibri"/>
                <w:color w:val="000000"/>
                <w:sz w:val="19"/>
              </w:rPr>
              <w:t>Cash paid for acquisitions and contingent consideration—net of cash acquired</w:t>
            </w:r>
          </w:p>
        </w:tc>
        <w:tc>
          <w:tcPr>
            <w:tcW w:w="141" w:type="pct"/>
            <w:tcBorders>
              <w:top w:val="nil"/>
              <w:left w:val="nil"/>
              <w:bottom w:val="nil"/>
              <w:right w:val="nil"/>
              <w:tl2br w:val="nil"/>
              <w:tr2bl w:val="nil"/>
            </w:tcBorders>
            <w:shd w:val="solid" w:color="FFFFFF" w:fill="FFFFFF"/>
            <w:noWrap/>
            <w:vAlign w:val="bottom"/>
          </w:tcPr>
          <w:p w14:paraId="5E0194C6"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7DB56976"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339BC589"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xml:space="preserve"> (2,603)</w:t>
            </w:r>
          </w:p>
        </w:tc>
        <w:tc>
          <w:tcPr>
            <w:tcW w:w="141" w:type="pct"/>
            <w:tcBorders>
              <w:top w:val="nil"/>
              <w:left w:val="nil"/>
              <w:bottom w:val="nil"/>
              <w:right w:val="nil"/>
              <w:tl2br w:val="nil"/>
              <w:tr2bl w:val="nil"/>
            </w:tcBorders>
            <w:shd w:val="solid" w:color="FFFFFF" w:fill="FFFFFF"/>
            <w:noWrap/>
            <w:vAlign w:val="bottom"/>
          </w:tcPr>
          <w:p w14:paraId="79F5E15F"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68D3FA16"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272E1282"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xml:space="preserve"> (84,708)</w:t>
            </w:r>
          </w:p>
        </w:tc>
      </w:tr>
      <w:tr w:rsidR="006E442A" w14:paraId="6B4628EC" w14:textId="77777777" w:rsidTr="006E442A">
        <w:tc>
          <w:tcPr>
            <w:tcW w:w="3553" w:type="pct"/>
            <w:tcBorders>
              <w:top w:val="nil"/>
              <w:left w:val="nil"/>
              <w:bottom w:val="nil"/>
              <w:right w:val="nil"/>
              <w:tl2br w:val="nil"/>
              <w:tr2bl w:val="nil"/>
            </w:tcBorders>
            <w:shd w:val="solid" w:color="FFFFFF" w:fill="FFFFFF"/>
            <w:vAlign w:val="bottom"/>
          </w:tcPr>
          <w:p w14:paraId="73BAA52F" w14:textId="77777777" w:rsidR="006E442A" w:rsidRDefault="006E442A" w:rsidP="006E442A">
            <w:pPr>
              <w:spacing w:after="1"/>
              <w:ind w:left="120"/>
              <w:rPr>
                <w:rFonts w:ascii="Calibri" w:eastAsia="Calibri" w:hAnsi="Calibri" w:cs="Calibri"/>
                <w:color w:val="000000"/>
                <w:sz w:val="19"/>
              </w:rPr>
            </w:pPr>
            <w:r>
              <w:rPr>
                <w:rFonts w:ascii="Calibri" w:eastAsia="Calibri" w:hAnsi="Calibri" w:cs="Calibri"/>
                <w:color w:val="000000"/>
                <w:sz w:val="19"/>
              </w:rPr>
              <w:t>Purchase of fixed assets</w:t>
            </w:r>
          </w:p>
        </w:tc>
        <w:tc>
          <w:tcPr>
            <w:tcW w:w="141" w:type="pct"/>
            <w:tcBorders>
              <w:top w:val="nil"/>
              <w:left w:val="nil"/>
              <w:bottom w:val="nil"/>
              <w:right w:val="nil"/>
              <w:tl2br w:val="nil"/>
              <w:tr2bl w:val="nil"/>
            </w:tcBorders>
            <w:shd w:val="solid" w:color="FFFFFF" w:fill="FFFFFF"/>
            <w:noWrap/>
            <w:vAlign w:val="bottom"/>
          </w:tcPr>
          <w:p w14:paraId="5A6002F2"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305DD5F5"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1AE5DBE4"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xml:space="preserve"> (3,232)</w:t>
            </w:r>
          </w:p>
        </w:tc>
        <w:tc>
          <w:tcPr>
            <w:tcW w:w="141" w:type="pct"/>
            <w:tcBorders>
              <w:top w:val="nil"/>
              <w:left w:val="nil"/>
              <w:bottom w:val="nil"/>
              <w:right w:val="nil"/>
              <w:tl2br w:val="nil"/>
              <w:tr2bl w:val="nil"/>
            </w:tcBorders>
            <w:shd w:val="solid" w:color="FFFFFF" w:fill="FFFFFF"/>
            <w:noWrap/>
            <w:vAlign w:val="bottom"/>
          </w:tcPr>
          <w:p w14:paraId="7F318308"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297CB581"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304BE969"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xml:space="preserve"> (5,609)</w:t>
            </w:r>
          </w:p>
        </w:tc>
      </w:tr>
      <w:tr w:rsidR="006E442A" w14:paraId="009D2AB2" w14:textId="77777777" w:rsidTr="006E442A">
        <w:tc>
          <w:tcPr>
            <w:tcW w:w="3553" w:type="pct"/>
            <w:tcBorders>
              <w:top w:val="nil"/>
              <w:left w:val="nil"/>
              <w:bottom w:val="nil"/>
              <w:right w:val="nil"/>
              <w:tl2br w:val="nil"/>
              <w:tr2bl w:val="nil"/>
            </w:tcBorders>
            <w:shd w:val="solid" w:color="FFFFFF" w:fill="FFFFFF"/>
            <w:vAlign w:val="bottom"/>
          </w:tcPr>
          <w:p w14:paraId="7D9CE662" w14:textId="18A92EB2" w:rsidR="006E442A" w:rsidRDefault="006E442A" w:rsidP="006E442A">
            <w:pPr>
              <w:spacing w:after="1"/>
              <w:ind w:left="120"/>
              <w:rPr>
                <w:rFonts w:ascii="Calibri" w:eastAsia="Calibri" w:hAnsi="Calibri" w:cs="Calibri"/>
                <w:color w:val="000000"/>
                <w:sz w:val="19"/>
              </w:rPr>
            </w:pPr>
            <w:r>
              <w:rPr>
                <w:rFonts w:ascii="Calibri" w:eastAsia="Calibri" w:hAnsi="Calibri" w:cs="Calibri"/>
                <w:color w:val="000000"/>
                <w:sz w:val="19"/>
              </w:rPr>
              <w:t>Investment</w:t>
            </w:r>
            <w:r w:rsidR="00E26A4C">
              <w:rPr>
                <w:rFonts w:ascii="Calibri" w:eastAsia="Calibri" w:hAnsi="Calibri" w:cs="Calibri"/>
                <w:color w:val="000000"/>
                <w:sz w:val="19"/>
              </w:rPr>
              <w:t>s</w:t>
            </w:r>
            <w:r>
              <w:rPr>
                <w:rFonts w:ascii="Calibri" w:eastAsia="Calibri" w:hAnsi="Calibri" w:cs="Calibri"/>
                <w:color w:val="000000"/>
                <w:sz w:val="19"/>
              </w:rPr>
              <w:t xml:space="preserve"> and other, net</w:t>
            </w:r>
          </w:p>
        </w:tc>
        <w:tc>
          <w:tcPr>
            <w:tcW w:w="141" w:type="pct"/>
            <w:tcBorders>
              <w:top w:val="nil"/>
              <w:left w:val="nil"/>
              <w:bottom w:val="nil"/>
              <w:right w:val="nil"/>
              <w:tl2br w:val="nil"/>
              <w:tr2bl w:val="nil"/>
            </w:tcBorders>
            <w:shd w:val="solid" w:color="FFFFFF" w:fill="FFFFFF"/>
            <w:noWrap/>
            <w:vAlign w:val="bottom"/>
          </w:tcPr>
          <w:p w14:paraId="073F392A"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single" w:sz="4" w:space="0" w:color="000000"/>
              <w:right w:val="nil"/>
              <w:tl2br w:val="nil"/>
              <w:tr2bl w:val="nil"/>
            </w:tcBorders>
            <w:shd w:val="solid" w:color="FFFFFF" w:fill="FFFFFF"/>
            <w:noWrap/>
            <w:vAlign w:val="bottom"/>
          </w:tcPr>
          <w:p w14:paraId="1F80A19A"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single" w:sz="4" w:space="0" w:color="000000"/>
              <w:right w:val="nil"/>
              <w:tl2br w:val="nil"/>
              <w:tr2bl w:val="nil"/>
            </w:tcBorders>
            <w:shd w:val="solid" w:color="FFFFFF" w:fill="FFFFFF"/>
            <w:noWrap/>
            <w:vAlign w:val="bottom"/>
          </w:tcPr>
          <w:p w14:paraId="24C46444"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xml:space="preserve"> (5,232)</w:t>
            </w:r>
          </w:p>
        </w:tc>
        <w:tc>
          <w:tcPr>
            <w:tcW w:w="141" w:type="pct"/>
            <w:tcBorders>
              <w:top w:val="nil"/>
              <w:left w:val="nil"/>
              <w:bottom w:val="nil"/>
              <w:right w:val="nil"/>
              <w:tl2br w:val="nil"/>
              <w:tr2bl w:val="nil"/>
            </w:tcBorders>
            <w:shd w:val="solid" w:color="FFFFFF" w:fill="FFFFFF"/>
            <w:noWrap/>
            <w:vAlign w:val="bottom"/>
          </w:tcPr>
          <w:p w14:paraId="1D475DF2"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single" w:sz="4" w:space="0" w:color="000000"/>
              <w:right w:val="nil"/>
              <w:tl2br w:val="nil"/>
              <w:tr2bl w:val="nil"/>
            </w:tcBorders>
            <w:shd w:val="solid" w:color="FFFFFF" w:fill="FFFFFF"/>
            <w:noWrap/>
            <w:vAlign w:val="bottom"/>
          </w:tcPr>
          <w:p w14:paraId="55EBCD34"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single" w:sz="4" w:space="0" w:color="000000"/>
              <w:right w:val="nil"/>
              <w:tl2br w:val="nil"/>
              <w:tr2bl w:val="nil"/>
            </w:tcBorders>
            <w:shd w:val="solid" w:color="FFFFFF" w:fill="FFFFFF"/>
            <w:noWrap/>
            <w:vAlign w:val="bottom"/>
          </w:tcPr>
          <w:p w14:paraId="522C17E2"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w:t>
            </w:r>
          </w:p>
        </w:tc>
      </w:tr>
      <w:tr w:rsidR="006E442A" w14:paraId="575B50E0" w14:textId="77777777" w:rsidTr="006E442A">
        <w:tc>
          <w:tcPr>
            <w:tcW w:w="3553" w:type="pct"/>
            <w:tcBorders>
              <w:top w:val="nil"/>
              <w:left w:val="nil"/>
              <w:bottom w:val="nil"/>
              <w:right w:val="nil"/>
              <w:tl2br w:val="nil"/>
              <w:tr2bl w:val="nil"/>
            </w:tcBorders>
            <w:shd w:val="solid" w:color="FFFFFF" w:fill="FFFFFF"/>
            <w:vAlign w:val="bottom"/>
          </w:tcPr>
          <w:p w14:paraId="287BB03A" w14:textId="77777777" w:rsidR="006E442A" w:rsidRDefault="006E442A" w:rsidP="006E442A">
            <w:pPr>
              <w:spacing w:after="1"/>
              <w:ind w:left="360"/>
              <w:rPr>
                <w:rFonts w:ascii="Calibri" w:eastAsia="Calibri" w:hAnsi="Calibri" w:cs="Calibri"/>
                <w:color w:val="000000"/>
                <w:sz w:val="19"/>
              </w:rPr>
            </w:pPr>
            <w:r>
              <w:rPr>
                <w:rFonts w:ascii="Calibri" w:eastAsia="Calibri" w:hAnsi="Calibri" w:cs="Calibri"/>
                <w:color w:val="000000"/>
                <w:sz w:val="19"/>
              </w:rPr>
              <w:t>Net cash used in investing activities</w:t>
            </w:r>
          </w:p>
        </w:tc>
        <w:tc>
          <w:tcPr>
            <w:tcW w:w="141" w:type="pct"/>
            <w:tcBorders>
              <w:top w:val="nil"/>
              <w:left w:val="nil"/>
              <w:bottom w:val="nil"/>
              <w:right w:val="nil"/>
              <w:tl2br w:val="nil"/>
              <w:tr2bl w:val="nil"/>
            </w:tcBorders>
            <w:shd w:val="solid" w:color="FFFFFF" w:fill="FFFFFF"/>
            <w:noWrap/>
            <w:vAlign w:val="bottom"/>
          </w:tcPr>
          <w:p w14:paraId="2C247870"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single" w:sz="4" w:space="0" w:color="000000"/>
              <w:right w:val="nil"/>
              <w:tl2br w:val="nil"/>
              <w:tr2bl w:val="nil"/>
            </w:tcBorders>
            <w:shd w:val="solid" w:color="FFFFFF" w:fill="FFFFFF"/>
            <w:noWrap/>
            <w:vAlign w:val="bottom"/>
          </w:tcPr>
          <w:p w14:paraId="0E2D3E17"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single" w:sz="4" w:space="0" w:color="000000"/>
              <w:right w:val="nil"/>
              <w:tl2br w:val="nil"/>
              <w:tr2bl w:val="nil"/>
            </w:tcBorders>
            <w:shd w:val="solid" w:color="FFFFFF" w:fill="FFFFFF"/>
            <w:noWrap/>
            <w:vAlign w:val="bottom"/>
          </w:tcPr>
          <w:p w14:paraId="78B3A892"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xml:space="preserve"> (11,067)</w:t>
            </w:r>
          </w:p>
        </w:tc>
        <w:tc>
          <w:tcPr>
            <w:tcW w:w="141" w:type="pct"/>
            <w:tcBorders>
              <w:top w:val="nil"/>
              <w:left w:val="nil"/>
              <w:bottom w:val="nil"/>
              <w:right w:val="nil"/>
              <w:tl2br w:val="nil"/>
              <w:tr2bl w:val="nil"/>
            </w:tcBorders>
            <w:shd w:val="solid" w:color="FFFFFF" w:fill="FFFFFF"/>
            <w:noWrap/>
            <w:vAlign w:val="bottom"/>
          </w:tcPr>
          <w:p w14:paraId="1F56D1AE"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single" w:sz="4" w:space="0" w:color="000000"/>
              <w:right w:val="nil"/>
              <w:tl2br w:val="nil"/>
              <w:tr2bl w:val="nil"/>
            </w:tcBorders>
            <w:shd w:val="solid" w:color="FFFFFF" w:fill="FFFFFF"/>
            <w:noWrap/>
            <w:vAlign w:val="bottom"/>
          </w:tcPr>
          <w:p w14:paraId="60B6B9FB"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single" w:sz="4" w:space="0" w:color="000000"/>
              <w:right w:val="nil"/>
              <w:tl2br w:val="nil"/>
              <w:tr2bl w:val="nil"/>
            </w:tcBorders>
            <w:shd w:val="solid" w:color="FFFFFF" w:fill="FFFFFF"/>
            <w:noWrap/>
            <w:vAlign w:val="bottom"/>
          </w:tcPr>
          <w:p w14:paraId="5D09ADBF"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xml:space="preserve"> (90,317)</w:t>
            </w:r>
          </w:p>
        </w:tc>
      </w:tr>
      <w:tr w:rsidR="006E442A" w14:paraId="517C428A" w14:textId="77777777" w:rsidTr="006E442A">
        <w:tc>
          <w:tcPr>
            <w:tcW w:w="3553" w:type="pct"/>
            <w:tcBorders>
              <w:top w:val="nil"/>
              <w:left w:val="nil"/>
              <w:bottom w:val="nil"/>
              <w:right w:val="nil"/>
              <w:tl2br w:val="nil"/>
              <w:tr2bl w:val="nil"/>
            </w:tcBorders>
            <w:shd w:val="solid" w:color="FFFFFF" w:fill="FFFFFF"/>
            <w:vAlign w:val="bottom"/>
          </w:tcPr>
          <w:p w14:paraId="653A8F11"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CASH FLOWS FROM FINANCING ACTIVITIES:</w:t>
            </w:r>
          </w:p>
        </w:tc>
        <w:tc>
          <w:tcPr>
            <w:tcW w:w="141" w:type="pct"/>
            <w:tcBorders>
              <w:top w:val="nil"/>
              <w:left w:val="nil"/>
              <w:bottom w:val="nil"/>
              <w:right w:val="nil"/>
              <w:tl2br w:val="nil"/>
              <w:tr2bl w:val="nil"/>
            </w:tcBorders>
            <w:shd w:val="solid" w:color="FFFFFF" w:fill="FFFFFF"/>
            <w:noWrap/>
            <w:vAlign w:val="bottom"/>
          </w:tcPr>
          <w:p w14:paraId="128F7C62"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25A38316"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0CE8A169"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w:t>
            </w:r>
          </w:p>
        </w:tc>
        <w:tc>
          <w:tcPr>
            <w:tcW w:w="141" w:type="pct"/>
            <w:tcBorders>
              <w:top w:val="nil"/>
              <w:left w:val="nil"/>
              <w:bottom w:val="nil"/>
              <w:right w:val="nil"/>
              <w:tl2br w:val="nil"/>
              <w:tr2bl w:val="nil"/>
            </w:tcBorders>
            <w:shd w:val="solid" w:color="FFFFFF" w:fill="FFFFFF"/>
            <w:noWrap/>
            <w:vAlign w:val="bottom"/>
          </w:tcPr>
          <w:p w14:paraId="5384F862"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2F39AD21"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52B3A98C"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w:t>
            </w:r>
          </w:p>
        </w:tc>
      </w:tr>
      <w:tr w:rsidR="006E442A" w14:paraId="78335258" w14:textId="77777777" w:rsidTr="006E442A">
        <w:tc>
          <w:tcPr>
            <w:tcW w:w="3553" w:type="pct"/>
            <w:tcBorders>
              <w:top w:val="nil"/>
              <w:left w:val="nil"/>
              <w:bottom w:val="nil"/>
              <w:right w:val="nil"/>
              <w:tl2br w:val="nil"/>
              <w:tr2bl w:val="nil"/>
            </w:tcBorders>
            <w:shd w:val="solid" w:color="FFFFFF" w:fill="FFFFFF"/>
            <w:vAlign w:val="bottom"/>
          </w:tcPr>
          <w:p w14:paraId="27118A71" w14:textId="77777777" w:rsidR="006E442A" w:rsidRDefault="006E442A" w:rsidP="006E442A">
            <w:pPr>
              <w:spacing w:after="1"/>
              <w:ind w:left="120"/>
              <w:rPr>
                <w:rFonts w:ascii="Calibri" w:eastAsia="Calibri" w:hAnsi="Calibri" w:cs="Calibri"/>
                <w:color w:val="000000"/>
                <w:sz w:val="19"/>
              </w:rPr>
            </w:pPr>
            <w:r>
              <w:rPr>
                <w:rFonts w:ascii="Calibri" w:eastAsia="Calibri" w:hAnsi="Calibri" w:cs="Calibri"/>
                <w:color w:val="000000"/>
                <w:sz w:val="19"/>
              </w:rPr>
              <w:t>Borrowings under credit facilities</w:t>
            </w:r>
          </w:p>
        </w:tc>
        <w:tc>
          <w:tcPr>
            <w:tcW w:w="141" w:type="pct"/>
            <w:tcBorders>
              <w:top w:val="nil"/>
              <w:left w:val="nil"/>
              <w:bottom w:val="nil"/>
              <w:right w:val="nil"/>
              <w:tl2br w:val="nil"/>
              <w:tr2bl w:val="nil"/>
            </w:tcBorders>
            <w:shd w:val="solid" w:color="FFFFFF" w:fill="FFFFFF"/>
            <w:noWrap/>
            <w:vAlign w:val="bottom"/>
          </w:tcPr>
          <w:p w14:paraId="66F8D083"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72642C05"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07F9B461"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50,000</w:t>
            </w:r>
          </w:p>
        </w:tc>
        <w:tc>
          <w:tcPr>
            <w:tcW w:w="141" w:type="pct"/>
            <w:tcBorders>
              <w:top w:val="nil"/>
              <w:left w:val="nil"/>
              <w:bottom w:val="nil"/>
              <w:right w:val="nil"/>
              <w:tl2br w:val="nil"/>
              <w:tr2bl w:val="nil"/>
            </w:tcBorders>
            <w:shd w:val="solid" w:color="FFFFFF" w:fill="FFFFFF"/>
            <w:noWrap/>
            <w:vAlign w:val="bottom"/>
          </w:tcPr>
          <w:p w14:paraId="1189AAC2"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69688CD2"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6AEF44E7"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98,500</w:t>
            </w:r>
          </w:p>
        </w:tc>
      </w:tr>
      <w:tr w:rsidR="006E442A" w14:paraId="7BB03D2F" w14:textId="77777777" w:rsidTr="006E442A">
        <w:tc>
          <w:tcPr>
            <w:tcW w:w="3553" w:type="pct"/>
            <w:tcBorders>
              <w:top w:val="nil"/>
              <w:left w:val="nil"/>
              <w:bottom w:val="nil"/>
              <w:right w:val="nil"/>
              <w:tl2br w:val="nil"/>
              <w:tr2bl w:val="nil"/>
            </w:tcBorders>
            <w:shd w:val="solid" w:color="FFFFFF" w:fill="FFFFFF"/>
            <w:vAlign w:val="bottom"/>
          </w:tcPr>
          <w:p w14:paraId="63EAE0B2" w14:textId="77777777" w:rsidR="006E442A" w:rsidRDefault="006E442A" w:rsidP="006E442A">
            <w:pPr>
              <w:spacing w:after="1"/>
              <w:ind w:left="120"/>
              <w:rPr>
                <w:rFonts w:ascii="Calibri" w:eastAsia="Calibri" w:hAnsi="Calibri" w:cs="Calibri"/>
                <w:color w:val="000000"/>
                <w:sz w:val="19"/>
              </w:rPr>
            </w:pPr>
            <w:r>
              <w:rPr>
                <w:rFonts w:ascii="Calibri" w:eastAsia="Calibri" w:hAnsi="Calibri" w:cs="Calibri"/>
                <w:color w:val="000000"/>
                <w:sz w:val="19"/>
              </w:rPr>
              <w:t>Repayments of borrowings under credit facilities</w:t>
            </w:r>
          </w:p>
        </w:tc>
        <w:tc>
          <w:tcPr>
            <w:tcW w:w="141" w:type="pct"/>
            <w:tcBorders>
              <w:top w:val="nil"/>
              <w:left w:val="nil"/>
              <w:bottom w:val="nil"/>
              <w:right w:val="nil"/>
              <w:tl2br w:val="nil"/>
              <w:tr2bl w:val="nil"/>
            </w:tcBorders>
            <w:shd w:val="solid" w:color="FFFFFF" w:fill="FFFFFF"/>
            <w:noWrap/>
            <w:vAlign w:val="bottom"/>
          </w:tcPr>
          <w:p w14:paraId="44BAE7B4"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5157B277"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2C666369"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xml:space="preserve"> (6,174)</w:t>
            </w:r>
          </w:p>
        </w:tc>
        <w:tc>
          <w:tcPr>
            <w:tcW w:w="141" w:type="pct"/>
            <w:tcBorders>
              <w:top w:val="nil"/>
              <w:left w:val="nil"/>
              <w:bottom w:val="nil"/>
              <w:right w:val="nil"/>
              <w:tl2br w:val="nil"/>
              <w:tr2bl w:val="nil"/>
            </w:tcBorders>
            <w:shd w:val="solid" w:color="FFFFFF" w:fill="FFFFFF"/>
            <w:noWrap/>
            <w:vAlign w:val="bottom"/>
          </w:tcPr>
          <w:p w14:paraId="6F00875D"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0255DAEC"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32BC4502"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xml:space="preserve"> (6,451)</w:t>
            </w:r>
          </w:p>
        </w:tc>
      </w:tr>
      <w:tr w:rsidR="006E442A" w14:paraId="6E2CC0D8" w14:textId="77777777" w:rsidTr="006E442A">
        <w:tc>
          <w:tcPr>
            <w:tcW w:w="3553" w:type="pct"/>
            <w:tcBorders>
              <w:top w:val="nil"/>
              <w:left w:val="nil"/>
              <w:bottom w:val="nil"/>
              <w:right w:val="nil"/>
              <w:tl2br w:val="nil"/>
              <w:tr2bl w:val="nil"/>
            </w:tcBorders>
            <w:shd w:val="solid" w:color="FFFFFF" w:fill="FFFFFF"/>
            <w:vAlign w:val="bottom"/>
          </w:tcPr>
          <w:p w14:paraId="332834A7" w14:textId="77777777" w:rsidR="006E442A" w:rsidRDefault="006E442A" w:rsidP="006E442A">
            <w:pPr>
              <w:spacing w:after="1"/>
              <w:ind w:left="120"/>
              <w:rPr>
                <w:rFonts w:ascii="Calibri" w:eastAsia="Calibri" w:hAnsi="Calibri" w:cs="Calibri"/>
                <w:color w:val="000000"/>
                <w:sz w:val="19"/>
              </w:rPr>
            </w:pPr>
            <w:r>
              <w:rPr>
                <w:rFonts w:ascii="Calibri" w:eastAsia="Calibri" w:hAnsi="Calibri" w:cs="Calibri"/>
                <w:color w:val="000000"/>
                <w:sz w:val="19"/>
              </w:rPr>
              <w:t>Payments in connection with tax receivable agreements</w:t>
            </w:r>
          </w:p>
        </w:tc>
        <w:tc>
          <w:tcPr>
            <w:tcW w:w="141" w:type="pct"/>
            <w:tcBorders>
              <w:top w:val="nil"/>
              <w:left w:val="nil"/>
              <w:bottom w:val="nil"/>
              <w:right w:val="nil"/>
              <w:tl2br w:val="nil"/>
              <w:tr2bl w:val="nil"/>
            </w:tcBorders>
            <w:shd w:val="solid" w:color="FFFFFF" w:fill="FFFFFF"/>
            <w:noWrap/>
            <w:vAlign w:val="bottom"/>
          </w:tcPr>
          <w:p w14:paraId="2878B8D2"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3A571513"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39D04A00"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xml:space="preserve"> (3,856)</w:t>
            </w:r>
          </w:p>
        </w:tc>
        <w:tc>
          <w:tcPr>
            <w:tcW w:w="141" w:type="pct"/>
            <w:tcBorders>
              <w:top w:val="nil"/>
              <w:left w:val="nil"/>
              <w:bottom w:val="nil"/>
              <w:right w:val="nil"/>
              <w:tl2br w:val="nil"/>
              <w:tr2bl w:val="nil"/>
            </w:tcBorders>
            <w:shd w:val="solid" w:color="FFFFFF" w:fill="FFFFFF"/>
            <w:noWrap/>
            <w:vAlign w:val="bottom"/>
          </w:tcPr>
          <w:p w14:paraId="06B3C283"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3939CD45"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798493F3"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xml:space="preserve"> (9,598)</w:t>
            </w:r>
          </w:p>
        </w:tc>
      </w:tr>
      <w:tr w:rsidR="006E442A" w14:paraId="6A9EC0F1" w14:textId="77777777" w:rsidTr="006E442A">
        <w:tc>
          <w:tcPr>
            <w:tcW w:w="3553" w:type="pct"/>
            <w:tcBorders>
              <w:top w:val="nil"/>
              <w:left w:val="nil"/>
              <w:bottom w:val="nil"/>
              <w:right w:val="nil"/>
              <w:tl2br w:val="nil"/>
              <w:tr2bl w:val="nil"/>
            </w:tcBorders>
            <w:shd w:val="solid" w:color="FFFFFF" w:fill="FFFFFF"/>
            <w:vAlign w:val="bottom"/>
          </w:tcPr>
          <w:p w14:paraId="45EF0A24" w14:textId="77777777" w:rsidR="006E442A" w:rsidRDefault="006E442A" w:rsidP="006E442A">
            <w:pPr>
              <w:spacing w:after="1"/>
              <w:ind w:left="120"/>
              <w:rPr>
                <w:rFonts w:ascii="Calibri" w:eastAsia="Calibri" w:hAnsi="Calibri" w:cs="Calibri"/>
                <w:color w:val="000000"/>
                <w:sz w:val="19"/>
              </w:rPr>
            </w:pPr>
            <w:r>
              <w:rPr>
                <w:rFonts w:ascii="Calibri" w:eastAsia="Calibri" w:hAnsi="Calibri" w:cs="Calibri"/>
                <w:color w:val="000000"/>
                <w:sz w:val="19"/>
              </w:rPr>
              <w:t>Contingent consideration paid</w:t>
            </w:r>
          </w:p>
        </w:tc>
        <w:tc>
          <w:tcPr>
            <w:tcW w:w="141" w:type="pct"/>
            <w:tcBorders>
              <w:top w:val="nil"/>
              <w:left w:val="nil"/>
              <w:bottom w:val="nil"/>
              <w:right w:val="nil"/>
              <w:tl2br w:val="nil"/>
              <w:tr2bl w:val="nil"/>
            </w:tcBorders>
            <w:shd w:val="solid" w:color="FFFFFF" w:fill="FFFFFF"/>
            <w:noWrap/>
            <w:vAlign w:val="bottom"/>
          </w:tcPr>
          <w:p w14:paraId="7E64E1AA"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7F3227BF"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422BC74B"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xml:space="preserve"> (10,443)</w:t>
            </w:r>
          </w:p>
        </w:tc>
        <w:tc>
          <w:tcPr>
            <w:tcW w:w="141" w:type="pct"/>
            <w:tcBorders>
              <w:top w:val="nil"/>
              <w:left w:val="nil"/>
              <w:bottom w:val="nil"/>
              <w:right w:val="nil"/>
              <w:tl2br w:val="nil"/>
              <w:tr2bl w:val="nil"/>
            </w:tcBorders>
            <w:shd w:val="solid" w:color="FFFFFF" w:fill="FFFFFF"/>
            <w:noWrap/>
            <w:vAlign w:val="bottom"/>
          </w:tcPr>
          <w:p w14:paraId="24895A4B"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4459C51D"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42EBC985"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xml:space="preserve"> (14,815)</w:t>
            </w:r>
          </w:p>
        </w:tc>
      </w:tr>
      <w:tr w:rsidR="006E442A" w14:paraId="276610E8" w14:textId="77777777" w:rsidTr="006E442A">
        <w:tc>
          <w:tcPr>
            <w:tcW w:w="3553" w:type="pct"/>
            <w:tcBorders>
              <w:top w:val="nil"/>
              <w:left w:val="nil"/>
              <w:bottom w:val="nil"/>
              <w:right w:val="nil"/>
              <w:tl2br w:val="nil"/>
              <w:tr2bl w:val="nil"/>
            </w:tcBorders>
            <w:shd w:val="solid" w:color="FFFFFF" w:fill="FFFFFF"/>
            <w:vAlign w:val="bottom"/>
          </w:tcPr>
          <w:p w14:paraId="675CBE48" w14:textId="4788F138" w:rsidR="006E442A" w:rsidRDefault="006E442A" w:rsidP="006E442A">
            <w:pPr>
              <w:spacing w:after="1"/>
              <w:ind w:left="120"/>
              <w:rPr>
                <w:rFonts w:ascii="Calibri" w:eastAsia="Calibri" w:hAnsi="Calibri" w:cs="Calibri"/>
                <w:color w:val="000000"/>
                <w:sz w:val="19"/>
              </w:rPr>
            </w:pPr>
            <w:r>
              <w:rPr>
                <w:rFonts w:ascii="Calibri" w:eastAsia="Calibri" w:hAnsi="Calibri" w:cs="Calibri"/>
                <w:color w:val="000000"/>
                <w:sz w:val="19"/>
              </w:rPr>
              <w:t xml:space="preserve">Payments of deferred </w:t>
            </w:r>
            <w:r w:rsidR="000C7FCF">
              <w:rPr>
                <w:rFonts w:ascii="Calibri" w:eastAsia="Calibri" w:hAnsi="Calibri" w:cs="Calibri"/>
                <w:color w:val="000000"/>
                <w:sz w:val="19"/>
              </w:rPr>
              <w:t>cash</w:t>
            </w:r>
            <w:r>
              <w:rPr>
                <w:rFonts w:ascii="Calibri" w:eastAsia="Calibri" w:hAnsi="Calibri" w:cs="Calibri"/>
                <w:color w:val="000000"/>
                <w:sz w:val="19"/>
              </w:rPr>
              <w:t xml:space="preserve"> consideration</w:t>
            </w:r>
          </w:p>
        </w:tc>
        <w:tc>
          <w:tcPr>
            <w:tcW w:w="141" w:type="pct"/>
            <w:tcBorders>
              <w:top w:val="nil"/>
              <w:left w:val="nil"/>
              <w:bottom w:val="nil"/>
              <w:right w:val="nil"/>
              <w:tl2br w:val="nil"/>
              <w:tr2bl w:val="nil"/>
            </w:tcBorders>
            <w:shd w:val="solid" w:color="FFFFFF" w:fill="FFFFFF"/>
            <w:noWrap/>
            <w:vAlign w:val="bottom"/>
          </w:tcPr>
          <w:p w14:paraId="6BFCBD1A"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59EF6C54"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511BC348"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w:t>
            </w:r>
          </w:p>
        </w:tc>
        <w:tc>
          <w:tcPr>
            <w:tcW w:w="141" w:type="pct"/>
            <w:tcBorders>
              <w:top w:val="nil"/>
              <w:left w:val="nil"/>
              <w:bottom w:val="nil"/>
              <w:right w:val="nil"/>
              <w:tl2br w:val="nil"/>
              <w:tr2bl w:val="nil"/>
            </w:tcBorders>
            <w:shd w:val="solid" w:color="FFFFFF" w:fill="FFFFFF"/>
            <w:noWrap/>
            <w:vAlign w:val="bottom"/>
          </w:tcPr>
          <w:p w14:paraId="311F8928"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21DDA1DE"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4E978F6C"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xml:space="preserve"> (12,505)</w:t>
            </w:r>
          </w:p>
        </w:tc>
      </w:tr>
      <w:tr w:rsidR="006E442A" w14:paraId="265AF72D" w14:textId="77777777" w:rsidTr="006E442A">
        <w:tc>
          <w:tcPr>
            <w:tcW w:w="3553" w:type="pct"/>
            <w:tcBorders>
              <w:top w:val="nil"/>
              <w:left w:val="nil"/>
              <w:bottom w:val="nil"/>
              <w:right w:val="nil"/>
              <w:tl2br w:val="nil"/>
              <w:tr2bl w:val="nil"/>
            </w:tcBorders>
            <w:shd w:val="solid" w:color="FFFFFF" w:fill="FFFFFF"/>
            <w:vAlign w:val="bottom"/>
          </w:tcPr>
          <w:p w14:paraId="11A352A0" w14:textId="77777777" w:rsidR="006E442A" w:rsidRDefault="006E442A" w:rsidP="006E442A">
            <w:pPr>
              <w:spacing w:after="1"/>
              <w:ind w:left="120"/>
              <w:rPr>
                <w:rFonts w:ascii="Calibri" w:eastAsia="Calibri" w:hAnsi="Calibri" w:cs="Calibri"/>
                <w:color w:val="000000"/>
                <w:sz w:val="19"/>
              </w:rPr>
            </w:pPr>
            <w:r>
              <w:rPr>
                <w:rFonts w:ascii="Calibri" w:eastAsia="Calibri" w:hAnsi="Calibri" w:cs="Calibri"/>
                <w:color w:val="000000"/>
                <w:sz w:val="19"/>
              </w:rPr>
              <w:t>Proceeds from exercise of stock options</w:t>
            </w:r>
          </w:p>
        </w:tc>
        <w:tc>
          <w:tcPr>
            <w:tcW w:w="141" w:type="pct"/>
            <w:tcBorders>
              <w:top w:val="nil"/>
              <w:left w:val="nil"/>
              <w:bottom w:val="nil"/>
              <w:right w:val="nil"/>
              <w:tl2br w:val="nil"/>
              <w:tr2bl w:val="nil"/>
            </w:tcBorders>
            <w:shd w:val="solid" w:color="FFFFFF" w:fill="FFFFFF"/>
            <w:noWrap/>
            <w:vAlign w:val="bottom"/>
          </w:tcPr>
          <w:p w14:paraId="41A57C65"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04A21858" w14:textId="77777777" w:rsidR="006E442A" w:rsidRDefault="006E442A" w:rsidP="006E442A">
            <w:pPr>
              <w:spacing w:after="1"/>
              <w:rPr>
                <w:rFonts w:ascii="Calibri" w:eastAsia="Calibri" w:hAnsi="Calibri" w:cs="Calibri"/>
                <w:color w:val="000000"/>
                <w:sz w:val="19"/>
              </w:rPr>
            </w:pPr>
          </w:p>
        </w:tc>
        <w:tc>
          <w:tcPr>
            <w:tcW w:w="491" w:type="pct"/>
            <w:tcBorders>
              <w:top w:val="nil"/>
              <w:left w:val="nil"/>
              <w:bottom w:val="nil"/>
              <w:right w:val="nil"/>
              <w:tl2br w:val="nil"/>
              <w:tr2bl w:val="nil"/>
            </w:tcBorders>
            <w:shd w:val="solid" w:color="FFFFFF" w:fill="FFFFFF"/>
            <w:noWrap/>
            <w:vAlign w:val="bottom"/>
          </w:tcPr>
          <w:p w14:paraId="598C9FCA"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422</w:t>
            </w:r>
          </w:p>
        </w:tc>
        <w:tc>
          <w:tcPr>
            <w:tcW w:w="141" w:type="pct"/>
            <w:tcBorders>
              <w:top w:val="nil"/>
              <w:left w:val="nil"/>
              <w:bottom w:val="nil"/>
              <w:right w:val="nil"/>
              <w:tl2br w:val="nil"/>
              <w:tr2bl w:val="nil"/>
            </w:tcBorders>
            <w:shd w:val="solid" w:color="FFFFFF" w:fill="FFFFFF"/>
            <w:noWrap/>
            <w:vAlign w:val="bottom"/>
          </w:tcPr>
          <w:p w14:paraId="02DAEE97"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23FFC10B"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259D8097"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1,005</w:t>
            </w:r>
          </w:p>
        </w:tc>
      </w:tr>
      <w:tr w:rsidR="006E442A" w14:paraId="0DA22D9E" w14:textId="77777777" w:rsidTr="006E442A">
        <w:tc>
          <w:tcPr>
            <w:tcW w:w="3553" w:type="pct"/>
            <w:tcBorders>
              <w:top w:val="nil"/>
              <w:left w:val="nil"/>
              <w:bottom w:val="nil"/>
              <w:right w:val="nil"/>
              <w:tl2br w:val="nil"/>
              <w:tr2bl w:val="nil"/>
            </w:tcBorders>
            <w:shd w:val="solid" w:color="FFFFFF" w:fill="FFFFFF"/>
            <w:vAlign w:val="bottom"/>
          </w:tcPr>
          <w:p w14:paraId="0AC9366B" w14:textId="77777777" w:rsidR="006E442A" w:rsidRDefault="006E442A" w:rsidP="006E442A">
            <w:pPr>
              <w:spacing w:after="1"/>
              <w:ind w:left="120"/>
              <w:rPr>
                <w:rFonts w:ascii="Calibri" w:eastAsia="Calibri" w:hAnsi="Calibri" w:cs="Calibri"/>
                <w:color w:val="000000"/>
                <w:sz w:val="19"/>
              </w:rPr>
            </w:pPr>
            <w:r>
              <w:rPr>
                <w:rFonts w:ascii="Calibri" w:eastAsia="Calibri" w:hAnsi="Calibri" w:cs="Calibri"/>
                <w:color w:val="000000"/>
                <w:sz w:val="19"/>
              </w:rPr>
              <w:t>Equity awards withholding</w:t>
            </w:r>
          </w:p>
        </w:tc>
        <w:tc>
          <w:tcPr>
            <w:tcW w:w="141" w:type="pct"/>
            <w:tcBorders>
              <w:top w:val="nil"/>
              <w:left w:val="nil"/>
              <w:bottom w:val="nil"/>
              <w:right w:val="nil"/>
              <w:tl2br w:val="nil"/>
              <w:tr2bl w:val="nil"/>
            </w:tcBorders>
            <w:shd w:val="solid" w:color="FFFFFF" w:fill="FFFFFF"/>
            <w:noWrap/>
            <w:vAlign w:val="bottom"/>
          </w:tcPr>
          <w:p w14:paraId="64395BC5"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0782778D" w14:textId="77777777" w:rsidR="006E442A" w:rsidRDefault="006E442A" w:rsidP="006E442A">
            <w:pPr>
              <w:spacing w:after="1"/>
              <w:rPr>
                <w:rFonts w:ascii="Calibri" w:eastAsia="Calibri" w:hAnsi="Calibri" w:cs="Calibri"/>
                <w:color w:val="000000"/>
                <w:sz w:val="19"/>
              </w:rPr>
            </w:pPr>
          </w:p>
        </w:tc>
        <w:tc>
          <w:tcPr>
            <w:tcW w:w="491" w:type="pct"/>
            <w:tcBorders>
              <w:top w:val="nil"/>
              <w:left w:val="nil"/>
              <w:bottom w:val="nil"/>
              <w:right w:val="nil"/>
              <w:tl2br w:val="nil"/>
              <w:tr2bl w:val="nil"/>
            </w:tcBorders>
            <w:shd w:val="solid" w:color="FFFFFF" w:fill="FFFFFF"/>
            <w:noWrap/>
            <w:vAlign w:val="bottom"/>
          </w:tcPr>
          <w:p w14:paraId="33310DAD"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w:t>
            </w:r>
          </w:p>
        </w:tc>
        <w:tc>
          <w:tcPr>
            <w:tcW w:w="141" w:type="pct"/>
            <w:tcBorders>
              <w:top w:val="nil"/>
              <w:left w:val="nil"/>
              <w:bottom w:val="nil"/>
              <w:right w:val="nil"/>
              <w:tl2br w:val="nil"/>
              <w:tr2bl w:val="nil"/>
            </w:tcBorders>
            <w:shd w:val="solid" w:color="FFFFFF" w:fill="FFFFFF"/>
            <w:noWrap/>
            <w:vAlign w:val="bottom"/>
          </w:tcPr>
          <w:p w14:paraId="7BE67B30"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5410DC5E"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25E2ECC6"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xml:space="preserve"> (704)</w:t>
            </w:r>
          </w:p>
        </w:tc>
      </w:tr>
      <w:tr w:rsidR="006E442A" w14:paraId="0773E1B5" w14:textId="77777777" w:rsidTr="006E442A">
        <w:tc>
          <w:tcPr>
            <w:tcW w:w="3553" w:type="pct"/>
            <w:tcBorders>
              <w:top w:val="nil"/>
              <w:left w:val="nil"/>
              <w:bottom w:val="nil"/>
              <w:right w:val="nil"/>
              <w:tl2br w:val="nil"/>
              <w:tr2bl w:val="nil"/>
            </w:tcBorders>
            <w:shd w:val="solid" w:color="FFFFFF" w:fill="FFFFFF"/>
            <w:vAlign w:val="bottom"/>
          </w:tcPr>
          <w:p w14:paraId="21BCB707" w14:textId="77777777" w:rsidR="006E442A" w:rsidRDefault="006E442A" w:rsidP="006E442A">
            <w:pPr>
              <w:spacing w:after="1"/>
              <w:ind w:left="120"/>
              <w:rPr>
                <w:rFonts w:ascii="Calibri" w:eastAsia="Calibri" w:hAnsi="Calibri" w:cs="Calibri"/>
                <w:color w:val="000000"/>
                <w:sz w:val="19"/>
              </w:rPr>
            </w:pPr>
            <w:r>
              <w:rPr>
                <w:rFonts w:ascii="Calibri" w:eastAsia="Calibri" w:hAnsi="Calibri" w:cs="Calibri"/>
                <w:color w:val="000000"/>
                <w:sz w:val="19"/>
              </w:rPr>
              <w:t>Distributions for unitholders</w:t>
            </w:r>
          </w:p>
        </w:tc>
        <w:tc>
          <w:tcPr>
            <w:tcW w:w="141" w:type="pct"/>
            <w:tcBorders>
              <w:top w:val="nil"/>
              <w:left w:val="nil"/>
              <w:bottom w:val="nil"/>
              <w:right w:val="nil"/>
              <w:tl2br w:val="nil"/>
              <w:tr2bl w:val="nil"/>
            </w:tcBorders>
            <w:shd w:val="solid" w:color="FFFFFF" w:fill="FFFFFF"/>
            <w:noWrap/>
            <w:vAlign w:val="bottom"/>
          </w:tcPr>
          <w:p w14:paraId="5FC65CF6"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single" w:sz="4" w:space="0" w:color="000000"/>
              <w:right w:val="nil"/>
              <w:tl2br w:val="nil"/>
              <w:tr2bl w:val="nil"/>
            </w:tcBorders>
            <w:shd w:val="solid" w:color="FFFFFF" w:fill="FFFFFF"/>
            <w:noWrap/>
            <w:vAlign w:val="bottom"/>
          </w:tcPr>
          <w:p w14:paraId="57E925E7" w14:textId="77777777" w:rsidR="006E442A" w:rsidRDefault="006E442A" w:rsidP="006E442A">
            <w:pPr>
              <w:spacing w:after="1"/>
              <w:rPr>
                <w:rFonts w:ascii="Calibri" w:eastAsia="Calibri" w:hAnsi="Calibri" w:cs="Calibri"/>
                <w:color w:val="000000"/>
                <w:sz w:val="19"/>
              </w:rPr>
            </w:pPr>
          </w:p>
        </w:tc>
        <w:tc>
          <w:tcPr>
            <w:tcW w:w="491" w:type="pct"/>
            <w:tcBorders>
              <w:top w:val="nil"/>
              <w:left w:val="nil"/>
              <w:bottom w:val="single" w:sz="4" w:space="0" w:color="000000"/>
              <w:right w:val="nil"/>
              <w:tl2br w:val="nil"/>
              <w:tr2bl w:val="nil"/>
            </w:tcBorders>
            <w:shd w:val="solid" w:color="FFFFFF" w:fill="FFFFFF"/>
            <w:noWrap/>
            <w:vAlign w:val="bottom"/>
          </w:tcPr>
          <w:p w14:paraId="265FF546"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xml:space="preserve"> (8,209)</w:t>
            </w:r>
          </w:p>
        </w:tc>
        <w:tc>
          <w:tcPr>
            <w:tcW w:w="141" w:type="pct"/>
            <w:tcBorders>
              <w:top w:val="nil"/>
              <w:left w:val="nil"/>
              <w:bottom w:val="nil"/>
              <w:right w:val="nil"/>
              <w:tl2br w:val="nil"/>
              <w:tr2bl w:val="nil"/>
            </w:tcBorders>
            <w:shd w:val="solid" w:color="FFFFFF" w:fill="FFFFFF"/>
            <w:noWrap/>
            <w:vAlign w:val="bottom"/>
          </w:tcPr>
          <w:p w14:paraId="4A51368D"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single" w:sz="4" w:space="0" w:color="000000"/>
              <w:right w:val="nil"/>
              <w:tl2br w:val="nil"/>
              <w:tr2bl w:val="nil"/>
            </w:tcBorders>
            <w:shd w:val="solid" w:color="FFFFFF" w:fill="FFFFFF"/>
            <w:noWrap/>
            <w:vAlign w:val="bottom"/>
          </w:tcPr>
          <w:p w14:paraId="28A69AF0"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single" w:sz="4" w:space="0" w:color="000000"/>
              <w:right w:val="nil"/>
              <w:tl2br w:val="nil"/>
              <w:tr2bl w:val="nil"/>
            </w:tcBorders>
            <w:shd w:val="solid" w:color="FFFFFF" w:fill="FFFFFF"/>
            <w:noWrap/>
            <w:vAlign w:val="bottom"/>
          </w:tcPr>
          <w:p w14:paraId="1A92A941"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xml:space="preserve"> (1,531)</w:t>
            </w:r>
          </w:p>
        </w:tc>
      </w:tr>
      <w:tr w:rsidR="006E442A" w14:paraId="1036EFFD" w14:textId="77777777" w:rsidTr="006E442A">
        <w:tc>
          <w:tcPr>
            <w:tcW w:w="3553" w:type="pct"/>
            <w:tcBorders>
              <w:top w:val="nil"/>
              <w:left w:val="nil"/>
              <w:bottom w:val="nil"/>
              <w:right w:val="nil"/>
              <w:tl2br w:val="nil"/>
              <w:tr2bl w:val="nil"/>
            </w:tcBorders>
            <w:shd w:val="solid" w:color="FFFFFF" w:fill="FFFFFF"/>
            <w:vAlign w:val="bottom"/>
          </w:tcPr>
          <w:p w14:paraId="03A68DFC" w14:textId="77777777" w:rsidR="006E442A" w:rsidRDefault="006E442A" w:rsidP="006E442A">
            <w:pPr>
              <w:spacing w:after="1"/>
              <w:ind w:left="360"/>
              <w:rPr>
                <w:rFonts w:ascii="Calibri" w:eastAsia="Calibri" w:hAnsi="Calibri" w:cs="Calibri"/>
                <w:color w:val="000000"/>
                <w:sz w:val="19"/>
              </w:rPr>
            </w:pPr>
            <w:r>
              <w:rPr>
                <w:rFonts w:ascii="Calibri" w:eastAsia="Calibri" w:hAnsi="Calibri" w:cs="Calibri"/>
                <w:color w:val="000000"/>
                <w:sz w:val="19"/>
              </w:rPr>
              <w:t>Net cash provided by financing activities</w:t>
            </w:r>
          </w:p>
        </w:tc>
        <w:tc>
          <w:tcPr>
            <w:tcW w:w="141" w:type="pct"/>
            <w:tcBorders>
              <w:top w:val="nil"/>
              <w:left w:val="nil"/>
              <w:bottom w:val="nil"/>
              <w:right w:val="nil"/>
              <w:tl2br w:val="nil"/>
              <w:tr2bl w:val="nil"/>
            </w:tcBorders>
            <w:shd w:val="solid" w:color="FFFFFF" w:fill="FFFFFF"/>
            <w:noWrap/>
            <w:vAlign w:val="bottom"/>
          </w:tcPr>
          <w:p w14:paraId="27A1BCFD"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single" w:sz="4" w:space="0" w:color="000000"/>
              <w:right w:val="nil"/>
              <w:tl2br w:val="nil"/>
              <w:tr2bl w:val="nil"/>
            </w:tcBorders>
            <w:shd w:val="solid" w:color="FFFFFF" w:fill="FFFFFF"/>
            <w:noWrap/>
            <w:vAlign w:val="bottom"/>
          </w:tcPr>
          <w:p w14:paraId="02DBF17B"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single" w:sz="4" w:space="0" w:color="000000"/>
              <w:right w:val="nil"/>
              <w:tl2br w:val="nil"/>
              <w:tr2bl w:val="nil"/>
            </w:tcBorders>
            <w:shd w:val="solid" w:color="FFFFFF" w:fill="FFFFFF"/>
            <w:noWrap/>
            <w:vAlign w:val="bottom"/>
          </w:tcPr>
          <w:p w14:paraId="4ACBBEAB"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21,740</w:t>
            </w:r>
          </w:p>
        </w:tc>
        <w:tc>
          <w:tcPr>
            <w:tcW w:w="141" w:type="pct"/>
            <w:tcBorders>
              <w:top w:val="nil"/>
              <w:left w:val="nil"/>
              <w:bottom w:val="nil"/>
              <w:right w:val="nil"/>
              <w:tl2br w:val="nil"/>
              <w:tr2bl w:val="nil"/>
            </w:tcBorders>
            <w:shd w:val="solid" w:color="FFFFFF" w:fill="FFFFFF"/>
            <w:noWrap/>
            <w:vAlign w:val="bottom"/>
          </w:tcPr>
          <w:p w14:paraId="055E8ECD"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single" w:sz="4" w:space="0" w:color="000000"/>
              <w:right w:val="nil"/>
              <w:tl2br w:val="nil"/>
              <w:tr2bl w:val="nil"/>
            </w:tcBorders>
            <w:shd w:val="solid" w:color="FFFFFF" w:fill="FFFFFF"/>
            <w:noWrap/>
            <w:vAlign w:val="bottom"/>
          </w:tcPr>
          <w:p w14:paraId="17990F70"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single" w:sz="4" w:space="0" w:color="000000"/>
              <w:right w:val="nil"/>
              <w:tl2br w:val="nil"/>
              <w:tr2bl w:val="nil"/>
            </w:tcBorders>
            <w:shd w:val="solid" w:color="FFFFFF" w:fill="FFFFFF"/>
            <w:noWrap/>
            <w:vAlign w:val="bottom"/>
          </w:tcPr>
          <w:p w14:paraId="65F201AB"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53,901</w:t>
            </w:r>
          </w:p>
        </w:tc>
      </w:tr>
      <w:tr w:rsidR="006E442A" w14:paraId="0AFD08C7" w14:textId="77777777" w:rsidTr="006E442A">
        <w:tc>
          <w:tcPr>
            <w:tcW w:w="3553" w:type="pct"/>
            <w:tcBorders>
              <w:top w:val="nil"/>
              <w:left w:val="nil"/>
              <w:bottom w:val="nil"/>
              <w:right w:val="nil"/>
              <w:tl2br w:val="nil"/>
              <w:tr2bl w:val="nil"/>
            </w:tcBorders>
            <w:shd w:val="solid" w:color="FFFFFF" w:fill="FFFFFF"/>
            <w:vAlign w:val="bottom"/>
          </w:tcPr>
          <w:p w14:paraId="26A181D9"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EFFECT OF EXCHANGE RATES ON CASH AND CASH EQUIVALENTS</w:t>
            </w:r>
          </w:p>
        </w:tc>
        <w:tc>
          <w:tcPr>
            <w:tcW w:w="141" w:type="pct"/>
            <w:tcBorders>
              <w:top w:val="nil"/>
              <w:left w:val="nil"/>
              <w:bottom w:val="nil"/>
              <w:right w:val="nil"/>
              <w:tl2br w:val="nil"/>
              <w:tr2bl w:val="nil"/>
            </w:tcBorders>
            <w:shd w:val="solid" w:color="FFFFFF" w:fill="FFFFFF"/>
            <w:noWrap/>
            <w:vAlign w:val="bottom"/>
          </w:tcPr>
          <w:p w14:paraId="1CFF1982"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single" w:sz="4" w:space="0" w:color="000000"/>
              <w:right w:val="nil"/>
              <w:tl2br w:val="nil"/>
              <w:tr2bl w:val="nil"/>
            </w:tcBorders>
            <w:shd w:val="solid" w:color="FFFFFF" w:fill="FFFFFF"/>
            <w:noWrap/>
            <w:vAlign w:val="bottom"/>
          </w:tcPr>
          <w:p w14:paraId="01824222"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single" w:sz="4" w:space="0" w:color="000000"/>
              <w:right w:val="nil"/>
              <w:tl2br w:val="nil"/>
              <w:tr2bl w:val="nil"/>
            </w:tcBorders>
            <w:shd w:val="solid" w:color="FFFFFF" w:fill="FFFFFF"/>
            <w:noWrap/>
            <w:vAlign w:val="bottom"/>
          </w:tcPr>
          <w:p w14:paraId="7D2FC4C6"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319</w:t>
            </w:r>
          </w:p>
        </w:tc>
        <w:tc>
          <w:tcPr>
            <w:tcW w:w="141" w:type="pct"/>
            <w:tcBorders>
              <w:top w:val="nil"/>
              <w:left w:val="nil"/>
              <w:bottom w:val="nil"/>
              <w:right w:val="nil"/>
              <w:tl2br w:val="nil"/>
              <w:tr2bl w:val="nil"/>
            </w:tcBorders>
            <w:shd w:val="solid" w:color="FFFFFF" w:fill="FFFFFF"/>
            <w:noWrap/>
            <w:vAlign w:val="bottom"/>
          </w:tcPr>
          <w:p w14:paraId="2C9CE980"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single" w:sz="4" w:space="0" w:color="000000"/>
              <w:right w:val="nil"/>
              <w:tl2br w:val="nil"/>
              <w:tr2bl w:val="nil"/>
            </w:tcBorders>
            <w:shd w:val="solid" w:color="FFFFFF" w:fill="FFFFFF"/>
            <w:noWrap/>
            <w:vAlign w:val="bottom"/>
          </w:tcPr>
          <w:p w14:paraId="1AB6A566"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single" w:sz="4" w:space="0" w:color="000000"/>
              <w:right w:val="nil"/>
              <w:tl2br w:val="nil"/>
              <w:tr2bl w:val="nil"/>
            </w:tcBorders>
            <w:shd w:val="solid" w:color="FFFFFF" w:fill="FFFFFF"/>
            <w:noWrap/>
            <w:vAlign w:val="bottom"/>
          </w:tcPr>
          <w:p w14:paraId="6BF401FC"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xml:space="preserve"> (130)</w:t>
            </w:r>
          </w:p>
        </w:tc>
      </w:tr>
      <w:tr w:rsidR="006E442A" w14:paraId="64948A88" w14:textId="77777777" w:rsidTr="006E442A">
        <w:tc>
          <w:tcPr>
            <w:tcW w:w="3553" w:type="pct"/>
            <w:tcBorders>
              <w:top w:val="nil"/>
              <w:left w:val="nil"/>
              <w:bottom w:val="nil"/>
              <w:right w:val="nil"/>
              <w:tl2br w:val="nil"/>
              <w:tr2bl w:val="nil"/>
            </w:tcBorders>
            <w:shd w:val="solid" w:color="FFFFFF" w:fill="FFFFFF"/>
            <w:vAlign w:val="bottom"/>
          </w:tcPr>
          <w:p w14:paraId="284660E2"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CHANGE IN CASH AND CASH EQUIVALENTS</w:t>
            </w:r>
          </w:p>
        </w:tc>
        <w:tc>
          <w:tcPr>
            <w:tcW w:w="141" w:type="pct"/>
            <w:tcBorders>
              <w:top w:val="nil"/>
              <w:left w:val="nil"/>
              <w:bottom w:val="nil"/>
              <w:right w:val="nil"/>
              <w:tl2br w:val="nil"/>
              <w:tr2bl w:val="nil"/>
            </w:tcBorders>
            <w:shd w:val="solid" w:color="FFFFFF" w:fill="FFFFFF"/>
            <w:noWrap/>
            <w:vAlign w:val="bottom"/>
          </w:tcPr>
          <w:p w14:paraId="2EFF867C"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1BD7085C"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23686593"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6,350</w:t>
            </w:r>
          </w:p>
        </w:tc>
        <w:tc>
          <w:tcPr>
            <w:tcW w:w="141" w:type="pct"/>
            <w:tcBorders>
              <w:top w:val="nil"/>
              <w:left w:val="nil"/>
              <w:bottom w:val="nil"/>
              <w:right w:val="nil"/>
              <w:tl2br w:val="nil"/>
              <w:tr2bl w:val="nil"/>
            </w:tcBorders>
            <w:shd w:val="solid" w:color="FFFFFF" w:fill="FFFFFF"/>
            <w:noWrap/>
            <w:vAlign w:val="bottom"/>
          </w:tcPr>
          <w:p w14:paraId="770D7C0F"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5B5D4C79"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254BB612"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xml:space="preserve"> (39,774)</w:t>
            </w:r>
          </w:p>
        </w:tc>
      </w:tr>
      <w:tr w:rsidR="006E442A" w14:paraId="23B38294" w14:textId="77777777" w:rsidTr="006E442A">
        <w:tc>
          <w:tcPr>
            <w:tcW w:w="3553" w:type="pct"/>
            <w:tcBorders>
              <w:top w:val="nil"/>
              <w:left w:val="nil"/>
              <w:bottom w:val="nil"/>
              <w:right w:val="nil"/>
              <w:tl2br w:val="nil"/>
              <w:tr2bl w:val="nil"/>
            </w:tcBorders>
            <w:shd w:val="solid" w:color="FFFFFF" w:fill="FFFFFF"/>
            <w:vAlign w:val="bottom"/>
          </w:tcPr>
          <w:p w14:paraId="319373E0"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CASH AND CASH EQUIVALENTS:</w:t>
            </w:r>
          </w:p>
        </w:tc>
        <w:tc>
          <w:tcPr>
            <w:tcW w:w="141" w:type="pct"/>
            <w:tcBorders>
              <w:top w:val="nil"/>
              <w:left w:val="nil"/>
              <w:bottom w:val="nil"/>
              <w:right w:val="nil"/>
              <w:tl2br w:val="nil"/>
              <w:tr2bl w:val="nil"/>
            </w:tcBorders>
            <w:shd w:val="solid" w:color="FFFFFF" w:fill="FFFFFF"/>
            <w:noWrap/>
            <w:vAlign w:val="bottom"/>
          </w:tcPr>
          <w:p w14:paraId="00D12482"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72723151"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21DAE312"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w:t>
            </w:r>
          </w:p>
        </w:tc>
        <w:tc>
          <w:tcPr>
            <w:tcW w:w="141" w:type="pct"/>
            <w:tcBorders>
              <w:top w:val="nil"/>
              <w:left w:val="nil"/>
              <w:bottom w:val="nil"/>
              <w:right w:val="nil"/>
              <w:tl2br w:val="nil"/>
              <w:tr2bl w:val="nil"/>
            </w:tcBorders>
            <w:shd w:val="solid" w:color="FFFFFF" w:fill="FFFFFF"/>
            <w:noWrap/>
            <w:vAlign w:val="bottom"/>
          </w:tcPr>
          <w:p w14:paraId="6545E51B"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45732628"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nil"/>
              <w:right w:val="nil"/>
              <w:tl2br w:val="nil"/>
              <w:tr2bl w:val="nil"/>
            </w:tcBorders>
            <w:shd w:val="solid" w:color="FFFFFF" w:fill="FFFFFF"/>
            <w:noWrap/>
            <w:vAlign w:val="bottom"/>
          </w:tcPr>
          <w:p w14:paraId="6D8BB534" w14:textId="77777777" w:rsidR="006E442A" w:rsidRDefault="006E442A" w:rsidP="006E442A">
            <w:pPr>
              <w:spacing w:after="1"/>
              <w:jc w:val="right"/>
              <w:rPr>
                <w:rFonts w:ascii="Calibri" w:eastAsia="Calibri" w:hAnsi="Calibri" w:cs="Calibri"/>
                <w:color w:val="000000"/>
                <w:sz w:val="19"/>
              </w:rPr>
            </w:pPr>
            <w:r>
              <w:rPr>
                <w:rFonts w:ascii="Calibri" w:eastAsia="Calibri" w:hAnsi="Calibri" w:cs="Calibri"/>
                <w:color w:val="000000"/>
                <w:sz w:val="19"/>
              </w:rPr>
              <w:t>  </w:t>
            </w:r>
          </w:p>
        </w:tc>
      </w:tr>
      <w:tr w:rsidR="006E442A" w14:paraId="666C1F31" w14:textId="77777777" w:rsidTr="006E442A">
        <w:tc>
          <w:tcPr>
            <w:tcW w:w="3553" w:type="pct"/>
            <w:tcBorders>
              <w:top w:val="nil"/>
              <w:left w:val="nil"/>
              <w:bottom w:val="nil"/>
              <w:right w:val="nil"/>
              <w:tl2br w:val="nil"/>
              <w:tr2bl w:val="nil"/>
            </w:tcBorders>
            <w:shd w:val="solid" w:color="FFFFFF" w:fill="FFFFFF"/>
            <w:vAlign w:val="bottom"/>
          </w:tcPr>
          <w:p w14:paraId="38A536D1" w14:textId="77777777" w:rsidR="006E442A" w:rsidRDefault="006E442A" w:rsidP="006E442A">
            <w:pPr>
              <w:spacing w:after="1"/>
              <w:ind w:left="120"/>
              <w:rPr>
                <w:rFonts w:ascii="Calibri" w:eastAsia="Calibri" w:hAnsi="Calibri" w:cs="Calibri"/>
                <w:color w:val="000000"/>
                <w:sz w:val="19"/>
              </w:rPr>
            </w:pPr>
            <w:r>
              <w:rPr>
                <w:rFonts w:ascii="Calibri" w:eastAsia="Calibri" w:hAnsi="Calibri" w:cs="Calibri"/>
                <w:color w:val="000000"/>
                <w:sz w:val="19"/>
              </w:rPr>
              <w:t>Beginning of period</w:t>
            </w:r>
          </w:p>
        </w:tc>
        <w:tc>
          <w:tcPr>
            <w:tcW w:w="141" w:type="pct"/>
            <w:tcBorders>
              <w:top w:val="nil"/>
              <w:left w:val="nil"/>
              <w:bottom w:val="nil"/>
              <w:right w:val="nil"/>
              <w:tl2br w:val="nil"/>
              <w:tr2bl w:val="nil"/>
            </w:tcBorders>
            <w:shd w:val="solid" w:color="FFFFFF" w:fill="FFFFFF"/>
            <w:noWrap/>
            <w:vAlign w:val="bottom"/>
          </w:tcPr>
          <w:p w14:paraId="3534BB9B"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single" w:sz="4" w:space="0" w:color="000000"/>
              <w:right w:val="nil"/>
              <w:tl2br w:val="nil"/>
              <w:tr2bl w:val="nil"/>
            </w:tcBorders>
            <w:shd w:val="solid" w:color="FFFFFF" w:fill="FFFFFF"/>
            <w:noWrap/>
            <w:vAlign w:val="bottom"/>
          </w:tcPr>
          <w:p w14:paraId="430DEE51"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single" w:sz="4" w:space="0" w:color="000000"/>
              <w:right w:val="nil"/>
              <w:tl2br w:val="nil"/>
              <w:tr2bl w:val="nil"/>
            </w:tcBorders>
            <w:shd w:val="solid" w:color="FFFFFF" w:fill="FFFFFF"/>
            <w:noWrap/>
            <w:vAlign w:val="bottom"/>
          </w:tcPr>
          <w:p w14:paraId="087C7E6F"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310,684</w:t>
            </w:r>
          </w:p>
        </w:tc>
        <w:tc>
          <w:tcPr>
            <w:tcW w:w="141" w:type="pct"/>
            <w:tcBorders>
              <w:top w:val="nil"/>
              <w:left w:val="nil"/>
              <w:bottom w:val="nil"/>
              <w:right w:val="nil"/>
              <w:tl2br w:val="nil"/>
              <w:tr2bl w:val="nil"/>
            </w:tcBorders>
            <w:shd w:val="solid" w:color="FFFFFF" w:fill="FFFFFF"/>
            <w:noWrap/>
            <w:vAlign w:val="bottom"/>
          </w:tcPr>
          <w:p w14:paraId="2B0B161B"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single" w:sz="4" w:space="0" w:color="000000"/>
              <w:right w:val="nil"/>
              <w:tl2br w:val="nil"/>
              <w:tr2bl w:val="nil"/>
            </w:tcBorders>
            <w:shd w:val="solid" w:color="FFFFFF" w:fill="FFFFFF"/>
            <w:noWrap/>
            <w:vAlign w:val="bottom"/>
          </w:tcPr>
          <w:p w14:paraId="635BE2F9"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 </w:t>
            </w:r>
          </w:p>
        </w:tc>
        <w:tc>
          <w:tcPr>
            <w:tcW w:w="491" w:type="pct"/>
            <w:tcBorders>
              <w:top w:val="nil"/>
              <w:left w:val="nil"/>
              <w:bottom w:val="single" w:sz="4" w:space="0" w:color="000000"/>
              <w:right w:val="nil"/>
              <w:tl2br w:val="nil"/>
              <w:tr2bl w:val="nil"/>
            </w:tcBorders>
            <w:shd w:val="solid" w:color="FFFFFF" w:fill="FFFFFF"/>
            <w:noWrap/>
            <w:vAlign w:val="bottom"/>
          </w:tcPr>
          <w:p w14:paraId="571F4A24"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139,973</w:t>
            </w:r>
          </w:p>
        </w:tc>
      </w:tr>
      <w:tr w:rsidR="006E442A" w14:paraId="4A2C1ADE" w14:textId="77777777" w:rsidTr="006E442A">
        <w:tc>
          <w:tcPr>
            <w:tcW w:w="3553" w:type="pct"/>
            <w:tcBorders>
              <w:top w:val="nil"/>
              <w:left w:val="nil"/>
              <w:bottom w:val="nil"/>
              <w:right w:val="nil"/>
              <w:tl2br w:val="nil"/>
              <w:tr2bl w:val="nil"/>
            </w:tcBorders>
            <w:shd w:val="solid" w:color="FFFFFF" w:fill="FFFFFF"/>
            <w:vAlign w:val="bottom"/>
          </w:tcPr>
          <w:p w14:paraId="5CF58C04" w14:textId="77777777" w:rsidR="006E442A" w:rsidRDefault="006E442A" w:rsidP="006E442A">
            <w:pPr>
              <w:spacing w:after="1"/>
              <w:ind w:left="120"/>
              <w:rPr>
                <w:rFonts w:ascii="Calibri" w:eastAsia="Calibri" w:hAnsi="Calibri" w:cs="Calibri"/>
                <w:color w:val="000000"/>
                <w:sz w:val="19"/>
              </w:rPr>
            </w:pPr>
            <w:r>
              <w:rPr>
                <w:rFonts w:ascii="Calibri" w:eastAsia="Calibri" w:hAnsi="Calibri" w:cs="Calibri"/>
                <w:color w:val="000000"/>
                <w:sz w:val="19"/>
              </w:rPr>
              <w:t>End of period</w:t>
            </w:r>
          </w:p>
        </w:tc>
        <w:tc>
          <w:tcPr>
            <w:tcW w:w="141" w:type="pct"/>
            <w:tcBorders>
              <w:top w:val="nil"/>
              <w:left w:val="nil"/>
              <w:bottom w:val="nil"/>
              <w:right w:val="nil"/>
              <w:tl2br w:val="nil"/>
              <w:tr2bl w:val="nil"/>
            </w:tcBorders>
            <w:shd w:val="solid" w:color="FFFFFF" w:fill="FFFFFF"/>
            <w:noWrap/>
            <w:vAlign w:val="bottom"/>
          </w:tcPr>
          <w:p w14:paraId="530960E6"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double" w:sz="4" w:space="0" w:color="000000"/>
              <w:right w:val="nil"/>
              <w:tl2br w:val="nil"/>
              <w:tr2bl w:val="nil"/>
            </w:tcBorders>
            <w:shd w:val="solid" w:color="FFFFFF" w:fill="FFFFFF"/>
            <w:noWrap/>
            <w:vAlign w:val="bottom"/>
          </w:tcPr>
          <w:p w14:paraId="29D74387"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w:t>
            </w:r>
          </w:p>
        </w:tc>
        <w:tc>
          <w:tcPr>
            <w:tcW w:w="491" w:type="pct"/>
            <w:tcBorders>
              <w:top w:val="nil"/>
              <w:left w:val="nil"/>
              <w:bottom w:val="double" w:sz="4" w:space="0" w:color="000000"/>
              <w:right w:val="nil"/>
              <w:tl2br w:val="nil"/>
              <w:tr2bl w:val="nil"/>
            </w:tcBorders>
            <w:shd w:val="solid" w:color="FFFFFF" w:fill="FFFFFF"/>
            <w:noWrap/>
            <w:vAlign w:val="bottom"/>
          </w:tcPr>
          <w:p w14:paraId="42466211"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317,034</w:t>
            </w:r>
          </w:p>
        </w:tc>
        <w:tc>
          <w:tcPr>
            <w:tcW w:w="141" w:type="pct"/>
            <w:tcBorders>
              <w:top w:val="nil"/>
              <w:left w:val="nil"/>
              <w:bottom w:val="nil"/>
              <w:right w:val="nil"/>
              <w:tl2br w:val="nil"/>
              <w:tr2bl w:val="nil"/>
            </w:tcBorders>
            <w:shd w:val="solid" w:color="FFFFFF" w:fill="FFFFFF"/>
            <w:noWrap/>
            <w:vAlign w:val="bottom"/>
          </w:tcPr>
          <w:p w14:paraId="212CFFB8"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double" w:sz="4" w:space="0" w:color="000000"/>
              <w:right w:val="nil"/>
              <w:tl2br w:val="nil"/>
              <w:tr2bl w:val="nil"/>
            </w:tcBorders>
            <w:shd w:val="solid" w:color="FFFFFF" w:fill="FFFFFF"/>
            <w:noWrap/>
            <w:vAlign w:val="bottom"/>
          </w:tcPr>
          <w:p w14:paraId="565AEBA4" w14:textId="77777777" w:rsidR="006E442A" w:rsidRDefault="006E442A" w:rsidP="006E442A">
            <w:pPr>
              <w:spacing w:after="1"/>
              <w:rPr>
                <w:rFonts w:ascii="Calibri" w:eastAsia="Calibri" w:hAnsi="Calibri" w:cs="Calibri"/>
                <w:color w:val="000000"/>
                <w:sz w:val="19"/>
              </w:rPr>
            </w:pPr>
            <w:r>
              <w:rPr>
                <w:rFonts w:ascii="Calibri" w:eastAsia="Calibri" w:hAnsi="Calibri" w:cs="Calibri"/>
                <w:color w:val="000000"/>
                <w:sz w:val="19"/>
              </w:rPr>
              <w:t>$</w:t>
            </w:r>
          </w:p>
        </w:tc>
        <w:tc>
          <w:tcPr>
            <w:tcW w:w="491" w:type="pct"/>
            <w:tcBorders>
              <w:top w:val="nil"/>
              <w:left w:val="nil"/>
              <w:bottom w:val="double" w:sz="4" w:space="0" w:color="000000"/>
              <w:right w:val="nil"/>
              <w:tl2br w:val="nil"/>
              <w:tr2bl w:val="nil"/>
            </w:tcBorders>
            <w:shd w:val="solid" w:color="FFFFFF" w:fill="FFFFFF"/>
            <w:noWrap/>
            <w:vAlign w:val="bottom"/>
          </w:tcPr>
          <w:p w14:paraId="790EDC73" w14:textId="77777777" w:rsidR="006E442A" w:rsidRDefault="006E442A" w:rsidP="006E442A">
            <w:pPr>
              <w:spacing w:after="1"/>
              <w:ind w:right="50"/>
              <w:jc w:val="right"/>
              <w:rPr>
                <w:rFonts w:ascii="Calibri" w:eastAsia="Calibri" w:hAnsi="Calibri" w:cs="Calibri"/>
                <w:color w:val="000000"/>
                <w:sz w:val="19"/>
              </w:rPr>
            </w:pPr>
            <w:r>
              <w:rPr>
                <w:rFonts w:ascii="Calibri" w:eastAsia="Calibri" w:hAnsi="Calibri" w:cs="Calibri"/>
                <w:color w:val="000000"/>
                <w:sz w:val="19"/>
              </w:rPr>
              <w:t xml:space="preserve"> 100,199</w:t>
            </w:r>
          </w:p>
        </w:tc>
      </w:tr>
      <w:tr w:rsidR="006E442A" w14:paraId="679404B3" w14:textId="77777777" w:rsidTr="006E442A">
        <w:tc>
          <w:tcPr>
            <w:tcW w:w="3553" w:type="pct"/>
            <w:tcBorders>
              <w:top w:val="nil"/>
              <w:left w:val="nil"/>
              <w:bottom w:val="nil"/>
              <w:right w:val="nil"/>
              <w:tl2br w:val="nil"/>
              <w:tr2bl w:val="nil"/>
            </w:tcBorders>
            <w:shd w:val="solid" w:color="FFFFFF" w:fill="FFFFFF"/>
            <w:noWrap/>
            <w:vAlign w:val="bottom"/>
          </w:tcPr>
          <w:p w14:paraId="190F907D" w14:textId="77777777" w:rsidR="006E442A" w:rsidRDefault="006E442A" w:rsidP="006E442A">
            <w:pPr>
              <w:spacing w:after="1"/>
              <w:rPr>
                <w:rFonts w:ascii="Calibri" w:eastAsia="Calibri" w:hAnsi="Calibri" w:cs="Calibri"/>
                <w:color w:val="000000"/>
                <w:sz w:val="19"/>
              </w:rPr>
            </w:pPr>
          </w:p>
        </w:tc>
        <w:tc>
          <w:tcPr>
            <w:tcW w:w="141" w:type="pct"/>
            <w:tcBorders>
              <w:top w:val="nil"/>
              <w:left w:val="nil"/>
              <w:bottom w:val="nil"/>
              <w:right w:val="nil"/>
              <w:tl2br w:val="nil"/>
              <w:tr2bl w:val="nil"/>
            </w:tcBorders>
            <w:shd w:val="solid" w:color="FFFFFF" w:fill="FFFFFF"/>
            <w:noWrap/>
            <w:vAlign w:val="bottom"/>
          </w:tcPr>
          <w:p w14:paraId="0526DD16"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3EFC4805" w14:textId="77777777" w:rsidR="006E442A" w:rsidRDefault="006E442A" w:rsidP="006E442A">
            <w:pPr>
              <w:spacing w:after="1"/>
              <w:rPr>
                <w:rFonts w:ascii="Calibri" w:eastAsia="Calibri" w:hAnsi="Calibri" w:cs="Calibri"/>
                <w:color w:val="000000"/>
                <w:sz w:val="19"/>
              </w:rPr>
            </w:pPr>
          </w:p>
        </w:tc>
        <w:tc>
          <w:tcPr>
            <w:tcW w:w="491" w:type="pct"/>
            <w:tcBorders>
              <w:top w:val="nil"/>
              <w:left w:val="nil"/>
              <w:bottom w:val="nil"/>
              <w:right w:val="nil"/>
              <w:tl2br w:val="nil"/>
              <w:tr2bl w:val="nil"/>
            </w:tcBorders>
            <w:shd w:val="solid" w:color="FFFFFF" w:fill="FFFFFF"/>
            <w:noWrap/>
            <w:vAlign w:val="bottom"/>
          </w:tcPr>
          <w:p w14:paraId="6F63B60A" w14:textId="77777777" w:rsidR="006E442A" w:rsidRDefault="006E442A" w:rsidP="006E442A">
            <w:pPr>
              <w:spacing w:after="1"/>
              <w:rPr>
                <w:rFonts w:ascii="Calibri" w:eastAsia="Calibri" w:hAnsi="Calibri" w:cs="Calibri"/>
                <w:color w:val="000000"/>
                <w:sz w:val="19"/>
              </w:rPr>
            </w:pPr>
          </w:p>
        </w:tc>
        <w:tc>
          <w:tcPr>
            <w:tcW w:w="141" w:type="pct"/>
            <w:tcBorders>
              <w:top w:val="nil"/>
              <w:left w:val="nil"/>
              <w:bottom w:val="nil"/>
              <w:right w:val="nil"/>
              <w:tl2br w:val="nil"/>
              <w:tr2bl w:val="nil"/>
            </w:tcBorders>
            <w:shd w:val="solid" w:color="FFFFFF" w:fill="FFFFFF"/>
            <w:noWrap/>
            <w:vAlign w:val="bottom"/>
          </w:tcPr>
          <w:p w14:paraId="5F4B8FBF" w14:textId="77777777" w:rsidR="006E442A" w:rsidRDefault="006E442A" w:rsidP="006E442A">
            <w:pPr>
              <w:spacing w:after="1"/>
              <w:rPr>
                <w:rFonts w:ascii="Calibri" w:eastAsia="Calibri" w:hAnsi="Calibri" w:cs="Calibri"/>
                <w:color w:val="000000"/>
                <w:sz w:val="19"/>
              </w:rPr>
            </w:pPr>
          </w:p>
        </w:tc>
        <w:tc>
          <w:tcPr>
            <w:tcW w:w="91" w:type="pct"/>
            <w:tcBorders>
              <w:top w:val="nil"/>
              <w:left w:val="nil"/>
              <w:bottom w:val="nil"/>
              <w:right w:val="nil"/>
              <w:tl2br w:val="nil"/>
              <w:tr2bl w:val="nil"/>
            </w:tcBorders>
            <w:shd w:val="solid" w:color="FFFFFF" w:fill="FFFFFF"/>
            <w:noWrap/>
            <w:vAlign w:val="bottom"/>
          </w:tcPr>
          <w:p w14:paraId="70D684CD" w14:textId="77777777" w:rsidR="006E442A" w:rsidRDefault="006E442A" w:rsidP="006E442A">
            <w:pPr>
              <w:spacing w:after="1"/>
              <w:rPr>
                <w:rFonts w:ascii="Calibri" w:eastAsia="Calibri" w:hAnsi="Calibri" w:cs="Calibri"/>
                <w:color w:val="000000"/>
                <w:sz w:val="19"/>
              </w:rPr>
            </w:pPr>
          </w:p>
        </w:tc>
        <w:tc>
          <w:tcPr>
            <w:tcW w:w="491" w:type="pct"/>
            <w:tcBorders>
              <w:top w:val="nil"/>
              <w:left w:val="nil"/>
              <w:bottom w:val="nil"/>
              <w:right w:val="nil"/>
              <w:tl2br w:val="nil"/>
              <w:tr2bl w:val="nil"/>
            </w:tcBorders>
            <w:shd w:val="solid" w:color="FFFFFF" w:fill="FFFFFF"/>
            <w:noWrap/>
            <w:vAlign w:val="bottom"/>
          </w:tcPr>
          <w:p w14:paraId="70B19452" w14:textId="77777777" w:rsidR="006E442A" w:rsidRDefault="006E442A" w:rsidP="006E442A">
            <w:pPr>
              <w:spacing w:after="1"/>
              <w:rPr>
                <w:rFonts w:ascii="Calibri" w:eastAsia="Calibri" w:hAnsi="Calibri" w:cs="Calibri"/>
                <w:color w:val="000000"/>
                <w:sz w:val="19"/>
              </w:rPr>
            </w:pPr>
          </w:p>
        </w:tc>
      </w:tr>
    </w:tbl>
    <w:p w14:paraId="34852B0F" w14:textId="77777777" w:rsidR="00AB067C" w:rsidRPr="006F2C93" w:rsidRDefault="00AB067C" w:rsidP="005E65E6">
      <w:pPr>
        <w:spacing w:after="0" w:line="240" w:lineRule="auto"/>
        <w:contextualSpacing/>
        <w:jc w:val="center"/>
        <w:rPr>
          <w:rFonts w:cstheme="minorHAnsi"/>
          <w:sz w:val="20"/>
        </w:rPr>
      </w:pPr>
    </w:p>
    <w:p w14:paraId="73D1A4BB" w14:textId="77777777" w:rsidR="008B409B" w:rsidRDefault="008B409B" w:rsidP="005E65E6">
      <w:pPr>
        <w:spacing w:after="0" w:line="240" w:lineRule="auto"/>
        <w:rPr>
          <w:b/>
          <w:bCs/>
          <w:sz w:val="23"/>
          <w:szCs w:val="23"/>
        </w:rPr>
      </w:pPr>
    </w:p>
    <w:p w14:paraId="4CA9824F" w14:textId="77777777" w:rsidR="008B409B" w:rsidRDefault="008B409B" w:rsidP="005E65E6">
      <w:pPr>
        <w:spacing w:after="0" w:line="240" w:lineRule="auto"/>
        <w:rPr>
          <w:b/>
          <w:bCs/>
          <w:sz w:val="23"/>
          <w:szCs w:val="23"/>
        </w:rPr>
      </w:pPr>
    </w:p>
    <w:p w14:paraId="1DF8EB97" w14:textId="77777777" w:rsidR="00536C41" w:rsidRPr="00693B87" w:rsidRDefault="00536C41" w:rsidP="005E65E6">
      <w:pPr>
        <w:spacing w:after="0" w:line="240" w:lineRule="auto"/>
        <w:rPr>
          <w:b/>
          <w:bCs/>
          <w:sz w:val="23"/>
          <w:szCs w:val="23"/>
        </w:rPr>
      </w:pPr>
      <w:r w:rsidRPr="00693B87">
        <w:rPr>
          <w:b/>
          <w:bCs/>
          <w:sz w:val="23"/>
          <w:szCs w:val="23"/>
        </w:rPr>
        <w:lastRenderedPageBreak/>
        <w:t>Reconciliation of Non-GAAP Financial Measures</w:t>
      </w:r>
    </w:p>
    <w:p w14:paraId="7172BFFE" w14:textId="77777777" w:rsidR="00536C41" w:rsidRPr="00693B87" w:rsidRDefault="00536C41" w:rsidP="005E65E6">
      <w:pPr>
        <w:spacing w:after="0" w:line="240" w:lineRule="auto"/>
        <w:rPr>
          <w:rFonts w:cstheme="minorHAnsi"/>
          <w:b/>
          <w:bCs/>
          <w:sz w:val="23"/>
          <w:szCs w:val="23"/>
        </w:rPr>
      </w:pPr>
    </w:p>
    <w:p w14:paraId="5A3C5FB2" w14:textId="77777777" w:rsidR="005E65E6" w:rsidRDefault="005E65E6" w:rsidP="005E65E6">
      <w:pPr>
        <w:spacing w:after="0" w:line="240" w:lineRule="auto"/>
        <w:rPr>
          <w:b/>
          <w:bCs/>
          <w:sz w:val="23"/>
          <w:szCs w:val="23"/>
        </w:rPr>
      </w:pPr>
      <w:bookmarkStart w:id="7" w:name="_Hlk132890138"/>
      <w:r>
        <w:rPr>
          <w:b/>
          <w:bCs/>
          <w:sz w:val="23"/>
          <w:szCs w:val="23"/>
        </w:rPr>
        <w:t xml:space="preserve">Adjusted EBITDA </w:t>
      </w:r>
    </w:p>
    <w:p w14:paraId="59300335" w14:textId="664B962C" w:rsidR="005E65E6" w:rsidRDefault="005E65E6" w:rsidP="005E65E6">
      <w:pPr>
        <w:spacing w:line="240" w:lineRule="auto"/>
        <w:contextualSpacing/>
        <w:jc w:val="both"/>
        <w:rPr>
          <w:rFonts w:cstheme="minorHAnsi"/>
          <w:sz w:val="23"/>
          <w:szCs w:val="23"/>
        </w:rPr>
      </w:pPr>
      <w:r>
        <w:rPr>
          <w:rFonts w:cstheme="minorHAnsi"/>
          <w:sz w:val="23"/>
          <w:szCs w:val="23"/>
        </w:rPr>
        <w:t xml:space="preserve">Adjusted EBITDA is a non-GAAP measure. Adjusted EBITDA is defined as net income (loss) excluding interest income, interest expense, income tax expense (benefit), amortization of debt financing costs, intangible </w:t>
      </w:r>
      <w:proofErr w:type="gramStart"/>
      <w:r>
        <w:rPr>
          <w:rFonts w:cstheme="minorHAnsi"/>
          <w:sz w:val="23"/>
          <w:szCs w:val="23"/>
        </w:rPr>
        <w:t>amortization</w:t>
      </w:r>
      <w:proofErr w:type="gramEnd"/>
      <w:r>
        <w:rPr>
          <w:rFonts w:cstheme="minorHAnsi"/>
          <w:sz w:val="23"/>
          <w:szCs w:val="23"/>
        </w:rPr>
        <w:t xml:space="preserve"> and impairments, if any, depreciation and other amortization, non-cash equity compensation expense, non-cash changes in fair value of estimated contingent consideration, other expense</w:t>
      </w:r>
      <w:r>
        <w:rPr>
          <w:rFonts w:ascii="Calibri" w:eastAsia="Calibri" w:hAnsi="Calibri" w:cs="Calibri"/>
          <w:color w:val="000000"/>
          <w:sz w:val="20"/>
        </w:rPr>
        <w:t>—</w:t>
      </w:r>
      <w:r>
        <w:rPr>
          <w:rFonts w:cstheme="minorHAnsi"/>
          <w:sz w:val="23"/>
          <w:szCs w:val="23"/>
        </w:rPr>
        <w:t xml:space="preserve">net and </w:t>
      </w:r>
      <w:r w:rsidR="00E26A4C">
        <w:rPr>
          <w:rFonts w:cstheme="minorHAnsi"/>
          <w:sz w:val="23"/>
          <w:szCs w:val="23"/>
        </w:rPr>
        <w:t>M</w:t>
      </w:r>
      <w:r w:rsidR="005C2225">
        <w:rPr>
          <w:rFonts w:cstheme="minorHAnsi"/>
          <w:sz w:val="23"/>
          <w:szCs w:val="23"/>
        </w:rPr>
        <w:t>erger-related</w:t>
      </w:r>
      <w:r>
        <w:rPr>
          <w:rFonts w:cstheme="minorHAnsi"/>
          <w:sz w:val="23"/>
          <w:szCs w:val="23"/>
        </w:rPr>
        <w:t xml:space="preserve"> expenses, if any. We believe that Adjusted EBITDA, viewed in addition to and not in lieu of, our reported GAAP results, provides additional useful information to investors regarding our performance and overall results of operations for various reasons, including the following:</w:t>
      </w:r>
    </w:p>
    <w:p w14:paraId="21F7F667" w14:textId="77777777" w:rsidR="005E65E6" w:rsidRDefault="005E65E6" w:rsidP="00B65D59">
      <w:pPr>
        <w:pStyle w:val="ListParagraph"/>
        <w:numPr>
          <w:ilvl w:val="0"/>
          <w:numId w:val="8"/>
        </w:numPr>
        <w:spacing w:line="240" w:lineRule="auto"/>
        <w:rPr>
          <w:rFonts w:cstheme="minorHAnsi"/>
          <w:sz w:val="23"/>
          <w:szCs w:val="23"/>
        </w:rPr>
      </w:pPr>
      <w:r>
        <w:rPr>
          <w:rFonts w:cstheme="minorHAnsi"/>
          <w:sz w:val="23"/>
          <w:szCs w:val="23"/>
        </w:rPr>
        <w:t xml:space="preserve">non-cash equity grants made to employees or non-employees at a certain price and point in time do not necessarily reflect how our business is performing at any particular time; stock-based compensation expense is not a key measure of our operating </w:t>
      </w:r>
      <w:proofErr w:type="gramStart"/>
      <w:r>
        <w:rPr>
          <w:rFonts w:cstheme="minorHAnsi"/>
          <w:sz w:val="23"/>
          <w:szCs w:val="23"/>
        </w:rPr>
        <w:t>performance;</w:t>
      </w:r>
      <w:proofErr w:type="gramEnd"/>
    </w:p>
    <w:p w14:paraId="40B48158" w14:textId="77777777" w:rsidR="005E65E6" w:rsidRDefault="005E65E6" w:rsidP="00B65D59">
      <w:pPr>
        <w:pStyle w:val="ListParagraph"/>
        <w:numPr>
          <w:ilvl w:val="0"/>
          <w:numId w:val="8"/>
        </w:numPr>
        <w:spacing w:line="240" w:lineRule="auto"/>
        <w:rPr>
          <w:rFonts w:cstheme="minorHAnsi"/>
          <w:sz w:val="23"/>
          <w:szCs w:val="23"/>
        </w:rPr>
      </w:pPr>
      <w:r>
        <w:rPr>
          <w:rFonts w:cstheme="minorHAnsi"/>
          <w:sz w:val="23"/>
          <w:szCs w:val="23"/>
        </w:rPr>
        <w:t>contingent consideration or earn outs can vary substantially from company to company and depending upon each company’s growth metrics and accounting assumption methods; the non-cash changes in fair value of estimated contingent consideration is not considered a key measure in comparing our operating performance; and</w:t>
      </w:r>
    </w:p>
    <w:p w14:paraId="67D2E216" w14:textId="77777777" w:rsidR="005E65E6" w:rsidRDefault="005E65E6" w:rsidP="00B65D59">
      <w:pPr>
        <w:pStyle w:val="ListParagraph"/>
        <w:numPr>
          <w:ilvl w:val="0"/>
          <w:numId w:val="8"/>
        </w:numPr>
        <w:spacing w:line="240" w:lineRule="auto"/>
        <w:rPr>
          <w:rFonts w:cstheme="minorHAnsi"/>
          <w:sz w:val="23"/>
          <w:szCs w:val="23"/>
        </w:rPr>
      </w:pPr>
      <w:r>
        <w:rPr>
          <w:rFonts w:cstheme="minorHAnsi"/>
          <w:sz w:val="23"/>
          <w:szCs w:val="23"/>
        </w:rPr>
        <w:t>amortization expenses can vary substantially from company to company and from period to period depending upon each company’s financing and accounting methods, the fair value and average expected life of acquired intangible assets and the method by which assets were acquired; the amortization of intangible assets obtained in acquisitions are not considered a key measure in comparing our operating performance.</w:t>
      </w:r>
    </w:p>
    <w:p w14:paraId="20384D05" w14:textId="77777777" w:rsidR="005E65E6" w:rsidRDefault="005E65E6" w:rsidP="005E65E6">
      <w:pPr>
        <w:spacing w:line="240" w:lineRule="auto"/>
        <w:jc w:val="both"/>
        <w:rPr>
          <w:rFonts w:cstheme="minorHAnsi"/>
          <w:sz w:val="23"/>
          <w:szCs w:val="23"/>
        </w:rPr>
      </w:pPr>
    </w:p>
    <w:p w14:paraId="2AEF894A" w14:textId="77777777" w:rsidR="005E65E6" w:rsidRDefault="005E65E6" w:rsidP="005E65E6">
      <w:pPr>
        <w:spacing w:line="240" w:lineRule="auto"/>
        <w:contextualSpacing/>
        <w:jc w:val="both"/>
        <w:rPr>
          <w:rFonts w:cstheme="minorHAnsi"/>
          <w:sz w:val="23"/>
          <w:szCs w:val="23"/>
        </w:rPr>
      </w:pPr>
      <w:r>
        <w:rPr>
          <w:rFonts w:cstheme="minorHAnsi"/>
          <w:sz w:val="23"/>
          <w:szCs w:val="23"/>
        </w:rPr>
        <w:t>We use Adjusted EBITDA:</w:t>
      </w:r>
    </w:p>
    <w:p w14:paraId="4272B8DE" w14:textId="77777777" w:rsidR="005E65E6" w:rsidRDefault="005E65E6" w:rsidP="00B65D59">
      <w:pPr>
        <w:pStyle w:val="ListParagraph"/>
        <w:numPr>
          <w:ilvl w:val="0"/>
          <w:numId w:val="9"/>
        </w:numPr>
        <w:spacing w:line="240" w:lineRule="auto"/>
        <w:rPr>
          <w:rFonts w:cstheme="minorHAnsi"/>
          <w:sz w:val="23"/>
          <w:szCs w:val="23"/>
        </w:rPr>
      </w:pPr>
      <w:r>
        <w:rPr>
          <w:rFonts w:cstheme="minorHAnsi"/>
          <w:sz w:val="23"/>
          <w:szCs w:val="23"/>
        </w:rPr>
        <w:t xml:space="preserve">as a measure of operating </w:t>
      </w:r>
      <w:proofErr w:type="gramStart"/>
      <w:r>
        <w:rPr>
          <w:rFonts w:cstheme="minorHAnsi"/>
          <w:sz w:val="23"/>
          <w:szCs w:val="23"/>
        </w:rPr>
        <w:t>performance;</w:t>
      </w:r>
      <w:proofErr w:type="gramEnd"/>
    </w:p>
    <w:p w14:paraId="462B0672" w14:textId="77777777" w:rsidR="005E65E6" w:rsidRDefault="005E65E6" w:rsidP="00B65D59">
      <w:pPr>
        <w:pStyle w:val="ListParagraph"/>
        <w:numPr>
          <w:ilvl w:val="0"/>
          <w:numId w:val="9"/>
        </w:numPr>
        <w:spacing w:line="240" w:lineRule="auto"/>
        <w:rPr>
          <w:rFonts w:cstheme="minorHAnsi"/>
          <w:sz w:val="23"/>
          <w:szCs w:val="23"/>
        </w:rPr>
      </w:pPr>
      <w:r>
        <w:rPr>
          <w:rFonts w:cstheme="minorHAnsi"/>
          <w:sz w:val="23"/>
          <w:szCs w:val="23"/>
        </w:rPr>
        <w:t xml:space="preserve">for planning purposes, including the preparation of budgets and </w:t>
      </w:r>
      <w:proofErr w:type="gramStart"/>
      <w:r>
        <w:rPr>
          <w:rFonts w:cstheme="minorHAnsi"/>
          <w:sz w:val="23"/>
          <w:szCs w:val="23"/>
        </w:rPr>
        <w:t>forecasts;</w:t>
      </w:r>
      <w:proofErr w:type="gramEnd"/>
    </w:p>
    <w:p w14:paraId="7BA32F88" w14:textId="77777777" w:rsidR="005E65E6" w:rsidRDefault="005E65E6" w:rsidP="00B65D59">
      <w:pPr>
        <w:pStyle w:val="ListParagraph"/>
        <w:numPr>
          <w:ilvl w:val="0"/>
          <w:numId w:val="9"/>
        </w:numPr>
        <w:spacing w:line="240" w:lineRule="auto"/>
        <w:rPr>
          <w:rFonts w:cstheme="minorHAnsi"/>
          <w:sz w:val="23"/>
          <w:szCs w:val="23"/>
        </w:rPr>
      </w:pPr>
      <w:r>
        <w:rPr>
          <w:rFonts w:cstheme="minorHAnsi"/>
          <w:sz w:val="23"/>
          <w:szCs w:val="23"/>
        </w:rPr>
        <w:t xml:space="preserve">to allocate resources to enhance the financial performance of our </w:t>
      </w:r>
      <w:proofErr w:type="gramStart"/>
      <w:r>
        <w:rPr>
          <w:rFonts w:cstheme="minorHAnsi"/>
          <w:sz w:val="23"/>
          <w:szCs w:val="23"/>
        </w:rPr>
        <w:t>business;</w:t>
      </w:r>
      <w:proofErr w:type="gramEnd"/>
      <w:r>
        <w:rPr>
          <w:rFonts w:cstheme="minorHAnsi"/>
          <w:sz w:val="23"/>
          <w:szCs w:val="23"/>
        </w:rPr>
        <w:t xml:space="preserve"> </w:t>
      </w:r>
    </w:p>
    <w:p w14:paraId="3E6378BB" w14:textId="77777777" w:rsidR="005E65E6" w:rsidRDefault="005E65E6" w:rsidP="00B65D59">
      <w:pPr>
        <w:pStyle w:val="ListParagraph"/>
        <w:numPr>
          <w:ilvl w:val="0"/>
          <w:numId w:val="9"/>
        </w:numPr>
        <w:spacing w:line="240" w:lineRule="auto"/>
        <w:rPr>
          <w:rFonts w:cstheme="minorHAnsi"/>
          <w:sz w:val="23"/>
          <w:szCs w:val="23"/>
        </w:rPr>
      </w:pPr>
      <w:r>
        <w:rPr>
          <w:rFonts w:cstheme="minorHAnsi"/>
          <w:sz w:val="23"/>
          <w:szCs w:val="23"/>
        </w:rPr>
        <w:t>to evaluate the effectiveness of our business strategies; and</w:t>
      </w:r>
    </w:p>
    <w:p w14:paraId="091B6F62" w14:textId="77777777" w:rsidR="005E65E6" w:rsidRDefault="005E65E6" w:rsidP="00B65D59">
      <w:pPr>
        <w:pStyle w:val="ListParagraph"/>
        <w:numPr>
          <w:ilvl w:val="0"/>
          <w:numId w:val="9"/>
        </w:numPr>
        <w:spacing w:line="240" w:lineRule="auto"/>
        <w:rPr>
          <w:rFonts w:cstheme="minorHAnsi"/>
          <w:sz w:val="23"/>
          <w:szCs w:val="23"/>
        </w:rPr>
      </w:pPr>
      <w:r>
        <w:rPr>
          <w:rFonts w:cstheme="minorHAnsi"/>
          <w:sz w:val="23"/>
          <w:szCs w:val="23"/>
        </w:rPr>
        <w:t>as a consideration in determining compensation for certain employees.</w:t>
      </w:r>
    </w:p>
    <w:p w14:paraId="7C8CC715" w14:textId="77777777" w:rsidR="005E65E6" w:rsidRDefault="005E65E6" w:rsidP="005E65E6">
      <w:pPr>
        <w:spacing w:line="240" w:lineRule="auto"/>
        <w:jc w:val="both"/>
        <w:rPr>
          <w:rFonts w:cstheme="minorHAnsi"/>
          <w:sz w:val="23"/>
          <w:szCs w:val="23"/>
        </w:rPr>
      </w:pPr>
    </w:p>
    <w:p w14:paraId="3FBE7195" w14:textId="29379959" w:rsidR="005E65E6" w:rsidRDefault="005E65E6" w:rsidP="005E65E6">
      <w:pPr>
        <w:spacing w:line="240" w:lineRule="auto"/>
        <w:contextualSpacing/>
        <w:jc w:val="both"/>
        <w:rPr>
          <w:rFonts w:cstheme="minorHAnsi"/>
          <w:sz w:val="23"/>
          <w:szCs w:val="23"/>
        </w:rPr>
      </w:pPr>
      <w:r>
        <w:rPr>
          <w:rFonts w:cstheme="minorHAnsi"/>
          <w:sz w:val="23"/>
          <w:szCs w:val="23"/>
        </w:rPr>
        <w:t xml:space="preserve">Adjusted EBITDA does not purport to be an alternative to net income </w:t>
      </w:r>
      <w:r w:rsidR="00C52991">
        <w:rPr>
          <w:rFonts w:cstheme="minorHAnsi"/>
          <w:sz w:val="23"/>
          <w:szCs w:val="23"/>
        </w:rPr>
        <w:t xml:space="preserve">(loss) </w:t>
      </w:r>
      <w:r>
        <w:rPr>
          <w:rFonts w:cstheme="minorHAnsi"/>
          <w:sz w:val="23"/>
          <w:szCs w:val="23"/>
        </w:rPr>
        <w:t>or cash flows from operating activities. The term Adjusted EBITDA is not defined under GAAP, and Adjusted EBITDA is not a measure of net income</w:t>
      </w:r>
      <w:r w:rsidR="00871D33">
        <w:rPr>
          <w:rFonts w:cstheme="minorHAnsi"/>
          <w:sz w:val="23"/>
          <w:szCs w:val="23"/>
        </w:rPr>
        <w:t xml:space="preserve"> (loss)</w:t>
      </w:r>
      <w:r>
        <w:rPr>
          <w:rFonts w:cstheme="minorHAnsi"/>
          <w:sz w:val="23"/>
          <w:szCs w:val="23"/>
        </w:rPr>
        <w:t>, operating income or any other performance or liquidity measure derived in accordance with GAAP. Therefore, Adjusted EBITDA has limitations as an analytical tool and should not be considered in isolation or as a substitute for analysis of our results as reported under GAAP. Some of these limitations are:</w:t>
      </w:r>
    </w:p>
    <w:p w14:paraId="08182BD6" w14:textId="77777777" w:rsidR="005E65E6" w:rsidRDefault="005E65E6" w:rsidP="00B65D59">
      <w:pPr>
        <w:pStyle w:val="ListParagraph"/>
        <w:keepNext/>
        <w:numPr>
          <w:ilvl w:val="0"/>
          <w:numId w:val="10"/>
        </w:numPr>
        <w:spacing w:line="240" w:lineRule="auto"/>
        <w:rPr>
          <w:rFonts w:cstheme="minorHAnsi"/>
          <w:sz w:val="23"/>
          <w:szCs w:val="23"/>
        </w:rPr>
      </w:pPr>
      <w:r>
        <w:rPr>
          <w:rFonts w:cstheme="minorHAnsi"/>
          <w:sz w:val="23"/>
          <w:szCs w:val="23"/>
        </w:rPr>
        <w:lastRenderedPageBreak/>
        <w:t xml:space="preserve">Adjusted EBITDA does not reflect all cash expenditures, future requirements for capital expenditures or contractual </w:t>
      </w:r>
      <w:proofErr w:type="gramStart"/>
      <w:r>
        <w:rPr>
          <w:rFonts w:cstheme="minorHAnsi"/>
          <w:sz w:val="23"/>
          <w:szCs w:val="23"/>
        </w:rPr>
        <w:t>commitments;</w:t>
      </w:r>
      <w:proofErr w:type="gramEnd"/>
    </w:p>
    <w:p w14:paraId="225667E4" w14:textId="77777777" w:rsidR="005E65E6" w:rsidRDefault="005E65E6" w:rsidP="00B65D59">
      <w:pPr>
        <w:pStyle w:val="ListParagraph"/>
        <w:keepNext/>
        <w:numPr>
          <w:ilvl w:val="0"/>
          <w:numId w:val="10"/>
        </w:numPr>
        <w:spacing w:line="240" w:lineRule="auto"/>
        <w:rPr>
          <w:rFonts w:cstheme="minorHAnsi"/>
          <w:sz w:val="23"/>
          <w:szCs w:val="23"/>
        </w:rPr>
      </w:pPr>
      <w:r>
        <w:rPr>
          <w:rFonts w:cstheme="minorHAnsi"/>
          <w:sz w:val="23"/>
          <w:szCs w:val="23"/>
        </w:rPr>
        <w:t>Adjusted EBITDA does not reflect changes in, or cash requirements for, working capital needs; and</w:t>
      </w:r>
    </w:p>
    <w:p w14:paraId="67DC63AD" w14:textId="77777777" w:rsidR="005E65E6" w:rsidRDefault="005E65E6" w:rsidP="00B65D59">
      <w:pPr>
        <w:pStyle w:val="ListParagraph"/>
        <w:keepNext/>
        <w:numPr>
          <w:ilvl w:val="0"/>
          <w:numId w:val="10"/>
        </w:numPr>
        <w:spacing w:line="240" w:lineRule="auto"/>
        <w:rPr>
          <w:rFonts w:cstheme="minorHAnsi"/>
          <w:sz w:val="23"/>
          <w:szCs w:val="23"/>
        </w:rPr>
      </w:pPr>
      <w:r>
        <w:rPr>
          <w:rFonts w:cstheme="minorHAnsi"/>
          <w:sz w:val="23"/>
          <w:szCs w:val="23"/>
        </w:rPr>
        <w:t>Adjusted EBITDA does not reflect the interest expense on our debt or the cash requirements necessary to service interest or principal payments.</w:t>
      </w:r>
    </w:p>
    <w:p w14:paraId="0CE8D97D" w14:textId="77777777" w:rsidR="005E65E6" w:rsidRDefault="005E65E6" w:rsidP="005E65E6">
      <w:pPr>
        <w:spacing w:line="240" w:lineRule="auto"/>
        <w:contextualSpacing/>
        <w:jc w:val="both"/>
        <w:rPr>
          <w:rFonts w:cstheme="minorHAnsi"/>
          <w:sz w:val="23"/>
          <w:szCs w:val="23"/>
        </w:rPr>
      </w:pPr>
    </w:p>
    <w:p w14:paraId="5BEC4AA1" w14:textId="4B66D781" w:rsidR="00536C41" w:rsidRDefault="005E65E6" w:rsidP="005E65E6">
      <w:pPr>
        <w:spacing w:after="0" w:line="240" w:lineRule="auto"/>
        <w:contextualSpacing/>
        <w:jc w:val="both"/>
        <w:rPr>
          <w:rFonts w:cstheme="minorHAnsi"/>
          <w:sz w:val="23"/>
          <w:szCs w:val="23"/>
        </w:rPr>
      </w:pPr>
      <w:r>
        <w:rPr>
          <w:rFonts w:cstheme="minorHAnsi"/>
          <w:sz w:val="23"/>
          <w:szCs w:val="23"/>
        </w:rPr>
        <w:t>In addition, Adjusted EBITDA can differ significantly from company to company depending on strategic decisions regarding capital structure, the tax jurisdictions in which companies operate and capital investments. We compensate for these limitations by relying</w:t>
      </w:r>
      <w:r w:rsidR="00871D33">
        <w:rPr>
          <w:rFonts w:cstheme="minorHAnsi"/>
          <w:sz w:val="23"/>
          <w:szCs w:val="23"/>
        </w:rPr>
        <w:t xml:space="preserve"> also</w:t>
      </w:r>
      <w:r>
        <w:rPr>
          <w:rFonts w:cstheme="minorHAnsi"/>
          <w:sz w:val="23"/>
          <w:szCs w:val="23"/>
        </w:rPr>
        <w:t xml:space="preserve"> on the GAAP results and using Adjusted EBITDA as supplemental information.</w:t>
      </w:r>
    </w:p>
    <w:p w14:paraId="12F7E180" w14:textId="77777777" w:rsidR="005E65E6" w:rsidRPr="00693B87" w:rsidRDefault="005E65E6" w:rsidP="005E65E6">
      <w:pPr>
        <w:spacing w:after="0" w:line="240" w:lineRule="auto"/>
        <w:contextualSpacing/>
        <w:jc w:val="both"/>
        <w:rPr>
          <w:rFonts w:cstheme="minorHAnsi"/>
          <w:sz w:val="23"/>
          <w:szCs w:val="23"/>
        </w:rPr>
      </w:pPr>
    </w:p>
    <w:p w14:paraId="4A92AB43" w14:textId="640793F2" w:rsidR="00536C41" w:rsidRPr="00693B87" w:rsidRDefault="00536C41" w:rsidP="005E65E6">
      <w:pPr>
        <w:pStyle w:val="NoSpacing"/>
        <w:rPr>
          <w:rFonts w:cstheme="minorHAnsi"/>
          <w:sz w:val="23"/>
          <w:szCs w:val="23"/>
        </w:rPr>
      </w:pPr>
      <w:r w:rsidRPr="00693B87">
        <w:rPr>
          <w:rFonts w:cstheme="minorHAnsi"/>
          <w:sz w:val="23"/>
          <w:szCs w:val="23"/>
        </w:rPr>
        <w:t>Set forth below is a reconciliation of net income</w:t>
      </w:r>
      <w:r w:rsidR="00871D33">
        <w:rPr>
          <w:rFonts w:cstheme="minorHAnsi"/>
          <w:sz w:val="23"/>
          <w:szCs w:val="23"/>
        </w:rPr>
        <w:t xml:space="preserve"> (loss)</w:t>
      </w:r>
      <w:r w:rsidRPr="00693B87">
        <w:rPr>
          <w:rFonts w:cstheme="minorHAnsi"/>
          <w:sz w:val="23"/>
          <w:szCs w:val="23"/>
        </w:rPr>
        <w:t xml:space="preserve"> to Adjusted EBITDA for the three</w:t>
      </w:r>
      <w:r w:rsidR="009F0443">
        <w:rPr>
          <w:rFonts w:cstheme="minorHAnsi"/>
          <w:sz w:val="23"/>
          <w:szCs w:val="23"/>
        </w:rPr>
        <w:t xml:space="preserve"> </w:t>
      </w:r>
      <w:r w:rsidRPr="00693B87">
        <w:rPr>
          <w:rFonts w:cstheme="minorHAnsi"/>
          <w:sz w:val="23"/>
          <w:szCs w:val="23"/>
        </w:rPr>
        <w:t xml:space="preserve">months ended </w:t>
      </w:r>
      <w:r w:rsidR="005E65E6">
        <w:rPr>
          <w:rFonts w:cstheme="minorHAnsi"/>
          <w:sz w:val="23"/>
          <w:szCs w:val="23"/>
        </w:rPr>
        <w:t xml:space="preserve">March </w:t>
      </w:r>
      <w:r w:rsidRPr="00693B87">
        <w:rPr>
          <w:rFonts w:cstheme="minorHAnsi"/>
          <w:sz w:val="23"/>
          <w:szCs w:val="23"/>
        </w:rPr>
        <w:t>3</w:t>
      </w:r>
      <w:r w:rsidR="00CE444B">
        <w:rPr>
          <w:rFonts w:cstheme="minorHAnsi"/>
          <w:sz w:val="23"/>
          <w:szCs w:val="23"/>
        </w:rPr>
        <w:t>1</w:t>
      </w:r>
      <w:r w:rsidRPr="00693B87">
        <w:rPr>
          <w:rFonts w:cstheme="minorHAnsi"/>
          <w:sz w:val="23"/>
          <w:szCs w:val="23"/>
        </w:rPr>
        <w:t xml:space="preserve">, </w:t>
      </w:r>
      <w:proofErr w:type="gramStart"/>
      <w:r w:rsidRPr="00693B87">
        <w:rPr>
          <w:rFonts w:cstheme="minorHAnsi"/>
          <w:sz w:val="23"/>
          <w:szCs w:val="23"/>
        </w:rPr>
        <w:t>20</w:t>
      </w:r>
      <w:r w:rsidR="003E7B97">
        <w:rPr>
          <w:rFonts w:cstheme="minorHAnsi"/>
          <w:sz w:val="23"/>
          <w:szCs w:val="23"/>
        </w:rPr>
        <w:t>2</w:t>
      </w:r>
      <w:r w:rsidR="005E65E6">
        <w:rPr>
          <w:rFonts w:cstheme="minorHAnsi"/>
          <w:sz w:val="23"/>
          <w:szCs w:val="23"/>
        </w:rPr>
        <w:t>2</w:t>
      </w:r>
      <w:proofErr w:type="gramEnd"/>
      <w:r w:rsidRPr="00693B87">
        <w:rPr>
          <w:rFonts w:cstheme="minorHAnsi"/>
          <w:sz w:val="23"/>
          <w:szCs w:val="23"/>
        </w:rPr>
        <w:t xml:space="preserve"> and 202</w:t>
      </w:r>
      <w:r w:rsidR="005E65E6">
        <w:rPr>
          <w:rFonts w:cstheme="minorHAnsi"/>
          <w:sz w:val="23"/>
          <w:szCs w:val="23"/>
        </w:rPr>
        <w:t>3</w:t>
      </w:r>
      <w:r w:rsidRPr="00693B87">
        <w:rPr>
          <w:rFonts w:cstheme="minorHAnsi"/>
          <w:sz w:val="23"/>
          <w:szCs w:val="23"/>
        </w:rPr>
        <w:t>:</w:t>
      </w:r>
    </w:p>
    <w:p w14:paraId="77C11948" w14:textId="77777777" w:rsidR="00E225AE" w:rsidRPr="000F1739" w:rsidRDefault="00E225AE" w:rsidP="005E65E6">
      <w:pPr>
        <w:pStyle w:val="NoSpacing"/>
        <w:contextualSpacing/>
        <w:rPr>
          <w:rFonts w:cstheme="minorHAnsi"/>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1"/>
        <w:gridCol w:w="226"/>
        <w:gridCol w:w="227"/>
        <w:gridCol w:w="1352"/>
        <w:gridCol w:w="352"/>
        <w:gridCol w:w="227"/>
        <w:gridCol w:w="1355"/>
      </w:tblGrid>
      <w:tr w:rsidR="006E442A" w14:paraId="30C8F6A7" w14:textId="77777777" w:rsidTr="002B6D64">
        <w:trPr>
          <w:trHeight w:hRule="exact" w:val="20"/>
        </w:trPr>
        <w:tc>
          <w:tcPr>
            <w:tcW w:w="3003" w:type="pct"/>
            <w:tcBorders>
              <w:top w:val="nil"/>
              <w:left w:val="nil"/>
              <w:bottom w:val="nil"/>
              <w:right w:val="nil"/>
            </w:tcBorders>
            <w:vAlign w:val="bottom"/>
          </w:tcPr>
          <w:p w14:paraId="45F3C73B" w14:textId="77777777" w:rsidR="006E442A" w:rsidRDefault="006E442A" w:rsidP="006E442A">
            <w:pPr>
              <w:keepNext/>
              <w:spacing w:after="1"/>
              <w:rPr>
                <w:sz w:val="2"/>
              </w:rPr>
            </w:pPr>
          </w:p>
        </w:tc>
        <w:tc>
          <w:tcPr>
            <w:tcW w:w="121" w:type="pct"/>
            <w:tcBorders>
              <w:top w:val="nil"/>
              <w:left w:val="nil"/>
              <w:bottom w:val="nil"/>
              <w:right w:val="nil"/>
            </w:tcBorders>
            <w:noWrap/>
            <w:vAlign w:val="bottom"/>
          </w:tcPr>
          <w:p w14:paraId="342F07D0" w14:textId="77777777" w:rsidR="006E442A" w:rsidRDefault="006E442A" w:rsidP="006E442A">
            <w:pPr>
              <w:keepNext/>
              <w:spacing w:after="1"/>
              <w:rPr>
                <w:sz w:val="2"/>
              </w:rPr>
            </w:pPr>
          </w:p>
        </w:tc>
        <w:tc>
          <w:tcPr>
            <w:tcW w:w="121" w:type="pct"/>
            <w:tcBorders>
              <w:top w:val="nil"/>
              <w:left w:val="nil"/>
              <w:bottom w:val="nil"/>
              <w:right w:val="nil"/>
            </w:tcBorders>
            <w:noWrap/>
            <w:vAlign w:val="bottom"/>
          </w:tcPr>
          <w:p w14:paraId="0B4B8730" w14:textId="77777777" w:rsidR="006E442A" w:rsidRDefault="006E442A" w:rsidP="006E442A">
            <w:pPr>
              <w:keepNext/>
              <w:spacing w:after="1"/>
              <w:rPr>
                <w:sz w:val="2"/>
              </w:rPr>
            </w:pPr>
          </w:p>
        </w:tc>
        <w:tc>
          <w:tcPr>
            <w:tcW w:w="722" w:type="pct"/>
            <w:tcBorders>
              <w:top w:val="nil"/>
              <w:left w:val="nil"/>
              <w:bottom w:val="nil"/>
              <w:right w:val="nil"/>
            </w:tcBorders>
            <w:noWrap/>
            <w:vAlign w:val="bottom"/>
          </w:tcPr>
          <w:p w14:paraId="6B8E00FF" w14:textId="77777777" w:rsidR="006E442A" w:rsidRDefault="006E442A" w:rsidP="006E442A">
            <w:pPr>
              <w:keepNext/>
              <w:spacing w:after="1"/>
              <w:rPr>
                <w:sz w:val="2"/>
              </w:rPr>
            </w:pPr>
          </w:p>
        </w:tc>
        <w:tc>
          <w:tcPr>
            <w:tcW w:w="188" w:type="pct"/>
            <w:tcBorders>
              <w:top w:val="nil"/>
              <w:left w:val="nil"/>
              <w:bottom w:val="nil"/>
              <w:right w:val="nil"/>
            </w:tcBorders>
            <w:noWrap/>
            <w:vAlign w:val="bottom"/>
          </w:tcPr>
          <w:p w14:paraId="41C91832" w14:textId="77777777" w:rsidR="006E442A" w:rsidRDefault="006E442A" w:rsidP="006E442A">
            <w:pPr>
              <w:keepNext/>
              <w:spacing w:after="1"/>
              <w:rPr>
                <w:sz w:val="2"/>
              </w:rPr>
            </w:pPr>
          </w:p>
        </w:tc>
        <w:tc>
          <w:tcPr>
            <w:tcW w:w="121" w:type="pct"/>
            <w:tcBorders>
              <w:top w:val="nil"/>
              <w:left w:val="nil"/>
              <w:bottom w:val="nil"/>
              <w:right w:val="nil"/>
            </w:tcBorders>
            <w:noWrap/>
            <w:vAlign w:val="bottom"/>
          </w:tcPr>
          <w:p w14:paraId="5AB1FCD2" w14:textId="77777777" w:rsidR="006E442A" w:rsidRDefault="006E442A" w:rsidP="006E442A">
            <w:pPr>
              <w:keepNext/>
              <w:spacing w:after="1"/>
              <w:rPr>
                <w:sz w:val="2"/>
              </w:rPr>
            </w:pPr>
          </w:p>
        </w:tc>
        <w:tc>
          <w:tcPr>
            <w:tcW w:w="723" w:type="pct"/>
            <w:tcBorders>
              <w:top w:val="nil"/>
              <w:left w:val="nil"/>
              <w:bottom w:val="nil"/>
              <w:right w:val="nil"/>
            </w:tcBorders>
            <w:noWrap/>
            <w:vAlign w:val="bottom"/>
          </w:tcPr>
          <w:p w14:paraId="793CE924" w14:textId="77777777" w:rsidR="006E442A" w:rsidRDefault="006E442A" w:rsidP="006E442A">
            <w:pPr>
              <w:keepNext/>
              <w:spacing w:after="1"/>
              <w:rPr>
                <w:sz w:val="2"/>
              </w:rPr>
            </w:pPr>
          </w:p>
        </w:tc>
      </w:tr>
      <w:tr w:rsidR="006E442A" w14:paraId="3F489101" w14:textId="77777777" w:rsidTr="002B6D64">
        <w:tc>
          <w:tcPr>
            <w:tcW w:w="3003" w:type="pct"/>
            <w:tcBorders>
              <w:top w:val="nil"/>
              <w:left w:val="nil"/>
              <w:bottom w:val="nil"/>
              <w:right w:val="nil"/>
              <w:tl2br w:val="nil"/>
              <w:tr2bl w:val="nil"/>
            </w:tcBorders>
            <w:shd w:val="solid" w:color="FFFFFF" w:fill="FFFFFF"/>
            <w:vAlign w:val="bottom"/>
          </w:tcPr>
          <w:p w14:paraId="28AB1FCA" w14:textId="77777777" w:rsidR="006E442A" w:rsidRDefault="006E442A" w:rsidP="006E442A">
            <w:pPr>
              <w:spacing w:after="1"/>
              <w:rPr>
                <w:rFonts w:ascii="Calibri" w:eastAsia="Calibri" w:hAnsi="Calibri" w:cs="Calibri"/>
                <w:b/>
                <w:color w:val="000000"/>
                <w:sz w:val="20"/>
              </w:rPr>
            </w:pPr>
          </w:p>
        </w:tc>
        <w:tc>
          <w:tcPr>
            <w:tcW w:w="121" w:type="pct"/>
            <w:tcBorders>
              <w:top w:val="nil"/>
              <w:left w:val="nil"/>
              <w:bottom w:val="nil"/>
              <w:right w:val="nil"/>
              <w:tl2br w:val="nil"/>
              <w:tr2bl w:val="nil"/>
            </w:tcBorders>
            <w:shd w:val="solid" w:color="FFFFFF" w:fill="FFFFFF"/>
            <w:noWrap/>
            <w:vAlign w:val="bottom"/>
          </w:tcPr>
          <w:p w14:paraId="47EF47EC" w14:textId="77777777" w:rsidR="006E442A" w:rsidRDefault="006E442A" w:rsidP="006E442A">
            <w:pPr>
              <w:spacing w:after="1"/>
              <w:jc w:val="center"/>
              <w:rPr>
                <w:rFonts w:ascii="Calibri" w:eastAsia="Calibri" w:hAnsi="Calibri" w:cs="Calibri"/>
                <w:color w:val="000000"/>
                <w:sz w:val="20"/>
              </w:rPr>
            </w:pPr>
            <w:r>
              <w:rPr>
                <w:rFonts w:ascii="Calibri" w:eastAsia="Calibri" w:hAnsi="Calibri" w:cs="Calibri"/>
                <w:color w:val="000000"/>
                <w:sz w:val="20"/>
              </w:rPr>
              <w:t> </w:t>
            </w:r>
          </w:p>
        </w:tc>
        <w:tc>
          <w:tcPr>
            <w:tcW w:w="1876" w:type="pct"/>
            <w:gridSpan w:val="5"/>
            <w:tcBorders>
              <w:top w:val="nil"/>
              <w:left w:val="nil"/>
              <w:bottom w:val="nil"/>
              <w:right w:val="nil"/>
              <w:tl2br w:val="nil"/>
              <w:tr2bl w:val="nil"/>
            </w:tcBorders>
            <w:shd w:val="solid" w:color="FFFFFF" w:fill="FFFFFF"/>
            <w:vAlign w:val="bottom"/>
          </w:tcPr>
          <w:p w14:paraId="41A703C6" w14:textId="77777777" w:rsidR="006E442A" w:rsidRDefault="006E442A" w:rsidP="006E442A">
            <w:pPr>
              <w:spacing w:after="1"/>
              <w:jc w:val="center"/>
              <w:rPr>
                <w:rFonts w:ascii="Calibri" w:eastAsia="Calibri" w:hAnsi="Calibri" w:cs="Calibri"/>
                <w:b/>
                <w:color w:val="000000"/>
                <w:sz w:val="20"/>
              </w:rPr>
            </w:pPr>
            <w:r>
              <w:rPr>
                <w:rFonts w:ascii="Calibri" w:eastAsia="Calibri" w:hAnsi="Calibri" w:cs="Calibri"/>
                <w:b/>
                <w:color w:val="000000"/>
                <w:sz w:val="20"/>
              </w:rPr>
              <w:t xml:space="preserve">Three Months Ended </w:t>
            </w:r>
          </w:p>
        </w:tc>
      </w:tr>
      <w:tr w:rsidR="006E442A" w14:paraId="642B7998" w14:textId="77777777" w:rsidTr="002B6D64">
        <w:tc>
          <w:tcPr>
            <w:tcW w:w="3003" w:type="pct"/>
            <w:tcBorders>
              <w:top w:val="nil"/>
              <w:left w:val="nil"/>
              <w:bottom w:val="nil"/>
              <w:right w:val="nil"/>
              <w:tl2br w:val="nil"/>
              <w:tr2bl w:val="nil"/>
            </w:tcBorders>
            <w:shd w:val="solid" w:color="FFFFFF" w:fill="FFFFFF"/>
            <w:vAlign w:val="bottom"/>
          </w:tcPr>
          <w:p w14:paraId="5DEFB78A" w14:textId="77777777" w:rsidR="006E442A" w:rsidRDefault="006E442A" w:rsidP="006E442A">
            <w:pPr>
              <w:spacing w:after="1"/>
              <w:rPr>
                <w:rFonts w:ascii="Calibri" w:eastAsia="Calibri" w:hAnsi="Calibri" w:cs="Calibri"/>
                <w:b/>
                <w:color w:val="000000"/>
                <w:sz w:val="20"/>
              </w:rPr>
            </w:pPr>
          </w:p>
        </w:tc>
        <w:tc>
          <w:tcPr>
            <w:tcW w:w="121" w:type="pct"/>
            <w:tcBorders>
              <w:top w:val="nil"/>
              <w:left w:val="nil"/>
              <w:bottom w:val="nil"/>
              <w:right w:val="nil"/>
              <w:tl2br w:val="nil"/>
              <w:tr2bl w:val="nil"/>
            </w:tcBorders>
            <w:shd w:val="solid" w:color="FFFFFF" w:fill="FFFFFF"/>
            <w:noWrap/>
            <w:vAlign w:val="bottom"/>
          </w:tcPr>
          <w:p w14:paraId="506123B7" w14:textId="77777777" w:rsidR="006E442A" w:rsidRDefault="006E442A" w:rsidP="006E442A">
            <w:pPr>
              <w:spacing w:after="1"/>
              <w:jc w:val="center"/>
              <w:rPr>
                <w:rFonts w:ascii="Calibri" w:eastAsia="Calibri" w:hAnsi="Calibri" w:cs="Calibri"/>
                <w:color w:val="000000"/>
                <w:sz w:val="20"/>
              </w:rPr>
            </w:pPr>
          </w:p>
        </w:tc>
        <w:tc>
          <w:tcPr>
            <w:tcW w:w="1876" w:type="pct"/>
            <w:gridSpan w:val="5"/>
            <w:tcBorders>
              <w:top w:val="nil"/>
              <w:left w:val="nil"/>
              <w:bottom w:val="single" w:sz="4" w:space="0" w:color="000000"/>
              <w:right w:val="nil"/>
              <w:tl2br w:val="nil"/>
              <w:tr2bl w:val="nil"/>
            </w:tcBorders>
            <w:shd w:val="solid" w:color="FFFFFF" w:fill="FFFFFF"/>
            <w:vAlign w:val="bottom"/>
          </w:tcPr>
          <w:p w14:paraId="39A4039D" w14:textId="77777777" w:rsidR="006E442A" w:rsidRDefault="006E442A" w:rsidP="006E442A">
            <w:pPr>
              <w:spacing w:after="1"/>
              <w:jc w:val="center"/>
              <w:rPr>
                <w:rFonts w:ascii="Calibri" w:eastAsia="Calibri" w:hAnsi="Calibri" w:cs="Calibri"/>
                <w:b/>
                <w:color w:val="000000"/>
                <w:sz w:val="20"/>
              </w:rPr>
            </w:pPr>
            <w:r>
              <w:rPr>
                <w:rFonts w:ascii="Calibri" w:eastAsia="Calibri" w:hAnsi="Calibri" w:cs="Calibri"/>
                <w:b/>
                <w:color w:val="000000"/>
                <w:sz w:val="20"/>
              </w:rPr>
              <w:t>March 31, </w:t>
            </w:r>
          </w:p>
        </w:tc>
      </w:tr>
      <w:tr w:rsidR="006E442A" w14:paraId="1BB500AD" w14:textId="77777777" w:rsidTr="002B6D64">
        <w:tc>
          <w:tcPr>
            <w:tcW w:w="3003" w:type="pct"/>
            <w:tcBorders>
              <w:top w:val="nil"/>
              <w:left w:val="nil"/>
              <w:bottom w:val="nil"/>
              <w:right w:val="nil"/>
              <w:tl2br w:val="nil"/>
              <w:tr2bl w:val="nil"/>
            </w:tcBorders>
            <w:shd w:val="solid" w:color="FFFFFF" w:fill="FFFFFF"/>
            <w:vAlign w:val="bottom"/>
          </w:tcPr>
          <w:p w14:paraId="72E4BB12" w14:textId="77777777" w:rsidR="006E442A" w:rsidRDefault="006E442A" w:rsidP="006E442A">
            <w:pPr>
              <w:spacing w:after="1"/>
              <w:rPr>
                <w:rFonts w:ascii="Calibri" w:eastAsia="Calibri" w:hAnsi="Calibri" w:cs="Calibri"/>
                <w:b/>
                <w:color w:val="000000"/>
                <w:sz w:val="20"/>
              </w:rPr>
            </w:pPr>
          </w:p>
        </w:tc>
        <w:tc>
          <w:tcPr>
            <w:tcW w:w="121" w:type="pct"/>
            <w:tcBorders>
              <w:top w:val="nil"/>
              <w:left w:val="nil"/>
              <w:bottom w:val="nil"/>
              <w:right w:val="nil"/>
              <w:tl2br w:val="nil"/>
              <w:tr2bl w:val="nil"/>
            </w:tcBorders>
            <w:shd w:val="solid" w:color="FFFFFF" w:fill="FFFFFF"/>
            <w:noWrap/>
            <w:vAlign w:val="bottom"/>
          </w:tcPr>
          <w:p w14:paraId="4BE98F3C" w14:textId="77777777" w:rsidR="006E442A" w:rsidRDefault="006E442A" w:rsidP="006E442A">
            <w:pPr>
              <w:spacing w:after="1"/>
              <w:rPr>
                <w:rFonts w:ascii="Calibri" w:eastAsia="Calibri" w:hAnsi="Calibri" w:cs="Calibri"/>
                <w:b/>
                <w:color w:val="000000"/>
                <w:sz w:val="20"/>
              </w:rPr>
            </w:pPr>
            <w:r>
              <w:rPr>
                <w:rFonts w:ascii="Calibri" w:eastAsia="Calibri" w:hAnsi="Calibri" w:cs="Calibri"/>
                <w:b/>
                <w:color w:val="000000"/>
                <w:sz w:val="20"/>
              </w:rPr>
              <w:t>    </w:t>
            </w:r>
          </w:p>
        </w:tc>
        <w:tc>
          <w:tcPr>
            <w:tcW w:w="843" w:type="pct"/>
            <w:gridSpan w:val="2"/>
            <w:tcBorders>
              <w:top w:val="nil"/>
              <w:left w:val="nil"/>
              <w:bottom w:val="single" w:sz="4" w:space="0" w:color="000000"/>
              <w:right w:val="nil"/>
              <w:tl2br w:val="nil"/>
              <w:tr2bl w:val="nil"/>
            </w:tcBorders>
            <w:shd w:val="solid" w:color="FFFFFF" w:fill="FFFFFF"/>
            <w:noWrap/>
            <w:vAlign w:val="bottom"/>
          </w:tcPr>
          <w:p w14:paraId="5A28C7A3" w14:textId="77777777" w:rsidR="006E442A" w:rsidRDefault="006E442A" w:rsidP="006E442A">
            <w:pPr>
              <w:spacing w:after="1"/>
              <w:jc w:val="center"/>
              <w:rPr>
                <w:rFonts w:ascii="Calibri" w:eastAsia="Calibri" w:hAnsi="Calibri" w:cs="Calibri"/>
                <w:b/>
                <w:color w:val="000000"/>
                <w:sz w:val="20"/>
              </w:rPr>
            </w:pPr>
            <w:r>
              <w:rPr>
                <w:rFonts w:ascii="Calibri" w:eastAsia="Calibri" w:hAnsi="Calibri" w:cs="Calibri"/>
                <w:b/>
                <w:color w:val="000000"/>
                <w:sz w:val="20"/>
              </w:rPr>
              <w:t>2022</w:t>
            </w:r>
          </w:p>
        </w:tc>
        <w:tc>
          <w:tcPr>
            <w:tcW w:w="188" w:type="pct"/>
            <w:tcBorders>
              <w:top w:val="nil"/>
              <w:left w:val="nil"/>
              <w:bottom w:val="nil"/>
              <w:right w:val="nil"/>
              <w:tl2br w:val="nil"/>
              <w:tr2bl w:val="nil"/>
            </w:tcBorders>
            <w:shd w:val="solid" w:color="FFFFFF" w:fill="FFFFFF"/>
            <w:noWrap/>
            <w:vAlign w:val="bottom"/>
          </w:tcPr>
          <w:p w14:paraId="697FA60F" w14:textId="77777777" w:rsidR="006E442A" w:rsidRDefault="006E442A" w:rsidP="006E442A">
            <w:pPr>
              <w:spacing w:after="1"/>
              <w:rPr>
                <w:rFonts w:ascii="Calibri" w:eastAsia="Calibri" w:hAnsi="Calibri" w:cs="Calibri"/>
                <w:b/>
                <w:color w:val="000000"/>
                <w:sz w:val="20"/>
              </w:rPr>
            </w:pPr>
            <w:r>
              <w:rPr>
                <w:rFonts w:ascii="Calibri" w:eastAsia="Calibri" w:hAnsi="Calibri" w:cs="Calibri"/>
                <w:b/>
                <w:color w:val="000000"/>
                <w:sz w:val="20"/>
              </w:rPr>
              <w:t>    </w:t>
            </w:r>
          </w:p>
        </w:tc>
        <w:tc>
          <w:tcPr>
            <w:tcW w:w="844" w:type="pct"/>
            <w:gridSpan w:val="2"/>
            <w:tcBorders>
              <w:top w:val="nil"/>
              <w:left w:val="nil"/>
              <w:bottom w:val="single" w:sz="4" w:space="0" w:color="000000"/>
              <w:right w:val="nil"/>
              <w:tl2br w:val="nil"/>
              <w:tr2bl w:val="nil"/>
            </w:tcBorders>
            <w:shd w:val="solid" w:color="FFFFFF" w:fill="FFFFFF"/>
            <w:noWrap/>
            <w:vAlign w:val="bottom"/>
          </w:tcPr>
          <w:p w14:paraId="6112723A" w14:textId="77777777" w:rsidR="006E442A" w:rsidRDefault="006E442A" w:rsidP="006E442A">
            <w:pPr>
              <w:spacing w:after="1"/>
              <w:jc w:val="center"/>
              <w:rPr>
                <w:rFonts w:ascii="Calibri" w:eastAsia="Calibri" w:hAnsi="Calibri" w:cs="Calibri"/>
                <w:b/>
                <w:color w:val="000000"/>
                <w:sz w:val="20"/>
              </w:rPr>
            </w:pPr>
            <w:r>
              <w:rPr>
                <w:rFonts w:ascii="Calibri" w:eastAsia="Calibri" w:hAnsi="Calibri" w:cs="Calibri"/>
                <w:b/>
                <w:color w:val="000000"/>
                <w:sz w:val="20"/>
              </w:rPr>
              <w:t>2023</w:t>
            </w:r>
          </w:p>
        </w:tc>
      </w:tr>
      <w:tr w:rsidR="002B6D64" w14:paraId="567D10F5" w14:textId="77777777" w:rsidTr="002B6D64">
        <w:tc>
          <w:tcPr>
            <w:tcW w:w="3003" w:type="pct"/>
            <w:tcBorders>
              <w:top w:val="nil"/>
              <w:left w:val="nil"/>
              <w:bottom w:val="nil"/>
              <w:right w:val="nil"/>
              <w:tl2br w:val="nil"/>
              <w:tr2bl w:val="nil"/>
            </w:tcBorders>
            <w:shd w:val="solid" w:color="FFFFFF" w:fill="FFFFFF"/>
            <w:vAlign w:val="bottom"/>
          </w:tcPr>
          <w:p w14:paraId="09E7AC04" w14:textId="77777777" w:rsidR="002B6D64" w:rsidRDefault="002B6D64" w:rsidP="006E442A">
            <w:pPr>
              <w:spacing w:after="1"/>
              <w:rPr>
                <w:rFonts w:ascii="Calibri" w:eastAsia="Calibri" w:hAnsi="Calibri" w:cs="Calibri"/>
                <w:b/>
                <w:color w:val="000000"/>
                <w:sz w:val="20"/>
              </w:rPr>
            </w:pPr>
          </w:p>
        </w:tc>
        <w:tc>
          <w:tcPr>
            <w:tcW w:w="121" w:type="pct"/>
            <w:tcBorders>
              <w:top w:val="nil"/>
              <w:left w:val="nil"/>
              <w:bottom w:val="nil"/>
              <w:right w:val="nil"/>
              <w:tl2br w:val="nil"/>
              <w:tr2bl w:val="nil"/>
            </w:tcBorders>
            <w:shd w:val="solid" w:color="FFFFFF" w:fill="FFFFFF"/>
            <w:noWrap/>
            <w:vAlign w:val="bottom"/>
          </w:tcPr>
          <w:p w14:paraId="17BECDA7" w14:textId="77777777" w:rsidR="002B6D64" w:rsidRDefault="002B6D64" w:rsidP="006E442A">
            <w:pPr>
              <w:spacing w:after="1"/>
              <w:jc w:val="center"/>
              <w:rPr>
                <w:rFonts w:ascii="Calibri" w:eastAsia="Calibri" w:hAnsi="Calibri" w:cs="Calibri"/>
                <w:b/>
                <w:color w:val="000000"/>
                <w:sz w:val="18"/>
              </w:rPr>
            </w:pPr>
          </w:p>
        </w:tc>
        <w:tc>
          <w:tcPr>
            <w:tcW w:w="1876" w:type="pct"/>
            <w:gridSpan w:val="5"/>
            <w:tcBorders>
              <w:top w:val="nil"/>
              <w:left w:val="nil"/>
              <w:bottom w:val="nil"/>
              <w:right w:val="nil"/>
              <w:tl2br w:val="nil"/>
              <w:tr2bl w:val="nil"/>
            </w:tcBorders>
            <w:shd w:val="solid" w:color="FFFFFF" w:fill="FFFFFF"/>
            <w:noWrap/>
            <w:vAlign w:val="bottom"/>
          </w:tcPr>
          <w:p w14:paraId="45793899" w14:textId="23E60AF8" w:rsidR="002B6D64" w:rsidRDefault="002B6D64" w:rsidP="006E442A">
            <w:pPr>
              <w:spacing w:after="1"/>
              <w:jc w:val="center"/>
              <w:rPr>
                <w:rFonts w:ascii="Calibri" w:eastAsia="Calibri" w:hAnsi="Calibri" w:cs="Calibri"/>
                <w:b/>
                <w:color w:val="000000"/>
                <w:sz w:val="18"/>
              </w:rPr>
            </w:pPr>
            <w:r>
              <w:rPr>
                <w:rFonts w:ascii="Calibri" w:eastAsia="Calibri" w:hAnsi="Calibri" w:cs="Calibri"/>
                <w:b/>
                <w:color w:val="000000"/>
                <w:sz w:val="18"/>
              </w:rPr>
              <w:t>(</w:t>
            </w:r>
            <w:proofErr w:type="gramStart"/>
            <w:r>
              <w:rPr>
                <w:rFonts w:ascii="Calibri" w:eastAsia="Calibri" w:hAnsi="Calibri" w:cs="Calibri"/>
                <w:b/>
                <w:color w:val="000000"/>
                <w:sz w:val="18"/>
              </w:rPr>
              <w:t>in</w:t>
            </w:r>
            <w:proofErr w:type="gramEnd"/>
            <w:r>
              <w:rPr>
                <w:rFonts w:ascii="Calibri" w:eastAsia="Calibri" w:hAnsi="Calibri" w:cs="Calibri"/>
                <w:b/>
                <w:color w:val="000000"/>
                <w:sz w:val="18"/>
              </w:rPr>
              <w:t xml:space="preserve"> thousands)</w:t>
            </w:r>
          </w:p>
        </w:tc>
      </w:tr>
      <w:tr w:rsidR="006E442A" w14:paraId="07C1685E" w14:textId="77777777" w:rsidTr="002B6D64">
        <w:tc>
          <w:tcPr>
            <w:tcW w:w="3003" w:type="pct"/>
            <w:tcBorders>
              <w:top w:val="nil"/>
              <w:left w:val="nil"/>
              <w:bottom w:val="nil"/>
              <w:right w:val="nil"/>
              <w:tl2br w:val="nil"/>
              <w:tr2bl w:val="nil"/>
            </w:tcBorders>
            <w:shd w:val="solid" w:color="FFFFFF" w:fill="FFFFFF"/>
            <w:vAlign w:val="bottom"/>
          </w:tcPr>
          <w:p w14:paraId="17007CDE"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Net income (loss)</w:t>
            </w:r>
          </w:p>
        </w:tc>
        <w:tc>
          <w:tcPr>
            <w:tcW w:w="121" w:type="pct"/>
            <w:tcBorders>
              <w:top w:val="nil"/>
              <w:left w:val="nil"/>
              <w:bottom w:val="nil"/>
              <w:right w:val="nil"/>
              <w:tl2br w:val="nil"/>
              <w:tr2bl w:val="nil"/>
            </w:tcBorders>
            <w:shd w:val="solid" w:color="FFFFFF" w:fill="FFFFFF"/>
            <w:noWrap/>
            <w:vAlign w:val="bottom"/>
          </w:tcPr>
          <w:p w14:paraId="08C31FC7" w14:textId="77777777" w:rsidR="006E442A" w:rsidRDefault="006E442A" w:rsidP="006E442A">
            <w:pPr>
              <w:spacing w:after="1"/>
              <w:rPr>
                <w:rFonts w:ascii="Calibri" w:eastAsia="Calibri" w:hAnsi="Calibri" w:cs="Calibri"/>
                <w:color w:val="000000"/>
                <w:sz w:val="20"/>
              </w:rPr>
            </w:pPr>
          </w:p>
        </w:tc>
        <w:tc>
          <w:tcPr>
            <w:tcW w:w="121" w:type="pct"/>
            <w:tcBorders>
              <w:top w:val="nil"/>
              <w:left w:val="nil"/>
              <w:bottom w:val="nil"/>
              <w:right w:val="nil"/>
              <w:tl2br w:val="nil"/>
              <w:tr2bl w:val="nil"/>
            </w:tcBorders>
            <w:shd w:val="solid" w:color="FFFFFF" w:fill="FFFFFF"/>
            <w:noWrap/>
            <w:vAlign w:val="bottom"/>
          </w:tcPr>
          <w:p w14:paraId="40A6C193"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w:t>
            </w:r>
          </w:p>
        </w:tc>
        <w:tc>
          <w:tcPr>
            <w:tcW w:w="722" w:type="pct"/>
            <w:tcBorders>
              <w:top w:val="nil"/>
              <w:left w:val="nil"/>
              <w:bottom w:val="nil"/>
              <w:right w:val="nil"/>
              <w:tl2br w:val="nil"/>
              <w:tr2bl w:val="nil"/>
            </w:tcBorders>
            <w:shd w:val="solid" w:color="FFFFFF" w:fill="FFFFFF"/>
            <w:noWrap/>
            <w:vAlign w:val="bottom"/>
          </w:tcPr>
          <w:p w14:paraId="585D0BA7"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39,082</w:t>
            </w:r>
          </w:p>
        </w:tc>
        <w:tc>
          <w:tcPr>
            <w:tcW w:w="188" w:type="pct"/>
            <w:tcBorders>
              <w:top w:val="nil"/>
              <w:left w:val="nil"/>
              <w:bottom w:val="nil"/>
              <w:right w:val="nil"/>
              <w:tl2br w:val="nil"/>
              <w:tr2bl w:val="nil"/>
            </w:tcBorders>
            <w:shd w:val="solid" w:color="FFFFFF" w:fill="FFFFFF"/>
            <w:noWrap/>
            <w:vAlign w:val="bottom"/>
          </w:tcPr>
          <w:p w14:paraId="0494EB0D" w14:textId="77777777" w:rsidR="006E442A" w:rsidRDefault="006E442A" w:rsidP="006E442A">
            <w:pPr>
              <w:spacing w:after="1"/>
              <w:rPr>
                <w:rFonts w:ascii="Calibri" w:eastAsia="Calibri" w:hAnsi="Calibri" w:cs="Calibri"/>
                <w:color w:val="000000"/>
                <w:sz w:val="20"/>
              </w:rPr>
            </w:pPr>
          </w:p>
        </w:tc>
        <w:tc>
          <w:tcPr>
            <w:tcW w:w="121" w:type="pct"/>
            <w:tcBorders>
              <w:top w:val="nil"/>
              <w:left w:val="nil"/>
              <w:bottom w:val="nil"/>
              <w:right w:val="nil"/>
              <w:tl2br w:val="nil"/>
              <w:tr2bl w:val="nil"/>
            </w:tcBorders>
            <w:shd w:val="solid" w:color="FFFFFF" w:fill="FFFFFF"/>
            <w:noWrap/>
            <w:vAlign w:val="bottom"/>
          </w:tcPr>
          <w:p w14:paraId="6009FBFB"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w:t>
            </w:r>
          </w:p>
        </w:tc>
        <w:tc>
          <w:tcPr>
            <w:tcW w:w="723" w:type="pct"/>
            <w:tcBorders>
              <w:top w:val="nil"/>
              <w:left w:val="nil"/>
              <w:bottom w:val="nil"/>
              <w:right w:val="nil"/>
              <w:tl2br w:val="nil"/>
              <w:tr2bl w:val="nil"/>
            </w:tcBorders>
            <w:shd w:val="solid" w:color="FFFFFF" w:fill="FFFFFF"/>
            <w:noWrap/>
            <w:vAlign w:val="bottom"/>
          </w:tcPr>
          <w:p w14:paraId="7A14B71A" w14:textId="77777777" w:rsidR="006E442A" w:rsidRDefault="006E442A" w:rsidP="006E442A">
            <w:pPr>
              <w:spacing w:after="1"/>
              <w:jc w:val="right"/>
              <w:rPr>
                <w:rFonts w:ascii="Calibri" w:eastAsia="Calibri" w:hAnsi="Calibri" w:cs="Calibri"/>
                <w:color w:val="000000"/>
                <w:sz w:val="20"/>
              </w:rPr>
            </w:pPr>
            <w:r>
              <w:rPr>
                <w:rFonts w:ascii="Calibri" w:eastAsia="Calibri" w:hAnsi="Calibri" w:cs="Calibri"/>
                <w:color w:val="000000"/>
                <w:sz w:val="20"/>
              </w:rPr>
              <w:t xml:space="preserve"> (6,977)</w:t>
            </w:r>
          </w:p>
        </w:tc>
      </w:tr>
      <w:tr w:rsidR="006E442A" w14:paraId="7DB0D5BC" w14:textId="77777777" w:rsidTr="002B6D64">
        <w:tc>
          <w:tcPr>
            <w:tcW w:w="3003" w:type="pct"/>
            <w:tcBorders>
              <w:top w:val="nil"/>
              <w:left w:val="nil"/>
              <w:bottom w:val="nil"/>
              <w:right w:val="nil"/>
              <w:tl2br w:val="nil"/>
              <w:tr2bl w:val="nil"/>
            </w:tcBorders>
            <w:shd w:val="solid" w:color="FFFFFF" w:fill="FFFFFF"/>
            <w:vAlign w:val="bottom"/>
          </w:tcPr>
          <w:p w14:paraId="21CDA4CF"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Interest income</w:t>
            </w:r>
          </w:p>
        </w:tc>
        <w:tc>
          <w:tcPr>
            <w:tcW w:w="121" w:type="pct"/>
            <w:tcBorders>
              <w:top w:val="nil"/>
              <w:left w:val="nil"/>
              <w:bottom w:val="nil"/>
              <w:right w:val="nil"/>
              <w:tl2br w:val="nil"/>
              <w:tr2bl w:val="nil"/>
            </w:tcBorders>
            <w:shd w:val="solid" w:color="FFFFFF" w:fill="FFFFFF"/>
            <w:noWrap/>
            <w:vAlign w:val="bottom"/>
          </w:tcPr>
          <w:p w14:paraId="693857B0" w14:textId="77777777" w:rsidR="006E442A" w:rsidRDefault="006E442A" w:rsidP="006E442A">
            <w:pPr>
              <w:spacing w:after="1"/>
              <w:rPr>
                <w:rFonts w:ascii="Calibri" w:eastAsia="Calibri" w:hAnsi="Calibri" w:cs="Calibri"/>
                <w:color w:val="000000"/>
                <w:sz w:val="20"/>
              </w:rPr>
            </w:pPr>
          </w:p>
        </w:tc>
        <w:tc>
          <w:tcPr>
            <w:tcW w:w="121" w:type="pct"/>
            <w:tcBorders>
              <w:top w:val="nil"/>
              <w:left w:val="nil"/>
              <w:bottom w:val="nil"/>
              <w:right w:val="nil"/>
              <w:tl2br w:val="nil"/>
              <w:tr2bl w:val="nil"/>
            </w:tcBorders>
            <w:shd w:val="solid" w:color="FFFFFF" w:fill="FFFFFF"/>
            <w:noWrap/>
            <w:vAlign w:val="bottom"/>
          </w:tcPr>
          <w:p w14:paraId="3188E783" w14:textId="77777777" w:rsidR="006E442A" w:rsidRDefault="006E442A" w:rsidP="006E442A">
            <w:pPr>
              <w:spacing w:after="1"/>
              <w:rPr>
                <w:rFonts w:ascii="Calibri" w:eastAsia="Calibri" w:hAnsi="Calibri" w:cs="Calibri"/>
                <w:color w:val="000000"/>
                <w:sz w:val="20"/>
              </w:rPr>
            </w:pPr>
          </w:p>
        </w:tc>
        <w:tc>
          <w:tcPr>
            <w:tcW w:w="722" w:type="pct"/>
            <w:tcBorders>
              <w:top w:val="nil"/>
              <w:left w:val="nil"/>
              <w:bottom w:val="nil"/>
              <w:right w:val="nil"/>
              <w:tl2br w:val="nil"/>
              <w:tr2bl w:val="nil"/>
            </w:tcBorders>
            <w:shd w:val="solid" w:color="FFFFFF" w:fill="FFFFFF"/>
            <w:noWrap/>
            <w:vAlign w:val="bottom"/>
          </w:tcPr>
          <w:p w14:paraId="6C2647A2" w14:textId="77777777" w:rsidR="006E442A" w:rsidRDefault="006E442A" w:rsidP="006E442A">
            <w:pPr>
              <w:spacing w:after="1"/>
              <w:jc w:val="right"/>
              <w:rPr>
                <w:rFonts w:ascii="Calibri" w:eastAsia="Calibri" w:hAnsi="Calibri" w:cs="Calibri"/>
                <w:color w:val="000000"/>
                <w:sz w:val="20"/>
              </w:rPr>
            </w:pPr>
            <w:r>
              <w:rPr>
                <w:rFonts w:ascii="Calibri" w:eastAsia="Calibri" w:hAnsi="Calibri" w:cs="Calibri"/>
                <w:color w:val="000000"/>
                <w:sz w:val="20"/>
              </w:rPr>
              <w:t xml:space="preserve"> (3)</w:t>
            </w:r>
          </w:p>
        </w:tc>
        <w:tc>
          <w:tcPr>
            <w:tcW w:w="188" w:type="pct"/>
            <w:tcBorders>
              <w:top w:val="nil"/>
              <w:left w:val="nil"/>
              <w:bottom w:val="nil"/>
              <w:right w:val="nil"/>
              <w:tl2br w:val="nil"/>
              <w:tr2bl w:val="nil"/>
            </w:tcBorders>
            <w:shd w:val="solid" w:color="FFFFFF" w:fill="FFFFFF"/>
            <w:noWrap/>
            <w:vAlign w:val="bottom"/>
          </w:tcPr>
          <w:p w14:paraId="1396F0CA" w14:textId="77777777" w:rsidR="006E442A" w:rsidRDefault="006E442A" w:rsidP="006E442A">
            <w:pPr>
              <w:spacing w:after="1"/>
              <w:rPr>
                <w:rFonts w:ascii="Calibri" w:eastAsia="Calibri" w:hAnsi="Calibri" w:cs="Calibri"/>
                <w:color w:val="000000"/>
                <w:sz w:val="20"/>
              </w:rPr>
            </w:pPr>
          </w:p>
        </w:tc>
        <w:tc>
          <w:tcPr>
            <w:tcW w:w="121" w:type="pct"/>
            <w:tcBorders>
              <w:top w:val="nil"/>
              <w:left w:val="nil"/>
              <w:bottom w:val="nil"/>
              <w:right w:val="nil"/>
              <w:tl2br w:val="nil"/>
              <w:tr2bl w:val="nil"/>
            </w:tcBorders>
            <w:shd w:val="solid" w:color="FFFFFF" w:fill="FFFFFF"/>
            <w:noWrap/>
            <w:vAlign w:val="bottom"/>
          </w:tcPr>
          <w:p w14:paraId="20A02E41" w14:textId="77777777" w:rsidR="006E442A" w:rsidRDefault="006E442A" w:rsidP="006E442A">
            <w:pPr>
              <w:spacing w:after="1"/>
              <w:rPr>
                <w:rFonts w:ascii="Calibri" w:eastAsia="Calibri" w:hAnsi="Calibri" w:cs="Calibri"/>
                <w:color w:val="000000"/>
                <w:sz w:val="20"/>
              </w:rPr>
            </w:pPr>
          </w:p>
        </w:tc>
        <w:tc>
          <w:tcPr>
            <w:tcW w:w="723" w:type="pct"/>
            <w:tcBorders>
              <w:top w:val="nil"/>
              <w:left w:val="nil"/>
              <w:bottom w:val="nil"/>
              <w:right w:val="nil"/>
              <w:tl2br w:val="nil"/>
              <w:tr2bl w:val="nil"/>
            </w:tcBorders>
            <w:shd w:val="solid" w:color="FFFFFF" w:fill="FFFFFF"/>
            <w:noWrap/>
            <w:vAlign w:val="bottom"/>
          </w:tcPr>
          <w:p w14:paraId="3C1B4848" w14:textId="77777777" w:rsidR="006E442A" w:rsidRDefault="006E442A" w:rsidP="006E442A">
            <w:pPr>
              <w:spacing w:after="1"/>
              <w:jc w:val="right"/>
              <w:rPr>
                <w:rFonts w:ascii="Calibri" w:eastAsia="Calibri" w:hAnsi="Calibri" w:cs="Calibri"/>
                <w:color w:val="000000"/>
                <w:sz w:val="20"/>
              </w:rPr>
            </w:pPr>
            <w:r>
              <w:rPr>
                <w:rFonts w:ascii="Calibri" w:eastAsia="Calibri" w:hAnsi="Calibri" w:cs="Calibri"/>
                <w:color w:val="000000"/>
                <w:sz w:val="20"/>
              </w:rPr>
              <w:t xml:space="preserve"> (464)</w:t>
            </w:r>
          </w:p>
        </w:tc>
      </w:tr>
      <w:tr w:rsidR="006E442A" w14:paraId="522DE983" w14:textId="77777777" w:rsidTr="002B6D64">
        <w:tc>
          <w:tcPr>
            <w:tcW w:w="3003" w:type="pct"/>
            <w:tcBorders>
              <w:top w:val="nil"/>
              <w:left w:val="nil"/>
              <w:bottom w:val="nil"/>
              <w:right w:val="nil"/>
              <w:tl2br w:val="nil"/>
              <w:tr2bl w:val="nil"/>
            </w:tcBorders>
            <w:shd w:val="solid" w:color="FFFFFF" w:fill="FFFFFF"/>
            <w:vAlign w:val="bottom"/>
          </w:tcPr>
          <w:p w14:paraId="04047680"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Interest expense</w:t>
            </w:r>
          </w:p>
        </w:tc>
        <w:tc>
          <w:tcPr>
            <w:tcW w:w="121" w:type="pct"/>
            <w:tcBorders>
              <w:top w:val="nil"/>
              <w:left w:val="nil"/>
              <w:bottom w:val="nil"/>
              <w:right w:val="nil"/>
              <w:tl2br w:val="nil"/>
              <w:tr2bl w:val="nil"/>
            </w:tcBorders>
            <w:shd w:val="solid" w:color="FFFFFF" w:fill="FFFFFF"/>
            <w:noWrap/>
            <w:vAlign w:val="bottom"/>
          </w:tcPr>
          <w:p w14:paraId="3A42C0E0" w14:textId="77777777" w:rsidR="006E442A" w:rsidRDefault="006E442A" w:rsidP="006E442A">
            <w:pPr>
              <w:spacing w:after="1"/>
              <w:rPr>
                <w:rFonts w:ascii="Calibri" w:eastAsia="Calibri" w:hAnsi="Calibri" w:cs="Calibri"/>
                <w:color w:val="000000"/>
                <w:sz w:val="20"/>
              </w:rPr>
            </w:pPr>
          </w:p>
        </w:tc>
        <w:tc>
          <w:tcPr>
            <w:tcW w:w="121" w:type="pct"/>
            <w:tcBorders>
              <w:top w:val="nil"/>
              <w:left w:val="nil"/>
              <w:bottom w:val="nil"/>
              <w:right w:val="nil"/>
              <w:tl2br w:val="nil"/>
              <w:tr2bl w:val="nil"/>
            </w:tcBorders>
            <w:shd w:val="solid" w:color="FFFFFF" w:fill="FFFFFF"/>
            <w:noWrap/>
            <w:vAlign w:val="bottom"/>
          </w:tcPr>
          <w:p w14:paraId="2DEE29F1" w14:textId="77777777" w:rsidR="006E442A" w:rsidRDefault="006E442A" w:rsidP="006E442A">
            <w:pPr>
              <w:spacing w:after="1"/>
              <w:rPr>
                <w:rFonts w:ascii="Calibri" w:eastAsia="Calibri" w:hAnsi="Calibri" w:cs="Calibri"/>
                <w:color w:val="000000"/>
                <w:sz w:val="20"/>
              </w:rPr>
            </w:pPr>
          </w:p>
        </w:tc>
        <w:tc>
          <w:tcPr>
            <w:tcW w:w="722" w:type="pct"/>
            <w:tcBorders>
              <w:top w:val="nil"/>
              <w:left w:val="nil"/>
              <w:bottom w:val="nil"/>
              <w:right w:val="nil"/>
              <w:tl2br w:val="nil"/>
              <w:tr2bl w:val="nil"/>
            </w:tcBorders>
            <w:shd w:val="solid" w:color="FFFFFF" w:fill="FFFFFF"/>
            <w:noWrap/>
            <w:vAlign w:val="bottom"/>
          </w:tcPr>
          <w:p w14:paraId="24CBD0DA"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17,616</w:t>
            </w:r>
          </w:p>
        </w:tc>
        <w:tc>
          <w:tcPr>
            <w:tcW w:w="188" w:type="pct"/>
            <w:tcBorders>
              <w:top w:val="nil"/>
              <w:left w:val="nil"/>
              <w:bottom w:val="nil"/>
              <w:right w:val="nil"/>
              <w:tl2br w:val="nil"/>
              <w:tr2bl w:val="nil"/>
            </w:tcBorders>
            <w:shd w:val="solid" w:color="FFFFFF" w:fill="FFFFFF"/>
            <w:noWrap/>
            <w:vAlign w:val="bottom"/>
          </w:tcPr>
          <w:p w14:paraId="3A180DEB" w14:textId="77777777" w:rsidR="006E442A" w:rsidRDefault="006E442A" w:rsidP="006E442A">
            <w:pPr>
              <w:spacing w:after="1"/>
              <w:rPr>
                <w:rFonts w:ascii="Calibri" w:eastAsia="Calibri" w:hAnsi="Calibri" w:cs="Calibri"/>
                <w:color w:val="000000"/>
                <w:sz w:val="20"/>
              </w:rPr>
            </w:pPr>
          </w:p>
        </w:tc>
        <w:tc>
          <w:tcPr>
            <w:tcW w:w="121" w:type="pct"/>
            <w:tcBorders>
              <w:top w:val="nil"/>
              <w:left w:val="nil"/>
              <w:bottom w:val="nil"/>
              <w:right w:val="nil"/>
              <w:tl2br w:val="nil"/>
              <w:tr2bl w:val="nil"/>
            </w:tcBorders>
            <w:shd w:val="solid" w:color="FFFFFF" w:fill="FFFFFF"/>
            <w:noWrap/>
            <w:vAlign w:val="bottom"/>
          </w:tcPr>
          <w:p w14:paraId="47DAB83A" w14:textId="77777777" w:rsidR="006E442A" w:rsidRDefault="006E442A" w:rsidP="006E442A">
            <w:pPr>
              <w:spacing w:after="1"/>
              <w:rPr>
                <w:rFonts w:ascii="Calibri" w:eastAsia="Calibri" w:hAnsi="Calibri" w:cs="Calibri"/>
                <w:color w:val="000000"/>
                <w:sz w:val="20"/>
              </w:rPr>
            </w:pPr>
          </w:p>
        </w:tc>
        <w:tc>
          <w:tcPr>
            <w:tcW w:w="723" w:type="pct"/>
            <w:tcBorders>
              <w:top w:val="nil"/>
              <w:left w:val="nil"/>
              <w:bottom w:val="nil"/>
              <w:right w:val="nil"/>
              <w:tl2br w:val="nil"/>
              <w:tr2bl w:val="nil"/>
            </w:tcBorders>
            <w:shd w:val="solid" w:color="FFFFFF" w:fill="FFFFFF"/>
            <w:noWrap/>
            <w:vAlign w:val="bottom"/>
          </w:tcPr>
          <w:p w14:paraId="2CDA6A54"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43,929</w:t>
            </w:r>
          </w:p>
        </w:tc>
      </w:tr>
      <w:tr w:rsidR="006E442A" w14:paraId="6D3E0B82" w14:textId="77777777" w:rsidTr="002B6D64">
        <w:tc>
          <w:tcPr>
            <w:tcW w:w="3003" w:type="pct"/>
            <w:tcBorders>
              <w:top w:val="nil"/>
              <w:left w:val="nil"/>
              <w:bottom w:val="nil"/>
              <w:right w:val="nil"/>
              <w:tl2br w:val="nil"/>
              <w:tr2bl w:val="nil"/>
            </w:tcBorders>
            <w:shd w:val="solid" w:color="FFFFFF" w:fill="FFFFFF"/>
            <w:vAlign w:val="bottom"/>
          </w:tcPr>
          <w:p w14:paraId="46642DFE"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xml:space="preserve">Income tax expense (benefit) </w:t>
            </w:r>
          </w:p>
        </w:tc>
        <w:tc>
          <w:tcPr>
            <w:tcW w:w="121" w:type="pct"/>
            <w:tcBorders>
              <w:top w:val="nil"/>
              <w:left w:val="nil"/>
              <w:bottom w:val="nil"/>
              <w:right w:val="nil"/>
              <w:tl2br w:val="nil"/>
              <w:tr2bl w:val="nil"/>
            </w:tcBorders>
            <w:shd w:val="solid" w:color="FFFFFF" w:fill="FFFFFF"/>
            <w:noWrap/>
            <w:vAlign w:val="bottom"/>
          </w:tcPr>
          <w:p w14:paraId="0C45363A" w14:textId="77777777" w:rsidR="006E442A" w:rsidRDefault="006E442A" w:rsidP="006E442A">
            <w:pPr>
              <w:spacing w:after="1"/>
              <w:rPr>
                <w:rFonts w:ascii="Calibri" w:eastAsia="Calibri" w:hAnsi="Calibri" w:cs="Calibri"/>
                <w:color w:val="000000"/>
                <w:sz w:val="20"/>
              </w:rPr>
            </w:pPr>
          </w:p>
        </w:tc>
        <w:tc>
          <w:tcPr>
            <w:tcW w:w="121" w:type="pct"/>
            <w:tcBorders>
              <w:top w:val="nil"/>
              <w:left w:val="nil"/>
              <w:bottom w:val="nil"/>
              <w:right w:val="nil"/>
              <w:tl2br w:val="nil"/>
              <w:tr2bl w:val="nil"/>
            </w:tcBorders>
            <w:shd w:val="solid" w:color="FFFFFF" w:fill="FFFFFF"/>
            <w:noWrap/>
            <w:vAlign w:val="bottom"/>
          </w:tcPr>
          <w:p w14:paraId="563E1773" w14:textId="77777777" w:rsidR="006E442A" w:rsidRDefault="006E442A" w:rsidP="006E442A">
            <w:pPr>
              <w:spacing w:after="1"/>
              <w:rPr>
                <w:rFonts w:ascii="Calibri" w:eastAsia="Calibri" w:hAnsi="Calibri" w:cs="Calibri"/>
                <w:color w:val="000000"/>
                <w:sz w:val="20"/>
              </w:rPr>
            </w:pPr>
          </w:p>
        </w:tc>
        <w:tc>
          <w:tcPr>
            <w:tcW w:w="722" w:type="pct"/>
            <w:tcBorders>
              <w:top w:val="nil"/>
              <w:left w:val="nil"/>
              <w:bottom w:val="nil"/>
              <w:right w:val="nil"/>
              <w:tl2br w:val="nil"/>
              <w:tr2bl w:val="nil"/>
            </w:tcBorders>
            <w:shd w:val="solid" w:color="FFFFFF" w:fill="FFFFFF"/>
            <w:noWrap/>
            <w:vAlign w:val="bottom"/>
          </w:tcPr>
          <w:p w14:paraId="27168273"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15,617</w:t>
            </w:r>
          </w:p>
        </w:tc>
        <w:tc>
          <w:tcPr>
            <w:tcW w:w="188" w:type="pct"/>
            <w:tcBorders>
              <w:top w:val="nil"/>
              <w:left w:val="nil"/>
              <w:bottom w:val="nil"/>
              <w:right w:val="nil"/>
              <w:tl2br w:val="nil"/>
              <w:tr2bl w:val="nil"/>
            </w:tcBorders>
            <w:shd w:val="solid" w:color="FFFFFF" w:fill="FFFFFF"/>
            <w:noWrap/>
            <w:vAlign w:val="bottom"/>
          </w:tcPr>
          <w:p w14:paraId="2597504B" w14:textId="77777777" w:rsidR="006E442A" w:rsidRDefault="006E442A" w:rsidP="006E442A">
            <w:pPr>
              <w:spacing w:after="1"/>
              <w:rPr>
                <w:rFonts w:ascii="Calibri" w:eastAsia="Calibri" w:hAnsi="Calibri" w:cs="Calibri"/>
                <w:color w:val="000000"/>
                <w:sz w:val="20"/>
              </w:rPr>
            </w:pPr>
          </w:p>
        </w:tc>
        <w:tc>
          <w:tcPr>
            <w:tcW w:w="121" w:type="pct"/>
            <w:tcBorders>
              <w:top w:val="nil"/>
              <w:left w:val="nil"/>
              <w:bottom w:val="nil"/>
              <w:right w:val="nil"/>
              <w:tl2br w:val="nil"/>
              <w:tr2bl w:val="nil"/>
            </w:tcBorders>
            <w:shd w:val="solid" w:color="FFFFFF" w:fill="FFFFFF"/>
            <w:noWrap/>
            <w:vAlign w:val="bottom"/>
          </w:tcPr>
          <w:p w14:paraId="38F010E8" w14:textId="77777777" w:rsidR="006E442A" w:rsidRDefault="006E442A" w:rsidP="006E442A">
            <w:pPr>
              <w:spacing w:after="1"/>
              <w:rPr>
                <w:rFonts w:ascii="Calibri" w:eastAsia="Calibri" w:hAnsi="Calibri" w:cs="Calibri"/>
                <w:color w:val="000000"/>
                <w:sz w:val="20"/>
              </w:rPr>
            </w:pPr>
          </w:p>
        </w:tc>
        <w:tc>
          <w:tcPr>
            <w:tcW w:w="723" w:type="pct"/>
            <w:tcBorders>
              <w:top w:val="nil"/>
              <w:left w:val="nil"/>
              <w:bottom w:val="nil"/>
              <w:right w:val="nil"/>
              <w:tl2br w:val="nil"/>
              <w:tr2bl w:val="nil"/>
            </w:tcBorders>
            <w:shd w:val="solid" w:color="FFFFFF" w:fill="FFFFFF"/>
            <w:noWrap/>
            <w:vAlign w:val="bottom"/>
          </w:tcPr>
          <w:p w14:paraId="6CC56EF1" w14:textId="77777777" w:rsidR="006E442A" w:rsidRDefault="006E442A" w:rsidP="006E442A">
            <w:pPr>
              <w:spacing w:after="1"/>
              <w:jc w:val="right"/>
              <w:rPr>
                <w:rFonts w:ascii="Calibri" w:eastAsia="Calibri" w:hAnsi="Calibri" w:cs="Calibri"/>
                <w:color w:val="000000"/>
                <w:sz w:val="20"/>
              </w:rPr>
            </w:pPr>
            <w:r>
              <w:rPr>
                <w:rFonts w:ascii="Calibri" w:eastAsia="Calibri" w:hAnsi="Calibri" w:cs="Calibri"/>
                <w:color w:val="000000"/>
                <w:sz w:val="20"/>
              </w:rPr>
              <w:t xml:space="preserve"> (18,703)</w:t>
            </w:r>
          </w:p>
        </w:tc>
      </w:tr>
      <w:tr w:rsidR="006E442A" w14:paraId="65E4DCEA" w14:textId="77777777" w:rsidTr="002B6D64">
        <w:tc>
          <w:tcPr>
            <w:tcW w:w="3003" w:type="pct"/>
            <w:tcBorders>
              <w:top w:val="nil"/>
              <w:left w:val="nil"/>
              <w:bottom w:val="nil"/>
              <w:right w:val="nil"/>
              <w:tl2br w:val="nil"/>
              <w:tr2bl w:val="nil"/>
            </w:tcBorders>
            <w:shd w:val="solid" w:color="FFFFFF" w:fill="FFFFFF"/>
            <w:vAlign w:val="bottom"/>
          </w:tcPr>
          <w:p w14:paraId="004C7317"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Amortization of debt financing costs</w:t>
            </w:r>
          </w:p>
        </w:tc>
        <w:tc>
          <w:tcPr>
            <w:tcW w:w="121" w:type="pct"/>
            <w:tcBorders>
              <w:top w:val="nil"/>
              <w:left w:val="nil"/>
              <w:bottom w:val="nil"/>
              <w:right w:val="nil"/>
              <w:tl2br w:val="nil"/>
              <w:tr2bl w:val="nil"/>
            </w:tcBorders>
            <w:shd w:val="solid" w:color="FFFFFF" w:fill="FFFFFF"/>
            <w:noWrap/>
            <w:vAlign w:val="bottom"/>
          </w:tcPr>
          <w:p w14:paraId="0FE7EC63" w14:textId="77777777" w:rsidR="006E442A" w:rsidRDefault="006E442A" w:rsidP="006E442A">
            <w:pPr>
              <w:spacing w:after="1"/>
              <w:rPr>
                <w:rFonts w:ascii="Calibri" w:eastAsia="Calibri" w:hAnsi="Calibri" w:cs="Calibri"/>
                <w:color w:val="000000"/>
                <w:sz w:val="20"/>
              </w:rPr>
            </w:pPr>
          </w:p>
        </w:tc>
        <w:tc>
          <w:tcPr>
            <w:tcW w:w="121" w:type="pct"/>
            <w:tcBorders>
              <w:top w:val="nil"/>
              <w:left w:val="nil"/>
              <w:bottom w:val="nil"/>
              <w:right w:val="nil"/>
              <w:tl2br w:val="nil"/>
              <w:tr2bl w:val="nil"/>
            </w:tcBorders>
            <w:shd w:val="solid" w:color="FFFFFF" w:fill="FFFFFF"/>
            <w:noWrap/>
            <w:vAlign w:val="bottom"/>
          </w:tcPr>
          <w:p w14:paraId="4F6439D4" w14:textId="77777777" w:rsidR="006E442A" w:rsidRDefault="006E442A" w:rsidP="006E442A">
            <w:pPr>
              <w:spacing w:after="1"/>
              <w:rPr>
                <w:rFonts w:ascii="Calibri" w:eastAsia="Calibri" w:hAnsi="Calibri" w:cs="Calibri"/>
                <w:color w:val="000000"/>
                <w:sz w:val="20"/>
              </w:rPr>
            </w:pPr>
          </w:p>
        </w:tc>
        <w:tc>
          <w:tcPr>
            <w:tcW w:w="722" w:type="pct"/>
            <w:tcBorders>
              <w:top w:val="nil"/>
              <w:left w:val="nil"/>
              <w:bottom w:val="nil"/>
              <w:right w:val="nil"/>
              <w:tl2br w:val="nil"/>
              <w:tr2bl w:val="nil"/>
            </w:tcBorders>
            <w:shd w:val="solid" w:color="FFFFFF" w:fill="FFFFFF"/>
            <w:noWrap/>
            <w:vAlign w:val="bottom"/>
          </w:tcPr>
          <w:p w14:paraId="530B5423"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1,101</w:t>
            </w:r>
          </w:p>
        </w:tc>
        <w:tc>
          <w:tcPr>
            <w:tcW w:w="188" w:type="pct"/>
            <w:tcBorders>
              <w:top w:val="nil"/>
              <w:left w:val="nil"/>
              <w:bottom w:val="nil"/>
              <w:right w:val="nil"/>
              <w:tl2br w:val="nil"/>
              <w:tr2bl w:val="nil"/>
            </w:tcBorders>
            <w:shd w:val="solid" w:color="FFFFFF" w:fill="FFFFFF"/>
            <w:noWrap/>
            <w:vAlign w:val="bottom"/>
          </w:tcPr>
          <w:p w14:paraId="74A791C3" w14:textId="77777777" w:rsidR="006E442A" w:rsidRDefault="006E442A" w:rsidP="006E442A">
            <w:pPr>
              <w:spacing w:after="1"/>
              <w:rPr>
                <w:rFonts w:ascii="Calibri" w:eastAsia="Calibri" w:hAnsi="Calibri" w:cs="Calibri"/>
                <w:color w:val="000000"/>
                <w:sz w:val="20"/>
              </w:rPr>
            </w:pPr>
          </w:p>
        </w:tc>
        <w:tc>
          <w:tcPr>
            <w:tcW w:w="121" w:type="pct"/>
            <w:tcBorders>
              <w:top w:val="nil"/>
              <w:left w:val="nil"/>
              <w:bottom w:val="nil"/>
              <w:right w:val="nil"/>
              <w:tl2br w:val="nil"/>
              <w:tr2bl w:val="nil"/>
            </w:tcBorders>
            <w:shd w:val="solid" w:color="FFFFFF" w:fill="FFFFFF"/>
            <w:noWrap/>
            <w:vAlign w:val="bottom"/>
          </w:tcPr>
          <w:p w14:paraId="5B8FD7E1" w14:textId="77777777" w:rsidR="006E442A" w:rsidRDefault="006E442A" w:rsidP="006E442A">
            <w:pPr>
              <w:spacing w:after="1"/>
              <w:rPr>
                <w:rFonts w:ascii="Calibri" w:eastAsia="Calibri" w:hAnsi="Calibri" w:cs="Calibri"/>
                <w:color w:val="000000"/>
                <w:sz w:val="20"/>
              </w:rPr>
            </w:pPr>
          </w:p>
        </w:tc>
        <w:tc>
          <w:tcPr>
            <w:tcW w:w="723" w:type="pct"/>
            <w:tcBorders>
              <w:top w:val="nil"/>
              <w:left w:val="nil"/>
              <w:bottom w:val="nil"/>
              <w:right w:val="nil"/>
              <w:tl2br w:val="nil"/>
              <w:tr2bl w:val="nil"/>
            </w:tcBorders>
            <w:shd w:val="solid" w:color="FFFFFF" w:fill="FFFFFF"/>
            <w:noWrap/>
            <w:vAlign w:val="bottom"/>
          </w:tcPr>
          <w:p w14:paraId="3859BE43"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1,105</w:t>
            </w:r>
          </w:p>
        </w:tc>
      </w:tr>
      <w:tr w:rsidR="006E442A" w14:paraId="4FCE716F" w14:textId="77777777" w:rsidTr="002B6D64">
        <w:tc>
          <w:tcPr>
            <w:tcW w:w="3003" w:type="pct"/>
            <w:tcBorders>
              <w:top w:val="nil"/>
              <w:left w:val="nil"/>
              <w:bottom w:val="nil"/>
              <w:right w:val="nil"/>
              <w:tl2br w:val="nil"/>
              <w:tr2bl w:val="nil"/>
            </w:tcBorders>
            <w:shd w:val="solid" w:color="FFFFFF" w:fill="FFFFFF"/>
            <w:vAlign w:val="bottom"/>
          </w:tcPr>
          <w:p w14:paraId="17FBEF47"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Intangible amortization</w:t>
            </w:r>
          </w:p>
        </w:tc>
        <w:tc>
          <w:tcPr>
            <w:tcW w:w="121" w:type="pct"/>
            <w:tcBorders>
              <w:top w:val="nil"/>
              <w:left w:val="nil"/>
              <w:bottom w:val="nil"/>
              <w:right w:val="nil"/>
              <w:tl2br w:val="nil"/>
              <w:tr2bl w:val="nil"/>
            </w:tcBorders>
            <w:shd w:val="solid" w:color="FFFFFF" w:fill="FFFFFF"/>
            <w:noWrap/>
            <w:vAlign w:val="bottom"/>
          </w:tcPr>
          <w:p w14:paraId="37172A58" w14:textId="77777777" w:rsidR="006E442A" w:rsidRDefault="006E442A" w:rsidP="006E442A">
            <w:pPr>
              <w:spacing w:after="1"/>
              <w:rPr>
                <w:rFonts w:ascii="Calibri" w:eastAsia="Calibri" w:hAnsi="Calibri" w:cs="Calibri"/>
                <w:color w:val="000000"/>
                <w:sz w:val="20"/>
              </w:rPr>
            </w:pPr>
          </w:p>
        </w:tc>
        <w:tc>
          <w:tcPr>
            <w:tcW w:w="121" w:type="pct"/>
            <w:tcBorders>
              <w:top w:val="nil"/>
              <w:left w:val="nil"/>
              <w:bottom w:val="nil"/>
              <w:right w:val="nil"/>
              <w:tl2br w:val="nil"/>
              <w:tr2bl w:val="nil"/>
            </w:tcBorders>
            <w:shd w:val="solid" w:color="FFFFFF" w:fill="FFFFFF"/>
            <w:noWrap/>
            <w:vAlign w:val="bottom"/>
          </w:tcPr>
          <w:p w14:paraId="0EC04A9D" w14:textId="77777777" w:rsidR="006E442A" w:rsidRDefault="006E442A" w:rsidP="006E442A">
            <w:pPr>
              <w:spacing w:after="1"/>
              <w:rPr>
                <w:rFonts w:ascii="Calibri" w:eastAsia="Calibri" w:hAnsi="Calibri" w:cs="Calibri"/>
                <w:color w:val="000000"/>
                <w:sz w:val="20"/>
              </w:rPr>
            </w:pPr>
          </w:p>
        </w:tc>
        <w:tc>
          <w:tcPr>
            <w:tcW w:w="722" w:type="pct"/>
            <w:tcBorders>
              <w:top w:val="nil"/>
              <w:left w:val="nil"/>
              <w:bottom w:val="nil"/>
              <w:right w:val="nil"/>
              <w:tl2br w:val="nil"/>
              <w:tr2bl w:val="nil"/>
            </w:tcBorders>
            <w:shd w:val="solid" w:color="FFFFFF" w:fill="FFFFFF"/>
            <w:noWrap/>
            <w:vAlign w:val="bottom"/>
          </w:tcPr>
          <w:p w14:paraId="01FB17F2"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60,276</w:t>
            </w:r>
          </w:p>
        </w:tc>
        <w:tc>
          <w:tcPr>
            <w:tcW w:w="188" w:type="pct"/>
            <w:tcBorders>
              <w:top w:val="nil"/>
              <w:left w:val="nil"/>
              <w:bottom w:val="nil"/>
              <w:right w:val="nil"/>
              <w:tl2br w:val="nil"/>
              <w:tr2bl w:val="nil"/>
            </w:tcBorders>
            <w:shd w:val="solid" w:color="FFFFFF" w:fill="FFFFFF"/>
            <w:noWrap/>
            <w:vAlign w:val="bottom"/>
          </w:tcPr>
          <w:p w14:paraId="18D24727" w14:textId="77777777" w:rsidR="006E442A" w:rsidRDefault="006E442A" w:rsidP="006E442A">
            <w:pPr>
              <w:spacing w:after="1"/>
              <w:rPr>
                <w:rFonts w:ascii="Calibri" w:eastAsia="Calibri" w:hAnsi="Calibri" w:cs="Calibri"/>
                <w:color w:val="000000"/>
                <w:sz w:val="20"/>
              </w:rPr>
            </w:pPr>
          </w:p>
        </w:tc>
        <w:tc>
          <w:tcPr>
            <w:tcW w:w="121" w:type="pct"/>
            <w:tcBorders>
              <w:top w:val="nil"/>
              <w:left w:val="nil"/>
              <w:bottom w:val="nil"/>
              <w:right w:val="nil"/>
              <w:tl2br w:val="nil"/>
              <w:tr2bl w:val="nil"/>
            </w:tcBorders>
            <w:shd w:val="solid" w:color="FFFFFF" w:fill="FFFFFF"/>
            <w:noWrap/>
            <w:vAlign w:val="bottom"/>
          </w:tcPr>
          <w:p w14:paraId="56006B66" w14:textId="77777777" w:rsidR="006E442A" w:rsidRDefault="006E442A" w:rsidP="006E442A">
            <w:pPr>
              <w:spacing w:after="1"/>
              <w:rPr>
                <w:rFonts w:ascii="Calibri" w:eastAsia="Calibri" w:hAnsi="Calibri" w:cs="Calibri"/>
                <w:color w:val="000000"/>
                <w:sz w:val="20"/>
              </w:rPr>
            </w:pPr>
          </w:p>
        </w:tc>
        <w:tc>
          <w:tcPr>
            <w:tcW w:w="723" w:type="pct"/>
            <w:tcBorders>
              <w:top w:val="nil"/>
              <w:left w:val="nil"/>
              <w:bottom w:val="nil"/>
              <w:right w:val="nil"/>
              <w:tl2br w:val="nil"/>
              <w:tr2bl w:val="nil"/>
            </w:tcBorders>
            <w:shd w:val="solid" w:color="FFFFFF" w:fill="FFFFFF"/>
            <w:noWrap/>
            <w:vAlign w:val="bottom"/>
          </w:tcPr>
          <w:p w14:paraId="69251CCA"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71,786</w:t>
            </w:r>
          </w:p>
        </w:tc>
      </w:tr>
      <w:tr w:rsidR="006E442A" w14:paraId="4522F82A" w14:textId="77777777" w:rsidTr="002B6D64">
        <w:tc>
          <w:tcPr>
            <w:tcW w:w="3003" w:type="pct"/>
            <w:tcBorders>
              <w:top w:val="nil"/>
              <w:left w:val="nil"/>
              <w:bottom w:val="nil"/>
              <w:right w:val="nil"/>
              <w:tl2br w:val="nil"/>
              <w:tr2bl w:val="nil"/>
            </w:tcBorders>
            <w:shd w:val="solid" w:color="FFFFFF" w:fill="FFFFFF"/>
            <w:vAlign w:val="bottom"/>
          </w:tcPr>
          <w:p w14:paraId="3DE2996C"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Depreciation and other amortization</w:t>
            </w:r>
          </w:p>
        </w:tc>
        <w:tc>
          <w:tcPr>
            <w:tcW w:w="121" w:type="pct"/>
            <w:tcBorders>
              <w:top w:val="nil"/>
              <w:left w:val="nil"/>
              <w:bottom w:val="nil"/>
              <w:right w:val="nil"/>
              <w:tl2br w:val="nil"/>
              <w:tr2bl w:val="nil"/>
            </w:tcBorders>
            <w:shd w:val="solid" w:color="FFFFFF" w:fill="FFFFFF"/>
            <w:noWrap/>
            <w:vAlign w:val="bottom"/>
          </w:tcPr>
          <w:p w14:paraId="3924A5DE" w14:textId="77777777" w:rsidR="006E442A" w:rsidRDefault="006E442A" w:rsidP="006E442A">
            <w:pPr>
              <w:spacing w:after="1"/>
              <w:rPr>
                <w:rFonts w:ascii="Calibri" w:eastAsia="Calibri" w:hAnsi="Calibri" w:cs="Calibri"/>
                <w:color w:val="000000"/>
                <w:sz w:val="20"/>
              </w:rPr>
            </w:pPr>
          </w:p>
        </w:tc>
        <w:tc>
          <w:tcPr>
            <w:tcW w:w="121" w:type="pct"/>
            <w:tcBorders>
              <w:top w:val="nil"/>
              <w:left w:val="nil"/>
              <w:bottom w:val="nil"/>
              <w:right w:val="nil"/>
              <w:tl2br w:val="nil"/>
              <w:tr2bl w:val="nil"/>
            </w:tcBorders>
            <w:shd w:val="solid" w:color="FFFFFF" w:fill="FFFFFF"/>
            <w:noWrap/>
            <w:vAlign w:val="bottom"/>
          </w:tcPr>
          <w:p w14:paraId="4DFC0320" w14:textId="77777777" w:rsidR="006E442A" w:rsidRDefault="006E442A" w:rsidP="006E442A">
            <w:pPr>
              <w:spacing w:after="1"/>
              <w:rPr>
                <w:rFonts w:ascii="Calibri" w:eastAsia="Calibri" w:hAnsi="Calibri" w:cs="Calibri"/>
                <w:color w:val="000000"/>
                <w:sz w:val="20"/>
              </w:rPr>
            </w:pPr>
          </w:p>
        </w:tc>
        <w:tc>
          <w:tcPr>
            <w:tcW w:w="722" w:type="pct"/>
            <w:tcBorders>
              <w:top w:val="nil"/>
              <w:left w:val="nil"/>
              <w:bottom w:val="nil"/>
              <w:right w:val="nil"/>
              <w:tl2br w:val="nil"/>
              <w:tr2bl w:val="nil"/>
            </w:tcBorders>
            <w:shd w:val="solid" w:color="FFFFFF" w:fill="FFFFFF"/>
            <w:noWrap/>
            <w:vAlign w:val="bottom"/>
          </w:tcPr>
          <w:p w14:paraId="5810B56B"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3,633</w:t>
            </w:r>
          </w:p>
        </w:tc>
        <w:tc>
          <w:tcPr>
            <w:tcW w:w="188" w:type="pct"/>
            <w:tcBorders>
              <w:top w:val="nil"/>
              <w:left w:val="nil"/>
              <w:bottom w:val="nil"/>
              <w:right w:val="nil"/>
              <w:tl2br w:val="nil"/>
              <w:tr2bl w:val="nil"/>
            </w:tcBorders>
            <w:shd w:val="solid" w:color="FFFFFF" w:fill="FFFFFF"/>
            <w:noWrap/>
            <w:vAlign w:val="bottom"/>
          </w:tcPr>
          <w:p w14:paraId="140CBF10" w14:textId="77777777" w:rsidR="006E442A" w:rsidRDefault="006E442A" w:rsidP="006E442A">
            <w:pPr>
              <w:spacing w:after="1"/>
              <w:rPr>
                <w:rFonts w:ascii="Calibri" w:eastAsia="Calibri" w:hAnsi="Calibri" w:cs="Calibri"/>
                <w:color w:val="000000"/>
                <w:sz w:val="20"/>
              </w:rPr>
            </w:pPr>
          </w:p>
        </w:tc>
        <w:tc>
          <w:tcPr>
            <w:tcW w:w="121" w:type="pct"/>
            <w:tcBorders>
              <w:top w:val="nil"/>
              <w:left w:val="nil"/>
              <w:bottom w:val="nil"/>
              <w:right w:val="nil"/>
              <w:tl2br w:val="nil"/>
              <w:tr2bl w:val="nil"/>
            </w:tcBorders>
            <w:shd w:val="solid" w:color="FFFFFF" w:fill="FFFFFF"/>
            <w:noWrap/>
            <w:vAlign w:val="bottom"/>
          </w:tcPr>
          <w:p w14:paraId="480A7F96" w14:textId="77777777" w:rsidR="006E442A" w:rsidRDefault="006E442A" w:rsidP="006E442A">
            <w:pPr>
              <w:spacing w:after="1"/>
              <w:rPr>
                <w:rFonts w:ascii="Calibri" w:eastAsia="Calibri" w:hAnsi="Calibri" w:cs="Calibri"/>
                <w:color w:val="000000"/>
                <w:sz w:val="20"/>
              </w:rPr>
            </w:pPr>
          </w:p>
        </w:tc>
        <w:tc>
          <w:tcPr>
            <w:tcW w:w="723" w:type="pct"/>
            <w:tcBorders>
              <w:top w:val="nil"/>
              <w:left w:val="nil"/>
              <w:bottom w:val="nil"/>
              <w:right w:val="nil"/>
              <w:tl2br w:val="nil"/>
              <w:tr2bl w:val="nil"/>
            </w:tcBorders>
            <w:shd w:val="solid" w:color="FFFFFF" w:fill="FFFFFF"/>
            <w:noWrap/>
            <w:vAlign w:val="bottom"/>
          </w:tcPr>
          <w:p w14:paraId="55CD6EDD"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3,967</w:t>
            </w:r>
          </w:p>
        </w:tc>
      </w:tr>
      <w:tr w:rsidR="006E442A" w14:paraId="4A82384A" w14:textId="77777777" w:rsidTr="002B6D64">
        <w:tc>
          <w:tcPr>
            <w:tcW w:w="3003" w:type="pct"/>
            <w:tcBorders>
              <w:top w:val="nil"/>
              <w:left w:val="nil"/>
              <w:bottom w:val="nil"/>
              <w:right w:val="nil"/>
              <w:tl2br w:val="nil"/>
              <w:tr2bl w:val="nil"/>
            </w:tcBorders>
            <w:shd w:val="solid" w:color="FFFFFF" w:fill="FFFFFF"/>
            <w:vAlign w:val="bottom"/>
          </w:tcPr>
          <w:p w14:paraId="699741F7"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Non‑cash equity compensation expense</w:t>
            </w:r>
          </w:p>
        </w:tc>
        <w:tc>
          <w:tcPr>
            <w:tcW w:w="121" w:type="pct"/>
            <w:tcBorders>
              <w:top w:val="nil"/>
              <w:left w:val="nil"/>
              <w:bottom w:val="nil"/>
              <w:right w:val="nil"/>
              <w:tl2br w:val="nil"/>
              <w:tr2bl w:val="nil"/>
            </w:tcBorders>
            <w:shd w:val="solid" w:color="FFFFFF" w:fill="FFFFFF"/>
            <w:noWrap/>
            <w:vAlign w:val="bottom"/>
          </w:tcPr>
          <w:p w14:paraId="6ACA9158" w14:textId="77777777" w:rsidR="006E442A" w:rsidRDefault="006E442A" w:rsidP="006E442A">
            <w:pPr>
              <w:spacing w:after="1"/>
              <w:rPr>
                <w:rFonts w:ascii="Calibri" w:eastAsia="Calibri" w:hAnsi="Calibri" w:cs="Calibri"/>
                <w:color w:val="000000"/>
                <w:sz w:val="20"/>
              </w:rPr>
            </w:pPr>
          </w:p>
        </w:tc>
        <w:tc>
          <w:tcPr>
            <w:tcW w:w="121" w:type="pct"/>
            <w:tcBorders>
              <w:top w:val="nil"/>
              <w:left w:val="nil"/>
              <w:bottom w:val="nil"/>
              <w:right w:val="nil"/>
              <w:tl2br w:val="nil"/>
              <w:tr2bl w:val="nil"/>
            </w:tcBorders>
            <w:shd w:val="solid" w:color="FFFFFF" w:fill="FFFFFF"/>
            <w:noWrap/>
            <w:vAlign w:val="bottom"/>
          </w:tcPr>
          <w:p w14:paraId="7836DD65" w14:textId="77777777" w:rsidR="006E442A" w:rsidRDefault="006E442A" w:rsidP="006E442A">
            <w:pPr>
              <w:spacing w:after="1"/>
              <w:rPr>
                <w:rFonts w:ascii="Calibri" w:eastAsia="Calibri" w:hAnsi="Calibri" w:cs="Calibri"/>
                <w:color w:val="000000"/>
                <w:sz w:val="20"/>
              </w:rPr>
            </w:pPr>
          </w:p>
        </w:tc>
        <w:tc>
          <w:tcPr>
            <w:tcW w:w="722" w:type="pct"/>
            <w:tcBorders>
              <w:top w:val="nil"/>
              <w:left w:val="nil"/>
              <w:bottom w:val="nil"/>
              <w:right w:val="nil"/>
              <w:tl2br w:val="nil"/>
              <w:tr2bl w:val="nil"/>
            </w:tcBorders>
            <w:shd w:val="solid" w:color="FFFFFF" w:fill="FFFFFF"/>
            <w:noWrap/>
            <w:vAlign w:val="bottom"/>
          </w:tcPr>
          <w:p w14:paraId="6BD8526A"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6,707</w:t>
            </w:r>
          </w:p>
        </w:tc>
        <w:tc>
          <w:tcPr>
            <w:tcW w:w="188" w:type="pct"/>
            <w:tcBorders>
              <w:top w:val="nil"/>
              <w:left w:val="nil"/>
              <w:bottom w:val="nil"/>
              <w:right w:val="nil"/>
              <w:tl2br w:val="nil"/>
              <w:tr2bl w:val="nil"/>
            </w:tcBorders>
            <w:shd w:val="solid" w:color="FFFFFF" w:fill="FFFFFF"/>
            <w:noWrap/>
            <w:vAlign w:val="bottom"/>
          </w:tcPr>
          <w:p w14:paraId="64DEADE8" w14:textId="77777777" w:rsidR="006E442A" w:rsidRDefault="006E442A" w:rsidP="006E442A">
            <w:pPr>
              <w:spacing w:after="1"/>
              <w:rPr>
                <w:rFonts w:ascii="Calibri" w:eastAsia="Calibri" w:hAnsi="Calibri" w:cs="Calibri"/>
                <w:color w:val="000000"/>
                <w:sz w:val="20"/>
              </w:rPr>
            </w:pPr>
          </w:p>
        </w:tc>
        <w:tc>
          <w:tcPr>
            <w:tcW w:w="121" w:type="pct"/>
            <w:tcBorders>
              <w:top w:val="nil"/>
              <w:left w:val="nil"/>
              <w:bottom w:val="nil"/>
              <w:right w:val="nil"/>
              <w:tl2br w:val="nil"/>
              <w:tr2bl w:val="nil"/>
            </w:tcBorders>
            <w:shd w:val="solid" w:color="FFFFFF" w:fill="FFFFFF"/>
            <w:noWrap/>
            <w:vAlign w:val="bottom"/>
          </w:tcPr>
          <w:p w14:paraId="4DC291CB" w14:textId="77777777" w:rsidR="006E442A" w:rsidRDefault="006E442A" w:rsidP="006E442A">
            <w:pPr>
              <w:spacing w:after="1"/>
              <w:rPr>
                <w:rFonts w:ascii="Calibri" w:eastAsia="Calibri" w:hAnsi="Calibri" w:cs="Calibri"/>
                <w:color w:val="000000"/>
                <w:sz w:val="20"/>
              </w:rPr>
            </w:pPr>
          </w:p>
        </w:tc>
        <w:tc>
          <w:tcPr>
            <w:tcW w:w="723" w:type="pct"/>
            <w:tcBorders>
              <w:top w:val="nil"/>
              <w:left w:val="nil"/>
              <w:bottom w:val="nil"/>
              <w:right w:val="nil"/>
              <w:tl2br w:val="nil"/>
              <w:tr2bl w:val="nil"/>
            </w:tcBorders>
            <w:shd w:val="solid" w:color="FFFFFF" w:fill="FFFFFF"/>
            <w:noWrap/>
            <w:vAlign w:val="bottom"/>
          </w:tcPr>
          <w:p w14:paraId="3C6003E5"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7,911</w:t>
            </w:r>
          </w:p>
        </w:tc>
      </w:tr>
      <w:tr w:rsidR="006E442A" w14:paraId="3C09E890" w14:textId="77777777" w:rsidTr="002B6D64">
        <w:tc>
          <w:tcPr>
            <w:tcW w:w="3003" w:type="pct"/>
            <w:tcBorders>
              <w:top w:val="nil"/>
              <w:left w:val="nil"/>
              <w:bottom w:val="nil"/>
              <w:right w:val="nil"/>
              <w:tl2br w:val="nil"/>
              <w:tr2bl w:val="nil"/>
            </w:tcBorders>
            <w:shd w:val="solid" w:color="FFFFFF" w:fill="FFFFFF"/>
            <w:vAlign w:val="bottom"/>
          </w:tcPr>
          <w:p w14:paraId="00B64F65"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Non‑cash changes in fair value of estimated</w:t>
            </w:r>
          </w:p>
        </w:tc>
        <w:tc>
          <w:tcPr>
            <w:tcW w:w="121" w:type="pct"/>
            <w:tcBorders>
              <w:top w:val="nil"/>
              <w:left w:val="nil"/>
              <w:bottom w:val="nil"/>
              <w:right w:val="nil"/>
              <w:tl2br w:val="nil"/>
              <w:tr2bl w:val="nil"/>
            </w:tcBorders>
            <w:shd w:val="solid" w:color="FFFFFF" w:fill="FFFFFF"/>
            <w:noWrap/>
            <w:vAlign w:val="bottom"/>
          </w:tcPr>
          <w:p w14:paraId="6D10875E" w14:textId="77777777" w:rsidR="006E442A" w:rsidRDefault="006E442A" w:rsidP="006E442A">
            <w:pPr>
              <w:spacing w:after="1"/>
              <w:rPr>
                <w:rFonts w:ascii="Calibri" w:eastAsia="Calibri" w:hAnsi="Calibri" w:cs="Calibri"/>
                <w:color w:val="000000"/>
                <w:sz w:val="20"/>
              </w:rPr>
            </w:pPr>
          </w:p>
        </w:tc>
        <w:tc>
          <w:tcPr>
            <w:tcW w:w="121" w:type="pct"/>
            <w:tcBorders>
              <w:top w:val="nil"/>
              <w:left w:val="nil"/>
              <w:bottom w:val="nil"/>
              <w:right w:val="nil"/>
              <w:tl2br w:val="nil"/>
              <w:tr2bl w:val="nil"/>
            </w:tcBorders>
            <w:shd w:val="solid" w:color="FFFFFF" w:fill="FFFFFF"/>
            <w:noWrap/>
            <w:vAlign w:val="bottom"/>
          </w:tcPr>
          <w:p w14:paraId="2E260B66" w14:textId="77777777" w:rsidR="006E442A" w:rsidRDefault="006E442A" w:rsidP="006E442A">
            <w:pPr>
              <w:spacing w:after="1"/>
              <w:rPr>
                <w:rFonts w:ascii="Calibri" w:eastAsia="Calibri" w:hAnsi="Calibri" w:cs="Calibri"/>
                <w:color w:val="000000"/>
                <w:sz w:val="20"/>
              </w:rPr>
            </w:pPr>
          </w:p>
        </w:tc>
        <w:tc>
          <w:tcPr>
            <w:tcW w:w="722" w:type="pct"/>
            <w:tcBorders>
              <w:top w:val="nil"/>
              <w:left w:val="nil"/>
              <w:bottom w:val="nil"/>
              <w:right w:val="nil"/>
              <w:tl2br w:val="nil"/>
              <w:tr2bl w:val="nil"/>
            </w:tcBorders>
            <w:shd w:val="solid" w:color="FFFFFF" w:fill="FFFFFF"/>
            <w:noWrap/>
            <w:vAlign w:val="bottom"/>
          </w:tcPr>
          <w:p w14:paraId="04901CCD" w14:textId="77777777" w:rsidR="006E442A" w:rsidRDefault="006E442A" w:rsidP="006E442A">
            <w:pPr>
              <w:spacing w:after="1"/>
              <w:jc w:val="right"/>
              <w:rPr>
                <w:rFonts w:ascii="Calibri" w:eastAsia="Calibri" w:hAnsi="Calibri" w:cs="Calibri"/>
                <w:color w:val="000000"/>
                <w:sz w:val="20"/>
              </w:rPr>
            </w:pPr>
          </w:p>
        </w:tc>
        <w:tc>
          <w:tcPr>
            <w:tcW w:w="188" w:type="pct"/>
            <w:tcBorders>
              <w:top w:val="nil"/>
              <w:left w:val="nil"/>
              <w:bottom w:val="nil"/>
              <w:right w:val="nil"/>
              <w:tl2br w:val="nil"/>
              <w:tr2bl w:val="nil"/>
            </w:tcBorders>
            <w:shd w:val="solid" w:color="FFFFFF" w:fill="FFFFFF"/>
            <w:noWrap/>
            <w:vAlign w:val="bottom"/>
          </w:tcPr>
          <w:p w14:paraId="27ADA8A9" w14:textId="77777777" w:rsidR="006E442A" w:rsidRDefault="006E442A" w:rsidP="006E442A">
            <w:pPr>
              <w:spacing w:after="1"/>
              <w:rPr>
                <w:rFonts w:ascii="Calibri" w:eastAsia="Calibri" w:hAnsi="Calibri" w:cs="Calibri"/>
                <w:color w:val="000000"/>
                <w:sz w:val="20"/>
              </w:rPr>
            </w:pPr>
          </w:p>
        </w:tc>
        <w:tc>
          <w:tcPr>
            <w:tcW w:w="121" w:type="pct"/>
            <w:tcBorders>
              <w:top w:val="nil"/>
              <w:left w:val="nil"/>
              <w:bottom w:val="nil"/>
              <w:right w:val="nil"/>
              <w:tl2br w:val="nil"/>
              <w:tr2bl w:val="nil"/>
            </w:tcBorders>
            <w:shd w:val="solid" w:color="FFFFFF" w:fill="FFFFFF"/>
            <w:noWrap/>
            <w:vAlign w:val="bottom"/>
          </w:tcPr>
          <w:p w14:paraId="4C2C1A1C" w14:textId="77777777" w:rsidR="006E442A" w:rsidRDefault="006E442A" w:rsidP="006E442A">
            <w:pPr>
              <w:spacing w:after="1"/>
              <w:rPr>
                <w:rFonts w:ascii="Calibri" w:eastAsia="Calibri" w:hAnsi="Calibri" w:cs="Calibri"/>
                <w:color w:val="000000"/>
                <w:sz w:val="20"/>
              </w:rPr>
            </w:pPr>
          </w:p>
        </w:tc>
        <w:tc>
          <w:tcPr>
            <w:tcW w:w="723" w:type="pct"/>
            <w:tcBorders>
              <w:top w:val="nil"/>
              <w:left w:val="nil"/>
              <w:bottom w:val="nil"/>
              <w:right w:val="nil"/>
              <w:tl2br w:val="nil"/>
              <w:tr2bl w:val="nil"/>
            </w:tcBorders>
            <w:shd w:val="solid" w:color="FFFFFF" w:fill="FFFFFF"/>
            <w:noWrap/>
            <w:vAlign w:val="bottom"/>
          </w:tcPr>
          <w:p w14:paraId="52F27F49" w14:textId="77777777" w:rsidR="006E442A" w:rsidRDefault="006E442A" w:rsidP="006E442A">
            <w:pPr>
              <w:spacing w:after="1"/>
              <w:jc w:val="right"/>
              <w:rPr>
                <w:rFonts w:ascii="Calibri" w:eastAsia="Calibri" w:hAnsi="Calibri" w:cs="Calibri"/>
                <w:color w:val="000000"/>
                <w:sz w:val="20"/>
              </w:rPr>
            </w:pPr>
          </w:p>
        </w:tc>
      </w:tr>
      <w:tr w:rsidR="006E442A" w14:paraId="7EDE0C26" w14:textId="77777777" w:rsidTr="002B6D64">
        <w:tc>
          <w:tcPr>
            <w:tcW w:w="3003" w:type="pct"/>
            <w:tcBorders>
              <w:top w:val="nil"/>
              <w:left w:val="nil"/>
              <w:bottom w:val="nil"/>
              <w:right w:val="nil"/>
              <w:tl2br w:val="nil"/>
              <w:tr2bl w:val="nil"/>
            </w:tcBorders>
            <w:shd w:val="solid" w:color="FFFFFF" w:fill="FFFFFF"/>
            <w:vAlign w:val="bottom"/>
          </w:tcPr>
          <w:p w14:paraId="632BBC5E" w14:textId="77777777" w:rsidR="006E442A" w:rsidRDefault="006E442A" w:rsidP="006E442A">
            <w:pPr>
              <w:spacing w:after="1"/>
              <w:ind w:left="120"/>
              <w:rPr>
                <w:rFonts w:ascii="Calibri" w:eastAsia="Calibri" w:hAnsi="Calibri" w:cs="Calibri"/>
                <w:color w:val="000000"/>
                <w:sz w:val="20"/>
              </w:rPr>
            </w:pPr>
            <w:r>
              <w:rPr>
                <w:rFonts w:ascii="Calibri" w:eastAsia="Calibri" w:hAnsi="Calibri" w:cs="Calibri"/>
                <w:color w:val="000000"/>
                <w:sz w:val="20"/>
              </w:rPr>
              <w:t>contingent consideration</w:t>
            </w:r>
          </w:p>
        </w:tc>
        <w:tc>
          <w:tcPr>
            <w:tcW w:w="121" w:type="pct"/>
            <w:tcBorders>
              <w:top w:val="nil"/>
              <w:left w:val="nil"/>
              <w:bottom w:val="nil"/>
              <w:right w:val="nil"/>
              <w:tl2br w:val="nil"/>
              <w:tr2bl w:val="nil"/>
            </w:tcBorders>
            <w:shd w:val="solid" w:color="FFFFFF" w:fill="FFFFFF"/>
            <w:noWrap/>
            <w:vAlign w:val="bottom"/>
          </w:tcPr>
          <w:p w14:paraId="1FE65D1C" w14:textId="77777777" w:rsidR="006E442A" w:rsidRDefault="006E442A" w:rsidP="006E442A">
            <w:pPr>
              <w:spacing w:after="1"/>
              <w:rPr>
                <w:rFonts w:ascii="Calibri" w:eastAsia="Calibri" w:hAnsi="Calibri" w:cs="Calibri"/>
                <w:color w:val="000000"/>
                <w:sz w:val="20"/>
              </w:rPr>
            </w:pPr>
          </w:p>
        </w:tc>
        <w:tc>
          <w:tcPr>
            <w:tcW w:w="121" w:type="pct"/>
            <w:tcBorders>
              <w:top w:val="nil"/>
              <w:left w:val="nil"/>
              <w:bottom w:val="nil"/>
              <w:right w:val="nil"/>
              <w:tl2br w:val="nil"/>
              <w:tr2bl w:val="nil"/>
            </w:tcBorders>
            <w:shd w:val="solid" w:color="FFFFFF" w:fill="FFFFFF"/>
            <w:noWrap/>
            <w:vAlign w:val="bottom"/>
          </w:tcPr>
          <w:p w14:paraId="638EB16B" w14:textId="77777777" w:rsidR="006E442A" w:rsidRDefault="006E442A" w:rsidP="006E442A">
            <w:pPr>
              <w:spacing w:after="1"/>
              <w:rPr>
                <w:rFonts w:ascii="Calibri" w:eastAsia="Calibri" w:hAnsi="Calibri" w:cs="Calibri"/>
                <w:color w:val="000000"/>
                <w:sz w:val="20"/>
              </w:rPr>
            </w:pPr>
          </w:p>
        </w:tc>
        <w:tc>
          <w:tcPr>
            <w:tcW w:w="722" w:type="pct"/>
            <w:tcBorders>
              <w:top w:val="nil"/>
              <w:left w:val="nil"/>
              <w:bottom w:val="nil"/>
              <w:right w:val="nil"/>
              <w:tl2br w:val="nil"/>
              <w:tr2bl w:val="nil"/>
            </w:tcBorders>
            <w:shd w:val="solid" w:color="FFFFFF" w:fill="FFFFFF"/>
            <w:noWrap/>
            <w:vAlign w:val="bottom"/>
          </w:tcPr>
          <w:p w14:paraId="74394330" w14:textId="77777777" w:rsidR="006E442A" w:rsidRDefault="006E442A" w:rsidP="006E442A">
            <w:pPr>
              <w:spacing w:after="1"/>
              <w:jc w:val="right"/>
              <w:rPr>
                <w:rFonts w:ascii="Calibri" w:eastAsia="Calibri" w:hAnsi="Calibri" w:cs="Calibri"/>
                <w:color w:val="000000"/>
                <w:sz w:val="20"/>
              </w:rPr>
            </w:pPr>
            <w:r>
              <w:rPr>
                <w:rFonts w:ascii="Calibri" w:eastAsia="Calibri" w:hAnsi="Calibri" w:cs="Calibri"/>
                <w:color w:val="000000"/>
                <w:sz w:val="20"/>
              </w:rPr>
              <w:t xml:space="preserve"> (8,985)</w:t>
            </w:r>
          </w:p>
        </w:tc>
        <w:tc>
          <w:tcPr>
            <w:tcW w:w="188" w:type="pct"/>
            <w:tcBorders>
              <w:top w:val="nil"/>
              <w:left w:val="nil"/>
              <w:bottom w:val="nil"/>
              <w:right w:val="nil"/>
              <w:tl2br w:val="nil"/>
              <w:tr2bl w:val="nil"/>
            </w:tcBorders>
            <w:shd w:val="solid" w:color="FFFFFF" w:fill="FFFFFF"/>
            <w:noWrap/>
            <w:vAlign w:val="bottom"/>
          </w:tcPr>
          <w:p w14:paraId="53D3892A" w14:textId="77777777" w:rsidR="006E442A" w:rsidRDefault="006E442A" w:rsidP="006E442A">
            <w:pPr>
              <w:spacing w:after="1"/>
              <w:rPr>
                <w:rFonts w:ascii="Calibri" w:eastAsia="Calibri" w:hAnsi="Calibri" w:cs="Calibri"/>
                <w:color w:val="000000"/>
                <w:sz w:val="20"/>
              </w:rPr>
            </w:pPr>
          </w:p>
        </w:tc>
        <w:tc>
          <w:tcPr>
            <w:tcW w:w="121" w:type="pct"/>
            <w:tcBorders>
              <w:top w:val="nil"/>
              <w:left w:val="nil"/>
              <w:bottom w:val="nil"/>
              <w:right w:val="nil"/>
              <w:tl2br w:val="nil"/>
              <w:tr2bl w:val="nil"/>
            </w:tcBorders>
            <w:shd w:val="solid" w:color="FFFFFF" w:fill="FFFFFF"/>
            <w:noWrap/>
            <w:vAlign w:val="bottom"/>
          </w:tcPr>
          <w:p w14:paraId="7541EC7E" w14:textId="77777777" w:rsidR="006E442A" w:rsidRDefault="006E442A" w:rsidP="006E442A">
            <w:pPr>
              <w:spacing w:after="1"/>
              <w:rPr>
                <w:rFonts w:ascii="Calibri" w:eastAsia="Calibri" w:hAnsi="Calibri" w:cs="Calibri"/>
                <w:color w:val="000000"/>
                <w:sz w:val="20"/>
              </w:rPr>
            </w:pPr>
          </w:p>
        </w:tc>
        <w:tc>
          <w:tcPr>
            <w:tcW w:w="723" w:type="pct"/>
            <w:tcBorders>
              <w:top w:val="nil"/>
              <w:left w:val="nil"/>
              <w:bottom w:val="nil"/>
              <w:right w:val="nil"/>
              <w:tl2br w:val="nil"/>
              <w:tr2bl w:val="nil"/>
            </w:tcBorders>
            <w:shd w:val="solid" w:color="FFFFFF" w:fill="FFFFFF"/>
            <w:noWrap/>
            <w:vAlign w:val="bottom"/>
          </w:tcPr>
          <w:p w14:paraId="7D1A8E9D"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16,488</w:t>
            </w:r>
          </w:p>
        </w:tc>
      </w:tr>
      <w:tr w:rsidR="006E442A" w14:paraId="410362F6" w14:textId="77777777" w:rsidTr="002B6D64">
        <w:tc>
          <w:tcPr>
            <w:tcW w:w="3003" w:type="pct"/>
            <w:tcBorders>
              <w:top w:val="nil"/>
              <w:left w:val="nil"/>
              <w:bottom w:val="nil"/>
              <w:right w:val="nil"/>
              <w:tl2br w:val="nil"/>
              <w:tr2bl w:val="nil"/>
            </w:tcBorders>
            <w:shd w:val="solid" w:color="FFFFFF" w:fill="FFFFFF"/>
            <w:vAlign w:val="bottom"/>
          </w:tcPr>
          <w:p w14:paraId="27851C65"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Other expense—net</w:t>
            </w:r>
          </w:p>
        </w:tc>
        <w:tc>
          <w:tcPr>
            <w:tcW w:w="121" w:type="pct"/>
            <w:tcBorders>
              <w:top w:val="nil"/>
              <w:left w:val="nil"/>
              <w:bottom w:val="nil"/>
              <w:right w:val="nil"/>
              <w:tl2br w:val="nil"/>
              <w:tr2bl w:val="nil"/>
            </w:tcBorders>
            <w:shd w:val="solid" w:color="FFFFFF" w:fill="FFFFFF"/>
            <w:noWrap/>
            <w:vAlign w:val="bottom"/>
          </w:tcPr>
          <w:p w14:paraId="389F1BA5" w14:textId="77777777" w:rsidR="006E442A" w:rsidRDefault="006E442A" w:rsidP="006E442A">
            <w:pPr>
              <w:spacing w:after="1"/>
              <w:rPr>
                <w:rFonts w:ascii="Calibri" w:eastAsia="Calibri" w:hAnsi="Calibri" w:cs="Calibri"/>
                <w:color w:val="000000"/>
                <w:sz w:val="20"/>
              </w:rPr>
            </w:pPr>
          </w:p>
        </w:tc>
        <w:tc>
          <w:tcPr>
            <w:tcW w:w="121" w:type="pct"/>
            <w:tcBorders>
              <w:top w:val="nil"/>
              <w:left w:val="nil"/>
              <w:bottom w:val="nil"/>
              <w:right w:val="nil"/>
              <w:tl2br w:val="nil"/>
              <w:tr2bl w:val="nil"/>
            </w:tcBorders>
            <w:shd w:val="solid" w:color="FFFFFF" w:fill="FFFFFF"/>
            <w:noWrap/>
            <w:vAlign w:val="bottom"/>
          </w:tcPr>
          <w:p w14:paraId="4AF45152" w14:textId="77777777" w:rsidR="006E442A" w:rsidRDefault="006E442A" w:rsidP="006E442A">
            <w:pPr>
              <w:spacing w:after="1"/>
              <w:rPr>
                <w:rFonts w:ascii="Calibri" w:eastAsia="Calibri" w:hAnsi="Calibri" w:cs="Calibri"/>
                <w:color w:val="000000"/>
                <w:sz w:val="20"/>
              </w:rPr>
            </w:pPr>
          </w:p>
        </w:tc>
        <w:tc>
          <w:tcPr>
            <w:tcW w:w="722" w:type="pct"/>
            <w:tcBorders>
              <w:top w:val="nil"/>
              <w:left w:val="nil"/>
              <w:bottom w:val="nil"/>
              <w:right w:val="nil"/>
              <w:tl2br w:val="nil"/>
              <w:tr2bl w:val="nil"/>
            </w:tcBorders>
            <w:shd w:val="solid" w:color="FFFFFF" w:fill="FFFFFF"/>
            <w:noWrap/>
            <w:vAlign w:val="bottom"/>
          </w:tcPr>
          <w:p w14:paraId="19E0A277"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36</w:t>
            </w:r>
          </w:p>
        </w:tc>
        <w:tc>
          <w:tcPr>
            <w:tcW w:w="188" w:type="pct"/>
            <w:tcBorders>
              <w:top w:val="nil"/>
              <w:left w:val="nil"/>
              <w:bottom w:val="nil"/>
              <w:right w:val="nil"/>
              <w:tl2br w:val="nil"/>
              <w:tr2bl w:val="nil"/>
            </w:tcBorders>
            <w:shd w:val="solid" w:color="FFFFFF" w:fill="FFFFFF"/>
            <w:noWrap/>
            <w:vAlign w:val="bottom"/>
          </w:tcPr>
          <w:p w14:paraId="59C56361" w14:textId="77777777" w:rsidR="006E442A" w:rsidRDefault="006E442A" w:rsidP="006E442A">
            <w:pPr>
              <w:spacing w:after="1"/>
              <w:rPr>
                <w:rFonts w:ascii="Calibri" w:eastAsia="Calibri" w:hAnsi="Calibri" w:cs="Calibri"/>
                <w:color w:val="000000"/>
                <w:sz w:val="20"/>
              </w:rPr>
            </w:pPr>
          </w:p>
        </w:tc>
        <w:tc>
          <w:tcPr>
            <w:tcW w:w="121" w:type="pct"/>
            <w:tcBorders>
              <w:top w:val="nil"/>
              <w:left w:val="nil"/>
              <w:bottom w:val="nil"/>
              <w:right w:val="nil"/>
              <w:tl2br w:val="nil"/>
              <w:tr2bl w:val="nil"/>
            </w:tcBorders>
            <w:shd w:val="solid" w:color="FFFFFF" w:fill="FFFFFF"/>
            <w:noWrap/>
            <w:vAlign w:val="bottom"/>
          </w:tcPr>
          <w:p w14:paraId="04826A44" w14:textId="77777777" w:rsidR="006E442A" w:rsidRDefault="006E442A" w:rsidP="006E442A">
            <w:pPr>
              <w:spacing w:after="1"/>
              <w:rPr>
                <w:rFonts w:ascii="Calibri" w:eastAsia="Calibri" w:hAnsi="Calibri" w:cs="Calibri"/>
                <w:color w:val="000000"/>
                <w:sz w:val="20"/>
              </w:rPr>
            </w:pPr>
          </w:p>
        </w:tc>
        <w:tc>
          <w:tcPr>
            <w:tcW w:w="723" w:type="pct"/>
            <w:tcBorders>
              <w:top w:val="nil"/>
              <w:left w:val="nil"/>
              <w:bottom w:val="nil"/>
              <w:right w:val="nil"/>
              <w:tl2br w:val="nil"/>
              <w:tr2bl w:val="nil"/>
            </w:tcBorders>
            <w:shd w:val="solid" w:color="FFFFFF" w:fill="FFFFFF"/>
            <w:noWrap/>
            <w:vAlign w:val="bottom"/>
          </w:tcPr>
          <w:p w14:paraId="1A336701"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2,725</w:t>
            </w:r>
          </w:p>
        </w:tc>
      </w:tr>
      <w:tr w:rsidR="006E442A" w14:paraId="4CCE525E" w14:textId="77777777" w:rsidTr="002B6D64">
        <w:tc>
          <w:tcPr>
            <w:tcW w:w="3003" w:type="pct"/>
            <w:tcBorders>
              <w:top w:val="nil"/>
              <w:left w:val="nil"/>
              <w:bottom w:val="nil"/>
              <w:right w:val="nil"/>
              <w:tl2br w:val="nil"/>
              <w:tr2bl w:val="nil"/>
            </w:tcBorders>
            <w:shd w:val="solid" w:color="FFFFFF" w:fill="FFFFFF"/>
            <w:vAlign w:val="bottom"/>
          </w:tcPr>
          <w:p w14:paraId="39F849CA"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Merger-related expenses (1)</w:t>
            </w:r>
          </w:p>
        </w:tc>
        <w:tc>
          <w:tcPr>
            <w:tcW w:w="121" w:type="pct"/>
            <w:tcBorders>
              <w:top w:val="nil"/>
              <w:left w:val="nil"/>
              <w:bottom w:val="nil"/>
              <w:right w:val="nil"/>
              <w:tl2br w:val="nil"/>
              <w:tr2bl w:val="nil"/>
            </w:tcBorders>
            <w:shd w:val="solid" w:color="FFFFFF" w:fill="FFFFFF"/>
            <w:noWrap/>
            <w:vAlign w:val="bottom"/>
          </w:tcPr>
          <w:p w14:paraId="05339CBC" w14:textId="77777777" w:rsidR="006E442A" w:rsidRDefault="006E442A" w:rsidP="006E442A">
            <w:pPr>
              <w:spacing w:after="1"/>
              <w:rPr>
                <w:rFonts w:ascii="Calibri" w:eastAsia="Calibri" w:hAnsi="Calibri" w:cs="Calibri"/>
                <w:color w:val="000000"/>
                <w:sz w:val="20"/>
              </w:rPr>
            </w:pPr>
          </w:p>
        </w:tc>
        <w:tc>
          <w:tcPr>
            <w:tcW w:w="121" w:type="pct"/>
            <w:tcBorders>
              <w:top w:val="nil"/>
              <w:left w:val="nil"/>
              <w:bottom w:val="single" w:sz="4" w:space="0" w:color="000000"/>
              <w:right w:val="nil"/>
              <w:tl2br w:val="nil"/>
              <w:tr2bl w:val="nil"/>
            </w:tcBorders>
            <w:shd w:val="solid" w:color="FFFFFF" w:fill="FFFFFF"/>
            <w:noWrap/>
            <w:vAlign w:val="bottom"/>
          </w:tcPr>
          <w:p w14:paraId="28107D50" w14:textId="77777777" w:rsidR="006E442A" w:rsidRDefault="006E442A" w:rsidP="006E442A">
            <w:pPr>
              <w:spacing w:after="1"/>
              <w:rPr>
                <w:rFonts w:ascii="Calibri" w:eastAsia="Calibri" w:hAnsi="Calibri" w:cs="Calibri"/>
                <w:color w:val="000000"/>
                <w:sz w:val="20"/>
              </w:rPr>
            </w:pPr>
          </w:p>
        </w:tc>
        <w:tc>
          <w:tcPr>
            <w:tcW w:w="722" w:type="pct"/>
            <w:tcBorders>
              <w:top w:val="nil"/>
              <w:left w:val="nil"/>
              <w:bottom w:val="single" w:sz="4" w:space="0" w:color="000000"/>
              <w:right w:val="nil"/>
              <w:tl2br w:val="nil"/>
              <w:tr2bl w:val="nil"/>
            </w:tcBorders>
            <w:shd w:val="solid" w:color="FFFFFF" w:fill="FFFFFF"/>
            <w:noWrap/>
            <w:vAlign w:val="bottom"/>
          </w:tcPr>
          <w:p w14:paraId="1BA43590"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w:t>
            </w:r>
          </w:p>
        </w:tc>
        <w:tc>
          <w:tcPr>
            <w:tcW w:w="188" w:type="pct"/>
            <w:tcBorders>
              <w:top w:val="nil"/>
              <w:left w:val="nil"/>
              <w:bottom w:val="nil"/>
              <w:right w:val="nil"/>
              <w:tl2br w:val="nil"/>
              <w:tr2bl w:val="nil"/>
            </w:tcBorders>
            <w:shd w:val="solid" w:color="FFFFFF" w:fill="FFFFFF"/>
            <w:noWrap/>
            <w:vAlign w:val="bottom"/>
          </w:tcPr>
          <w:p w14:paraId="05A7A471" w14:textId="77777777" w:rsidR="006E442A" w:rsidRDefault="006E442A" w:rsidP="006E442A">
            <w:pPr>
              <w:spacing w:after="1"/>
              <w:rPr>
                <w:rFonts w:ascii="Calibri" w:eastAsia="Calibri" w:hAnsi="Calibri" w:cs="Calibri"/>
                <w:color w:val="000000"/>
                <w:sz w:val="20"/>
              </w:rPr>
            </w:pPr>
          </w:p>
        </w:tc>
        <w:tc>
          <w:tcPr>
            <w:tcW w:w="121" w:type="pct"/>
            <w:tcBorders>
              <w:top w:val="nil"/>
              <w:left w:val="nil"/>
              <w:bottom w:val="single" w:sz="4" w:space="0" w:color="000000"/>
              <w:right w:val="nil"/>
              <w:tl2br w:val="nil"/>
              <w:tr2bl w:val="nil"/>
            </w:tcBorders>
            <w:shd w:val="solid" w:color="FFFFFF" w:fill="FFFFFF"/>
            <w:noWrap/>
            <w:vAlign w:val="bottom"/>
          </w:tcPr>
          <w:p w14:paraId="0B5C2F56" w14:textId="77777777" w:rsidR="006E442A" w:rsidRDefault="006E442A" w:rsidP="006E442A">
            <w:pPr>
              <w:spacing w:after="1"/>
              <w:rPr>
                <w:rFonts w:ascii="Calibri" w:eastAsia="Calibri" w:hAnsi="Calibri" w:cs="Calibri"/>
                <w:color w:val="000000"/>
                <w:sz w:val="20"/>
              </w:rPr>
            </w:pPr>
          </w:p>
        </w:tc>
        <w:tc>
          <w:tcPr>
            <w:tcW w:w="723" w:type="pct"/>
            <w:tcBorders>
              <w:top w:val="nil"/>
              <w:left w:val="nil"/>
              <w:bottom w:val="single" w:sz="4" w:space="0" w:color="000000"/>
              <w:right w:val="nil"/>
              <w:tl2br w:val="nil"/>
              <w:tr2bl w:val="nil"/>
            </w:tcBorders>
            <w:shd w:val="solid" w:color="FFFFFF" w:fill="FFFFFF"/>
            <w:noWrap/>
            <w:vAlign w:val="bottom"/>
          </w:tcPr>
          <w:p w14:paraId="6A90B721"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10,751</w:t>
            </w:r>
          </w:p>
        </w:tc>
      </w:tr>
      <w:tr w:rsidR="006E442A" w14:paraId="3B214C7D" w14:textId="77777777" w:rsidTr="002B6D64">
        <w:tc>
          <w:tcPr>
            <w:tcW w:w="3003" w:type="pct"/>
            <w:tcBorders>
              <w:top w:val="nil"/>
              <w:left w:val="nil"/>
              <w:bottom w:val="nil"/>
              <w:right w:val="nil"/>
              <w:tl2br w:val="nil"/>
              <w:tr2bl w:val="nil"/>
            </w:tcBorders>
            <w:shd w:val="solid" w:color="FFFFFF" w:fill="FFFFFF"/>
            <w:vAlign w:val="bottom"/>
          </w:tcPr>
          <w:p w14:paraId="223AB0C6" w14:textId="77777777" w:rsidR="006E442A" w:rsidRDefault="006E442A" w:rsidP="006E442A">
            <w:pPr>
              <w:spacing w:after="1"/>
              <w:rPr>
                <w:rFonts w:ascii="Calibri" w:eastAsia="Calibri" w:hAnsi="Calibri" w:cs="Calibri"/>
                <w:b/>
                <w:color w:val="000000"/>
                <w:sz w:val="20"/>
              </w:rPr>
            </w:pPr>
            <w:r>
              <w:rPr>
                <w:rFonts w:ascii="Calibri" w:eastAsia="Calibri" w:hAnsi="Calibri" w:cs="Calibri"/>
                <w:b/>
                <w:color w:val="000000"/>
                <w:sz w:val="20"/>
              </w:rPr>
              <w:t>Adjusted EBITDA</w:t>
            </w:r>
          </w:p>
        </w:tc>
        <w:tc>
          <w:tcPr>
            <w:tcW w:w="121" w:type="pct"/>
            <w:tcBorders>
              <w:top w:val="nil"/>
              <w:left w:val="nil"/>
              <w:bottom w:val="nil"/>
              <w:right w:val="nil"/>
              <w:tl2br w:val="nil"/>
              <w:tr2bl w:val="nil"/>
            </w:tcBorders>
            <w:shd w:val="solid" w:color="FFFFFF" w:fill="FFFFFF"/>
            <w:noWrap/>
            <w:vAlign w:val="bottom"/>
          </w:tcPr>
          <w:p w14:paraId="409C607D" w14:textId="77777777" w:rsidR="006E442A" w:rsidRDefault="006E442A" w:rsidP="006E442A">
            <w:pPr>
              <w:spacing w:after="1"/>
              <w:rPr>
                <w:rFonts w:ascii="Calibri" w:eastAsia="Calibri" w:hAnsi="Calibri" w:cs="Calibri"/>
                <w:color w:val="000000"/>
                <w:sz w:val="20"/>
              </w:rPr>
            </w:pPr>
          </w:p>
        </w:tc>
        <w:tc>
          <w:tcPr>
            <w:tcW w:w="121" w:type="pct"/>
            <w:tcBorders>
              <w:top w:val="nil"/>
              <w:left w:val="nil"/>
              <w:bottom w:val="double" w:sz="4" w:space="0" w:color="000000"/>
              <w:right w:val="nil"/>
              <w:tl2br w:val="nil"/>
              <w:tr2bl w:val="nil"/>
            </w:tcBorders>
            <w:shd w:val="solid" w:color="FFFFFF" w:fill="FFFFFF"/>
            <w:noWrap/>
            <w:vAlign w:val="bottom"/>
          </w:tcPr>
          <w:p w14:paraId="4A2E7CF7"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w:t>
            </w:r>
          </w:p>
        </w:tc>
        <w:tc>
          <w:tcPr>
            <w:tcW w:w="722" w:type="pct"/>
            <w:tcBorders>
              <w:top w:val="nil"/>
              <w:left w:val="nil"/>
              <w:bottom w:val="double" w:sz="4" w:space="0" w:color="000000"/>
              <w:right w:val="nil"/>
              <w:tl2br w:val="nil"/>
              <w:tr2bl w:val="nil"/>
            </w:tcBorders>
            <w:shd w:val="solid" w:color="FFFFFF" w:fill="FFFFFF"/>
            <w:noWrap/>
            <w:vAlign w:val="bottom"/>
          </w:tcPr>
          <w:p w14:paraId="747CFC99"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135,080</w:t>
            </w:r>
          </w:p>
        </w:tc>
        <w:tc>
          <w:tcPr>
            <w:tcW w:w="188" w:type="pct"/>
            <w:tcBorders>
              <w:top w:val="nil"/>
              <w:left w:val="nil"/>
              <w:bottom w:val="nil"/>
              <w:right w:val="nil"/>
              <w:tl2br w:val="nil"/>
              <w:tr2bl w:val="nil"/>
            </w:tcBorders>
            <w:shd w:val="solid" w:color="FFFFFF" w:fill="FFFFFF"/>
            <w:noWrap/>
            <w:vAlign w:val="bottom"/>
          </w:tcPr>
          <w:p w14:paraId="79F376DC" w14:textId="77777777" w:rsidR="006E442A" w:rsidRDefault="006E442A" w:rsidP="006E442A">
            <w:pPr>
              <w:spacing w:after="1"/>
              <w:rPr>
                <w:rFonts w:ascii="Calibri" w:eastAsia="Calibri" w:hAnsi="Calibri" w:cs="Calibri"/>
                <w:color w:val="000000"/>
                <w:sz w:val="20"/>
              </w:rPr>
            </w:pPr>
          </w:p>
        </w:tc>
        <w:tc>
          <w:tcPr>
            <w:tcW w:w="121" w:type="pct"/>
            <w:tcBorders>
              <w:top w:val="nil"/>
              <w:left w:val="nil"/>
              <w:bottom w:val="double" w:sz="4" w:space="0" w:color="000000"/>
              <w:right w:val="nil"/>
              <w:tl2br w:val="nil"/>
              <w:tr2bl w:val="nil"/>
            </w:tcBorders>
            <w:shd w:val="solid" w:color="FFFFFF" w:fill="FFFFFF"/>
            <w:noWrap/>
            <w:vAlign w:val="bottom"/>
          </w:tcPr>
          <w:p w14:paraId="0C23CABD"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w:t>
            </w:r>
          </w:p>
        </w:tc>
        <w:tc>
          <w:tcPr>
            <w:tcW w:w="723" w:type="pct"/>
            <w:tcBorders>
              <w:top w:val="nil"/>
              <w:left w:val="nil"/>
              <w:bottom w:val="double" w:sz="4" w:space="0" w:color="000000"/>
              <w:right w:val="nil"/>
              <w:tl2br w:val="nil"/>
              <w:tr2bl w:val="nil"/>
            </w:tcBorders>
            <w:shd w:val="solid" w:color="FFFFFF" w:fill="FFFFFF"/>
            <w:noWrap/>
            <w:vAlign w:val="bottom"/>
          </w:tcPr>
          <w:p w14:paraId="54256F07"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132,518</w:t>
            </w:r>
          </w:p>
        </w:tc>
      </w:tr>
      <w:tr w:rsidR="006E442A" w14:paraId="2A3BF279" w14:textId="77777777" w:rsidTr="002B6D64">
        <w:tc>
          <w:tcPr>
            <w:tcW w:w="3003" w:type="pct"/>
            <w:tcBorders>
              <w:top w:val="nil"/>
              <w:left w:val="nil"/>
              <w:bottom w:val="nil"/>
              <w:right w:val="nil"/>
              <w:tl2br w:val="nil"/>
              <w:tr2bl w:val="nil"/>
            </w:tcBorders>
            <w:shd w:val="solid" w:color="FFFFFF" w:fill="FFFFFF"/>
            <w:noWrap/>
            <w:vAlign w:val="bottom"/>
          </w:tcPr>
          <w:p w14:paraId="0780354D" w14:textId="77777777" w:rsidR="006E442A" w:rsidRDefault="006E442A" w:rsidP="006E442A">
            <w:pPr>
              <w:spacing w:after="1"/>
              <w:rPr>
                <w:rFonts w:ascii="Calibri" w:eastAsia="Calibri" w:hAnsi="Calibri" w:cs="Calibri"/>
                <w:color w:val="000000"/>
                <w:sz w:val="20"/>
              </w:rPr>
            </w:pPr>
          </w:p>
        </w:tc>
        <w:tc>
          <w:tcPr>
            <w:tcW w:w="121" w:type="pct"/>
            <w:tcBorders>
              <w:top w:val="nil"/>
              <w:left w:val="nil"/>
              <w:bottom w:val="nil"/>
              <w:right w:val="nil"/>
              <w:tl2br w:val="nil"/>
              <w:tr2bl w:val="nil"/>
            </w:tcBorders>
            <w:shd w:val="solid" w:color="FFFFFF" w:fill="FFFFFF"/>
            <w:noWrap/>
            <w:vAlign w:val="bottom"/>
          </w:tcPr>
          <w:p w14:paraId="5C896EF0" w14:textId="77777777" w:rsidR="006E442A" w:rsidRDefault="006E442A" w:rsidP="006E442A">
            <w:pPr>
              <w:spacing w:after="1"/>
              <w:rPr>
                <w:rFonts w:ascii="Calibri" w:eastAsia="Calibri" w:hAnsi="Calibri" w:cs="Calibri"/>
                <w:color w:val="000000"/>
                <w:sz w:val="20"/>
              </w:rPr>
            </w:pPr>
          </w:p>
        </w:tc>
        <w:tc>
          <w:tcPr>
            <w:tcW w:w="121" w:type="pct"/>
            <w:tcBorders>
              <w:top w:val="nil"/>
              <w:left w:val="nil"/>
              <w:bottom w:val="nil"/>
              <w:right w:val="nil"/>
              <w:tl2br w:val="nil"/>
              <w:tr2bl w:val="nil"/>
            </w:tcBorders>
            <w:shd w:val="solid" w:color="FFFFFF" w:fill="FFFFFF"/>
            <w:noWrap/>
            <w:vAlign w:val="bottom"/>
          </w:tcPr>
          <w:p w14:paraId="1F71CE39" w14:textId="77777777" w:rsidR="006E442A" w:rsidRDefault="006E442A" w:rsidP="006E442A">
            <w:pPr>
              <w:spacing w:after="1"/>
              <w:rPr>
                <w:rFonts w:ascii="Calibri" w:eastAsia="Calibri" w:hAnsi="Calibri" w:cs="Calibri"/>
                <w:color w:val="000000"/>
                <w:sz w:val="20"/>
              </w:rPr>
            </w:pPr>
          </w:p>
        </w:tc>
        <w:tc>
          <w:tcPr>
            <w:tcW w:w="722" w:type="pct"/>
            <w:tcBorders>
              <w:top w:val="nil"/>
              <w:left w:val="nil"/>
              <w:bottom w:val="nil"/>
              <w:right w:val="nil"/>
              <w:tl2br w:val="nil"/>
              <w:tr2bl w:val="nil"/>
            </w:tcBorders>
            <w:shd w:val="solid" w:color="FFFFFF" w:fill="FFFFFF"/>
            <w:noWrap/>
            <w:vAlign w:val="bottom"/>
          </w:tcPr>
          <w:p w14:paraId="6C011CCC" w14:textId="77777777" w:rsidR="006E442A" w:rsidRDefault="006E442A" w:rsidP="006E442A">
            <w:pPr>
              <w:spacing w:after="1"/>
              <w:rPr>
                <w:rFonts w:ascii="Calibri" w:eastAsia="Calibri" w:hAnsi="Calibri" w:cs="Calibri"/>
                <w:color w:val="000000"/>
                <w:sz w:val="20"/>
              </w:rPr>
            </w:pPr>
          </w:p>
        </w:tc>
        <w:tc>
          <w:tcPr>
            <w:tcW w:w="188" w:type="pct"/>
            <w:tcBorders>
              <w:top w:val="nil"/>
              <w:left w:val="nil"/>
              <w:bottom w:val="nil"/>
              <w:right w:val="nil"/>
              <w:tl2br w:val="nil"/>
              <w:tr2bl w:val="nil"/>
            </w:tcBorders>
            <w:shd w:val="solid" w:color="FFFFFF" w:fill="FFFFFF"/>
            <w:noWrap/>
            <w:vAlign w:val="bottom"/>
          </w:tcPr>
          <w:p w14:paraId="01BAB1E1" w14:textId="77777777" w:rsidR="006E442A" w:rsidRDefault="006E442A" w:rsidP="006E442A">
            <w:pPr>
              <w:spacing w:after="1"/>
              <w:rPr>
                <w:rFonts w:ascii="Calibri" w:eastAsia="Calibri" w:hAnsi="Calibri" w:cs="Calibri"/>
                <w:color w:val="000000"/>
                <w:sz w:val="20"/>
              </w:rPr>
            </w:pPr>
          </w:p>
        </w:tc>
        <w:tc>
          <w:tcPr>
            <w:tcW w:w="121" w:type="pct"/>
            <w:tcBorders>
              <w:top w:val="nil"/>
              <w:left w:val="nil"/>
              <w:bottom w:val="nil"/>
              <w:right w:val="nil"/>
              <w:tl2br w:val="nil"/>
              <w:tr2bl w:val="nil"/>
            </w:tcBorders>
            <w:shd w:val="solid" w:color="FFFFFF" w:fill="FFFFFF"/>
            <w:noWrap/>
            <w:vAlign w:val="bottom"/>
          </w:tcPr>
          <w:p w14:paraId="7246AA46" w14:textId="77777777" w:rsidR="006E442A" w:rsidRDefault="006E442A" w:rsidP="006E442A">
            <w:pPr>
              <w:spacing w:after="1"/>
              <w:rPr>
                <w:rFonts w:ascii="Calibri" w:eastAsia="Calibri" w:hAnsi="Calibri" w:cs="Calibri"/>
                <w:color w:val="000000"/>
                <w:sz w:val="20"/>
              </w:rPr>
            </w:pPr>
          </w:p>
        </w:tc>
        <w:tc>
          <w:tcPr>
            <w:tcW w:w="723" w:type="pct"/>
            <w:tcBorders>
              <w:top w:val="nil"/>
              <w:left w:val="nil"/>
              <w:bottom w:val="nil"/>
              <w:right w:val="nil"/>
              <w:tl2br w:val="nil"/>
              <w:tr2bl w:val="nil"/>
            </w:tcBorders>
            <w:shd w:val="solid" w:color="FFFFFF" w:fill="FFFFFF"/>
            <w:noWrap/>
            <w:vAlign w:val="bottom"/>
          </w:tcPr>
          <w:p w14:paraId="1BFF3FB6" w14:textId="77777777" w:rsidR="006E442A" w:rsidRDefault="006E442A" w:rsidP="006E442A">
            <w:pPr>
              <w:spacing w:after="1"/>
              <w:rPr>
                <w:rFonts w:ascii="Calibri" w:eastAsia="Calibri" w:hAnsi="Calibri" w:cs="Calibri"/>
                <w:color w:val="000000"/>
                <w:sz w:val="20"/>
              </w:rPr>
            </w:pPr>
          </w:p>
        </w:tc>
      </w:tr>
    </w:tbl>
    <w:p w14:paraId="58D1DF20" w14:textId="52F199F4" w:rsidR="00FA56EC" w:rsidRPr="005C2225" w:rsidRDefault="005C2225" w:rsidP="005C2225">
      <w:pPr>
        <w:pStyle w:val="ListParagraph"/>
        <w:numPr>
          <w:ilvl w:val="0"/>
          <w:numId w:val="17"/>
        </w:numPr>
        <w:spacing w:line="240" w:lineRule="auto"/>
        <w:rPr>
          <w:rFonts w:cstheme="minorHAnsi"/>
          <w:szCs w:val="20"/>
        </w:rPr>
      </w:pPr>
      <w:r w:rsidRPr="005C2225">
        <w:rPr>
          <w:szCs w:val="20"/>
        </w:rPr>
        <w:t xml:space="preserve">Represents costs incurred in conjunction with the </w:t>
      </w:r>
      <w:r w:rsidR="003979F7">
        <w:rPr>
          <w:szCs w:val="20"/>
        </w:rPr>
        <w:t xml:space="preserve">Merger </w:t>
      </w:r>
      <w:r w:rsidRPr="005C2225">
        <w:rPr>
          <w:szCs w:val="20"/>
        </w:rPr>
        <w:t>Agreement</w:t>
      </w:r>
      <w:r w:rsidR="003979F7">
        <w:rPr>
          <w:szCs w:val="20"/>
        </w:rPr>
        <w:t xml:space="preserve"> </w:t>
      </w:r>
      <w:proofErr w:type="gramStart"/>
      <w:r w:rsidRPr="005C2225">
        <w:rPr>
          <w:szCs w:val="20"/>
        </w:rPr>
        <w:t>entered into</w:t>
      </w:r>
      <w:proofErr w:type="gramEnd"/>
      <w:r w:rsidRPr="005C2225">
        <w:rPr>
          <w:szCs w:val="20"/>
        </w:rPr>
        <w:t xml:space="preserve"> on February 27, 2023. Refer to our </w:t>
      </w:r>
      <w:r w:rsidR="00E26A4C">
        <w:rPr>
          <w:szCs w:val="20"/>
        </w:rPr>
        <w:t>SEC</w:t>
      </w:r>
      <w:r w:rsidRPr="005C2225">
        <w:rPr>
          <w:szCs w:val="20"/>
        </w:rPr>
        <w:t xml:space="preserve"> filings for additional information</w:t>
      </w:r>
      <w:r w:rsidR="00E26A4C">
        <w:rPr>
          <w:szCs w:val="20"/>
        </w:rPr>
        <w:t>.</w:t>
      </w:r>
      <w:r w:rsidR="00FA56EC" w:rsidRPr="005C2225">
        <w:rPr>
          <w:szCs w:val="20"/>
        </w:rPr>
        <w:br w:type="page"/>
      </w:r>
    </w:p>
    <w:p w14:paraId="0669C04C" w14:textId="77777777" w:rsidR="0057101E" w:rsidRDefault="0057101E" w:rsidP="005E65E6">
      <w:pPr>
        <w:keepNext/>
        <w:keepLines/>
        <w:tabs>
          <w:tab w:val="left" w:pos="-720"/>
          <w:tab w:val="left" w:pos="0"/>
          <w:tab w:val="left" w:pos="720"/>
          <w:tab w:val="left" w:pos="1440"/>
        </w:tabs>
        <w:spacing w:after="0" w:line="240" w:lineRule="auto"/>
        <w:jc w:val="both"/>
        <w:rPr>
          <w:rFonts w:cstheme="minorHAnsi"/>
          <w:b/>
          <w:bCs/>
          <w:i/>
          <w:iCs/>
          <w:sz w:val="23"/>
          <w:szCs w:val="23"/>
        </w:rPr>
      </w:pPr>
    </w:p>
    <w:p w14:paraId="2202C5C7" w14:textId="77777777" w:rsidR="00C31DE4" w:rsidRDefault="00C31DE4" w:rsidP="005E65E6">
      <w:pPr>
        <w:keepNext/>
        <w:keepLines/>
        <w:tabs>
          <w:tab w:val="left" w:pos="-720"/>
          <w:tab w:val="left" w:pos="0"/>
          <w:tab w:val="left" w:pos="720"/>
          <w:tab w:val="left" w:pos="1440"/>
        </w:tabs>
        <w:spacing w:after="0" w:line="240" w:lineRule="auto"/>
        <w:jc w:val="both"/>
        <w:rPr>
          <w:rFonts w:cstheme="minorHAnsi"/>
          <w:bCs/>
          <w:iCs/>
          <w:sz w:val="23"/>
          <w:szCs w:val="23"/>
        </w:rPr>
      </w:pPr>
      <w:r>
        <w:rPr>
          <w:rFonts w:cstheme="minorHAnsi"/>
          <w:b/>
          <w:bCs/>
          <w:i/>
          <w:iCs/>
          <w:sz w:val="23"/>
          <w:szCs w:val="23"/>
        </w:rPr>
        <w:t>Adjusted Net Income Excluding Tax Adjustments and Adjusted Net Income Excluding Tax Adjustments Per Share</w:t>
      </w:r>
    </w:p>
    <w:p w14:paraId="5F6A3689" w14:textId="75FF08A8" w:rsidR="00131FCD" w:rsidRDefault="00131FCD" w:rsidP="00131FCD">
      <w:pPr>
        <w:tabs>
          <w:tab w:val="left" w:pos="-720"/>
        </w:tabs>
        <w:spacing w:after="0" w:line="240" w:lineRule="auto"/>
        <w:jc w:val="both"/>
        <w:rPr>
          <w:rFonts w:cstheme="minorHAnsi"/>
          <w:sz w:val="23"/>
          <w:szCs w:val="23"/>
        </w:rPr>
      </w:pPr>
      <w:r>
        <w:rPr>
          <w:rFonts w:cstheme="minorHAnsi"/>
          <w:sz w:val="23"/>
          <w:szCs w:val="23"/>
        </w:rPr>
        <w:t>We analyze our performance using Adjusted Net Income Excluding Tax Adjustments and Adjusted Net Income Excluding Tax Adjustments Per Share. Adjusted Net Income Excluding Tax Adjustments and Adjusted Net Income Excluding Tax Adjustments Per Share are non</w:t>
      </w:r>
      <w:r>
        <w:rPr>
          <w:rFonts w:cstheme="minorHAnsi"/>
          <w:sz w:val="23"/>
          <w:szCs w:val="23"/>
        </w:rPr>
        <w:noBreakHyphen/>
        <w:t xml:space="preserve">GAAP measures. We define Adjusted Net Income Excluding Tax Adjustments as net income (loss) excluding income tax expense (benefit), amortization of debt financing costs, intangible </w:t>
      </w:r>
      <w:proofErr w:type="gramStart"/>
      <w:r>
        <w:rPr>
          <w:rFonts w:cstheme="minorHAnsi"/>
          <w:sz w:val="23"/>
          <w:szCs w:val="23"/>
        </w:rPr>
        <w:t>amortization</w:t>
      </w:r>
      <w:proofErr w:type="gramEnd"/>
      <w:r>
        <w:rPr>
          <w:rFonts w:cstheme="minorHAnsi"/>
          <w:sz w:val="23"/>
          <w:szCs w:val="23"/>
        </w:rPr>
        <w:t xml:space="preserve"> and impairments, if any, non-cash equity compensation expense, non-cash changes in fair value of estimated contingent consideration, and </w:t>
      </w:r>
      <w:r w:rsidR="00E26A4C">
        <w:rPr>
          <w:rFonts w:cstheme="minorHAnsi"/>
          <w:sz w:val="23"/>
          <w:szCs w:val="23"/>
        </w:rPr>
        <w:t>M</w:t>
      </w:r>
      <w:r w:rsidR="005C2225">
        <w:rPr>
          <w:rFonts w:cstheme="minorHAnsi"/>
          <w:sz w:val="23"/>
          <w:szCs w:val="23"/>
        </w:rPr>
        <w:t>erger-related</w:t>
      </w:r>
      <w:r>
        <w:rPr>
          <w:rFonts w:cstheme="minorHAnsi"/>
          <w:sz w:val="23"/>
          <w:szCs w:val="23"/>
        </w:rPr>
        <w:t xml:space="preserve"> expenses, if any. The calculation of Adjusted Net Income Excluding Tax Adjustments also includes adjustments to reflect a pro forma 27% income tax rate reflecting the estimated U.S. federal, state, local and foreign income tax rates applicable to corporations in the jurisdictions we conduct business and is used for comparative purposes. The actual effective income tax rate, in current or future periods, may differ significantly from the pro forma income tax rate of 27%.</w:t>
      </w:r>
    </w:p>
    <w:p w14:paraId="08BB1E68" w14:textId="77777777" w:rsidR="00131FCD" w:rsidRDefault="00131FCD" w:rsidP="00131FCD">
      <w:pPr>
        <w:tabs>
          <w:tab w:val="left" w:pos="-720"/>
        </w:tabs>
        <w:spacing w:after="0" w:line="240" w:lineRule="auto"/>
        <w:jc w:val="both"/>
        <w:rPr>
          <w:rFonts w:cstheme="minorHAnsi"/>
          <w:sz w:val="23"/>
          <w:szCs w:val="23"/>
        </w:rPr>
      </w:pPr>
    </w:p>
    <w:p w14:paraId="0D8A4032" w14:textId="77777777" w:rsidR="00131FCD" w:rsidRDefault="00131FCD" w:rsidP="00131FCD">
      <w:pPr>
        <w:tabs>
          <w:tab w:val="left" w:pos="-720"/>
        </w:tabs>
        <w:spacing w:after="0" w:line="240" w:lineRule="auto"/>
        <w:jc w:val="both"/>
        <w:rPr>
          <w:rFonts w:cstheme="minorHAnsi"/>
          <w:sz w:val="23"/>
          <w:szCs w:val="23"/>
        </w:rPr>
      </w:pPr>
      <w:r>
        <w:rPr>
          <w:rFonts w:cstheme="minorHAnsi"/>
          <w:sz w:val="23"/>
          <w:szCs w:val="23"/>
        </w:rPr>
        <w:t>Adjusted Net Income Excluding Tax Adjustments Per Share is calculated by dividing Adjusted Net Income Excluding Tax Adjustments by the Adjusted Shares Outstanding. Adjusted Shares Outstanding includes: (</w:t>
      </w:r>
      <w:proofErr w:type="spellStart"/>
      <w:r>
        <w:rPr>
          <w:rFonts w:cstheme="minorHAnsi"/>
          <w:sz w:val="23"/>
          <w:szCs w:val="23"/>
        </w:rPr>
        <w:t>i</w:t>
      </w:r>
      <w:proofErr w:type="spellEnd"/>
      <w:r>
        <w:rPr>
          <w:rFonts w:cstheme="minorHAnsi"/>
          <w:sz w:val="23"/>
          <w:szCs w:val="23"/>
        </w:rPr>
        <w:t>) the weighted average shares of Class A common stock outstanding during the periods, (ii) the weighted average incremental shares of Class A common stock related to stock options and restricted stock units outstanding during the periods, (iii) the weighted average number of Focus LLC common units outstanding during the periods (assuming that 100% of such Focus LLC common units, including contingently issuable Focus LLC common units, if any, have been exchanged for Class A common stock), (iv) the weighted average number of Focus LLC restricted common units outstanding during the periods (assuming that 100% of such Focus LLC restricted common units have been exchanged for Class A common stock) and (v) the weighted average number of common unit equivalents of Focus LLC vested and unvested incentive units outstanding during the periods based on the closing price of our Class A common stock on the last trading day of the periods (assuming that 100% of such Focus LLC common units have been exchanged for Class A common stock).</w:t>
      </w:r>
    </w:p>
    <w:p w14:paraId="0BCD6B6D" w14:textId="77777777" w:rsidR="00131FCD" w:rsidRDefault="00131FCD" w:rsidP="00131FCD">
      <w:pPr>
        <w:keepNext/>
        <w:tabs>
          <w:tab w:val="left" w:pos="-720"/>
        </w:tabs>
        <w:spacing w:after="0" w:line="240" w:lineRule="auto"/>
        <w:jc w:val="both"/>
        <w:rPr>
          <w:rFonts w:cstheme="minorHAnsi"/>
          <w:sz w:val="23"/>
          <w:szCs w:val="23"/>
        </w:rPr>
      </w:pPr>
    </w:p>
    <w:p w14:paraId="629EDCFB" w14:textId="77777777" w:rsidR="00131FCD" w:rsidRDefault="00131FCD" w:rsidP="00131FCD">
      <w:pPr>
        <w:keepNext/>
        <w:tabs>
          <w:tab w:val="left" w:pos="-720"/>
        </w:tabs>
        <w:spacing w:after="0" w:line="240" w:lineRule="auto"/>
        <w:jc w:val="both"/>
        <w:rPr>
          <w:rFonts w:cstheme="minorHAnsi"/>
          <w:sz w:val="23"/>
          <w:szCs w:val="23"/>
        </w:rPr>
      </w:pPr>
      <w:r>
        <w:rPr>
          <w:rFonts w:cstheme="minorHAnsi"/>
          <w:sz w:val="23"/>
          <w:szCs w:val="23"/>
        </w:rPr>
        <w:t>We believe that Adjusted Net Income Excluding Tax Adjustments and Adjusted Net Income Excluding Tax Adjustments Per Share, viewed in addition to and not in lieu of, our reported GAAP results, provide additional useful information to investors regarding our performance and overall results of operations for various reasons, including the following:</w:t>
      </w:r>
    </w:p>
    <w:p w14:paraId="039085B8" w14:textId="77777777" w:rsidR="00131FCD" w:rsidRDefault="00131FCD" w:rsidP="00B65D59">
      <w:pPr>
        <w:numPr>
          <w:ilvl w:val="0"/>
          <w:numId w:val="11"/>
        </w:numPr>
        <w:spacing w:after="0" w:line="240" w:lineRule="auto"/>
        <w:ind w:left="720"/>
        <w:jc w:val="both"/>
        <w:rPr>
          <w:rFonts w:cstheme="minorHAnsi"/>
          <w:sz w:val="23"/>
          <w:szCs w:val="23"/>
        </w:rPr>
      </w:pPr>
      <w:r>
        <w:rPr>
          <w:rFonts w:cstheme="minorHAnsi"/>
          <w:sz w:val="23"/>
          <w:szCs w:val="23"/>
        </w:rPr>
        <w:t>non</w:t>
      </w:r>
      <w:r>
        <w:rPr>
          <w:rFonts w:cstheme="minorHAnsi"/>
          <w:sz w:val="23"/>
          <w:szCs w:val="23"/>
        </w:rPr>
        <w:noBreakHyphen/>
        <w:t>cash equity grants made to employees or non</w:t>
      </w:r>
      <w:r>
        <w:rPr>
          <w:rFonts w:cstheme="minorHAnsi"/>
          <w:sz w:val="23"/>
          <w:szCs w:val="23"/>
        </w:rPr>
        <w:noBreakHyphen/>
        <w:t>employees at a certain price and point in time do not necessarily reflect how our business is performing at any particular time; stock</w:t>
      </w:r>
      <w:r>
        <w:rPr>
          <w:rFonts w:cstheme="minorHAnsi"/>
          <w:sz w:val="23"/>
          <w:szCs w:val="23"/>
        </w:rPr>
        <w:noBreakHyphen/>
        <w:t xml:space="preserve">based compensation expense is not a key measure of our operating </w:t>
      </w:r>
      <w:proofErr w:type="gramStart"/>
      <w:r>
        <w:rPr>
          <w:rFonts w:cstheme="minorHAnsi"/>
          <w:sz w:val="23"/>
          <w:szCs w:val="23"/>
        </w:rPr>
        <w:t>performance;</w:t>
      </w:r>
      <w:proofErr w:type="gramEnd"/>
    </w:p>
    <w:p w14:paraId="5A6692F9" w14:textId="77777777" w:rsidR="00131FCD" w:rsidRDefault="00131FCD" w:rsidP="00B65D59">
      <w:pPr>
        <w:numPr>
          <w:ilvl w:val="0"/>
          <w:numId w:val="11"/>
        </w:numPr>
        <w:spacing w:after="0" w:line="240" w:lineRule="auto"/>
        <w:ind w:left="720"/>
        <w:jc w:val="both"/>
        <w:rPr>
          <w:rFonts w:cstheme="minorHAnsi"/>
          <w:sz w:val="23"/>
          <w:szCs w:val="23"/>
        </w:rPr>
      </w:pPr>
      <w:r>
        <w:rPr>
          <w:rFonts w:cstheme="minorHAnsi"/>
          <w:sz w:val="23"/>
          <w:szCs w:val="23"/>
        </w:rPr>
        <w:t>contingent consideration or earn outs can vary substantially from company to company and depending upon each company’s growth metrics and accounting assumption methods; the non</w:t>
      </w:r>
      <w:r>
        <w:rPr>
          <w:rFonts w:cstheme="minorHAnsi"/>
          <w:sz w:val="23"/>
          <w:szCs w:val="23"/>
        </w:rPr>
        <w:noBreakHyphen/>
        <w:t>cash changes in fair value of estimated contingent consideration is not considered a key measure in comparing our operating performance; and</w:t>
      </w:r>
    </w:p>
    <w:p w14:paraId="2C213DF7" w14:textId="77777777" w:rsidR="00131FCD" w:rsidRDefault="00131FCD" w:rsidP="00B65D59">
      <w:pPr>
        <w:numPr>
          <w:ilvl w:val="0"/>
          <w:numId w:val="11"/>
        </w:numPr>
        <w:spacing w:after="0" w:line="240" w:lineRule="auto"/>
        <w:ind w:left="720"/>
        <w:jc w:val="both"/>
        <w:rPr>
          <w:rFonts w:cstheme="minorHAnsi"/>
          <w:sz w:val="23"/>
          <w:szCs w:val="23"/>
        </w:rPr>
      </w:pPr>
      <w:r>
        <w:rPr>
          <w:rFonts w:cstheme="minorHAnsi"/>
          <w:sz w:val="23"/>
          <w:szCs w:val="23"/>
        </w:rPr>
        <w:t>amortization expenses can vary substantially from company to company and from period to period depending upon each company’s financing and accounting methods, the fair value and average expected life of acquired intangible assets and the method by which assets were acquired; the amortization of intangible assets obtained in acquisitions are not considered a key measure in comparing our operating performance.</w:t>
      </w:r>
    </w:p>
    <w:p w14:paraId="1252E89A" w14:textId="77777777" w:rsidR="00131FCD" w:rsidRDefault="00131FCD" w:rsidP="00131FCD">
      <w:pPr>
        <w:keepNext/>
        <w:tabs>
          <w:tab w:val="left" w:pos="-720"/>
        </w:tabs>
        <w:spacing w:after="0" w:line="240" w:lineRule="auto"/>
        <w:jc w:val="both"/>
        <w:rPr>
          <w:rFonts w:cstheme="minorHAnsi"/>
          <w:sz w:val="23"/>
          <w:szCs w:val="23"/>
        </w:rPr>
      </w:pPr>
    </w:p>
    <w:p w14:paraId="11B21472" w14:textId="77777777" w:rsidR="00131FCD" w:rsidRDefault="00131FCD" w:rsidP="00131FCD">
      <w:pPr>
        <w:keepNext/>
        <w:tabs>
          <w:tab w:val="left" w:pos="-720"/>
        </w:tabs>
        <w:spacing w:after="0" w:line="240" w:lineRule="auto"/>
        <w:jc w:val="both"/>
        <w:rPr>
          <w:rFonts w:cstheme="minorHAnsi"/>
          <w:sz w:val="23"/>
          <w:szCs w:val="23"/>
        </w:rPr>
      </w:pPr>
    </w:p>
    <w:p w14:paraId="77C70B3D" w14:textId="60ED3D9A" w:rsidR="00131FCD" w:rsidRDefault="00131FCD" w:rsidP="00131FCD">
      <w:pPr>
        <w:keepNext/>
        <w:tabs>
          <w:tab w:val="left" w:pos="-720"/>
        </w:tabs>
        <w:spacing w:after="0" w:line="240" w:lineRule="auto"/>
        <w:jc w:val="both"/>
        <w:rPr>
          <w:rFonts w:cstheme="minorHAnsi"/>
          <w:sz w:val="23"/>
          <w:szCs w:val="23"/>
        </w:rPr>
      </w:pPr>
      <w:r>
        <w:rPr>
          <w:rFonts w:cstheme="minorHAnsi"/>
          <w:sz w:val="23"/>
          <w:szCs w:val="23"/>
        </w:rPr>
        <w:t>Adjusted Net Income Excluding Tax Adjustments and Adjusted Net Income Excluding Tax Adjustments Per Share do not purport to be an alternative to net income</w:t>
      </w:r>
      <w:r w:rsidR="00871D33">
        <w:rPr>
          <w:rFonts w:cstheme="minorHAnsi"/>
          <w:sz w:val="23"/>
          <w:szCs w:val="23"/>
        </w:rPr>
        <w:t xml:space="preserve"> (loss)</w:t>
      </w:r>
      <w:r>
        <w:rPr>
          <w:rFonts w:cstheme="minorHAnsi"/>
          <w:sz w:val="23"/>
          <w:szCs w:val="23"/>
        </w:rPr>
        <w:t xml:space="preserve"> or cash flows from operating activities. The terms Adjusted Net Income Excluding Tax Adjustments and Adjusted Net Income Excluding Tax Adjustments Per Share are not defined under GAAP, and Adjusted Net Income Excluding Tax Adjustments and Adjusted Net Income Excluding Tax Adjustments Per Share are not a measure of net income</w:t>
      </w:r>
      <w:r w:rsidR="00871D33">
        <w:rPr>
          <w:rFonts w:cstheme="minorHAnsi"/>
          <w:sz w:val="23"/>
          <w:szCs w:val="23"/>
        </w:rPr>
        <w:t xml:space="preserve"> (loss)</w:t>
      </w:r>
      <w:r>
        <w:rPr>
          <w:rFonts w:cstheme="minorHAnsi"/>
          <w:sz w:val="23"/>
          <w:szCs w:val="23"/>
        </w:rPr>
        <w:t>, operating income or any other performance or liquidity measure derived in accordance with GAAP. Therefore, Adjusted Net Income Excluding Tax Adjustments and Adjusted Net Income Excluding Tax Adjustments Per Share have limitations as an analytical tool and should not be considered in isolation or as a substitute for analysis of our results as reported under GAAP. Some of these limitations are:</w:t>
      </w:r>
    </w:p>
    <w:p w14:paraId="2A071B59" w14:textId="77777777" w:rsidR="00131FCD" w:rsidRDefault="00131FCD" w:rsidP="00B65D59">
      <w:pPr>
        <w:numPr>
          <w:ilvl w:val="0"/>
          <w:numId w:val="12"/>
        </w:numPr>
        <w:spacing w:after="0" w:line="240" w:lineRule="auto"/>
        <w:ind w:left="720"/>
        <w:jc w:val="both"/>
        <w:rPr>
          <w:rFonts w:cstheme="minorHAnsi"/>
          <w:sz w:val="23"/>
          <w:szCs w:val="23"/>
        </w:rPr>
      </w:pPr>
      <w:r>
        <w:rPr>
          <w:rFonts w:cstheme="minorHAnsi"/>
          <w:sz w:val="23"/>
          <w:szCs w:val="23"/>
        </w:rPr>
        <w:t xml:space="preserve">Adjusted Net Income Excluding Tax Adjustments and Adjusted Net Income Excluding Tax Adjustments Per Share do not reflect all cash expenditures, future requirements for capital expenditures or contractual </w:t>
      </w:r>
      <w:proofErr w:type="gramStart"/>
      <w:r>
        <w:rPr>
          <w:rFonts w:cstheme="minorHAnsi"/>
          <w:sz w:val="23"/>
          <w:szCs w:val="23"/>
        </w:rPr>
        <w:t>commitments;</w:t>
      </w:r>
      <w:proofErr w:type="gramEnd"/>
    </w:p>
    <w:p w14:paraId="6DB0E64B" w14:textId="77777777" w:rsidR="00131FCD" w:rsidRDefault="00131FCD" w:rsidP="00B65D59">
      <w:pPr>
        <w:numPr>
          <w:ilvl w:val="0"/>
          <w:numId w:val="12"/>
        </w:numPr>
        <w:spacing w:after="0" w:line="240" w:lineRule="auto"/>
        <w:ind w:left="720"/>
        <w:jc w:val="both"/>
        <w:rPr>
          <w:rFonts w:cstheme="minorHAnsi"/>
          <w:sz w:val="23"/>
          <w:szCs w:val="23"/>
        </w:rPr>
      </w:pPr>
      <w:r>
        <w:rPr>
          <w:rFonts w:cstheme="minorHAnsi"/>
          <w:sz w:val="23"/>
          <w:szCs w:val="23"/>
        </w:rPr>
        <w:t>Adjusted Net Income Excluding Tax Adjustments and Adjusted Net Income Excluding Tax Adjustments Per Share do not reflect changes in, or cash requirements for, working capital needs; and</w:t>
      </w:r>
    </w:p>
    <w:p w14:paraId="367FB798" w14:textId="77777777" w:rsidR="00131FCD" w:rsidRDefault="00131FCD" w:rsidP="00B65D59">
      <w:pPr>
        <w:numPr>
          <w:ilvl w:val="0"/>
          <w:numId w:val="12"/>
        </w:numPr>
        <w:spacing w:after="0" w:line="240" w:lineRule="auto"/>
        <w:ind w:left="720"/>
        <w:jc w:val="both"/>
        <w:rPr>
          <w:rFonts w:cstheme="minorHAnsi"/>
          <w:sz w:val="23"/>
          <w:szCs w:val="23"/>
        </w:rPr>
      </w:pPr>
      <w:r>
        <w:rPr>
          <w:rFonts w:cstheme="minorHAnsi"/>
          <w:sz w:val="23"/>
          <w:szCs w:val="23"/>
        </w:rPr>
        <w:t>Other companies in the financial services industry may calculate Adjusted Net Income Excluding Tax Adjustments and Adjusted Net Income Excluding Tax Adjustments Per Share differently than we do, limiting its usefulness as a comparative measure.</w:t>
      </w:r>
    </w:p>
    <w:p w14:paraId="5CB30EDE" w14:textId="77777777" w:rsidR="00131FCD" w:rsidRDefault="00131FCD" w:rsidP="00131FCD">
      <w:pPr>
        <w:tabs>
          <w:tab w:val="left" w:pos="-720"/>
        </w:tabs>
        <w:spacing w:after="0" w:line="240" w:lineRule="auto"/>
        <w:jc w:val="both"/>
        <w:rPr>
          <w:rFonts w:cstheme="minorHAnsi"/>
          <w:sz w:val="23"/>
          <w:szCs w:val="23"/>
        </w:rPr>
      </w:pPr>
    </w:p>
    <w:p w14:paraId="5C4E53E2" w14:textId="77777777" w:rsidR="00131FCD" w:rsidRDefault="00131FCD" w:rsidP="00131FCD">
      <w:pPr>
        <w:tabs>
          <w:tab w:val="left" w:pos="-720"/>
        </w:tabs>
        <w:spacing w:after="0" w:line="240" w:lineRule="auto"/>
        <w:jc w:val="both"/>
        <w:rPr>
          <w:rFonts w:cstheme="minorHAnsi"/>
          <w:sz w:val="23"/>
          <w:szCs w:val="23"/>
        </w:rPr>
      </w:pPr>
      <w:r>
        <w:rPr>
          <w:rFonts w:cstheme="minorHAnsi"/>
          <w:sz w:val="23"/>
          <w:szCs w:val="23"/>
        </w:rPr>
        <w:t>In addition, Adjusted Net Income Excluding Tax Adjustments and Adjusted Net Income Excluding Tax Adjustments Per Share can differ significantly from company to company depending on strategic decisions regarding capital structure, the tax jurisdictions in which companies operate and capital investments. We compensate for these limitations by relying also on the GAAP results and use Adjusted Net Income Excluding Tax Adjustments and Adjusted Net Income Excluding Tax Adjustments Per Share as supplemental information.</w:t>
      </w:r>
    </w:p>
    <w:p w14:paraId="43F4DAE5" w14:textId="77777777" w:rsidR="00131FCD" w:rsidRDefault="00131FCD" w:rsidP="00131FCD">
      <w:pPr>
        <w:tabs>
          <w:tab w:val="left" w:pos="-720"/>
        </w:tabs>
        <w:spacing w:after="0" w:line="240" w:lineRule="auto"/>
        <w:jc w:val="both"/>
        <w:rPr>
          <w:rFonts w:cstheme="minorHAnsi"/>
          <w:b/>
          <w:bCs/>
          <w:i/>
          <w:iCs/>
          <w:sz w:val="23"/>
          <w:szCs w:val="23"/>
        </w:rPr>
      </w:pPr>
    </w:p>
    <w:p w14:paraId="237E5C35" w14:textId="77777777" w:rsidR="00131FCD" w:rsidRDefault="00131FCD" w:rsidP="00131FCD">
      <w:pPr>
        <w:tabs>
          <w:tab w:val="left" w:pos="-720"/>
        </w:tabs>
        <w:spacing w:after="0" w:line="240" w:lineRule="auto"/>
        <w:jc w:val="both"/>
        <w:rPr>
          <w:rFonts w:cstheme="minorHAnsi"/>
          <w:b/>
          <w:bCs/>
          <w:i/>
          <w:iCs/>
          <w:sz w:val="23"/>
          <w:szCs w:val="23"/>
        </w:rPr>
      </w:pPr>
      <w:r>
        <w:rPr>
          <w:rFonts w:cstheme="minorHAnsi"/>
          <w:b/>
          <w:bCs/>
          <w:i/>
          <w:iCs/>
          <w:sz w:val="23"/>
          <w:szCs w:val="23"/>
        </w:rPr>
        <w:t>Tax Adjustments and Tax Adjustments Per Share</w:t>
      </w:r>
    </w:p>
    <w:p w14:paraId="41A42F00" w14:textId="77777777" w:rsidR="00131FCD" w:rsidRDefault="00131FCD" w:rsidP="00131FCD">
      <w:pPr>
        <w:keepNext/>
        <w:tabs>
          <w:tab w:val="left" w:pos="-720"/>
        </w:tabs>
        <w:spacing w:after="0" w:line="240" w:lineRule="auto"/>
        <w:jc w:val="both"/>
        <w:rPr>
          <w:rFonts w:cstheme="minorHAnsi"/>
          <w:sz w:val="23"/>
          <w:szCs w:val="23"/>
        </w:rPr>
      </w:pPr>
      <w:r>
        <w:rPr>
          <w:rFonts w:cstheme="minorHAnsi"/>
          <w:sz w:val="23"/>
          <w:szCs w:val="23"/>
        </w:rPr>
        <w:t>Tax Adjustments represent the tax benefits of intangible assets, including goodwill, associated with deductions allowed for tax amortization of intangible assets in the respective periods based on a pro forma 27% income tax rate. Such amounts were generated from acquisitions completed where we received a step-up in basis for tax purposes. Acquired intangible assets may be amortized for tax purposes, generally over a 15-year period. Due to our acquisitive nature, tax deductions allowed on acquired intangible assets provide additional significant supplemental economic benefit. The tax benefit from amortization is included to show the full economic benefit of deductions for acquired intangible assets with the step-up in tax basis.</w:t>
      </w:r>
    </w:p>
    <w:p w14:paraId="52ABF35B" w14:textId="77777777" w:rsidR="00131FCD" w:rsidRDefault="00131FCD" w:rsidP="00131FCD">
      <w:pPr>
        <w:keepNext/>
        <w:tabs>
          <w:tab w:val="left" w:pos="-720"/>
        </w:tabs>
        <w:spacing w:after="0" w:line="240" w:lineRule="auto"/>
        <w:jc w:val="both"/>
        <w:rPr>
          <w:rFonts w:cstheme="minorHAnsi"/>
          <w:sz w:val="23"/>
          <w:szCs w:val="23"/>
        </w:rPr>
      </w:pPr>
    </w:p>
    <w:p w14:paraId="29A3DA87" w14:textId="77777777" w:rsidR="00536C41" w:rsidRDefault="00131FCD" w:rsidP="00131FCD">
      <w:pPr>
        <w:keepNext/>
        <w:tabs>
          <w:tab w:val="left" w:pos="-720"/>
        </w:tabs>
        <w:spacing w:after="0" w:line="240" w:lineRule="auto"/>
        <w:jc w:val="both"/>
        <w:rPr>
          <w:rFonts w:cstheme="minorHAnsi"/>
          <w:sz w:val="24"/>
          <w:szCs w:val="24"/>
        </w:rPr>
      </w:pPr>
      <w:r>
        <w:rPr>
          <w:rFonts w:cstheme="minorHAnsi"/>
          <w:sz w:val="23"/>
          <w:szCs w:val="23"/>
        </w:rPr>
        <w:t>Tax Adjustments Per Share is calculated by dividing Tax Adjustments by the Adjusted Shares Outstanding.</w:t>
      </w:r>
      <w:r w:rsidR="00536C41">
        <w:rPr>
          <w:rFonts w:cstheme="minorHAnsi"/>
          <w:sz w:val="24"/>
          <w:szCs w:val="24"/>
        </w:rPr>
        <w:br w:type="page"/>
      </w:r>
    </w:p>
    <w:p w14:paraId="0E03392C" w14:textId="27DCABFA" w:rsidR="00536C41" w:rsidRPr="00693B87" w:rsidRDefault="00536C41" w:rsidP="005E65E6">
      <w:pPr>
        <w:spacing w:after="0" w:line="240" w:lineRule="auto"/>
        <w:contextualSpacing/>
        <w:jc w:val="both"/>
        <w:rPr>
          <w:rFonts w:cstheme="minorHAnsi"/>
          <w:sz w:val="23"/>
          <w:szCs w:val="23"/>
        </w:rPr>
      </w:pPr>
      <w:r w:rsidRPr="00693B87">
        <w:rPr>
          <w:rFonts w:cstheme="minorHAnsi"/>
          <w:sz w:val="23"/>
          <w:szCs w:val="23"/>
        </w:rPr>
        <w:lastRenderedPageBreak/>
        <w:t>Set forth below is a reconciliation of net income</w:t>
      </w:r>
      <w:r w:rsidR="00871D33">
        <w:rPr>
          <w:rFonts w:cstheme="minorHAnsi"/>
          <w:sz w:val="23"/>
          <w:szCs w:val="23"/>
        </w:rPr>
        <w:t xml:space="preserve"> (loss)</w:t>
      </w:r>
      <w:r w:rsidR="0025741B" w:rsidRPr="00693B87">
        <w:rPr>
          <w:rFonts w:cstheme="minorHAnsi"/>
          <w:sz w:val="23"/>
          <w:szCs w:val="23"/>
        </w:rPr>
        <w:t xml:space="preserve"> </w:t>
      </w:r>
      <w:r w:rsidRPr="00693B87">
        <w:rPr>
          <w:rFonts w:cstheme="minorHAnsi"/>
          <w:sz w:val="23"/>
          <w:szCs w:val="23"/>
        </w:rPr>
        <w:t>to Adjusted Net Income Excluding Tax Adjustments and Adjusted Net Income Excluding Tax Adjustments Per Share for the three</w:t>
      </w:r>
      <w:r w:rsidR="009F0443">
        <w:rPr>
          <w:rFonts w:cstheme="minorHAnsi"/>
          <w:sz w:val="23"/>
          <w:szCs w:val="23"/>
        </w:rPr>
        <w:t xml:space="preserve"> </w:t>
      </w:r>
      <w:r w:rsidR="00131FCD">
        <w:rPr>
          <w:rFonts w:cstheme="minorHAnsi"/>
          <w:sz w:val="23"/>
          <w:szCs w:val="23"/>
        </w:rPr>
        <w:t>m</w:t>
      </w:r>
      <w:r w:rsidRPr="00693B87">
        <w:rPr>
          <w:rFonts w:cstheme="minorHAnsi"/>
          <w:sz w:val="23"/>
          <w:szCs w:val="23"/>
        </w:rPr>
        <w:t xml:space="preserve">onths ended </w:t>
      </w:r>
      <w:r w:rsidR="00131FCD">
        <w:rPr>
          <w:rFonts w:cstheme="minorHAnsi"/>
          <w:sz w:val="23"/>
          <w:szCs w:val="23"/>
        </w:rPr>
        <w:t>March</w:t>
      </w:r>
      <w:r w:rsidRPr="00693B87">
        <w:rPr>
          <w:rFonts w:cstheme="minorHAnsi"/>
          <w:sz w:val="23"/>
          <w:szCs w:val="23"/>
        </w:rPr>
        <w:t xml:space="preserve"> 3</w:t>
      </w:r>
      <w:r w:rsidR="00CE444B">
        <w:rPr>
          <w:rFonts w:cstheme="minorHAnsi"/>
          <w:sz w:val="23"/>
          <w:szCs w:val="23"/>
        </w:rPr>
        <w:t>1</w:t>
      </w:r>
      <w:r w:rsidRPr="00693B87">
        <w:rPr>
          <w:rFonts w:cstheme="minorHAnsi"/>
          <w:sz w:val="23"/>
          <w:szCs w:val="23"/>
        </w:rPr>
        <w:t xml:space="preserve">, </w:t>
      </w:r>
      <w:proofErr w:type="gramStart"/>
      <w:r w:rsidRPr="00693B87">
        <w:rPr>
          <w:rFonts w:cstheme="minorHAnsi"/>
          <w:sz w:val="23"/>
          <w:szCs w:val="23"/>
        </w:rPr>
        <w:t>20</w:t>
      </w:r>
      <w:r w:rsidR="003E7B97">
        <w:rPr>
          <w:rFonts w:cstheme="minorHAnsi"/>
          <w:sz w:val="23"/>
          <w:szCs w:val="23"/>
        </w:rPr>
        <w:t>2</w:t>
      </w:r>
      <w:r w:rsidR="00131FCD">
        <w:rPr>
          <w:rFonts w:cstheme="minorHAnsi"/>
          <w:sz w:val="23"/>
          <w:szCs w:val="23"/>
        </w:rPr>
        <w:t>2</w:t>
      </w:r>
      <w:proofErr w:type="gramEnd"/>
      <w:r w:rsidRPr="00693B87">
        <w:rPr>
          <w:rFonts w:cstheme="minorHAnsi"/>
          <w:sz w:val="23"/>
          <w:szCs w:val="23"/>
        </w:rPr>
        <w:t xml:space="preserve"> and 202</w:t>
      </w:r>
      <w:r w:rsidR="00131FCD">
        <w:rPr>
          <w:rFonts w:cstheme="minorHAnsi"/>
          <w:sz w:val="23"/>
          <w:szCs w:val="23"/>
        </w:rPr>
        <w:t>3</w:t>
      </w:r>
      <w:r w:rsidRPr="00693B87">
        <w:rPr>
          <w:rFonts w:cstheme="minorHAnsi"/>
          <w:sz w:val="23"/>
          <w:szCs w:val="23"/>
        </w:rPr>
        <w:t>:</w:t>
      </w:r>
    </w:p>
    <w:p w14:paraId="2CB51571" w14:textId="77777777" w:rsidR="00945C24" w:rsidRPr="00ED6E94" w:rsidRDefault="00945C24" w:rsidP="005E65E6">
      <w:pPr>
        <w:spacing w:after="0" w:line="240" w:lineRule="auto"/>
        <w:contextualSpacing/>
        <w:jc w:val="both"/>
        <w:rPr>
          <w:rFonts w:cstheme="minorHAns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32"/>
        <w:gridCol w:w="285"/>
        <w:gridCol w:w="183"/>
        <w:gridCol w:w="1496"/>
        <w:gridCol w:w="285"/>
        <w:gridCol w:w="183"/>
        <w:gridCol w:w="1496"/>
      </w:tblGrid>
      <w:tr w:rsidR="006E442A" w14:paraId="5CE4F607" w14:textId="77777777" w:rsidTr="006E442A">
        <w:trPr>
          <w:trHeight w:hRule="exact" w:val="20"/>
        </w:trPr>
        <w:tc>
          <w:tcPr>
            <w:tcW w:w="2902" w:type="pct"/>
            <w:tcBorders>
              <w:top w:val="nil"/>
              <w:left w:val="nil"/>
              <w:bottom w:val="nil"/>
              <w:right w:val="nil"/>
            </w:tcBorders>
            <w:vAlign w:val="bottom"/>
          </w:tcPr>
          <w:p w14:paraId="3A045C54" w14:textId="77777777" w:rsidR="006E442A" w:rsidRDefault="006E442A" w:rsidP="006E442A">
            <w:pPr>
              <w:keepNext/>
              <w:spacing w:after="1"/>
              <w:rPr>
                <w:sz w:val="2"/>
              </w:rPr>
            </w:pPr>
          </w:p>
        </w:tc>
        <w:tc>
          <w:tcPr>
            <w:tcW w:w="152" w:type="pct"/>
            <w:tcBorders>
              <w:top w:val="nil"/>
              <w:left w:val="nil"/>
              <w:bottom w:val="nil"/>
              <w:right w:val="nil"/>
            </w:tcBorders>
            <w:vAlign w:val="bottom"/>
          </w:tcPr>
          <w:p w14:paraId="5456D8E8" w14:textId="77777777" w:rsidR="006E442A" w:rsidRDefault="006E442A" w:rsidP="006E442A">
            <w:pPr>
              <w:keepNext/>
              <w:spacing w:after="1"/>
              <w:rPr>
                <w:sz w:val="2"/>
              </w:rPr>
            </w:pPr>
          </w:p>
        </w:tc>
        <w:tc>
          <w:tcPr>
            <w:tcW w:w="98" w:type="pct"/>
            <w:tcBorders>
              <w:top w:val="nil"/>
              <w:left w:val="nil"/>
              <w:bottom w:val="nil"/>
              <w:right w:val="nil"/>
            </w:tcBorders>
            <w:noWrap/>
            <w:vAlign w:val="bottom"/>
          </w:tcPr>
          <w:p w14:paraId="22CC26AE" w14:textId="77777777" w:rsidR="006E442A" w:rsidRDefault="006E442A" w:rsidP="006E442A">
            <w:pPr>
              <w:keepNext/>
              <w:spacing w:after="1"/>
              <w:rPr>
                <w:sz w:val="2"/>
              </w:rPr>
            </w:pPr>
          </w:p>
        </w:tc>
        <w:tc>
          <w:tcPr>
            <w:tcW w:w="799" w:type="pct"/>
            <w:tcBorders>
              <w:top w:val="nil"/>
              <w:left w:val="nil"/>
              <w:bottom w:val="nil"/>
              <w:right w:val="nil"/>
            </w:tcBorders>
            <w:noWrap/>
            <w:vAlign w:val="bottom"/>
          </w:tcPr>
          <w:p w14:paraId="0CF4B85B" w14:textId="77777777" w:rsidR="006E442A" w:rsidRDefault="006E442A" w:rsidP="006E442A">
            <w:pPr>
              <w:keepNext/>
              <w:spacing w:after="1"/>
              <w:rPr>
                <w:sz w:val="2"/>
              </w:rPr>
            </w:pPr>
          </w:p>
        </w:tc>
        <w:tc>
          <w:tcPr>
            <w:tcW w:w="152" w:type="pct"/>
            <w:tcBorders>
              <w:top w:val="nil"/>
              <w:left w:val="nil"/>
              <w:bottom w:val="nil"/>
              <w:right w:val="nil"/>
            </w:tcBorders>
            <w:noWrap/>
            <w:vAlign w:val="bottom"/>
          </w:tcPr>
          <w:p w14:paraId="2351380D" w14:textId="77777777" w:rsidR="006E442A" w:rsidRDefault="006E442A" w:rsidP="006E442A">
            <w:pPr>
              <w:keepNext/>
              <w:spacing w:after="1"/>
              <w:rPr>
                <w:sz w:val="2"/>
              </w:rPr>
            </w:pPr>
          </w:p>
        </w:tc>
        <w:tc>
          <w:tcPr>
            <w:tcW w:w="98" w:type="pct"/>
            <w:tcBorders>
              <w:top w:val="nil"/>
              <w:left w:val="nil"/>
              <w:bottom w:val="nil"/>
              <w:right w:val="nil"/>
            </w:tcBorders>
            <w:noWrap/>
            <w:vAlign w:val="bottom"/>
          </w:tcPr>
          <w:p w14:paraId="7DE01F03" w14:textId="77777777" w:rsidR="006E442A" w:rsidRDefault="006E442A" w:rsidP="006E442A">
            <w:pPr>
              <w:keepNext/>
              <w:spacing w:after="1"/>
              <w:rPr>
                <w:sz w:val="2"/>
              </w:rPr>
            </w:pPr>
          </w:p>
        </w:tc>
        <w:tc>
          <w:tcPr>
            <w:tcW w:w="799" w:type="pct"/>
            <w:tcBorders>
              <w:top w:val="nil"/>
              <w:left w:val="nil"/>
              <w:bottom w:val="nil"/>
              <w:right w:val="nil"/>
            </w:tcBorders>
            <w:noWrap/>
            <w:vAlign w:val="bottom"/>
          </w:tcPr>
          <w:p w14:paraId="1A12C38F" w14:textId="77777777" w:rsidR="006E442A" w:rsidRDefault="006E442A" w:rsidP="006E442A">
            <w:pPr>
              <w:keepNext/>
              <w:spacing w:after="1"/>
              <w:rPr>
                <w:sz w:val="2"/>
              </w:rPr>
            </w:pPr>
          </w:p>
        </w:tc>
      </w:tr>
      <w:tr w:rsidR="006E442A" w14:paraId="3F3C0EE2" w14:textId="77777777" w:rsidTr="006E442A">
        <w:tc>
          <w:tcPr>
            <w:tcW w:w="2902" w:type="pct"/>
            <w:tcBorders>
              <w:top w:val="nil"/>
              <w:left w:val="nil"/>
              <w:bottom w:val="nil"/>
              <w:right w:val="nil"/>
              <w:tl2br w:val="nil"/>
              <w:tr2bl w:val="nil"/>
            </w:tcBorders>
            <w:shd w:val="solid" w:color="FFFFFF" w:fill="FFFFFF"/>
            <w:vAlign w:val="bottom"/>
          </w:tcPr>
          <w:p w14:paraId="56BF4368" w14:textId="77777777" w:rsidR="006E442A" w:rsidRDefault="006E442A" w:rsidP="006E442A">
            <w:pPr>
              <w:spacing w:after="1"/>
              <w:rPr>
                <w:rFonts w:ascii="Calibri" w:eastAsia="Calibri" w:hAnsi="Calibri" w:cs="Calibri"/>
                <w:b/>
                <w:color w:val="000000"/>
                <w:sz w:val="16"/>
              </w:rPr>
            </w:pPr>
          </w:p>
        </w:tc>
        <w:tc>
          <w:tcPr>
            <w:tcW w:w="152" w:type="pct"/>
            <w:tcBorders>
              <w:top w:val="nil"/>
              <w:left w:val="nil"/>
              <w:bottom w:val="nil"/>
              <w:right w:val="nil"/>
              <w:tl2br w:val="nil"/>
              <w:tr2bl w:val="nil"/>
            </w:tcBorders>
            <w:shd w:val="solid" w:color="FFFFFF" w:fill="FFFFFF"/>
            <w:vAlign w:val="bottom"/>
          </w:tcPr>
          <w:p w14:paraId="0289D6F5" w14:textId="77777777" w:rsidR="006E442A" w:rsidRDefault="006E442A" w:rsidP="006E442A">
            <w:pPr>
              <w:spacing w:after="1"/>
              <w:rPr>
                <w:rFonts w:ascii="Calibri" w:eastAsia="Calibri" w:hAnsi="Calibri" w:cs="Calibri"/>
                <w:b/>
                <w:color w:val="000000"/>
                <w:sz w:val="16"/>
              </w:rPr>
            </w:pPr>
          </w:p>
        </w:tc>
        <w:tc>
          <w:tcPr>
            <w:tcW w:w="1946" w:type="pct"/>
            <w:gridSpan w:val="5"/>
            <w:tcBorders>
              <w:top w:val="nil"/>
              <w:left w:val="nil"/>
              <w:bottom w:val="nil"/>
              <w:right w:val="nil"/>
              <w:tl2br w:val="nil"/>
              <w:tr2bl w:val="nil"/>
            </w:tcBorders>
            <w:shd w:val="solid" w:color="FFFFFF" w:fill="FFFFFF"/>
            <w:vAlign w:val="bottom"/>
          </w:tcPr>
          <w:p w14:paraId="7D08373D" w14:textId="77777777" w:rsidR="006E442A" w:rsidRDefault="006E442A" w:rsidP="006E442A">
            <w:pPr>
              <w:spacing w:after="1"/>
              <w:jc w:val="center"/>
              <w:rPr>
                <w:rFonts w:ascii="Calibri" w:eastAsia="Calibri" w:hAnsi="Calibri" w:cs="Calibri"/>
                <w:b/>
                <w:color w:val="000000"/>
                <w:sz w:val="20"/>
              </w:rPr>
            </w:pPr>
            <w:r>
              <w:rPr>
                <w:rFonts w:ascii="Calibri" w:eastAsia="Calibri" w:hAnsi="Calibri" w:cs="Calibri"/>
                <w:b/>
                <w:color w:val="000000"/>
                <w:sz w:val="20"/>
              </w:rPr>
              <w:t xml:space="preserve">Three Months Ended </w:t>
            </w:r>
          </w:p>
        </w:tc>
      </w:tr>
      <w:tr w:rsidR="006E442A" w14:paraId="05736DB3" w14:textId="77777777" w:rsidTr="006E442A">
        <w:tc>
          <w:tcPr>
            <w:tcW w:w="2902" w:type="pct"/>
            <w:tcBorders>
              <w:top w:val="nil"/>
              <w:left w:val="nil"/>
              <w:bottom w:val="nil"/>
              <w:right w:val="nil"/>
              <w:tl2br w:val="nil"/>
              <w:tr2bl w:val="nil"/>
            </w:tcBorders>
            <w:shd w:val="solid" w:color="FFFFFF" w:fill="FFFFFF"/>
            <w:vAlign w:val="bottom"/>
          </w:tcPr>
          <w:p w14:paraId="7E13B7E9" w14:textId="77777777" w:rsidR="006E442A" w:rsidRDefault="006E442A" w:rsidP="006E442A">
            <w:pPr>
              <w:spacing w:after="1"/>
              <w:rPr>
                <w:rFonts w:ascii="Calibri" w:eastAsia="Calibri" w:hAnsi="Calibri" w:cs="Calibri"/>
                <w:b/>
                <w:color w:val="000000"/>
                <w:sz w:val="16"/>
              </w:rPr>
            </w:pPr>
          </w:p>
        </w:tc>
        <w:tc>
          <w:tcPr>
            <w:tcW w:w="152" w:type="pct"/>
            <w:tcBorders>
              <w:top w:val="nil"/>
              <w:left w:val="nil"/>
              <w:bottom w:val="nil"/>
              <w:right w:val="nil"/>
              <w:tl2br w:val="nil"/>
              <w:tr2bl w:val="nil"/>
            </w:tcBorders>
            <w:shd w:val="solid" w:color="FFFFFF" w:fill="FFFFFF"/>
            <w:vAlign w:val="bottom"/>
          </w:tcPr>
          <w:p w14:paraId="55834E3E" w14:textId="77777777" w:rsidR="006E442A" w:rsidRDefault="006E442A" w:rsidP="006E442A">
            <w:pPr>
              <w:spacing w:after="1"/>
              <w:rPr>
                <w:rFonts w:ascii="Calibri" w:eastAsia="Calibri" w:hAnsi="Calibri" w:cs="Calibri"/>
                <w:b/>
                <w:color w:val="000000"/>
                <w:sz w:val="16"/>
              </w:rPr>
            </w:pPr>
          </w:p>
        </w:tc>
        <w:tc>
          <w:tcPr>
            <w:tcW w:w="1946" w:type="pct"/>
            <w:gridSpan w:val="5"/>
            <w:tcBorders>
              <w:top w:val="nil"/>
              <w:left w:val="nil"/>
              <w:bottom w:val="single" w:sz="4" w:space="0" w:color="000000"/>
              <w:right w:val="nil"/>
              <w:tl2br w:val="nil"/>
              <w:tr2bl w:val="nil"/>
            </w:tcBorders>
            <w:shd w:val="solid" w:color="FFFFFF" w:fill="FFFFFF"/>
            <w:vAlign w:val="bottom"/>
          </w:tcPr>
          <w:p w14:paraId="295D903E" w14:textId="77777777" w:rsidR="006E442A" w:rsidRDefault="006E442A" w:rsidP="006E442A">
            <w:pPr>
              <w:spacing w:after="1"/>
              <w:jc w:val="center"/>
              <w:rPr>
                <w:rFonts w:ascii="Calibri" w:eastAsia="Calibri" w:hAnsi="Calibri" w:cs="Calibri"/>
                <w:b/>
                <w:color w:val="000000"/>
                <w:sz w:val="20"/>
              </w:rPr>
            </w:pPr>
            <w:r>
              <w:rPr>
                <w:rFonts w:ascii="Calibri" w:eastAsia="Calibri" w:hAnsi="Calibri" w:cs="Calibri"/>
                <w:b/>
                <w:color w:val="000000"/>
                <w:sz w:val="20"/>
              </w:rPr>
              <w:t>March 31, </w:t>
            </w:r>
          </w:p>
        </w:tc>
      </w:tr>
      <w:tr w:rsidR="006E442A" w14:paraId="48BF2795" w14:textId="77777777" w:rsidTr="006E442A">
        <w:tc>
          <w:tcPr>
            <w:tcW w:w="2902" w:type="pct"/>
            <w:tcBorders>
              <w:top w:val="nil"/>
              <w:left w:val="nil"/>
              <w:bottom w:val="nil"/>
              <w:right w:val="nil"/>
              <w:tl2br w:val="nil"/>
              <w:tr2bl w:val="nil"/>
            </w:tcBorders>
            <w:shd w:val="solid" w:color="FFFFFF" w:fill="FFFFFF"/>
            <w:vAlign w:val="bottom"/>
          </w:tcPr>
          <w:p w14:paraId="384410F8" w14:textId="77777777" w:rsidR="006E442A" w:rsidRDefault="006E442A" w:rsidP="006E442A">
            <w:pPr>
              <w:spacing w:after="1"/>
              <w:rPr>
                <w:rFonts w:ascii="Calibri" w:eastAsia="Calibri" w:hAnsi="Calibri" w:cs="Calibri"/>
                <w:b/>
                <w:color w:val="000000"/>
                <w:sz w:val="16"/>
              </w:rPr>
            </w:pPr>
          </w:p>
        </w:tc>
        <w:tc>
          <w:tcPr>
            <w:tcW w:w="152" w:type="pct"/>
            <w:tcBorders>
              <w:top w:val="nil"/>
              <w:left w:val="nil"/>
              <w:bottom w:val="nil"/>
              <w:right w:val="nil"/>
              <w:tl2br w:val="nil"/>
              <w:tr2bl w:val="nil"/>
            </w:tcBorders>
            <w:shd w:val="solid" w:color="FFFFFF" w:fill="FFFFFF"/>
            <w:noWrap/>
            <w:vAlign w:val="bottom"/>
          </w:tcPr>
          <w:p w14:paraId="264BC2A0" w14:textId="77777777" w:rsidR="006E442A" w:rsidRDefault="006E442A" w:rsidP="006E442A">
            <w:pPr>
              <w:spacing w:after="1"/>
              <w:rPr>
                <w:rFonts w:ascii="Calibri" w:eastAsia="Calibri" w:hAnsi="Calibri" w:cs="Calibri"/>
                <w:b/>
                <w:color w:val="000000"/>
                <w:sz w:val="16"/>
              </w:rPr>
            </w:pPr>
            <w:r>
              <w:rPr>
                <w:rFonts w:ascii="Calibri" w:eastAsia="Calibri" w:hAnsi="Calibri" w:cs="Calibri"/>
                <w:b/>
                <w:color w:val="000000"/>
                <w:sz w:val="16"/>
              </w:rPr>
              <w:t>    </w:t>
            </w:r>
          </w:p>
        </w:tc>
        <w:tc>
          <w:tcPr>
            <w:tcW w:w="897" w:type="pct"/>
            <w:gridSpan w:val="2"/>
            <w:tcBorders>
              <w:top w:val="nil"/>
              <w:left w:val="nil"/>
              <w:bottom w:val="single" w:sz="4" w:space="0" w:color="000000"/>
              <w:right w:val="nil"/>
              <w:tl2br w:val="nil"/>
              <w:tr2bl w:val="nil"/>
            </w:tcBorders>
            <w:shd w:val="solid" w:color="FFFFFF" w:fill="FFFFFF"/>
            <w:noWrap/>
            <w:vAlign w:val="bottom"/>
          </w:tcPr>
          <w:p w14:paraId="4376475F" w14:textId="77777777" w:rsidR="006E442A" w:rsidRDefault="006E442A" w:rsidP="006E442A">
            <w:pPr>
              <w:spacing w:after="1"/>
              <w:jc w:val="center"/>
              <w:rPr>
                <w:rFonts w:ascii="Calibri" w:eastAsia="Calibri" w:hAnsi="Calibri" w:cs="Calibri"/>
                <w:b/>
                <w:color w:val="000000"/>
                <w:sz w:val="20"/>
              </w:rPr>
            </w:pPr>
            <w:r>
              <w:rPr>
                <w:rFonts w:ascii="Calibri" w:eastAsia="Calibri" w:hAnsi="Calibri" w:cs="Calibri"/>
                <w:b/>
                <w:color w:val="000000"/>
                <w:sz w:val="20"/>
              </w:rPr>
              <w:t>2022</w:t>
            </w:r>
          </w:p>
        </w:tc>
        <w:tc>
          <w:tcPr>
            <w:tcW w:w="152" w:type="pct"/>
            <w:tcBorders>
              <w:top w:val="nil"/>
              <w:left w:val="nil"/>
              <w:bottom w:val="nil"/>
              <w:right w:val="nil"/>
              <w:tl2br w:val="nil"/>
              <w:tr2bl w:val="nil"/>
            </w:tcBorders>
            <w:shd w:val="solid" w:color="FFFFFF" w:fill="FFFFFF"/>
            <w:noWrap/>
            <w:vAlign w:val="bottom"/>
          </w:tcPr>
          <w:p w14:paraId="2B9CD9C9" w14:textId="77777777" w:rsidR="006E442A" w:rsidRDefault="006E442A" w:rsidP="006E442A">
            <w:pPr>
              <w:spacing w:after="1"/>
              <w:rPr>
                <w:rFonts w:ascii="Calibri" w:eastAsia="Calibri" w:hAnsi="Calibri" w:cs="Calibri"/>
                <w:b/>
                <w:color w:val="000000"/>
                <w:sz w:val="20"/>
              </w:rPr>
            </w:pPr>
            <w:r>
              <w:rPr>
                <w:rFonts w:ascii="Calibri" w:eastAsia="Calibri" w:hAnsi="Calibri" w:cs="Calibri"/>
                <w:b/>
                <w:color w:val="000000"/>
                <w:sz w:val="20"/>
              </w:rPr>
              <w:t>    </w:t>
            </w:r>
          </w:p>
        </w:tc>
        <w:tc>
          <w:tcPr>
            <w:tcW w:w="897" w:type="pct"/>
            <w:gridSpan w:val="2"/>
            <w:tcBorders>
              <w:top w:val="nil"/>
              <w:left w:val="nil"/>
              <w:bottom w:val="single" w:sz="4" w:space="0" w:color="000000"/>
              <w:right w:val="nil"/>
              <w:tl2br w:val="nil"/>
              <w:tr2bl w:val="nil"/>
            </w:tcBorders>
            <w:shd w:val="solid" w:color="FFFFFF" w:fill="FFFFFF"/>
            <w:noWrap/>
            <w:vAlign w:val="bottom"/>
          </w:tcPr>
          <w:p w14:paraId="3B5BB86E" w14:textId="77777777" w:rsidR="006E442A" w:rsidRDefault="006E442A" w:rsidP="006E442A">
            <w:pPr>
              <w:spacing w:after="1"/>
              <w:jc w:val="center"/>
              <w:rPr>
                <w:rFonts w:ascii="Calibri" w:eastAsia="Calibri" w:hAnsi="Calibri" w:cs="Calibri"/>
                <w:b/>
                <w:color w:val="000000"/>
                <w:sz w:val="20"/>
              </w:rPr>
            </w:pPr>
            <w:r>
              <w:rPr>
                <w:rFonts w:ascii="Calibri" w:eastAsia="Calibri" w:hAnsi="Calibri" w:cs="Calibri"/>
                <w:b/>
                <w:color w:val="000000"/>
                <w:sz w:val="20"/>
              </w:rPr>
              <w:t>2023</w:t>
            </w:r>
          </w:p>
        </w:tc>
      </w:tr>
      <w:tr w:rsidR="002B6D64" w14:paraId="56120921" w14:textId="77777777" w:rsidTr="002B6D64">
        <w:tc>
          <w:tcPr>
            <w:tcW w:w="2902" w:type="pct"/>
            <w:tcBorders>
              <w:top w:val="nil"/>
              <w:left w:val="nil"/>
              <w:bottom w:val="nil"/>
              <w:right w:val="nil"/>
              <w:tl2br w:val="nil"/>
              <w:tr2bl w:val="nil"/>
            </w:tcBorders>
            <w:shd w:val="solid" w:color="FFFFFF" w:fill="FFFFFF"/>
            <w:vAlign w:val="bottom"/>
          </w:tcPr>
          <w:p w14:paraId="685E4DE0" w14:textId="77777777" w:rsidR="002B6D64" w:rsidRDefault="002B6D64" w:rsidP="006E442A">
            <w:pPr>
              <w:spacing w:after="1"/>
              <w:rPr>
                <w:rFonts w:ascii="Calibri" w:eastAsia="Calibri" w:hAnsi="Calibri" w:cs="Calibri"/>
                <w:b/>
                <w:color w:val="000000"/>
                <w:sz w:val="16"/>
              </w:rPr>
            </w:pPr>
          </w:p>
        </w:tc>
        <w:tc>
          <w:tcPr>
            <w:tcW w:w="152" w:type="pct"/>
            <w:tcBorders>
              <w:top w:val="nil"/>
              <w:left w:val="nil"/>
              <w:bottom w:val="nil"/>
              <w:right w:val="nil"/>
              <w:tl2br w:val="nil"/>
              <w:tr2bl w:val="nil"/>
            </w:tcBorders>
            <w:shd w:val="solid" w:color="FFFFFF" w:fill="FFFFFF"/>
            <w:vAlign w:val="bottom"/>
          </w:tcPr>
          <w:p w14:paraId="04DE86E9" w14:textId="77777777" w:rsidR="002B6D64" w:rsidRDefault="002B6D64" w:rsidP="006E442A">
            <w:pPr>
              <w:spacing w:after="1"/>
              <w:rPr>
                <w:rFonts w:ascii="Calibri" w:eastAsia="Calibri" w:hAnsi="Calibri" w:cs="Calibri"/>
                <w:b/>
                <w:color w:val="000000"/>
                <w:sz w:val="16"/>
              </w:rPr>
            </w:pPr>
          </w:p>
        </w:tc>
        <w:tc>
          <w:tcPr>
            <w:tcW w:w="1946" w:type="pct"/>
            <w:gridSpan w:val="5"/>
            <w:tcBorders>
              <w:top w:val="nil"/>
              <w:left w:val="nil"/>
              <w:bottom w:val="nil"/>
              <w:right w:val="nil"/>
              <w:tl2br w:val="nil"/>
              <w:tr2bl w:val="nil"/>
            </w:tcBorders>
            <w:shd w:val="solid" w:color="FFFFFF" w:fill="FFFFFF"/>
            <w:noWrap/>
            <w:vAlign w:val="bottom"/>
          </w:tcPr>
          <w:p w14:paraId="362C219B" w14:textId="52FE3574" w:rsidR="002B6D64" w:rsidRDefault="002B6D64" w:rsidP="006E442A">
            <w:pPr>
              <w:spacing w:after="1"/>
              <w:jc w:val="center"/>
              <w:rPr>
                <w:rFonts w:ascii="Calibri" w:eastAsia="Calibri" w:hAnsi="Calibri" w:cs="Calibri"/>
                <w:b/>
                <w:color w:val="000000"/>
                <w:sz w:val="18"/>
              </w:rPr>
            </w:pPr>
            <w:r>
              <w:rPr>
                <w:rFonts w:ascii="Calibri" w:eastAsia="Calibri" w:hAnsi="Calibri" w:cs="Calibri"/>
                <w:b/>
                <w:color w:val="000000"/>
                <w:sz w:val="18"/>
              </w:rPr>
              <w:t>(</w:t>
            </w:r>
            <w:proofErr w:type="gramStart"/>
            <w:r>
              <w:rPr>
                <w:rFonts w:ascii="Calibri" w:eastAsia="Calibri" w:hAnsi="Calibri" w:cs="Calibri"/>
                <w:b/>
                <w:color w:val="000000"/>
                <w:sz w:val="18"/>
              </w:rPr>
              <w:t>dollars</w:t>
            </w:r>
            <w:proofErr w:type="gramEnd"/>
            <w:r>
              <w:rPr>
                <w:rFonts w:ascii="Calibri" w:eastAsia="Calibri" w:hAnsi="Calibri" w:cs="Calibri"/>
                <w:b/>
                <w:color w:val="000000"/>
                <w:sz w:val="18"/>
              </w:rPr>
              <w:t xml:space="preserve"> in thousands, except per share data)</w:t>
            </w:r>
          </w:p>
        </w:tc>
      </w:tr>
      <w:tr w:rsidR="006E442A" w14:paraId="2F4190F5" w14:textId="77777777" w:rsidTr="006E442A">
        <w:tc>
          <w:tcPr>
            <w:tcW w:w="2902" w:type="pct"/>
            <w:tcBorders>
              <w:top w:val="nil"/>
              <w:left w:val="nil"/>
              <w:bottom w:val="nil"/>
              <w:right w:val="nil"/>
              <w:tl2br w:val="nil"/>
              <w:tr2bl w:val="nil"/>
            </w:tcBorders>
            <w:shd w:val="solid" w:color="FFFFFF" w:fill="FFFFFF"/>
            <w:vAlign w:val="bottom"/>
          </w:tcPr>
          <w:p w14:paraId="0CF51E51"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Net income (loss)</w:t>
            </w:r>
          </w:p>
        </w:tc>
        <w:tc>
          <w:tcPr>
            <w:tcW w:w="152" w:type="pct"/>
            <w:tcBorders>
              <w:top w:val="nil"/>
              <w:left w:val="nil"/>
              <w:bottom w:val="nil"/>
              <w:right w:val="nil"/>
              <w:tl2br w:val="nil"/>
              <w:tr2bl w:val="nil"/>
            </w:tcBorders>
            <w:shd w:val="solid" w:color="FFFFFF" w:fill="FFFFFF"/>
            <w:noWrap/>
            <w:vAlign w:val="bottom"/>
          </w:tcPr>
          <w:p w14:paraId="3298CF69"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nil"/>
              <w:right w:val="nil"/>
              <w:tl2br w:val="nil"/>
              <w:tr2bl w:val="nil"/>
            </w:tcBorders>
            <w:shd w:val="solid" w:color="FFFFFF" w:fill="FFFFFF"/>
            <w:noWrap/>
            <w:vAlign w:val="bottom"/>
          </w:tcPr>
          <w:p w14:paraId="2B59BBA6"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w:t>
            </w:r>
          </w:p>
        </w:tc>
        <w:tc>
          <w:tcPr>
            <w:tcW w:w="799" w:type="pct"/>
            <w:tcBorders>
              <w:top w:val="nil"/>
              <w:left w:val="nil"/>
              <w:bottom w:val="nil"/>
              <w:right w:val="nil"/>
              <w:tl2br w:val="nil"/>
              <w:tr2bl w:val="nil"/>
            </w:tcBorders>
            <w:shd w:val="solid" w:color="FFFFFF" w:fill="FFFFFF"/>
            <w:noWrap/>
            <w:vAlign w:val="bottom"/>
          </w:tcPr>
          <w:p w14:paraId="2C80943D"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39,082</w:t>
            </w:r>
          </w:p>
        </w:tc>
        <w:tc>
          <w:tcPr>
            <w:tcW w:w="152" w:type="pct"/>
            <w:tcBorders>
              <w:top w:val="nil"/>
              <w:left w:val="nil"/>
              <w:bottom w:val="nil"/>
              <w:right w:val="nil"/>
              <w:tl2br w:val="nil"/>
              <w:tr2bl w:val="nil"/>
            </w:tcBorders>
            <w:shd w:val="solid" w:color="FFFFFF" w:fill="FFFFFF"/>
            <w:noWrap/>
            <w:vAlign w:val="bottom"/>
          </w:tcPr>
          <w:p w14:paraId="5BC3C632"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nil"/>
              <w:right w:val="nil"/>
              <w:tl2br w:val="nil"/>
              <w:tr2bl w:val="nil"/>
            </w:tcBorders>
            <w:shd w:val="solid" w:color="FFFFFF" w:fill="FFFFFF"/>
            <w:noWrap/>
            <w:vAlign w:val="bottom"/>
          </w:tcPr>
          <w:p w14:paraId="0097446F"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w:t>
            </w:r>
          </w:p>
        </w:tc>
        <w:tc>
          <w:tcPr>
            <w:tcW w:w="799" w:type="pct"/>
            <w:tcBorders>
              <w:top w:val="nil"/>
              <w:left w:val="nil"/>
              <w:bottom w:val="nil"/>
              <w:right w:val="nil"/>
              <w:tl2br w:val="nil"/>
              <w:tr2bl w:val="nil"/>
            </w:tcBorders>
            <w:shd w:val="solid" w:color="FFFFFF" w:fill="FFFFFF"/>
            <w:noWrap/>
            <w:vAlign w:val="bottom"/>
          </w:tcPr>
          <w:p w14:paraId="462908C0" w14:textId="77777777" w:rsidR="006E442A" w:rsidRDefault="006E442A" w:rsidP="006E442A">
            <w:pPr>
              <w:spacing w:after="1"/>
              <w:jc w:val="right"/>
              <w:rPr>
                <w:rFonts w:ascii="Calibri" w:eastAsia="Calibri" w:hAnsi="Calibri" w:cs="Calibri"/>
                <w:color w:val="000000"/>
                <w:sz w:val="20"/>
              </w:rPr>
            </w:pPr>
            <w:r>
              <w:rPr>
                <w:rFonts w:ascii="Calibri" w:eastAsia="Calibri" w:hAnsi="Calibri" w:cs="Calibri"/>
                <w:color w:val="000000"/>
                <w:sz w:val="20"/>
              </w:rPr>
              <w:t xml:space="preserve"> (6,977)</w:t>
            </w:r>
          </w:p>
        </w:tc>
      </w:tr>
      <w:tr w:rsidR="006E442A" w14:paraId="1502B7D0" w14:textId="77777777" w:rsidTr="006E442A">
        <w:tc>
          <w:tcPr>
            <w:tcW w:w="2902" w:type="pct"/>
            <w:tcBorders>
              <w:top w:val="nil"/>
              <w:left w:val="nil"/>
              <w:bottom w:val="nil"/>
              <w:right w:val="nil"/>
              <w:tl2br w:val="nil"/>
              <w:tr2bl w:val="nil"/>
            </w:tcBorders>
            <w:shd w:val="solid" w:color="FFFFFF" w:fill="FFFFFF"/>
            <w:vAlign w:val="bottom"/>
          </w:tcPr>
          <w:p w14:paraId="0162D8D4"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Income tax expense (benefit)</w:t>
            </w:r>
          </w:p>
        </w:tc>
        <w:tc>
          <w:tcPr>
            <w:tcW w:w="152" w:type="pct"/>
            <w:tcBorders>
              <w:top w:val="nil"/>
              <w:left w:val="nil"/>
              <w:bottom w:val="nil"/>
              <w:right w:val="nil"/>
              <w:tl2br w:val="nil"/>
              <w:tr2bl w:val="nil"/>
            </w:tcBorders>
            <w:shd w:val="solid" w:color="FFFFFF" w:fill="FFFFFF"/>
            <w:noWrap/>
            <w:vAlign w:val="bottom"/>
          </w:tcPr>
          <w:p w14:paraId="4824FDFA"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nil"/>
              <w:right w:val="nil"/>
              <w:tl2br w:val="nil"/>
              <w:tr2bl w:val="nil"/>
            </w:tcBorders>
            <w:shd w:val="solid" w:color="FFFFFF" w:fill="FFFFFF"/>
            <w:noWrap/>
            <w:vAlign w:val="bottom"/>
          </w:tcPr>
          <w:p w14:paraId="4E304C2B"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799" w:type="pct"/>
            <w:tcBorders>
              <w:top w:val="nil"/>
              <w:left w:val="nil"/>
              <w:bottom w:val="nil"/>
              <w:right w:val="nil"/>
              <w:tl2br w:val="nil"/>
              <w:tr2bl w:val="nil"/>
            </w:tcBorders>
            <w:shd w:val="solid" w:color="FFFFFF" w:fill="FFFFFF"/>
            <w:noWrap/>
            <w:vAlign w:val="bottom"/>
          </w:tcPr>
          <w:p w14:paraId="2DE6E597"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15,617</w:t>
            </w:r>
          </w:p>
        </w:tc>
        <w:tc>
          <w:tcPr>
            <w:tcW w:w="152" w:type="pct"/>
            <w:tcBorders>
              <w:top w:val="nil"/>
              <w:left w:val="nil"/>
              <w:bottom w:val="nil"/>
              <w:right w:val="nil"/>
              <w:tl2br w:val="nil"/>
              <w:tr2bl w:val="nil"/>
            </w:tcBorders>
            <w:shd w:val="solid" w:color="FFFFFF" w:fill="FFFFFF"/>
            <w:noWrap/>
            <w:vAlign w:val="bottom"/>
          </w:tcPr>
          <w:p w14:paraId="0E028EC7"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nil"/>
              <w:right w:val="nil"/>
              <w:tl2br w:val="nil"/>
              <w:tr2bl w:val="nil"/>
            </w:tcBorders>
            <w:shd w:val="solid" w:color="FFFFFF" w:fill="FFFFFF"/>
            <w:noWrap/>
            <w:vAlign w:val="bottom"/>
          </w:tcPr>
          <w:p w14:paraId="132C0F42"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799" w:type="pct"/>
            <w:tcBorders>
              <w:top w:val="nil"/>
              <w:left w:val="nil"/>
              <w:bottom w:val="nil"/>
              <w:right w:val="nil"/>
              <w:tl2br w:val="nil"/>
              <w:tr2bl w:val="nil"/>
            </w:tcBorders>
            <w:shd w:val="solid" w:color="FFFFFF" w:fill="FFFFFF"/>
            <w:noWrap/>
            <w:vAlign w:val="bottom"/>
          </w:tcPr>
          <w:p w14:paraId="1C521BD7" w14:textId="77777777" w:rsidR="006E442A" w:rsidRDefault="006E442A" w:rsidP="006E442A">
            <w:pPr>
              <w:spacing w:after="1"/>
              <w:jc w:val="right"/>
              <w:rPr>
                <w:rFonts w:ascii="Calibri" w:eastAsia="Calibri" w:hAnsi="Calibri" w:cs="Calibri"/>
                <w:color w:val="000000"/>
                <w:sz w:val="20"/>
              </w:rPr>
            </w:pPr>
            <w:r>
              <w:rPr>
                <w:rFonts w:ascii="Calibri" w:eastAsia="Calibri" w:hAnsi="Calibri" w:cs="Calibri"/>
                <w:color w:val="000000"/>
                <w:sz w:val="20"/>
              </w:rPr>
              <w:t xml:space="preserve"> (18,703)</w:t>
            </w:r>
          </w:p>
        </w:tc>
      </w:tr>
      <w:tr w:rsidR="006E442A" w14:paraId="5748C2CB" w14:textId="77777777" w:rsidTr="006E442A">
        <w:tc>
          <w:tcPr>
            <w:tcW w:w="2902" w:type="pct"/>
            <w:tcBorders>
              <w:top w:val="nil"/>
              <w:left w:val="nil"/>
              <w:bottom w:val="nil"/>
              <w:right w:val="nil"/>
              <w:tl2br w:val="nil"/>
              <w:tr2bl w:val="nil"/>
            </w:tcBorders>
            <w:shd w:val="solid" w:color="FFFFFF" w:fill="FFFFFF"/>
            <w:vAlign w:val="bottom"/>
          </w:tcPr>
          <w:p w14:paraId="24525C96"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Amortization of debt financing costs</w:t>
            </w:r>
          </w:p>
        </w:tc>
        <w:tc>
          <w:tcPr>
            <w:tcW w:w="152" w:type="pct"/>
            <w:tcBorders>
              <w:top w:val="nil"/>
              <w:left w:val="nil"/>
              <w:bottom w:val="nil"/>
              <w:right w:val="nil"/>
              <w:tl2br w:val="nil"/>
              <w:tr2bl w:val="nil"/>
            </w:tcBorders>
            <w:shd w:val="solid" w:color="FFFFFF" w:fill="FFFFFF"/>
            <w:noWrap/>
            <w:vAlign w:val="bottom"/>
          </w:tcPr>
          <w:p w14:paraId="06B6BEE9"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nil"/>
              <w:right w:val="nil"/>
              <w:tl2br w:val="nil"/>
              <w:tr2bl w:val="nil"/>
            </w:tcBorders>
            <w:shd w:val="solid" w:color="FFFFFF" w:fill="FFFFFF"/>
            <w:noWrap/>
            <w:vAlign w:val="bottom"/>
          </w:tcPr>
          <w:p w14:paraId="2BC6B102"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799" w:type="pct"/>
            <w:tcBorders>
              <w:top w:val="nil"/>
              <w:left w:val="nil"/>
              <w:bottom w:val="nil"/>
              <w:right w:val="nil"/>
              <w:tl2br w:val="nil"/>
              <w:tr2bl w:val="nil"/>
            </w:tcBorders>
            <w:shd w:val="solid" w:color="FFFFFF" w:fill="FFFFFF"/>
            <w:noWrap/>
            <w:vAlign w:val="bottom"/>
          </w:tcPr>
          <w:p w14:paraId="008174B2"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1,101</w:t>
            </w:r>
          </w:p>
        </w:tc>
        <w:tc>
          <w:tcPr>
            <w:tcW w:w="152" w:type="pct"/>
            <w:tcBorders>
              <w:top w:val="nil"/>
              <w:left w:val="nil"/>
              <w:bottom w:val="nil"/>
              <w:right w:val="nil"/>
              <w:tl2br w:val="nil"/>
              <w:tr2bl w:val="nil"/>
            </w:tcBorders>
            <w:shd w:val="solid" w:color="FFFFFF" w:fill="FFFFFF"/>
            <w:noWrap/>
            <w:vAlign w:val="bottom"/>
          </w:tcPr>
          <w:p w14:paraId="01667169"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nil"/>
              <w:right w:val="nil"/>
              <w:tl2br w:val="nil"/>
              <w:tr2bl w:val="nil"/>
            </w:tcBorders>
            <w:shd w:val="solid" w:color="FFFFFF" w:fill="FFFFFF"/>
            <w:noWrap/>
            <w:vAlign w:val="bottom"/>
          </w:tcPr>
          <w:p w14:paraId="52198B15"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799" w:type="pct"/>
            <w:tcBorders>
              <w:top w:val="nil"/>
              <w:left w:val="nil"/>
              <w:bottom w:val="nil"/>
              <w:right w:val="nil"/>
              <w:tl2br w:val="nil"/>
              <w:tr2bl w:val="nil"/>
            </w:tcBorders>
            <w:shd w:val="solid" w:color="FFFFFF" w:fill="FFFFFF"/>
            <w:noWrap/>
            <w:vAlign w:val="bottom"/>
          </w:tcPr>
          <w:p w14:paraId="38F983F9"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1,105</w:t>
            </w:r>
          </w:p>
        </w:tc>
      </w:tr>
      <w:tr w:rsidR="006E442A" w14:paraId="0495490D" w14:textId="77777777" w:rsidTr="006E442A">
        <w:tc>
          <w:tcPr>
            <w:tcW w:w="2902" w:type="pct"/>
            <w:tcBorders>
              <w:top w:val="nil"/>
              <w:left w:val="nil"/>
              <w:bottom w:val="nil"/>
              <w:right w:val="nil"/>
              <w:tl2br w:val="nil"/>
              <w:tr2bl w:val="nil"/>
            </w:tcBorders>
            <w:shd w:val="solid" w:color="FFFFFF" w:fill="FFFFFF"/>
            <w:vAlign w:val="bottom"/>
          </w:tcPr>
          <w:p w14:paraId="1D65CFB2"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Intangible amortization</w:t>
            </w:r>
          </w:p>
        </w:tc>
        <w:tc>
          <w:tcPr>
            <w:tcW w:w="152" w:type="pct"/>
            <w:tcBorders>
              <w:top w:val="nil"/>
              <w:left w:val="nil"/>
              <w:bottom w:val="nil"/>
              <w:right w:val="nil"/>
              <w:tl2br w:val="nil"/>
              <w:tr2bl w:val="nil"/>
            </w:tcBorders>
            <w:shd w:val="solid" w:color="FFFFFF" w:fill="FFFFFF"/>
            <w:noWrap/>
            <w:vAlign w:val="bottom"/>
          </w:tcPr>
          <w:p w14:paraId="65DDB35B"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nil"/>
              <w:right w:val="nil"/>
              <w:tl2br w:val="nil"/>
              <w:tr2bl w:val="nil"/>
            </w:tcBorders>
            <w:shd w:val="solid" w:color="FFFFFF" w:fill="FFFFFF"/>
            <w:noWrap/>
            <w:vAlign w:val="bottom"/>
          </w:tcPr>
          <w:p w14:paraId="0536A625"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799" w:type="pct"/>
            <w:tcBorders>
              <w:top w:val="nil"/>
              <w:left w:val="nil"/>
              <w:bottom w:val="nil"/>
              <w:right w:val="nil"/>
              <w:tl2br w:val="nil"/>
              <w:tr2bl w:val="nil"/>
            </w:tcBorders>
            <w:shd w:val="solid" w:color="FFFFFF" w:fill="FFFFFF"/>
            <w:noWrap/>
            <w:vAlign w:val="bottom"/>
          </w:tcPr>
          <w:p w14:paraId="1C908521"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60,276</w:t>
            </w:r>
          </w:p>
        </w:tc>
        <w:tc>
          <w:tcPr>
            <w:tcW w:w="152" w:type="pct"/>
            <w:tcBorders>
              <w:top w:val="nil"/>
              <w:left w:val="nil"/>
              <w:bottom w:val="nil"/>
              <w:right w:val="nil"/>
              <w:tl2br w:val="nil"/>
              <w:tr2bl w:val="nil"/>
            </w:tcBorders>
            <w:shd w:val="solid" w:color="FFFFFF" w:fill="FFFFFF"/>
            <w:noWrap/>
            <w:vAlign w:val="bottom"/>
          </w:tcPr>
          <w:p w14:paraId="6F4FF27E"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nil"/>
              <w:right w:val="nil"/>
              <w:tl2br w:val="nil"/>
              <w:tr2bl w:val="nil"/>
            </w:tcBorders>
            <w:shd w:val="solid" w:color="FFFFFF" w:fill="FFFFFF"/>
            <w:noWrap/>
            <w:vAlign w:val="bottom"/>
          </w:tcPr>
          <w:p w14:paraId="6916ABC1"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799" w:type="pct"/>
            <w:tcBorders>
              <w:top w:val="nil"/>
              <w:left w:val="nil"/>
              <w:bottom w:val="nil"/>
              <w:right w:val="nil"/>
              <w:tl2br w:val="nil"/>
              <w:tr2bl w:val="nil"/>
            </w:tcBorders>
            <w:shd w:val="solid" w:color="FFFFFF" w:fill="FFFFFF"/>
            <w:noWrap/>
            <w:vAlign w:val="bottom"/>
          </w:tcPr>
          <w:p w14:paraId="25C7FF2E"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71,786</w:t>
            </w:r>
          </w:p>
        </w:tc>
      </w:tr>
      <w:tr w:rsidR="006E442A" w14:paraId="500CB46E" w14:textId="77777777" w:rsidTr="006E442A">
        <w:tc>
          <w:tcPr>
            <w:tcW w:w="2902" w:type="pct"/>
            <w:tcBorders>
              <w:top w:val="nil"/>
              <w:left w:val="nil"/>
              <w:bottom w:val="nil"/>
              <w:right w:val="nil"/>
              <w:tl2br w:val="nil"/>
              <w:tr2bl w:val="nil"/>
            </w:tcBorders>
            <w:shd w:val="solid" w:color="FFFFFF" w:fill="FFFFFF"/>
            <w:vAlign w:val="bottom"/>
          </w:tcPr>
          <w:p w14:paraId="6E203A2E"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Non‑cash equity compensation expense</w:t>
            </w:r>
          </w:p>
        </w:tc>
        <w:tc>
          <w:tcPr>
            <w:tcW w:w="152" w:type="pct"/>
            <w:tcBorders>
              <w:top w:val="nil"/>
              <w:left w:val="nil"/>
              <w:bottom w:val="nil"/>
              <w:right w:val="nil"/>
              <w:tl2br w:val="nil"/>
              <w:tr2bl w:val="nil"/>
            </w:tcBorders>
            <w:shd w:val="solid" w:color="FFFFFF" w:fill="FFFFFF"/>
            <w:noWrap/>
            <w:vAlign w:val="bottom"/>
          </w:tcPr>
          <w:p w14:paraId="6564FB55"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nil"/>
              <w:right w:val="nil"/>
              <w:tl2br w:val="nil"/>
              <w:tr2bl w:val="nil"/>
            </w:tcBorders>
            <w:shd w:val="solid" w:color="FFFFFF" w:fill="FFFFFF"/>
            <w:noWrap/>
            <w:vAlign w:val="bottom"/>
          </w:tcPr>
          <w:p w14:paraId="6E0AD932"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799" w:type="pct"/>
            <w:tcBorders>
              <w:top w:val="nil"/>
              <w:left w:val="nil"/>
              <w:bottom w:val="nil"/>
              <w:right w:val="nil"/>
              <w:tl2br w:val="nil"/>
              <w:tr2bl w:val="nil"/>
            </w:tcBorders>
            <w:shd w:val="solid" w:color="FFFFFF" w:fill="FFFFFF"/>
            <w:noWrap/>
            <w:vAlign w:val="bottom"/>
          </w:tcPr>
          <w:p w14:paraId="313B53E4"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6,707</w:t>
            </w:r>
          </w:p>
        </w:tc>
        <w:tc>
          <w:tcPr>
            <w:tcW w:w="152" w:type="pct"/>
            <w:tcBorders>
              <w:top w:val="nil"/>
              <w:left w:val="nil"/>
              <w:bottom w:val="nil"/>
              <w:right w:val="nil"/>
              <w:tl2br w:val="nil"/>
              <w:tr2bl w:val="nil"/>
            </w:tcBorders>
            <w:shd w:val="solid" w:color="FFFFFF" w:fill="FFFFFF"/>
            <w:noWrap/>
            <w:vAlign w:val="bottom"/>
          </w:tcPr>
          <w:p w14:paraId="4C0E2E10"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nil"/>
              <w:right w:val="nil"/>
              <w:tl2br w:val="nil"/>
              <w:tr2bl w:val="nil"/>
            </w:tcBorders>
            <w:shd w:val="solid" w:color="FFFFFF" w:fill="FFFFFF"/>
            <w:noWrap/>
            <w:vAlign w:val="bottom"/>
          </w:tcPr>
          <w:p w14:paraId="570A0CA7"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799" w:type="pct"/>
            <w:tcBorders>
              <w:top w:val="nil"/>
              <w:left w:val="nil"/>
              <w:bottom w:val="nil"/>
              <w:right w:val="nil"/>
              <w:tl2br w:val="nil"/>
              <w:tr2bl w:val="nil"/>
            </w:tcBorders>
            <w:shd w:val="solid" w:color="FFFFFF" w:fill="FFFFFF"/>
            <w:noWrap/>
            <w:vAlign w:val="bottom"/>
          </w:tcPr>
          <w:p w14:paraId="379451A3"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7,911</w:t>
            </w:r>
          </w:p>
        </w:tc>
      </w:tr>
      <w:tr w:rsidR="006E442A" w14:paraId="42A24E38" w14:textId="77777777" w:rsidTr="006E442A">
        <w:tc>
          <w:tcPr>
            <w:tcW w:w="2902" w:type="pct"/>
            <w:tcBorders>
              <w:top w:val="nil"/>
              <w:left w:val="nil"/>
              <w:bottom w:val="nil"/>
              <w:right w:val="nil"/>
              <w:tl2br w:val="nil"/>
              <w:tr2bl w:val="nil"/>
            </w:tcBorders>
            <w:shd w:val="solid" w:color="FFFFFF" w:fill="FFFFFF"/>
            <w:vAlign w:val="bottom"/>
          </w:tcPr>
          <w:p w14:paraId="1272AE1D"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xml:space="preserve">Non‑cash changes in fair value of estimated </w:t>
            </w:r>
          </w:p>
        </w:tc>
        <w:tc>
          <w:tcPr>
            <w:tcW w:w="152" w:type="pct"/>
            <w:tcBorders>
              <w:top w:val="nil"/>
              <w:left w:val="nil"/>
              <w:bottom w:val="nil"/>
              <w:right w:val="nil"/>
              <w:tl2br w:val="nil"/>
              <w:tr2bl w:val="nil"/>
            </w:tcBorders>
            <w:shd w:val="solid" w:color="FFFFFF" w:fill="FFFFFF"/>
            <w:noWrap/>
            <w:vAlign w:val="bottom"/>
          </w:tcPr>
          <w:p w14:paraId="548E5352"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nil"/>
              <w:right w:val="nil"/>
              <w:tl2br w:val="nil"/>
              <w:tr2bl w:val="nil"/>
            </w:tcBorders>
            <w:shd w:val="solid" w:color="FFFFFF" w:fill="FFFFFF"/>
            <w:noWrap/>
            <w:vAlign w:val="bottom"/>
          </w:tcPr>
          <w:p w14:paraId="731F40E2" w14:textId="77777777" w:rsidR="006E442A" w:rsidRDefault="006E442A" w:rsidP="006E442A">
            <w:pPr>
              <w:spacing w:after="1"/>
              <w:rPr>
                <w:rFonts w:ascii="Calibri" w:eastAsia="Calibri" w:hAnsi="Calibri" w:cs="Calibri"/>
                <w:color w:val="000000"/>
                <w:sz w:val="20"/>
              </w:rPr>
            </w:pPr>
          </w:p>
        </w:tc>
        <w:tc>
          <w:tcPr>
            <w:tcW w:w="799" w:type="pct"/>
            <w:tcBorders>
              <w:top w:val="nil"/>
              <w:left w:val="nil"/>
              <w:bottom w:val="nil"/>
              <w:right w:val="nil"/>
              <w:tl2br w:val="nil"/>
              <w:tr2bl w:val="nil"/>
            </w:tcBorders>
            <w:shd w:val="solid" w:color="FFFFFF" w:fill="FFFFFF"/>
            <w:noWrap/>
            <w:vAlign w:val="bottom"/>
          </w:tcPr>
          <w:p w14:paraId="110924FA" w14:textId="77777777" w:rsidR="006E442A" w:rsidRDefault="006E442A" w:rsidP="006E442A">
            <w:pPr>
              <w:spacing w:after="1"/>
              <w:jc w:val="right"/>
              <w:rPr>
                <w:rFonts w:ascii="Calibri" w:eastAsia="Calibri" w:hAnsi="Calibri" w:cs="Calibri"/>
                <w:color w:val="000000"/>
                <w:sz w:val="20"/>
              </w:rPr>
            </w:pPr>
          </w:p>
        </w:tc>
        <w:tc>
          <w:tcPr>
            <w:tcW w:w="152" w:type="pct"/>
            <w:tcBorders>
              <w:top w:val="nil"/>
              <w:left w:val="nil"/>
              <w:bottom w:val="nil"/>
              <w:right w:val="nil"/>
              <w:tl2br w:val="nil"/>
              <w:tr2bl w:val="nil"/>
            </w:tcBorders>
            <w:shd w:val="solid" w:color="FFFFFF" w:fill="FFFFFF"/>
            <w:noWrap/>
            <w:vAlign w:val="bottom"/>
          </w:tcPr>
          <w:p w14:paraId="26DC3C80"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nil"/>
              <w:right w:val="nil"/>
              <w:tl2br w:val="nil"/>
              <w:tr2bl w:val="nil"/>
            </w:tcBorders>
            <w:shd w:val="solid" w:color="FFFFFF" w:fill="FFFFFF"/>
            <w:noWrap/>
            <w:vAlign w:val="bottom"/>
          </w:tcPr>
          <w:p w14:paraId="6A09BE62" w14:textId="77777777" w:rsidR="006E442A" w:rsidRDefault="006E442A" w:rsidP="006E442A">
            <w:pPr>
              <w:spacing w:after="1"/>
              <w:rPr>
                <w:rFonts w:ascii="Calibri" w:eastAsia="Calibri" w:hAnsi="Calibri" w:cs="Calibri"/>
                <w:color w:val="000000"/>
                <w:sz w:val="20"/>
              </w:rPr>
            </w:pPr>
          </w:p>
        </w:tc>
        <w:tc>
          <w:tcPr>
            <w:tcW w:w="799" w:type="pct"/>
            <w:tcBorders>
              <w:top w:val="nil"/>
              <w:left w:val="nil"/>
              <w:bottom w:val="nil"/>
              <w:right w:val="nil"/>
              <w:tl2br w:val="nil"/>
              <w:tr2bl w:val="nil"/>
            </w:tcBorders>
            <w:shd w:val="solid" w:color="FFFFFF" w:fill="FFFFFF"/>
            <w:noWrap/>
            <w:vAlign w:val="bottom"/>
          </w:tcPr>
          <w:p w14:paraId="12D9A52C" w14:textId="77777777" w:rsidR="006E442A" w:rsidRDefault="006E442A" w:rsidP="006E442A">
            <w:pPr>
              <w:spacing w:after="1"/>
              <w:jc w:val="right"/>
              <w:rPr>
                <w:rFonts w:ascii="Calibri" w:eastAsia="Calibri" w:hAnsi="Calibri" w:cs="Calibri"/>
                <w:color w:val="000000"/>
                <w:sz w:val="20"/>
              </w:rPr>
            </w:pPr>
          </w:p>
        </w:tc>
      </w:tr>
      <w:tr w:rsidR="006E442A" w14:paraId="1CBDF018" w14:textId="77777777" w:rsidTr="006E442A">
        <w:tc>
          <w:tcPr>
            <w:tcW w:w="2902" w:type="pct"/>
            <w:tcBorders>
              <w:top w:val="nil"/>
              <w:left w:val="nil"/>
              <w:bottom w:val="nil"/>
              <w:right w:val="nil"/>
              <w:tl2br w:val="nil"/>
              <w:tr2bl w:val="nil"/>
            </w:tcBorders>
            <w:shd w:val="solid" w:color="FFFFFF" w:fill="FFFFFF"/>
            <w:vAlign w:val="bottom"/>
          </w:tcPr>
          <w:p w14:paraId="679F8DE3" w14:textId="77777777" w:rsidR="006E442A" w:rsidRDefault="006E442A" w:rsidP="006E442A">
            <w:pPr>
              <w:spacing w:after="1"/>
              <w:ind w:left="120"/>
              <w:rPr>
                <w:rFonts w:ascii="Calibri" w:eastAsia="Calibri" w:hAnsi="Calibri" w:cs="Calibri"/>
                <w:color w:val="000000"/>
                <w:sz w:val="20"/>
              </w:rPr>
            </w:pPr>
            <w:r>
              <w:rPr>
                <w:rFonts w:ascii="Calibri" w:eastAsia="Calibri" w:hAnsi="Calibri" w:cs="Calibri"/>
                <w:color w:val="000000"/>
                <w:sz w:val="20"/>
              </w:rPr>
              <w:t>contingent consideration</w:t>
            </w:r>
          </w:p>
        </w:tc>
        <w:tc>
          <w:tcPr>
            <w:tcW w:w="152" w:type="pct"/>
            <w:tcBorders>
              <w:top w:val="nil"/>
              <w:left w:val="nil"/>
              <w:bottom w:val="nil"/>
              <w:right w:val="nil"/>
              <w:tl2br w:val="nil"/>
              <w:tr2bl w:val="nil"/>
            </w:tcBorders>
            <w:shd w:val="solid" w:color="FFFFFF" w:fill="FFFFFF"/>
            <w:noWrap/>
            <w:vAlign w:val="bottom"/>
          </w:tcPr>
          <w:p w14:paraId="6F132B9B"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nil"/>
              <w:right w:val="nil"/>
              <w:tl2br w:val="nil"/>
              <w:tr2bl w:val="nil"/>
            </w:tcBorders>
            <w:shd w:val="solid" w:color="FFFFFF" w:fill="FFFFFF"/>
            <w:noWrap/>
            <w:vAlign w:val="bottom"/>
          </w:tcPr>
          <w:p w14:paraId="4D7CD9F6"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799" w:type="pct"/>
            <w:tcBorders>
              <w:top w:val="nil"/>
              <w:left w:val="nil"/>
              <w:bottom w:val="nil"/>
              <w:right w:val="nil"/>
              <w:tl2br w:val="nil"/>
              <w:tr2bl w:val="nil"/>
            </w:tcBorders>
            <w:shd w:val="solid" w:color="FFFFFF" w:fill="FFFFFF"/>
            <w:noWrap/>
            <w:vAlign w:val="bottom"/>
          </w:tcPr>
          <w:p w14:paraId="49C2878F" w14:textId="77777777" w:rsidR="006E442A" w:rsidRDefault="006E442A" w:rsidP="006E442A">
            <w:pPr>
              <w:spacing w:after="1"/>
              <w:jc w:val="right"/>
              <w:rPr>
                <w:rFonts w:ascii="Calibri" w:eastAsia="Calibri" w:hAnsi="Calibri" w:cs="Calibri"/>
                <w:color w:val="000000"/>
                <w:sz w:val="20"/>
              </w:rPr>
            </w:pPr>
            <w:r>
              <w:rPr>
                <w:rFonts w:ascii="Calibri" w:eastAsia="Calibri" w:hAnsi="Calibri" w:cs="Calibri"/>
                <w:color w:val="000000"/>
                <w:sz w:val="20"/>
              </w:rPr>
              <w:t xml:space="preserve"> (8,985)</w:t>
            </w:r>
          </w:p>
        </w:tc>
        <w:tc>
          <w:tcPr>
            <w:tcW w:w="152" w:type="pct"/>
            <w:tcBorders>
              <w:top w:val="nil"/>
              <w:left w:val="nil"/>
              <w:bottom w:val="nil"/>
              <w:right w:val="nil"/>
              <w:tl2br w:val="nil"/>
              <w:tr2bl w:val="nil"/>
            </w:tcBorders>
            <w:shd w:val="solid" w:color="FFFFFF" w:fill="FFFFFF"/>
            <w:noWrap/>
            <w:vAlign w:val="bottom"/>
          </w:tcPr>
          <w:p w14:paraId="46D766F2"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nil"/>
              <w:right w:val="nil"/>
              <w:tl2br w:val="nil"/>
              <w:tr2bl w:val="nil"/>
            </w:tcBorders>
            <w:shd w:val="solid" w:color="FFFFFF" w:fill="FFFFFF"/>
            <w:noWrap/>
            <w:vAlign w:val="bottom"/>
          </w:tcPr>
          <w:p w14:paraId="50951E44"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799" w:type="pct"/>
            <w:tcBorders>
              <w:top w:val="nil"/>
              <w:left w:val="nil"/>
              <w:bottom w:val="nil"/>
              <w:right w:val="nil"/>
              <w:tl2br w:val="nil"/>
              <w:tr2bl w:val="nil"/>
            </w:tcBorders>
            <w:shd w:val="solid" w:color="FFFFFF" w:fill="FFFFFF"/>
            <w:noWrap/>
            <w:vAlign w:val="bottom"/>
          </w:tcPr>
          <w:p w14:paraId="03B6F411"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16,488</w:t>
            </w:r>
          </w:p>
        </w:tc>
      </w:tr>
      <w:tr w:rsidR="006E442A" w14:paraId="63D7E66E" w14:textId="77777777" w:rsidTr="006E442A">
        <w:tc>
          <w:tcPr>
            <w:tcW w:w="2902" w:type="pct"/>
            <w:tcBorders>
              <w:top w:val="nil"/>
              <w:left w:val="nil"/>
              <w:bottom w:val="nil"/>
              <w:right w:val="nil"/>
              <w:tl2br w:val="nil"/>
              <w:tr2bl w:val="nil"/>
            </w:tcBorders>
            <w:shd w:val="solid" w:color="FFFFFF" w:fill="FFFFFF"/>
            <w:vAlign w:val="bottom"/>
          </w:tcPr>
          <w:p w14:paraId="3DB079DF"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Merger-related expenses (1)</w:t>
            </w:r>
          </w:p>
        </w:tc>
        <w:tc>
          <w:tcPr>
            <w:tcW w:w="152" w:type="pct"/>
            <w:tcBorders>
              <w:top w:val="nil"/>
              <w:left w:val="nil"/>
              <w:bottom w:val="nil"/>
              <w:right w:val="nil"/>
              <w:tl2br w:val="nil"/>
              <w:tr2bl w:val="nil"/>
            </w:tcBorders>
            <w:shd w:val="solid" w:color="FFFFFF" w:fill="FFFFFF"/>
            <w:noWrap/>
            <w:vAlign w:val="bottom"/>
          </w:tcPr>
          <w:p w14:paraId="36403FD9"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single" w:sz="4" w:space="0" w:color="000000"/>
              <w:right w:val="nil"/>
              <w:tl2br w:val="nil"/>
              <w:tr2bl w:val="nil"/>
            </w:tcBorders>
            <w:shd w:val="solid" w:color="FFFFFF" w:fill="FFFFFF"/>
            <w:noWrap/>
            <w:vAlign w:val="bottom"/>
          </w:tcPr>
          <w:p w14:paraId="59DE2785"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799" w:type="pct"/>
            <w:tcBorders>
              <w:top w:val="nil"/>
              <w:left w:val="nil"/>
              <w:bottom w:val="single" w:sz="4" w:space="0" w:color="000000"/>
              <w:right w:val="nil"/>
              <w:tl2br w:val="nil"/>
              <w:tr2bl w:val="nil"/>
            </w:tcBorders>
            <w:shd w:val="solid" w:color="FFFFFF" w:fill="FFFFFF"/>
            <w:noWrap/>
            <w:vAlign w:val="bottom"/>
          </w:tcPr>
          <w:p w14:paraId="3A9F024B"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w:t>
            </w:r>
          </w:p>
        </w:tc>
        <w:tc>
          <w:tcPr>
            <w:tcW w:w="152" w:type="pct"/>
            <w:tcBorders>
              <w:top w:val="nil"/>
              <w:left w:val="nil"/>
              <w:bottom w:val="nil"/>
              <w:right w:val="nil"/>
              <w:tl2br w:val="nil"/>
              <w:tr2bl w:val="nil"/>
            </w:tcBorders>
            <w:shd w:val="solid" w:color="FFFFFF" w:fill="FFFFFF"/>
            <w:noWrap/>
            <w:vAlign w:val="bottom"/>
          </w:tcPr>
          <w:p w14:paraId="0127BD15"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single" w:sz="4" w:space="0" w:color="000000"/>
              <w:right w:val="nil"/>
              <w:tl2br w:val="nil"/>
              <w:tr2bl w:val="nil"/>
            </w:tcBorders>
            <w:shd w:val="solid" w:color="FFFFFF" w:fill="FFFFFF"/>
            <w:noWrap/>
            <w:vAlign w:val="bottom"/>
          </w:tcPr>
          <w:p w14:paraId="6C8D8D31"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799" w:type="pct"/>
            <w:tcBorders>
              <w:top w:val="nil"/>
              <w:left w:val="nil"/>
              <w:bottom w:val="single" w:sz="4" w:space="0" w:color="000000"/>
              <w:right w:val="nil"/>
              <w:tl2br w:val="nil"/>
              <w:tr2bl w:val="nil"/>
            </w:tcBorders>
            <w:shd w:val="solid" w:color="FFFFFF" w:fill="FFFFFF"/>
            <w:noWrap/>
            <w:vAlign w:val="bottom"/>
          </w:tcPr>
          <w:p w14:paraId="0D6E8458"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10,751</w:t>
            </w:r>
          </w:p>
        </w:tc>
      </w:tr>
      <w:tr w:rsidR="006E442A" w14:paraId="5E5524C2" w14:textId="77777777" w:rsidTr="006E442A">
        <w:tc>
          <w:tcPr>
            <w:tcW w:w="2902" w:type="pct"/>
            <w:tcBorders>
              <w:top w:val="nil"/>
              <w:left w:val="nil"/>
              <w:bottom w:val="nil"/>
              <w:right w:val="nil"/>
              <w:tl2br w:val="nil"/>
              <w:tr2bl w:val="nil"/>
            </w:tcBorders>
            <w:shd w:val="solid" w:color="FFFFFF" w:fill="FFFFFF"/>
            <w:vAlign w:val="bottom"/>
          </w:tcPr>
          <w:p w14:paraId="6CAFE838" w14:textId="77777777" w:rsidR="006E442A" w:rsidRDefault="006E442A" w:rsidP="006E442A">
            <w:pPr>
              <w:spacing w:after="1"/>
              <w:ind w:left="120"/>
              <w:rPr>
                <w:rFonts w:ascii="Calibri" w:eastAsia="Calibri" w:hAnsi="Calibri" w:cs="Calibri"/>
                <w:color w:val="000000"/>
                <w:sz w:val="20"/>
              </w:rPr>
            </w:pPr>
            <w:r>
              <w:rPr>
                <w:rFonts w:ascii="Calibri" w:eastAsia="Calibri" w:hAnsi="Calibri" w:cs="Calibri"/>
                <w:color w:val="000000"/>
                <w:sz w:val="20"/>
              </w:rPr>
              <w:t>Subtotal</w:t>
            </w:r>
          </w:p>
        </w:tc>
        <w:tc>
          <w:tcPr>
            <w:tcW w:w="152" w:type="pct"/>
            <w:tcBorders>
              <w:top w:val="nil"/>
              <w:left w:val="nil"/>
              <w:bottom w:val="nil"/>
              <w:right w:val="nil"/>
              <w:tl2br w:val="nil"/>
              <w:tr2bl w:val="nil"/>
            </w:tcBorders>
            <w:shd w:val="solid" w:color="FFFFFF" w:fill="FFFFFF"/>
            <w:noWrap/>
            <w:vAlign w:val="bottom"/>
          </w:tcPr>
          <w:p w14:paraId="336C9984"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nil"/>
              <w:right w:val="nil"/>
              <w:tl2br w:val="nil"/>
              <w:tr2bl w:val="nil"/>
            </w:tcBorders>
            <w:shd w:val="solid" w:color="FFFFFF" w:fill="FFFFFF"/>
            <w:noWrap/>
            <w:vAlign w:val="bottom"/>
          </w:tcPr>
          <w:p w14:paraId="684A2974"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799" w:type="pct"/>
            <w:tcBorders>
              <w:top w:val="nil"/>
              <w:left w:val="nil"/>
              <w:bottom w:val="nil"/>
              <w:right w:val="nil"/>
              <w:tl2br w:val="nil"/>
              <w:tr2bl w:val="nil"/>
            </w:tcBorders>
            <w:shd w:val="solid" w:color="FFFFFF" w:fill="FFFFFF"/>
            <w:noWrap/>
            <w:vAlign w:val="bottom"/>
          </w:tcPr>
          <w:p w14:paraId="00253271"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113,798</w:t>
            </w:r>
          </w:p>
        </w:tc>
        <w:tc>
          <w:tcPr>
            <w:tcW w:w="152" w:type="pct"/>
            <w:tcBorders>
              <w:top w:val="nil"/>
              <w:left w:val="nil"/>
              <w:bottom w:val="nil"/>
              <w:right w:val="nil"/>
              <w:tl2br w:val="nil"/>
              <w:tr2bl w:val="nil"/>
            </w:tcBorders>
            <w:shd w:val="solid" w:color="FFFFFF" w:fill="FFFFFF"/>
            <w:noWrap/>
            <w:vAlign w:val="bottom"/>
          </w:tcPr>
          <w:p w14:paraId="2E0CD0B9"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nil"/>
              <w:right w:val="nil"/>
              <w:tl2br w:val="nil"/>
              <w:tr2bl w:val="nil"/>
            </w:tcBorders>
            <w:shd w:val="solid" w:color="FFFFFF" w:fill="FFFFFF"/>
            <w:noWrap/>
            <w:vAlign w:val="bottom"/>
          </w:tcPr>
          <w:p w14:paraId="3CB02179"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799" w:type="pct"/>
            <w:tcBorders>
              <w:top w:val="nil"/>
              <w:left w:val="nil"/>
              <w:bottom w:val="nil"/>
              <w:right w:val="nil"/>
              <w:tl2br w:val="nil"/>
              <w:tr2bl w:val="nil"/>
            </w:tcBorders>
            <w:shd w:val="solid" w:color="FFFFFF" w:fill="FFFFFF"/>
            <w:noWrap/>
            <w:vAlign w:val="bottom"/>
          </w:tcPr>
          <w:p w14:paraId="4C010622"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82,361</w:t>
            </w:r>
          </w:p>
        </w:tc>
      </w:tr>
      <w:tr w:rsidR="006E442A" w14:paraId="0989F448" w14:textId="77777777" w:rsidTr="006E442A">
        <w:tc>
          <w:tcPr>
            <w:tcW w:w="2902" w:type="pct"/>
            <w:tcBorders>
              <w:top w:val="nil"/>
              <w:left w:val="nil"/>
              <w:bottom w:val="nil"/>
              <w:right w:val="nil"/>
              <w:tl2br w:val="nil"/>
              <w:tr2bl w:val="nil"/>
            </w:tcBorders>
            <w:shd w:val="solid" w:color="FFFFFF" w:fill="FFFFFF"/>
            <w:vAlign w:val="bottom"/>
          </w:tcPr>
          <w:p w14:paraId="03702196"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Pro forma income tax expense (27%) (2)</w:t>
            </w:r>
          </w:p>
        </w:tc>
        <w:tc>
          <w:tcPr>
            <w:tcW w:w="152" w:type="pct"/>
            <w:tcBorders>
              <w:top w:val="nil"/>
              <w:left w:val="nil"/>
              <w:bottom w:val="nil"/>
              <w:right w:val="nil"/>
              <w:tl2br w:val="nil"/>
              <w:tr2bl w:val="nil"/>
            </w:tcBorders>
            <w:shd w:val="solid" w:color="FFFFFF" w:fill="FFFFFF"/>
            <w:noWrap/>
            <w:vAlign w:val="bottom"/>
          </w:tcPr>
          <w:p w14:paraId="7FC53BAC"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single" w:sz="4" w:space="0" w:color="000000"/>
              <w:right w:val="nil"/>
              <w:tl2br w:val="nil"/>
              <w:tr2bl w:val="nil"/>
            </w:tcBorders>
            <w:shd w:val="solid" w:color="FFFFFF" w:fill="FFFFFF"/>
            <w:noWrap/>
            <w:vAlign w:val="bottom"/>
          </w:tcPr>
          <w:p w14:paraId="4C8F40ED"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799" w:type="pct"/>
            <w:tcBorders>
              <w:top w:val="nil"/>
              <w:left w:val="nil"/>
              <w:bottom w:val="single" w:sz="4" w:space="0" w:color="000000"/>
              <w:right w:val="nil"/>
              <w:tl2br w:val="nil"/>
              <w:tr2bl w:val="nil"/>
            </w:tcBorders>
            <w:shd w:val="solid" w:color="FFFFFF" w:fill="FFFFFF"/>
            <w:noWrap/>
            <w:vAlign w:val="bottom"/>
          </w:tcPr>
          <w:p w14:paraId="2EBA9F49" w14:textId="77777777" w:rsidR="006E442A" w:rsidRDefault="006E442A" w:rsidP="006E442A">
            <w:pPr>
              <w:spacing w:after="1"/>
              <w:jc w:val="right"/>
              <w:rPr>
                <w:rFonts w:ascii="Calibri" w:eastAsia="Calibri" w:hAnsi="Calibri" w:cs="Calibri"/>
                <w:color w:val="000000"/>
                <w:sz w:val="20"/>
              </w:rPr>
            </w:pPr>
            <w:r>
              <w:rPr>
                <w:rFonts w:ascii="Calibri" w:eastAsia="Calibri" w:hAnsi="Calibri" w:cs="Calibri"/>
                <w:color w:val="000000"/>
                <w:sz w:val="20"/>
              </w:rPr>
              <w:t xml:space="preserve"> (30,725)</w:t>
            </w:r>
          </w:p>
        </w:tc>
        <w:tc>
          <w:tcPr>
            <w:tcW w:w="152" w:type="pct"/>
            <w:tcBorders>
              <w:top w:val="nil"/>
              <w:left w:val="nil"/>
              <w:bottom w:val="nil"/>
              <w:right w:val="nil"/>
              <w:tl2br w:val="nil"/>
              <w:tr2bl w:val="nil"/>
            </w:tcBorders>
            <w:shd w:val="solid" w:color="FFFFFF" w:fill="FFFFFF"/>
            <w:noWrap/>
            <w:vAlign w:val="bottom"/>
          </w:tcPr>
          <w:p w14:paraId="487D8F88"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single" w:sz="4" w:space="0" w:color="000000"/>
              <w:right w:val="nil"/>
              <w:tl2br w:val="nil"/>
              <w:tr2bl w:val="nil"/>
            </w:tcBorders>
            <w:shd w:val="solid" w:color="FFFFFF" w:fill="FFFFFF"/>
            <w:noWrap/>
            <w:vAlign w:val="bottom"/>
          </w:tcPr>
          <w:p w14:paraId="13F83059"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799" w:type="pct"/>
            <w:tcBorders>
              <w:top w:val="nil"/>
              <w:left w:val="nil"/>
              <w:bottom w:val="single" w:sz="4" w:space="0" w:color="000000"/>
              <w:right w:val="nil"/>
              <w:tl2br w:val="nil"/>
              <w:tr2bl w:val="nil"/>
            </w:tcBorders>
            <w:shd w:val="solid" w:color="FFFFFF" w:fill="FFFFFF"/>
            <w:noWrap/>
            <w:vAlign w:val="bottom"/>
          </w:tcPr>
          <w:p w14:paraId="336374F0" w14:textId="77777777" w:rsidR="006E442A" w:rsidRDefault="006E442A" w:rsidP="006E442A">
            <w:pPr>
              <w:spacing w:after="1"/>
              <w:jc w:val="right"/>
              <w:rPr>
                <w:rFonts w:ascii="Calibri" w:eastAsia="Calibri" w:hAnsi="Calibri" w:cs="Calibri"/>
                <w:color w:val="000000"/>
                <w:sz w:val="20"/>
              </w:rPr>
            </w:pPr>
            <w:r>
              <w:rPr>
                <w:rFonts w:ascii="Calibri" w:eastAsia="Calibri" w:hAnsi="Calibri" w:cs="Calibri"/>
                <w:color w:val="000000"/>
                <w:sz w:val="20"/>
              </w:rPr>
              <w:t xml:space="preserve"> (22,237)</w:t>
            </w:r>
          </w:p>
        </w:tc>
      </w:tr>
      <w:tr w:rsidR="006E442A" w14:paraId="5AEF65D0" w14:textId="77777777" w:rsidTr="006E442A">
        <w:tc>
          <w:tcPr>
            <w:tcW w:w="2902" w:type="pct"/>
            <w:tcBorders>
              <w:top w:val="nil"/>
              <w:left w:val="nil"/>
              <w:bottom w:val="nil"/>
              <w:right w:val="nil"/>
              <w:tl2br w:val="nil"/>
              <w:tr2bl w:val="nil"/>
            </w:tcBorders>
            <w:shd w:val="solid" w:color="FFFFFF" w:fill="FFFFFF"/>
            <w:vAlign w:val="bottom"/>
          </w:tcPr>
          <w:p w14:paraId="0C6D2083"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Adjusted Net Income Excluding Tax Adjustments</w:t>
            </w:r>
          </w:p>
        </w:tc>
        <w:tc>
          <w:tcPr>
            <w:tcW w:w="152" w:type="pct"/>
            <w:tcBorders>
              <w:top w:val="nil"/>
              <w:left w:val="nil"/>
              <w:bottom w:val="nil"/>
              <w:right w:val="nil"/>
              <w:tl2br w:val="nil"/>
              <w:tr2bl w:val="nil"/>
            </w:tcBorders>
            <w:shd w:val="solid" w:color="FFFFFF" w:fill="FFFFFF"/>
            <w:noWrap/>
            <w:vAlign w:val="bottom"/>
          </w:tcPr>
          <w:p w14:paraId="5184F776"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double" w:sz="4" w:space="0" w:color="000000"/>
              <w:right w:val="nil"/>
              <w:tl2br w:val="nil"/>
              <w:tr2bl w:val="nil"/>
            </w:tcBorders>
            <w:shd w:val="solid" w:color="FFFFFF" w:fill="FFFFFF"/>
            <w:noWrap/>
            <w:vAlign w:val="bottom"/>
          </w:tcPr>
          <w:p w14:paraId="75165AB5"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w:t>
            </w:r>
          </w:p>
        </w:tc>
        <w:tc>
          <w:tcPr>
            <w:tcW w:w="799" w:type="pct"/>
            <w:tcBorders>
              <w:top w:val="nil"/>
              <w:left w:val="nil"/>
              <w:bottom w:val="double" w:sz="4" w:space="0" w:color="000000"/>
              <w:right w:val="nil"/>
              <w:tl2br w:val="nil"/>
              <w:tr2bl w:val="nil"/>
            </w:tcBorders>
            <w:shd w:val="solid" w:color="FFFFFF" w:fill="FFFFFF"/>
            <w:noWrap/>
            <w:vAlign w:val="bottom"/>
          </w:tcPr>
          <w:p w14:paraId="75A2C0B8"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83,073</w:t>
            </w:r>
          </w:p>
        </w:tc>
        <w:tc>
          <w:tcPr>
            <w:tcW w:w="152" w:type="pct"/>
            <w:tcBorders>
              <w:top w:val="nil"/>
              <w:left w:val="nil"/>
              <w:bottom w:val="nil"/>
              <w:right w:val="nil"/>
              <w:tl2br w:val="nil"/>
              <w:tr2bl w:val="nil"/>
            </w:tcBorders>
            <w:shd w:val="solid" w:color="FFFFFF" w:fill="FFFFFF"/>
            <w:noWrap/>
            <w:vAlign w:val="bottom"/>
          </w:tcPr>
          <w:p w14:paraId="7FC8537E"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double" w:sz="4" w:space="0" w:color="000000"/>
              <w:right w:val="nil"/>
              <w:tl2br w:val="nil"/>
              <w:tr2bl w:val="nil"/>
            </w:tcBorders>
            <w:shd w:val="solid" w:color="FFFFFF" w:fill="FFFFFF"/>
            <w:noWrap/>
            <w:vAlign w:val="bottom"/>
          </w:tcPr>
          <w:p w14:paraId="43380455"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w:t>
            </w:r>
          </w:p>
        </w:tc>
        <w:tc>
          <w:tcPr>
            <w:tcW w:w="799" w:type="pct"/>
            <w:tcBorders>
              <w:top w:val="nil"/>
              <w:left w:val="nil"/>
              <w:bottom w:val="double" w:sz="4" w:space="0" w:color="000000"/>
              <w:right w:val="nil"/>
              <w:tl2br w:val="nil"/>
              <w:tr2bl w:val="nil"/>
            </w:tcBorders>
            <w:shd w:val="solid" w:color="FFFFFF" w:fill="FFFFFF"/>
            <w:noWrap/>
            <w:vAlign w:val="bottom"/>
          </w:tcPr>
          <w:p w14:paraId="570AF896"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60,124</w:t>
            </w:r>
          </w:p>
        </w:tc>
      </w:tr>
      <w:tr w:rsidR="006E442A" w14:paraId="479F545D" w14:textId="77777777" w:rsidTr="006E442A">
        <w:tc>
          <w:tcPr>
            <w:tcW w:w="2902" w:type="pct"/>
            <w:tcBorders>
              <w:top w:val="nil"/>
              <w:left w:val="nil"/>
              <w:bottom w:val="nil"/>
              <w:right w:val="nil"/>
              <w:tl2br w:val="nil"/>
              <w:tr2bl w:val="nil"/>
            </w:tcBorders>
            <w:shd w:val="solid" w:color="FFFFFF" w:fill="FFFFFF"/>
            <w:vAlign w:val="bottom"/>
          </w:tcPr>
          <w:p w14:paraId="2D21B5CE" w14:textId="77777777" w:rsidR="006E442A" w:rsidRDefault="006E442A" w:rsidP="006E442A">
            <w:pPr>
              <w:spacing w:after="1"/>
              <w:rPr>
                <w:rFonts w:ascii="Calibri" w:eastAsia="Calibri" w:hAnsi="Calibri" w:cs="Calibri"/>
                <w:color w:val="000000"/>
                <w:sz w:val="20"/>
              </w:rPr>
            </w:pPr>
          </w:p>
        </w:tc>
        <w:tc>
          <w:tcPr>
            <w:tcW w:w="152" w:type="pct"/>
            <w:tcBorders>
              <w:top w:val="nil"/>
              <w:left w:val="nil"/>
              <w:bottom w:val="nil"/>
              <w:right w:val="nil"/>
              <w:tl2br w:val="nil"/>
              <w:tr2bl w:val="nil"/>
            </w:tcBorders>
            <w:shd w:val="solid" w:color="FFFFFF" w:fill="FFFFFF"/>
            <w:noWrap/>
            <w:vAlign w:val="bottom"/>
          </w:tcPr>
          <w:p w14:paraId="01486021"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nil"/>
              <w:right w:val="nil"/>
              <w:tl2br w:val="nil"/>
              <w:tr2bl w:val="nil"/>
            </w:tcBorders>
            <w:shd w:val="solid" w:color="FFFFFF" w:fill="FFFFFF"/>
            <w:noWrap/>
            <w:vAlign w:val="bottom"/>
          </w:tcPr>
          <w:p w14:paraId="509C7F9E" w14:textId="77777777" w:rsidR="006E442A" w:rsidRDefault="006E442A" w:rsidP="006E442A">
            <w:pPr>
              <w:spacing w:after="1"/>
              <w:rPr>
                <w:rFonts w:ascii="Calibri" w:eastAsia="Calibri" w:hAnsi="Calibri" w:cs="Calibri"/>
                <w:color w:val="000000"/>
                <w:sz w:val="20"/>
              </w:rPr>
            </w:pPr>
          </w:p>
        </w:tc>
        <w:tc>
          <w:tcPr>
            <w:tcW w:w="799" w:type="pct"/>
            <w:tcBorders>
              <w:top w:val="nil"/>
              <w:left w:val="nil"/>
              <w:bottom w:val="nil"/>
              <w:right w:val="nil"/>
              <w:tl2br w:val="nil"/>
              <w:tr2bl w:val="nil"/>
            </w:tcBorders>
            <w:shd w:val="solid" w:color="FFFFFF" w:fill="FFFFFF"/>
            <w:noWrap/>
            <w:vAlign w:val="bottom"/>
          </w:tcPr>
          <w:p w14:paraId="1ED8C1FE" w14:textId="77777777" w:rsidR="006E442A" w:rsidRDefault="006E442A" w:rsidP="006E442A">
            <w:pPr>
              <w:spacing w:after="1"/>
              <w:jc w:val="right"/>
              <w:rPr>
                <w:rFonts w:ascii="Calibri" w:eastAsia="Calibri" w:hAnsi="Calibri" w:cs="Calibri"/>
                <w:color w:val="000000"/>
                <w:sz w:val="20"/>
              </w:rPr>
            </w:pPr>
          </w:p>
        </w:tc>
        <w:tc>
          <w:tcPr>
            <w:tcW w:w="152" w:type="pct"/>
            <w:tcBorders>
              <w:top w:val="nil"/>
              <w:left w:val="nil"/>
              <w:bottom w:val="nil"/>
              <w:right w:val="nil"/>
              <w:tl2br w:val="nil"/>
              <w:tr2bl w:val="nil"/>
            </w:tcBorders>
            <w:shd w:val="solid" w:color="FFFFFF" w:fill="FFFFFF"/>
            <w:noWrap/>
            <w:vAlign w:val="bottom"/>
          </w:tcPr>
          <w:p w14:paraId="7C96FA4C"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nil"/>
              <w:right w:val="nil"/>
              <w:tl2br w:val="nil"/>
              <w:tr2bl w:val="nil"/>
            </w:tcBorders>
            <w:shd w:val="solid" w:color="FFFFFF" w:fill="FFFFFF"/>
            <w:noWrap/>
            <w:vAlign w:val="bottom"/>
          </w:tcPr>
          <w:p w14:paraId="470D2B52" w14:textId="77777777" w:rsidR="006E442A" w:rsidRDefault="006E442A" w:rsidP="006E442A">
            <w:pPr>
              <w:spacing w:after="1"/>
              <w:rPr>
                <w:rFonts w:ascii="Calibri" w:eastAsia="Calibri" w:hAnsi="Calibri" w:cs="Calibri"/>
                <w:color w:val="000000"/>
                <w:sz w:val="20"/>
              </w:rPr>
            </w:pPr>
          </w:p>
        </w:tc>
        <w:tc>
          <w:tcPr>
            <w:tcW w:w="799" w:type="pct"/>
            <w:tcBorders>
              <w:top w:val="nil"/>
              <w:left w:val="nil"/>
              <w:bottom w:val="nil"/>
              <w:right w:val="nil"/>
              <w:tl2br w:val="nil"/>
              <w:tr2bl w:val="nil"/>
            </w:tcBorders>
            <w:shd w:val="solid" w:color="FFFFFF" w:fill="FFFFFF"/>
            <w:noWrap/>
            <w:vAlign w:val="bottom"/>
          </w:tcPr>
          <w:p w14:paraId="5F43D06A" w14:textId="77777777" w:rsidR="006E442A" w:rsidRDefault="006E442A" w:rsidP="006E442A">
            <w:pPr>
              <w:spacing w:after="1"/>
              <w:jc w:val="right"/>
              <w:rPr>
                <w:rFonts w:ascii="Calibri" w:eastAsia="Calibri" w:hAnsi="Calibri" w:cs="Calibri"/>
                <w:color w:val="000000"/>
                <w:sz w:val="20"/>
              </w:rPr>
            </w:pPr>
          </w:p>
        </w:tc>
      </w:tr>
      <w:tr w:rsidR="006E442A" w14:paraId="690AC422" w14:textId="77777777" w:rsidTr="006E442A">
        <w:tc>
          <w:tcPr>
            <w:tcW w:w="2902" w:type="pct"/>
            <w:tcBorders>
              <w:top w:val="nil"/>
              <w:left w:val="nil"/>
              <w:bottom w:val="nil"/>
              <w:right w:val="nil"/>
              <w:tl2br w:val="nil"/>
              <w:tr2bl w:val="nil"/>
            </w:tcBorders>
            <w:shd w:val="solid" w:color="FFFFFF" w:fill="FFFFFF"/>
            <w:vAlign w:val="bottom"/>
          </w:tcPr>
          <w:p w14:paraId="4674562A"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Tax Adjustments (3)</w:t>
            </w:r>
          </w:p>
        </w:tc>
        <w:tc>
          <w:tcPr>
            <w:tcW w:w="152" w:type="pct"/>
            <w:tcBorders>
              <w:top w:val="nil"/>
              <w:left w:val="nil"/>
              <w:bottom w:val="nil"/>
              <w:right w:val="nil"/>
              <w:tl2br w:val="nil"/>
              <w:tr2bl w:val="nil"/>
            </w:tcBorders>
            <w:shd w:val="solid" w:color="FFFFFF" w:fill="FFFFFF"/>
            <w:noWrap/>
            <w:vAlign w:val="bottom"/>
          </w:tcPr>
          <w:p w14:paraId="781A760D"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double" w:sz="4" w:space="0" w:color="000000"/>
              <w:right w:val="nil"/>
              <w:tl2br w:val="nil"/>
              <w:tr2bl w:val="nil"/>
            </w:tcBorders>
            <w:shd w:val="solid" w:color="FFFFFF" w:fill="FFFFFF"/>
            <w:noWrap/>
            <w:vAlign w:val="bottom"/>
          </w:tcPr>
          <w:p w14:paraId="2A2FC709"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w:t>
            </w:r>
          </w:p>
        </w:tc>
        <w:tc>
          <w:tcPr>
            <w:tcW w:w="799" w:type="pct"/>
            <w:tcBorders>
              <w:top w:val="nil"/>
              <w:left w:val="nil"/>
              <w:bottom w:val="double" w:sz="4" w:space="0" w:color="000000"/>
              <w:right w:val="nil"/>
              <w:tl2br w:val="nil"/>
              <w:tr2bl w:val="nil"/>
            </w:tcBorders>
            <w:shd w:val="solid" w:color="FFFFFF" w:fill="FFFFFF"/>
            <w:noWrap/>
            <w:vAlign w:val="bottom"/>
          </w:tcPr>
          <w:p w14:paraId="05F376EB"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14,813</w:t>
            </w:r>
          </w:p>
        </w:tc>
        <w:tc>
          <w:tcPr>
            <w:tcW w:w="152" w:type="pct"/>
            <w:tcBorders>
              <w:top w:val="nil"/>
              <w:left w:val="nil"/>
              <w:bottom w:val="nil"/>
              <w:right w:val="nil"/>
              <w:tl2br w:val="nil"/>
              <w:tr2bl w:val="nil"/>
            </w:tcBorders>
            <w:shd w:val="solid" w:color="FFFFFF" w:fill="FFFFFF"/>
            <w:noWrap/>
            <w:vAlign w:val="bottom"/>
          </w:tcPr>
          <w:p w14:paraId="6825D642"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double" w:sz="4" w:space="0" w:color="000000"/>
              <w:right w:val="nil"/>
              <w:tl2br w:val="nil"/>
              <w:tr2bl w:val="nil"/>
            </w:tcBorders>
            <w:shd w:val="solid" w:color="FFFFFF" w:fill="FFFFFF"/>
            <w:noWrap/>
            <w:vAlign w:val="bottom"/>
          </w:tcPr>
          <w:p w14:paraId="0E99875C"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w:t>
            </w:r>
          </w:p>
        </w:tc>
        <w:tc>
          <w:tcPr>
            <w:tcW w:w="799" w:type="pct"/>
            <w:tcBorders>
              <w:top w:val="nil"/>
              <w:left w:val="nil"/>
              <w:bottom w:val="double" w:sz="4" w:space="0" w:color="000000"/>
              <w:right w:val="nil"/>
              <w:tl2br w:val="nil"/>
              <w:tr2bl w:val="nil"/>
            </w:tcBorders>
            <w:shd w:val="solid" w:color="FFFFFF" w:fill="FFFFFF"/>
            <w:noWrap/>
            <w:vAlign w:val="bottom"/>
          </w:tcPr>
          <w:p w14:paraId="32EA7EAF"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17,378</w:t>
            </w:r>
          </w:p>
        </w:tc>
      </w:tr>
      <w:tr w:rsidR="006E442A" w14:paraId="0A1CE161" w14:textId="77777777" w:rsidTr="006E442A">
        <w:tc>
          <w:tcPr>
            <w:tcW w:w="2902" w:type="pct"/>
            <w:tcBorders>
              <w:top w:val="nil"/>
              <w:left w:val="nil"/>
              <w:bottom w:val="nil"/>
              <w:right w:val="nil"/>
              <w:tl2br w:val="nil"/>
              <w:tr2bl w:val="nil"/>
            </w:tcBorders>
            <w:shd w:val="solid" w:color="FFFFFF" w:fill="FFFFFF"/>
            <w:vAlign w:val="bottom"/>
          </w:tcPr>
          <w:p w14:paraId="5D132DE8" w14:textId="77777777" w:rsidR="006E442A" w:rsidRDefault="006E442A" w:rsidP="006E442A">
            <w:pPr>
              <w:spacing w:after="1"/>
              <w:rPr>
                <w:rFonts w:ascii="Calibri" w:eastAsia="Calibri" w:hAnsi="Calibri" w:cs="Calibri"/>
                <w:color w:val="000000"/>
                <w:sz w:val="20"/>
              </w:rPr>
            </w:pPr>
          </w:p>
        </w:tc>
        <w:tc>
          <w:tcPr>
            <w:tcW w:w="152" w:type="pct"/>
            <w:tcBorders>
              <w:top w:val="nil"/>
              <w:left w:val="nil"/>
              <w:bottom w:val="nil"/>
              <w:right w:val="nil"/>
              <w:tl2br w:val="nil"/>
              <w:tr2bl w:val="nil"/>
            </w:tcBorders>
            <w:shd w:val="solid" w:color="FFFFFF" w:fill="FFFFFF"/>
            <w:noWrap/>
            <w:vAlign w:val="bottom"/>
          </w:tcPr>
          <w:p w14:paraId="43D50A27"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nil"/>
              <w:right w:val="nil"/>
              <w:tl2br w:val="nil"/>
              <w:tr2bl w:val="nil"/>
            </w:tcBorders>
            <w:shd w:val="solid" w:color="FFFFFF" w:fill="FFFFFF"/>
            <w:noWrap/>
            <w:vAlign w:val="bottom"/>
          </w:tcPr>
          <w:p w14:paraId="5EF35115" w14:textId="77777777" w:rsidR="006E442A" w:rsidRDefault="006E442A" w:rsidP="006E442A">
            <w:pPr>
              <w:spacing w:after="1"/>
              <w:rPr>
                <w:rFonts w:ascii="Calibri" w:eastAsia="Calibri" w:hAnsi="Calibri" w:cs="Calibri"/>
                <w:color w:val="000000"/>
                <w:sz w:val="20"/>
              </w:rPr>
            </w:pPr>
          </w:p>
        </w:tc>
        <w:tc>
          <w:tcPr>
            <w:tcW w:w="799" w:type="pct"/>
            <w:tcBorders>
              <w:top w:val="nil"/>
              <w:left w:val="nil"/>
              <w:bottom w:val="nil"/>
              <w:right w:val="nil"/>
              <w:tl2br w:val="nil"/>
              <w:tr2bl w:val="nil"/>
            </w:tcBorders>
            <w:shd w:val="solid" w:color="FFFFFF" w:fill="FFFFFF"/>
            <w:noWrap/>
            <w:vAlign w:val="bottom"/>
          </w:tcPr>
          <w:p w14:paraId="377A8771" w14:textId="77777777" w:rsidR="006E442A" w:rsidRDefault="006E442A" w:rsidP="006E442A">
            <w:pPr>
              <w:spacing w:after="1"/>
              <w:jc w:val="right"/>
              <w:rPr>
                <w:rFonts w:ascii="Calibri" w:eastAsia="Calibri" w:hAnsi="Calibri" w:cs="Calibri"/>
                <w:color w:val="000000"/>
                <w:sz w:val="20"/>
              </w:rPr>
            </w:pPr>
          </w:p>
        </w:tc>
        <w:tc>
          <w:tcPr>
            <w:tcW w:w="152" w:type="pct"/>
            <w:tcBorders>
              <w:top w:val="nil"/>
              <w:left w:val="nil"/>
              <w:bottom w:val="nil"/>
              <w:right w:val="nil"/>
              <w:tl2br w:val="nil"/>
              <w:tr2bl w:val="nil"/>
            </w:tcBorders>
            <w:shd w:val="solid" w:color="FFFFFF" w:fill="FFFFFF"/>
            <w:noWrap/>
            <w:vAlign w:val="bottom"/>
          </w:tcPr>
          <w:p w14:paraId="72AADAB5"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nil"/>
              <w:right w:val="nil"/>
              <w:tl2br w:val="nil"/>
              <w:tr2bl w:val="nil"/>
            </w:tcBorders>
            <w:shd w:val="solid" w:color="FFFFFF" w:fill="FFFFFF"/>
            <w:noWrap/>
            <w:vAlign w:val="bottom"/>
          </w:tcPr>
          <w:p w14:paraId="1F9537BC" w14:textId="77777777" w:rsidR="006E442A" w:rsidRDefault="006E442A" w:rsidP="006E442A">
            <w:pPr>
              <w:spacing w:after="1"/>
              <w:rPr>
                <w:rFonts w:ascii="Calibri" w:eastAsia="Calibri" w:hAnsi="Calibri" w:cs="Calibri"/>
                <w:color w:val="000000"/>
                <w:sz w:val="20"/>
              </w:rPr>
            </w:pPr>
          </w:p>
        </w:tc>
        <w:tc>
          <w:tcPr>
            <w:tcW w:w="799" w:type="pct"/>
            <w:tcBorders>
              <w:top w:val="nil"/>
              <w:left w:val="nil"/>
              <w:bottom w:val="nil"/>
              <w:right w:val="nil"/>
              <w:tl2br w:val="nil"/>
              <w:tr2bl w:val="nil"/>
            </w:tcBorders>
            <w:shd w:val="solid" w:color="FFFFFF" w:fill="FFFFFF"/>
            <w:noWrap/>
            <w:vAlign w:val="bottom"/>
          </w:tcPr>
          <w:p w14:paraId="3A87E304" w14:textId="77777777" w:rsidR="006E442A" w:rsidRDefault="006E442A" w:rsidP="006E442A">
            <w:pPr>
              <w:spacing w:after="1"/>
              <w:jc w:val="right"/>
              <w:rPr>
                <w:rFonts w:ascii="Calibri" w:eastAsia="Calibri" w:hAnsi="Calibri" w:cs="Calibri"/>
                <w:color w:val="000000"/>
                <w:sz w:val="20"/>
              </w:rPr>
            </w:pPr>
          </w:p>
        </w:tc>
      </w:tr>
      <w:tr w:rsidR="006E442A" w14:paraId="65CD93B9" w14:textId="77777777" w:rsidTr="006E442A">
        <w:tc>
          <w:tcPr>
            <w:tcW w:w="2902" w:type="pct"/>
            <w:tcBorders>
              <w:top w:val="nil"/>
              <w:left w:val="nil"/>
              <w:bottom w:val="nil"/>
              <w:right w:val="nil"/>
              <w:tl2br w:val="nil"/>
              <w:tr2bl w:val="nil"/>
            </w:tcBorders>
            <w:shd w:val="solid" w:color="FFFFFF" w:fill="FFFFFF"/>
            <w:vAlign w:val="bottom"/>
          </w:tcPr>
          <w:p w14:paraId="10FF0050"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Adjusted Net Income Excluding Tax Adjustments Per Share</w:t>
            </w:r>
          </w:p>
        </w:tc>
        <w:tc>
          <w:tcPr>
            <w:tcW w:w="152" w:type="pct"/>
            <w:tcBorders>
              <w:top w:val="nil"/>
              <w:left w:val="nil"/>
              <w:bottom w:val="nil"/>
              <w:right w:val="nil"/>
              <w:tl2br w:val="nil"/>
              <w:tr2bl w:val="nil"/>
            </w:tcBorders>
            <w:shd w:val="solid" w:color="FFFFFF" w:fill="FFFFFF"/>
            <w:noWrap/>
            <w:vAlign w:val="bottom"/>
          </w:tcPr>
          <w:p w14:paraId="21BBA7C6"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double" w:sz="4" w:space="0" w:color="000000"/>
              <w:right w:val="nil"/>
              <w:tl2br w:val="nil"/>
              <w:tr2bl w:val="nil"/>
            </w:tcBorders>
            <w:shd w:val="solid" w:color="FFFFFF" w:fill="FFFFFF"/>
            <w:noWrap/>
            <w:vAlign w:val="bottom"/>
          </w:tcPr>
          <w:p w14:paraId="37201EF0"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w:t>
            </w:r>
          </w:p>
        </w:tc>
        <w:tc>
          <w:tcPr>
            <w:tcW w:w="799" w:type="pct"/>
            <w:tcBorders>
              <w:top w:val="nil"/>
              <w:left w:val="nil"/>
              <w:bottom w:val="double" w:sz="4" w:space="0" w:color="000000"/>
              <w:right w:val="nil"/>
              <w:tl2br w:val="nil"/>
              <w:tr2bl w:val="nil"/>
            </w:tcBorders>
            <w:shd w:val="solid" w:color="FFFFFF" w:fill="FFFFFF"/>
            <w:noWrap/>
            <w:vAlign w:val="bottom"/>
          </w:tcPr>
          <w:p w14:paraId="664FA604"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0.98</w:t>
            </w:r>
          </w:p>
        </w:tc>
        <w:tc>
          <w:tcPr>
            <w:tcW w:w="152" w:type="pct"/>
            <w:tcBorders>
              <w:top w:val="nil"/>
              <w:left w:val="nil"/>
              <w:bottom w:val="nil"/>
              <w:right w:val="nil"/>
              <w:tl2br w:val="nil"/>
              <w:tr2bl w:val="nil"/>
            </w:tcBorders>
            <w:shd w:val="solid" w:color="FFFFFF" w:fill="FFFFFF"/>
            <w:noWrap/>
            <w:vAlign w:val="bottom"/>
          </w:tcPr>
          <w:p w14:paraId="18A0D693"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double" w:sz="4" w:space="0" w:color="000000"/>
              <w:right w:val="nil"/>
              <w:tl2br w:val="nil"/>
              <w:tr2bl w:val="nil"/>
            </w:tcBorders>
            <w:shd w:val="solid" w:color="FFFFFF" w:fill="FFFFFF"/>
            <w:noWrap/>
            <w:vAlign w:val="bottom"/>
          </w:tcPr>
          <w:p w14:paraId="6D548730"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w:t>
            </w:r>
          </w:p>
        </w:tc>
        <w:tc>
          <w:tcPr>
            <w:tcW w:w="799" w:type="pct"/>
            <w:tcBorders>
              <w:top w:val="nil"/>
              <w:left w:val="nil"/>
              <w:bottom w:val="double" w:sz="4" w:space="0" w:color="000000"/>
              <w:right w:val="nil"/>
              <w:tl2br w:val="nil"/>
              <w:tr2bl w:val="nil"/>
            </w:tcBorders>
            <w:shd w:val="solid" w:color="FFFFFF" w:fill="FFFFFF"/>
            <w:noWrap/>
            <w:vAlign w:val="bottom"/>
          </w:tcPr>
          <w:p w14:paraId="5ED328B5"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0.69</w:t>
            </w:r>
          </w:p>
        </w:tc>
      </w:tr>
      <w:tr w:rsidR="006E442A" w14:paraId="48DD7A30" w14:textId="77777777" w:rsidTr="006E442A">
        <w:tc>
          <w:tcPr>
            <w:tcW w:w="2902" w:type="pct"/>
            <w:tcBorders>
              <w:top w:val="nil"/>
              <w:left w:val="nil"/>
              <w:bottom w:val="nil"/>
              <w:right w:val="nil"/>
              <w:tl2br w:val="nil"/>
              <w:tr2bl w:val="nil"/>
            </w:tcBorders>
            <w:shd w:val="solid" w:color="FFFFFF" w:fill="FFFFFF"/>
            <w:vAlign w:val="bottom"/>
          </w:tcPr>
          <w:p w14:paraId="1AA91699"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Tax Adjustments Per Share (3)</w:t>
            </w:r>
          </w:p>
        </w:tc>
        <w:tc>
          <w:tcPr>
            <w:tcW w:w="152" w:type="pct"/>
            <w:tcBorders>
              <w:top w:val="nil"/>
              <w:left w:val="nil"/>
              <w:bottom w:val="nil"/>
              <w:right w:val="nil"/>
              <w:tl2br w:val="nil"/>
              <w:tr2bl w:val="nil"/>
            </w:tcBorders>
            <w:shd w:val="solid" w:color="FFFFFF" w:fill="FFFFFF"/>
            <w:noWrap/>
            <w:vAlign w:val="bottom"/>
          </w:tcPr>
          <w:p w14:paraId="63D49EC2"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double" w:sz="4" w:space="0" w:color="000000"/>
              <w:right w:val="nil"/>
              <w:tl2br w:val="nil"/>
              <w:tr2bl w:val="nil"/>
            </w:tcBorders>
            <w:shd w:val="solid" w:color="FFFFFF" w:fill="FFFFFF"/>
            <w:noWrap/>
            <w:vAlign w:val="bottom"/>
          </w:tcPr>
          <w:p w14:paraId="6EDB54A3"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w:t>
            </w:r>
          </w:p>
        </w:tc>
        <w:tc>
          <w:tcPr>
            <w:tcW w:w="799" w:type="pct"/>
            <w:tcBorders>
              <w:top w:val="nil"/>
              <w:left w:val="nil"/>
              <w:bottom w:val="double" w:sz="4" w:space="0" w:color="000000"/>
              <w:right w:val="nil"/>
              <w:tl2br w:val="nil"/>
              <w:tr2bl w:val="nil"/>
            </w:tcBorders>
            <w:shd w:val="solid" w:color="FFFFFF" w:fill="FFFFFF"/>
            <w:noWrap/>
            <w:vAlign w:val="bottom"/>
          </w:tcPr>
          <w:p w14:paraId="6F4ADB16"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0.18</w:t>
            </w:r>
          </w:p>
        </w:tc>
        <w:tc>
          <w:tcPr>
            <w:tcW w:w="152" w:type="pct"/>
            <w:tcBorders>
              <w:top w:val="nil"/>
              <w:left w:val="nil"/>
              <w:bottom w:val="nil"/>
              <w:right w:val="nil"/>
              <w:tl2br w:val="nil"/>
              <w:tr2bl w:val="nil"/>
            </w:tcBorders>
            <w:shd w:val="solid" w:color="FFFFFF" w:fill="FFFFFF"/>
            <w:noWrap/>
            <w:vAlign w:val="bottom"/>
          </w:tcPr>
          <w:p w14:paraId="25C3CE29"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double" w:sz="4" w:space="0" w:color="000000"/>
              <w:right w:val="nil"/>
              <w:tl2br w:val="nil"/>
              <w:tr2bl w:val="nil"/>
            </w:tcBorders>
            <w:shd w:val="solid" w:color="FFFFFF" w:fill="FFFFFF"/>
            <w:noWrap/>
            <w:vAlign w:val="bottom"/>
          </w:tcPr>
          <w:p w14:paraId="63C8B569"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w:t>
            </w:r>
          </w:p>
        </w:tc>
        <w:tc>
          <w:tcPr>
            <w:tcW w:w="799" w:type="pct"/>
            <w:tcBorders>
              <w:top w:val="nil"/>
              <w:left w:val="nil"/>
              <w:bottom w:val="double" w:sz="4" w:space="0" w:color="000000"/>
              <w:right w:val="nil"/>
              <w:tl2br w:val="nil"/>
              <w:tr2bl w:val="nil"/>
            </w:tcBorders>
            <w:shd w:val="solid" w:color="FFFFFF" w:fill="FFFFFF"/>
            <w:noWrap/>
            <w:vAlign w:val="bottom"/>
          </w:tcPr>
          <w:p w14:paraId="25E47807"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0.20</w:t>
            </w:r>
          </w:p>
        </w:tc>
      </w:tr>
      <w:tr w:rsidR="006E442A" w14:paraId="5466582D" w14:textId="77777777" w:rsidTr="006E442A">
        <w:tc>
          <w:tcPr>
            <w:tcW w:w="2902" w:type="pct"/>
            <w:tcBorders>
              <w:top w:val="nil"/>
              <w:left w:val="nil"/>
              <w:bottom w:val="nil"/>
              <w:right w:val="nil"/>
              <w:tl2br w:val="nil"/>
              <w:tr2bl w:val="nil"/>
            </w:tcBorders>
            <w:shd w:val="solid" w:color="FFFFFF" w:fill="FFFFFF"/>
            <w:vAlign w:val="bottom"/>
          </w:tcPr>
          <w:p w14:paraId="73A54E83" w14:textId="77777777" w:rsidR="006E442A" w:rsidRDefault="006E442A" w:rsidP="006E442A">
            <w:pPr>
              <w:spacing w:after="1"/>
              <w:rPr>
                <w:rFonts w:ascii="Calibri" w:eastAsia="Calibri" w:hAnsi="Calibri" w:cs="Calibri"/>
                <w:color w:val="000000"/>
                <w:sz w:val="20"/>
              </w:rPr>
            </w:pPr>
          </w:p>
        </w:tc>
        <w:tc>
          <w:tcPr>
            <w:tcW w:w="152" w:type="pct"/>
            <w:tcBorders>
              <w:top w:val="nil"/>
              <w:left w:val="nil"/>
              <w:bottom w:val="nil"/>
              <w:right w:val="nil"/>
              <w:tl2br w:val="nil"/>
              <w:tr2bl w:val="nil"/>
            </w:tcBorders>
            <w:shd w:val="solid" w:color="FFFFFF" w:fill="FFFFFF"/>
            <w:noWrap/>
            <w:vAlign w:val="bottom"/>
          </w:tcPr>
          <w:p w14:paraId="27C1F7F2"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nil"/>
              <w:right w:val="nil"/>
              <w:tl2br w:val="nil"/>
              <w:tr2bl w:val="nil"/>
            </w:tcBorders>
            <w:shd w:val="solid" w:color="FFFFFF" w:fill="FFFFFF"/>
            <w:noWrap/>
            <w:vAlign w:val="bottom"/>
          </w:tcPr>
          <w:p w14:paraId="5751B83C" w14:textId="77777777" w:rsidR="006E442A" w:rsidRDefault="006E442A" w:rsidP="006E442A">
            <w:pPr>
              <w:spacing w:after="1"/>
              <w:rPr>
                <w:rFonts w:ascii="Calibri" w:eastAsia="Calibri" w:hAnsi="Calibri" w:cs="Calibri"/>
                <w:color w:val="000000"/>
                <w:sz w:val="20"/>
              </w:rPr>
            </w:pPr>
          </w:p>
        </w:tc>
        <w:tc>
          <w:tcPr>
            <w:tcW w:w="799" w:type="pct"/>
            <w:tcBorders>
              <w:top w:val="nil"/>
              <w:left w:val="nil"/>
              <w:bottom w:val="nil"/>
              <w:right w:val="nil"/>
              <w:tl2br w:val="nil"/>
              <w:tr2bl w:val="nil"/>
            </w:tcBorders>
            <w:shd w:val="solid" w:color="FFFFFF" w:fill="FFFFFF"/>
            <w:noWrap/>
            <w:vAlign w:val="bottom"/>
          </w:tcPr>
          <w:p w14:paraId="7515ADE9" w14:textId="77777777" w:rsidR="006E442A" w:rsidRDefault="006E442A" w:rsidP="006E442A">
            <w:pPr>
              <w:spacing w:after="1"/>
              <w:jc w:val="right"/>
              <w:rPr>
                <w:rFonts w:ascii="Calibri" w:eastAsia="Calibri" w:hAnsi="Calibri" w:cs="Calibri"/>
                <w:color w:val="000000"/>
                <w:sz w:val="20"/>
              </w:rPr>
            </w:pPr>
          </w:p>
        </w:tc>
        <w:tc>
          <w:tcPr>
            <w:tcW w:w="152" w:type="pct"/>
            <w:tcBorders>
              <w:top w:val="nil"/>
              <w:left w:val="nil"/>
              <w:bottom w:val="nil"/>
              <w:right w:val="nil"/>
              <w:tl2br w:val="nil"/>
              <w:tr2bl w:val="nil"/>
            </w:tcBorders>
            <w:shd w:val="solid" w:color="FFFFFF" w:fill="FFFFFF"/>
            <w:noWrap/>
            <w:vAlign w:val="bottom"/>
          </w:tcPr>
          <w:p w14:paraId="5BBDB4DC"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nil"/>
              <w:right w:val="nil"/>
              <w:tl2br w:val="nil"/>
              <w:tr2bl w:val="nil"/>
            </w:tcBorders>
            <w:shd w:val="solid" w:color="FFFFFF" w:fill="FFFFFF"/>
            <w:noWrap/>
            <w:vAlign w:val="bottom"/>
          </w:tcPr>
          <w:p w14:paraId="17D04772" w14:textId="77777777" w:rsidR="006E442A" w:rsidRDefault="006E442A" w:rsidP="006E442A">
            <w:pPr>
              <w:spacing w:after="1"/>
              <w:rPr>
                <w:rFonts w:ascii="Calibri" w:eastAsia="Calibri" w:hAnsi="Calibri" w:cs="Calibri"/>
                <w:color w:val="000000"/>
                <w:sz w:val="20"/>
              </w:rPr>
            </w:pPr>
          </w:p>
        </w:tc>
        <w:tc>
          <w:tcPr>
            <w:tcW w:w="799" w:type="pct"/>
            <w:tcBorders>
              <w:top w:val="nil"/>
              <w:left w:val="nil"/>
              <w:bottom w:val="nil"/>
              <w:right w:val="nil"/>
              <w:tl2br w:val="nil"/>
              <w:tr2bl w:val="nil"/>
            </w:tcBorders>
            <w:shd w:val="solid" w:color="FFFFFF" w:fill="FFFFFF"/>
            <w:noWrap/>
            <w:vAlign w:val="bottom"/>
          </w:tcPr>
          <w:p w14:paraId="2C51ACFE" w14:textId="77777777" w:rsidR="006E442A" w:rsidRDefault="006E442A" w:rsidP="006E442A">
            <w:pPr>
              <w:spacing w:after="1"/>
              <w:jc w:val="right"/>
              <w:rPr>
                <w:rFonts w:ascii="Calibri" w:eastAsia="Calibri" w:hAnsi="Calibri" w:cs="Calibri"/>
                <w:color w:val="000000"/>
                <w:sz w:val="20"/>
              </w:rPr>
            </w:pPr>
          </w:p>
        </w:tc>
      </w:tr>
      <w:tr w:rsidR="006E442A" w14:paraId="6EDC2B10" w14:textId="77777777" w:rsidTr="006E442A">
        <w:tc>
          <w:tcPr>
            <w:tcW w:w="2902" w:type="pct"/>
            <w:tcBorders>
              <w:top w:val="nil"/>
              <w:left w:val="nil"/>
              <w:bottom w:val="nil"/>
              <w:right w:val="nil"/>
              <w:tl2br w:val="nil"/>
              <w:tr2bl w:val="nil"/>
            </w:tcBorders>
            <w:shd w:val="solid" w:color="FFFFFF" w:fill="FFFFFF"/>
            <w:vAlign w:val="bottom"/>
          </w:tcPr>
          <w:p w14:paraId="75519042"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Adjusted Shares Outstanding</w:t>
            </w:r>
          </w:p>
        </w:tc>
        <w:tc>
          <w:tcPr>
            <w:tcW w:w="152" w:type="pct"/>
            <w:tcBorders>
              <w:top w:val="nil"/>
              <w:left w:val="nil"/>
              <w:bottom w:val="nil"/>
              <w:right w:val="nil"/>
              <w:tl2br w:val="nil"/>
              <w:tr2bl w:val="nil"/>
            </w:tcBorders>
            <w:shd w:val="solid" w:color="FFFFFF" w:fill="FFFFFF"/>
            <w:noWrap/>
            <w:vAlign w:val="bottom"/>
          </w:tcPr>
          <w:p w14:paraId="551832FB"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double" w:sz="4" w:space="0" w:color="000000"/>
              <w:right w:val="nil"/>
              <w:tl2br w:val="nil"/>
              <w:tr2bl w:val="nil"/>
            </w:tcBorders>
            <w:shd w:val="solid" w:color="FFFFFF" w:fill="FFFFFF"/>
            <w:noWrap/>
            <w:vAlign w:val="bottom"/>
          </w:tcPr>
          <w:p w14:paraId="1C689C88" w14:textId="77777777" w:rsidR="006E442A" w:rsidRDefault="006E442A" w:rsidP="006E442A">
            <w:pPr>
              <w:spacing w:after="1"/>
              <w:rPr>
                <w:rFonts w:ascii="Calibri" w:eastAsia="Calibri" w:hAnsi="Calibri" w:cs="Calibri"/>
                <w:color w:val="000000"/>
                <w:sz w:val="20"/>
              </w:rPr>
            </w:pPr>
          </w:p>
        </w:tc>
        <w:tc>
          <w:tcPr>
            <w:tcW w:w="799" w:type="pct"/>
            <w:tcBorders>
              <w:top w:val="nil"/>
              <w:left w:val="nil"/>
              <w:bottom w:val="double" w:sz="4" w:space="0" w:color="000000"/>
              <w:right w:val="nil"/>
              <w:tl2br w:val="nil"/>
              <w:tr2bl w:val="nil"/>
            </w:tcBorders>
            <w:shd w:val="solid" w:color="FFFFFF" w:fill="FFFFFF"/>
            <w:noWrap/>
            <w:vAlign w:val="bottom"/>
          </w:tcPr>
          <w:p w14:paraId="7449BC9C"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84,579,820</w:t>
            </w:r>
          </w:p>
        </w:tc>
        <w:tc>
          <w:tcPr>
            <w:tcW w:w="152" w:type="pct"/>
            <w:tcBorders>
              <w:top w:val="nil"/>
              <w:left w:val="nil"/>
              <w:bottom w:val="nil"/>
              <w:right w:val="nil"/>
              <w:tl2br w:val="nil"/>
              <w:tr2bl w:val="nil"/>
            </w:tcBorders>
            <w:shd w:val="solid" w:color="FFFFFF" w:fill="FFFFFF"/>
            <w:noWrap/>
            <w:vAlign w:val="bottom"/>
          </w:tcPr>
          <w:p w14:paraId="4BD59725"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double" w:sz="4" w:space="0" w:color="000000"/>
              <w:right w:val="nil"/>
              <w:tl2br w:val="nil"/>
              <w:tr2bl w:val="nil"/>
            </w:tcBorders>
            <w:shd w:val="solid" w:color="FFFFFF" w:fill="FFFFFF"/>
            <w:noWrap/>
            <w:vAlign w:val="bottom"/>
          </w:tcPr>
          <w:p w14:paraId="5C1444A0" w14:textId="77777777" w:rsidR="006E442A" w:rsidRDefault="006E442A" w:rsidP="006E442A">
            <w:pPr>
              <w:spacing w:after="1"/>
              <w:rPr>
                <w:rFonts w:ascii="Calibri" w:eastAsia="Calibri" w:hAnsi="Calibri" w:cs="Calibri"/>
                <w:color w:val="000000"/>
                <w:sz w:val="20"/>
              </w:rPr>
            </w:pPr>
          </w:p>
        </w:tc>
        <w:tc>
          <w:tcPr>
            <w:tcW w:w="799" w:type="pct"/>
            <w:tcBorders>
              <w:top w:val="nil"/>
              <w:left w:val="nil"/>
              <w:bottom w:val="double" w:sz="4" w:space="0" w:color="000000"/>
              <w:right w:val="nil"/>
              <w:tl2br w:val="nil"/>
              <w:tr2bl w:val="nil"/>
            </w:tcBorders>
            <w:shd w:val="solid" w:color="FFFFFF" w:fill="FFFFFF"/>
            <w:noWrap/>
            <w:vAlign w:val="bottom"/>
          </w:tcPr>
          <w:p w14:paraId="10999455"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86,844,405</w:t>
            </w:r>
          </w:p>
        </w:tc>
      </w:tr>
      <w:tr w:rsidR="006E442A" w14:paraId="5481AB08" w14:textId="77777777" w:rsidTr="006E442A">
        <w:tc>
          <w:tcPr>
            <w:tcW w:w="2902" w:type="pct"/>
            <w:tcBorders>
              <w:top w:val="nil"/>
              <w:left w:val="nil"/>
              <w:bottom w:val="nil"/>
              <w:right w:val="nil"/>
              <w:tl2br w:val="nil"/>
              <w:tr2bl w:val="nil"/>
            </w:tcBorders>
            <w:shd w:val="solid" w:color="FFFFFF" w:fill="FFFFFF"/>
            <w:vAlign w:val="bottom"/>
          </w:tcPr>
          <w:p w14:paraId="0F6CE8C5" w14:textId="77777777" w:rsidR="006E442A" w:rsidRDefault="006E442A" w:rsidP="006E442A">
            <w:pPr>
              <w:spacing w:after="1"/>
              <w:rPr>
                <w:rFonts w:ascii="Calibri" w:eastAsia="Calibri" w:hAnsi="Calibri" w:cs="Calibri"/>
                <w:color w:val="000000"/>
                <w:sz w:val="20"/>
              </w:rPr>
            </w:pPr>
          </w:p>
        </w:tc>
        <w:tc>
          <w:tcPr>
            <w:tcW w:w="152" w:type="pct"/>
            <w:tcBorders>
              <w:top w:val="nil"/>
              <w:left w:val="nil"/>
              <w:bottom w:val="nil"/>
              <w:right w:val="nil"/>
              <w:tl2br w:val="nil"/>
              <w:tr2bl w:val="nil"/>
            </w:tcBorders>
            <w:shd w:val="solid" w:color="FFFFFF" w:fill="FFFFFF"/>
            <w:noWrap/>
            <w:vAlign w:val="bottom"/>
          </w:tcPr>
          <w:p w14:paraId="602A8D07"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nil"/>
              <w:right w:val="nil"/>
              <w:tl2br w:val="nil"/>
              <w:tr2bl w:val="nil"/>
            </w:tcBorders>
            <w:shd w:val="solid" w:color="FFFFFF" w:fill="FFFFFF"/>
            <w:noWrap/>
            <w:vAlign w:val="bottom"/>
          </w:tcPr>
          <w:p w14:paraId="5B713FF9" w14:textId="77777777" w:rsidR="006E442A" w:rsidRDefault="006E442A" w:rsidP="006E442A">
            <w:pPr>
              <w:spacing w:after="1"/>
              <w:rPr>
                <w:rFonts w:ascii="Calibri" w:eastAsia="Calibri" w:hAnsi="Calibri" w:cs="Calibri"/>
                <w:color w:val="000000"/>
                <w:sz w:val="20"/>
              </w:rPr>
            </w:pPr>
          </w:p>
        </w:tc>
        <w:tc>
          <w:tcPr>
            <w:tcW w:w="799" w:type="pct"/>
            <w:tcBorders>
              <w:top w:val="nil"/>
              <w:left w:val="nil"/>
              <w:bottom w:val="nil"/>
              <w:right w:val="nil"/>
              <w:tl2br w:val="nil"/>
              <w:tr2bl w:val="nil"/>
            </w:tcBorders>
            <w:shd w:val="solid" w:color="FFFFFF" w:fill="FFFFFF"/>
            <w:noWrap/>
            <w:vAlign w:val="bottom"/>
          </w:tcPr>
          <w:p w14:paraId="22B02C05" w14:textId="77777777" w:rsidR="006E442A" w:rsidRDefault="006E442A" w:rsidP="006E442A">
            <w:pPr>
              <w:spacing w:after="1"/>
              <w:jc w:val="right"/>
              <w:rPr>
                <w:rFonts w:ascii="Calibri" w:eastAsia="Calibri" w:hAnsi="Calibri" w:cs="Calibri"/>
                <w:color w:val="000000"/>
                <w:sz w:val="20"/>
              </w:rPr>
            </w:pPr>
          </w:p>
        </w:tc>
        <w:tc>
          <w:tcPr>
            <w:tcW w:w="152" w:type="pct"/>
            <w:tcBorders>
              <w:top w:val="nil"/>
              <w:left w:val="nil"/>
              <w:bottom w:val="nil"/>
              <w:right w:val="nil"/>
              <w:tl2br w:val="nil"/>
              <w:tr2bl w:val="nil"/>
            </w:tcBorders>
            <w:shd w:val="solid" w:color="FFFFFF" w:fill="FFFFFF"/>
            <w:noWrap/>
            <w:vAlign w:val="bottom"/>
          </w:tcPr>
          <w:p w14:paraId="5B957942"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nil"/>
              <w:right w:val="nil"/>
              <w:tl2br w:val="nil"/>
              <w:tr2bl w:val="nil"/>
            </w:tcBorders>
            <w:shd w:val="solid" w:color="FFFFFF" w:fill="FFFFFF"/>
            <w:noWrap/>
            <w:vAlign w:val="bottom"/>
          </w:tcPr>
          <w:p w14:paraId="1059B0B9" w14:textId="77777777" w:rsidR="006E442A" w:rsidRDefault="006E442A" w:rsidP="006E442A">
            <w:pPr>
              <w:spacing w:after="1"/>
              <w:rPr>
                <w:rFonts w:ascii="Calibri" w:eastAsia="Calibri" w:hAnsi="Calibri" w:cs="Calibri"/>
                <w:color w:val="000000"/>
                <w:sz w:val="20"/>
              </w:rPr>
            </w:pPr>
          </w:p>
        </w:tc>
        <w:tc>
          <w:tcPr>
            <w:tcW w:w="799" w:type="pct"/>
            <w:tcBorders>
              <w:top w:val="nil"/>
              <w:left w:val="nil"/>
              <w:bottom w:val="nil"/>
              <w:right w:val="nil"/>
              <w:tl2br w:val="nil"/>
              <w:tr2bl w:val="nil"/>
            </w:tcBorders>
            <w:shd w:val="solid" w:color="FFFFFF" w:fill="FFFFFF"/>
            <w:noWrap/>
            <w:vAlign w:val="bottom"/>
          </w:tcPr>
          <w:p w14:paraId="5BDD5138" w14:textId="77777777" w:rsidR="006E442A" w:rsidRDefault="006E442A" w:rsidP="006E442A">
            <w:pPr>
              <w:spacing w:after="1"/>
              <w:jc w:val="right"/>
              <w:rPr>
                <w:rFonts w:ascii="Calibri" w:eastAsia="Calibri" w:hAnsi="Calibri" w:cs="Calibri"/>
                <w:color w:val="000000"/>
                <w:sz w:val="20"/>
              </w:rPr>
            </w:pPr>
          </w:p>
        </w:tc>
      </w:tr>
      <w:tr w:rsidR="006E442A" w14:paraId="7FA44962" w14:textId="77777777" w:rsidTr="006E442A">
        <w:tc>
          <w:tcPr>
            <w:tcW w:w="2902" w:type="pct"/>
            <w:tcBorders>
              <w:top w:val="nil"/>
              <w:left w:val="nil"/>
              <w:bottom w:val="nil"/>
              <w:right w:val="nil"/>
              <w:tl2br w:val="nil"/>
              <w:tr2bl w:val="nil"/>
            </w:tcBorders>
            <w:shd w:val="solid" w:color="FFFFFF" w:fill="FFFFFF"/>
            <w:vAlign w:val="bottom"/>
          </w:tcPr>
          <w:p w14:paraId="0D8B3C02"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Calculation of Adjusted Shares Outstanding:</w:t>
            </w:r>
          </w:p>
        </w:tc>
        <w:tc>
          <w:tcPr>
            <w:tcW w:w="152" w:type="pct"/>
            <w:tcBorders>
              <w:top w:val="nil"/>
              <w:left w:val="nil"/>
              <w:bottom w:val="nil"/>
              <w:right w:val="nil"/>
              <w:tl2br w:val="nil"/>
              <w:tr2bl w:val="nil"/>
            </w:tcBorders>
            <w:shd w:val="solid" w:color="FFFFFF" w:fill="FFFFFF"/>
            <w:noWrap/>
            <w:vAlign w:val="bottom"/>
          </w:tcPr>
          <w:p w14:paraId="3189D3FF"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nil"/>
              <w:right w:val="nil"/>
              <w:tl2br w:val="nil"/>
              <w:tr2bl w:val="nil"/>
            </w:tcBorders>
            <w:shd w:val="solid" w:color="FFFFFF" w:fill="FFFFFF"/>
            <w:noWrap/>
            <w:vAlign w:val="bottom"/>
          </w:tcPr>
          <w:p w14:paraId="0F96AB1E" w14:textId="77777777" w:rsidR="006E442A" w:rsidRDefault="006E442A" w:rsidP="006E442A">
            <w:pPr>
              <w:spacing w:after="1"/>
              <w:rPr>
                <w:rFonts w:ascii="Calibri" w:eastAsia="Calibri" w:hAnsi="Calibri" w:cs="Calibri"/>
                <w:color w:val="000000"/>
                <w:sz w:val="20"/>
              </w:rPr>
            </w:pPr>
          </w:p>
        </w:tc>
        <w:tc>
          <w:tcPr>
            <w:tcW w:w="799" w:type="pct"/>
            <w:tcBorders>
              <w:top w:val="nil"/>
              <w:left w:val="nil"/>
              <w:bottom w:val="nil"/>
              <w:right w:val="nil"/>
              <w:tl2br w:val="nil"/>
              <w:tr2bl w:val="nil"/>
            </w:tcBorders>
            <w:shd w:val="solid" w:color="FFFFFF" w:fill="FFFFFF"/>
            <w:noWrap/>
            <w:vAlign w:val="bottom"/>
          </w:tcPr>
          <w:p w14:paraId="222F4A55" w14:textId="77777777" w:rsidR="006E442A" w:rsidRDefault="006E442A" w:rsidP="006E442A">
            <w:pPr>
              <w:spacing w:after="1"/>
              <w:jc w:val="right"/>
              <w:rPr>
                <w:rFonts w:ascii="Calibri" w:eastAsia="Calibri" w:hAnsi="Calibri" w:cs="Calibri"/>
                <w:color w:val="000000"/>
                <w:sz w:val="20"/>
              </w:rPr>
            </w:pPr>
          </w:p>
        </w:tc>
        <w:tc>
          <w:tcPr>
            <w:tcW w:w="152" w:type="pct"/>
            <w:tcBorders>
              <w:top w:val="nil"/>
              <w:left w:val="nil"/>
              <w:bottom w:val="nil"/>
              <w:right w:val="nil"/>
              <w:tl2br w:val="nil"/>
              <w:tr2bl w:val="nil"/>
            </w:tcBorders>
            <w:shd w:val="solid" w:color="FFFFFF" w:fill="FFFFFF"/>
            <w:noWrap/>
            <w:vAlign w:val="bottom"/>
          </w:tcPr>
          <w:p w14:paraId="0B436DB5"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nil"/>
              <w:right w:val="nil"/>
              <w:tl2br w:val="nil"/>
              <w:tr2bl w:val="nil"/>
            </w:tcBorders>
            <w:shd w:val="solid" w:color="FFFFFF" w:fill="FFFFFF"/>
            <w:noWrap/>
            <w:vAlign w:val="bottom"/>
          </w:tcPr>
          <w:p w14:paraId="34D46F87" w14:textId="77777777" w:rsidR="006E442A" w:rsidRDefault="006E442A" w:rsidP="006E442A">
            <w:pPr>
              <w:spacing w:after="1"/>
              <w:rPr>
                <w:rFonts w:ascii="Calibri" w:eastAsia="Calibri" w:hAnsi="Calibri" w:cs="Calibri"/>
                <w:color w:val="000000"/>
                <w:sz w:val="20"/>
              </w:rPr>
            </w:pPr>
          </w:p>
        </w:tc>
        <w:tc>
          <w:tcPr>
            <w:tcW w:w="799" w:type="pct"/>
            <w:tcBorders>
              <w:top w:val="nil"/>
              <w:left w:val="nil"/>
              <w:bottom w:val="nil"/>
              <w:right w:val="nil"/>
              <w:tl2br w:val="nil"/>
              <w:tr2bl w:val="nil"/>
            </w:tcBorders>
            <w:shd w:val="solid" w:color="FFFFFF" w:fill="FFFFFF"/>
            <w:noWrap/>
            <w:vAlign w:val="bottom"/>
          </w:tcPr>
          <w:p w14:paraId="54C75F6A" w14:textId="77777777" w:rsidR="006E442A" w:rsidRDefault="006E442A" w:rsidP="006E442A">
            <w:pPr>
              <w:spacing w:after="1"/>
              <w:jc w:val="right"/>
              <w:rPr>
                <w:rFonts w:ascii="Calibri" w:eastAsia="Calibri" w:hAnsi="Calibri" w:cs="Calibri"/>
                <w:color w:val="000000"/>
                <w:sz w:val="20"/>
              </w:rPr>
            </w:pPr>
          </w:p>
        </w:tc>
      </w:tr>
      <w:tr w:rsidR="006E442A" w14:paraId="575AFC4E" w14:textId="77777777" w:rsidTr="006E442A">
        <w:tc>
          <w:tcPr>
            <w:tcW w:w="2902" w:type="pct"/>
            <w:tcBorders>
              <w:top w:val="nil"/>
              <w:left w:val="nil"/>
              <w:bottom w:val="nil"/>
              <w:right w:val="nil"/>
              <w:tl2br w:val="nil"/>
              <w:tr2bl w:val="nil"/>
            </w:tcBorders>
            <w:shd w:val="solid" w:color="FFFFFF" w:fill="FFFFFF"/>
            <w:vAlign w:val="bottom"/>
          </w:tcPr>
          <w:p w14:paraId="5CA039AC"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Weighted average shares of Class A common</w:t>
            </w:r>
          </w:p>
        </w:tc>
        <w:tc>
          <w:tcPr>
            <w:tcW w:w="152" w:type="pct"/>
            <w:tcBorders>
              <w:top w:val="nil"/>
              <w:left w:val="nil"/>
              <w:bottom w:val="nil"/>
              <w:right w:val="nil"/>
              <w:tl2br w:val="nil"/>
              <w:tr2bl w:val="nil"/>
            </w:tcBorders>
            <w:shd w:val="solid" w:color="FFFFFF" w:fill="FFFFFF"/>
            <w:noWrap/>
            <w:vAlign w:val="bottom"/>
          </w:tcPr>
          <w:p w14:paraId="09D16C1B"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nil"/>
              <w:right w:val="nil"/>
              <w:tl2br w:val="nil"/>
              <w:tr2bl w:val="nil"/>
            </w:tcBorders>
            <w:shd w:val="solid" w:color="FFFFFF" w:fill="FFFFFF"/>
            <w:noWrap/>
            <w:vAlign w:val="bottom"/>
          </w:tcPr>
          <w:p w14:paraId="422CFB82" w14:textId="77777777" w:rsidR="006E442A" w:rsidRDefault="006E442A" w:rsidP="006E442A">
            <w:pPr>
              <w:spacing w:after="1"/>
              <w:rPr>
                <w:rFonts w:ascii="Calibri" w:eastAsia="Calibri" w:hAnsi="Calibri" w:cs="Calibri"/>
                <w:color w:val="000000"/>
                <w:sz w:val="20"/>
              </w:rPr>
            </w:pPr>
          </w:p>
        </w:tc>
        <w:tc>
          <w:tcPr>
            <w:tcW w:w="799" w:type="pct"/>
            <w:tcBorders>
              <w:top w:val="nil"/>
              <w:left w:val="nil"/>
              <w:bottom w:val="nil"/>
              <w:right w:val="nil"/>
              <w:tl2br w:val="nil"/>
              <w:tr2bl w:val="nil"/>
            </w:tcBorders>
            <w:shd w:val="solid" w:color="FFFFFF" w:fill="FFFFFF"/>
            <w:noWrap/>
            <w:vAlign w:val="bottom"/>
          </w:tcPr>
          <w:p w14:paraId="52B990CD" w14:textId="77777777" w:rsidR="006E442A" w:rsidRDefault="006E442A" w:rsidP="006E442A">
            <w:pPr>
              <w:spacing w:after="1"/>
              <w:jc w:val="right"/>
              <w:rPr>
                <w:rFonts w:ascii="Calibri" w:eastAsia="Calibri" w:hAnsi="Calibri" w:cs="Calibri"/>
                <w:color w:val="000000"/>
                <w:sz w:val="20"/>
              </w:rPr>
            </w:pPr>
          </w:p>
        </w:tc>
        <w:tc>
          <w:tcPr>
            <w:tcW w:w="152" w:type="pct"/>
            <w:tcBorders>
              <w:top w:val="nil"/>
              <w:left w:val="nil"/>
              <w:bottom w:val="nil"/>
              <w:right w:val="nil"/>
              <w:tl2br w:val="nil"/>
              <w:tr2bl w:val="nil"/>
            </w:tcBorders>
            <w:shd w:val="solid" w:color="FFFFFF" w:fill="FFFFFF"/>
            <w:noWrap/>
            <w:vAlign w:val="bottom"/>
          </w:tcPr>
          <w:p w14:paraId="33F4FBDD"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nil"/>
              <w:right w:val="nil"/>
              <w:tl2br w:val="nil"/>
              <w:tr2bl w:val="nil"/>
            </w:tcBorders>
            <w:shd w:val="solid" w:color="FFFFFF" w:fill="FFFFFF"/>
            <w:noWrap/>
            <w:vAlign w:val="bottom"/>
          </w:tcPr>
          <w:p w14:paraId="586F1CA2" w14:textId="77777777" w:rsidR="006E442A" w:rsidRDefault="006E442A" w:rsidP="006E442A">
            <w:pPr>
              <w:spacing w:after="1"/>
              <w:rPr>
                <w:rFonts w:ascii="Calibri" w:eastAsia="Calibri" w:hAnsi="Calibri" w:cs="Calibri"/>
                <w:color w:val="000000"/>
                <w:sz w:val="20"/>
              </w:rPr>
            </w:pPr>
          </w:p>
        </w:tc>
        <w:tc>
          <w:tcPr>
            <w:tcW w:w="799" w:type="pct"/>
            <w:tcBorders>
              <w:top w:val="nil"/>
              <w:left w:val="nil"/>
              <w:bottom w:val="nil"/>
              <w:right w:val="nil"/>
              <w:tl2br w:val="nil"/>
              <w:tr2bl w:val="nil"/>
            </w:tcBorders>
            <w:shd w:val="solid" w:color="FFFFFF" w:fill="FFFFFF"/>
            <w:noWrap/>
            <w:vAlign w:val="bottom"/>
          </w:tcPr>
          <w:p w14:paraId="39AA5A67" w14:textId="77777777" w:rsidR="006E442A" w:rsidRDefault="006E442A" w:rsidP="006E442A">
            <w:pPr>
              <w:spacing w:after="1"/>
              <w:jc w:val="right"/>
              <w:rPr>
                <w:rFonts w:ascii="Calibri" w:eastAsia="Calibri" w:hAnsi="Calibri" w:cs="Calibri"/>
                <w:color w:val="000000"/>
                <w:sz w:val="20"/>
              </w:rPr>
            </w:pPr>
          </w:p>
        </w:tc>
      </w:tr>
      <w:tr w:rsidR="006E442A" w14:paraId="52955A61" w14:textId="77777777" w:rsidTr="006E442A">
        <w:tc>
          <w:tcPr>
            <w:tcW w:w="2902" w:type="pct"/>
            <w:tcBorders>
              <w:top w:val="nil"/>
              <w:left w:val="nil"/>
              <w:bottom w:val="nil"/>
              <w:right w:val="nil"/>
              <w:tl2br w:val="nil"/>
              <w:tr2bl w:val="nil"/>
            </w:tcBorders>
            <w:shd w:val="solid" w:color="FFFFFF" w:fill="FFFFFF"/>
            <w:vAlign w:val="bottom"/>
          </w:tcPr>
          <w:p w14:paraId="588E22D6" w14:textId="77777777" w:rsidR="006E442A" w:rsidRDefault="006E442A" w:rsidP="006E442A">
            <w:pPr>
              <w:spacing w:after="1"/>
              <w:ind w:left="120"/>
              <w:rPr>
                <w:rFonts w:ascii="Calibri" w:eastAsia="Calibri" w:hAnsi="Calibri" w:cs="Calibri"/>
                <w:color w:val="000000"/>
                <w:sz w:val="20"/>
              </w:rPr>
            </w:pPr>
            <w:r>
              <w:rPr>
                <w:rFonts w:ascii="Calibri" w:eastAsia="Calibri" w:hAnsi="Calibri" w:cs="Calibri"/>
                <w:color w:val="000000"/>
                <w:sz w:val="20"/>
              </w:rPr>
              <w:t>stock outstanding—basic (4)</w:t>
            </w:r>
          </w:p>
        </w:tc>
        <w:tc>
          <w:tcPr>
            <w:tcW w:w="152" w:type="pct"/>
            <w:tcBorders>
              <w:top w:val="nil"/>
              <w:left w:val="nil"/>
              <w:bottom w:val="nil"/>
              <w:right w:val="nil"/>
              <w:tl2br w:val="nil"/>
              <w:tr2bl w:val="nil"/>
            </w:tcBorders>
            <w:shd w:val="solid" w:color="FFFFFF" w:fill="FFFFFF"/>
            <w:noWrap/>
            <w:vAlign w:val="bottom"/>
          </w:tcPr>
          <w:p w14:paraId="5FDB5829"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single" w:sz="4" w:space="0" w:color="000000"/>
              <w:right w:val="nil"/>
              <w:tl2br w:val="nil"/>
              <w:tr2bl w:val="nil"/>
            </w:tcBorders>
            <w:shd w:val="solid" w:color="FFFFFF" w:fill="FFFFFF"/>
            <w:noWrap/>
            <w:vAlign w:val="bottom"/>
          </w:tcPr>
          <w:p w14:paraId="7CD216B9"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799" w:type="pct"/>
            <w:tcBorders>
              <w:top w:val="nil"/>
              <w:left w:val="nil"/>
              <w:bottom w:val="single" w:sz="4" w:space="0" w:color="000000"/>
              <w:right w:val="nil"/>
              <w:tl2br w:val="nil"/>
              <w:tr2bl w:val="nil"/>
            </w:tcBorders>
            <w:shd w:val="solid" w:color="FFFFFF" w:fill="FFFFFF"/>
            <w:noWrap/>
            <w:vAlign w:val="bottom"/>
          </w:tcPr>
          <w:p w14:paraId="22BEC4C0"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65,331,370</w:t>
            </w:r>
          </w:p>
        </w:tc>
        <w:tc>
          <w:tcPr>
            <w:tcW w:w="152" w:type="pct"/>
            <w:tcBorders>
              <w:top w:val="nil"/>
              <w:left w:val="nil"/>
              <w:bottom w:val="nil"/>
              <w:right w:val="nil"/>
              <w:tl2br w:val="nil"/>
              <w:tr2bl w:val="nil"/>
            </w:tcBorders>
            <w:shd w:val="solid" w:color="FFFFFF" w:fill="FFFFFF"/>
            <w:noWrap/>
            <w:vAlign w:val="bottom"/>
          </w:tcPr>
          <w:p w14:paraId="0B8EB1E0"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single" w:sz="4" w:space="0" w:color="000000"/>
              <w:right w:val="nil"/>
              <w:tl2br w:val="nil"/>
              <w:tr2bl w:val="nil"/>
            </w:tcBorders>
            <w:shd w:val="solid" w:color="FFFFFF" w:fill="FFFFFF"/>
            <w:noWrap/>
            <w:vAlign w:val="bottom"/>
          </w:tcPr>
          <w:p w14:paraId="7C4A93B8"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799" w:type="pct"/>
            <w:tcBorders>
              <w:top w:val="nil"/>
              <w:left w:val="nil"/>
              <w:bottom w:val="single" w:sz="4" w:space="0" w:color="000000"/>
              <w:right w:val="nil"/>
              <w:tl2br w:val="nil"/>
              <w:tr2bl w:val="nil"/>
            </w:tcBorders>
            <w:shd w:val="solid" w:color="FFFFFF" w:fill="FFFFFF"/>
            <w:noWrap/>
            <w:vAlign w:val="bottom"/>
          </w:tcPr>
          <w:p w14:paraId="541206A2"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65,940,004</w:t>
            </w:r>
          </w:p>
        </w:tc>
      </w:tr>
      <w:tr w:rsidR="006E442A" w14:paraId="58088D0F" w14:textId="77777777" w:rsidTr="006E442A">
        <w:tc>
          <w:tcPr>
            <w:tcW w:w="2902" w:type="pct"/>
            <w:tcBorders>
              <w:top w:val="nil"/>
              <w:left w:val="nil"/>
              <w:bottom w:val="nil"/>
              <w:right w:val="nil"/>
              <w:tl2br w:val="nil"/>
              <w:tr2bl w:val="nil"/>
            </w:tcBorders>
            <w:shd w:val="solid" w:color="FFFFFF" w:fill="FFFFFF"/>
            <w:vAlign w:val="bottom"/>
          </w:tcPr>
          <w:p w14:paraId="46B919CC"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Adjustments:</w:t>
            </w:r>
          </w:p>
        </w:tc>
        <w:tc>
          <w:tcPr>
            <w:tcW w:w="152" w:type="pct"/>
            <w:tcBorders>
              <w:top w:val="nil"/>
              <w:left w:val="nil"/>
              <w:bottom w:val="nil"/>
              <w:right w:val="nil"/>
              <w:tl2br w:val="nil"/>
              <w:tr2bl w:val="nil"/>
            </w:tcBorders>
            <w:shd w:val="solid" w:color="FFFFFF" w:fill="FFFFFF"/>
            <w:noWrap/>
            <w:vAlign w:val="bottom"/>
          </w:tcPr>
          <w:p w14:paraId="461F89CA"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nil"/>
              <w:right w:val="nil"/>
              <w:tl2br w:val="nil"/>
              <w:tr2bl w:val="nil"/>
            </w:tcBorders>
            <w:shd w:val="solid" w:color="FFFFFF" w:fill="FFFFFF"/>
            <w:noWrap/>
            <w:vAlign w:val="bottom"/>
          </w:tcPr>
          <w:p w14:paraId="42F5ECB0" w14:textId="77777777" w:rsidR="006E442A" w:rsidRDefault="006E442A" w:rsidP="006E442A">
            <w:pPr>
              <w:spacing w:after="1"/>
              <w:rPr>
                <w:rFonts w:ascii="Calibri" w:eastAsia="Calibri" w:hAnsi="Calibri" w:cs="Calibri"/>
                <w:color w:val="000000"/>
                <w:sz w:val="20"/>
              </w:rPr>
            </w:pPr>
          </w:p>
        </w:tc>
        <w:tc>
          <w:tcPr>
            <w:tcW w:w="799" w:type="pct"/>
            <w:tcBorders>
              <w:top w:val="nil"/>
              <w:left w:val="nil"/>
              <w:bottom w:val="nil"/>
              <w:right w:val="nil"/>
              <w:tl2br w:val="nil"/>
              <w:tr2bl w:val="nil"/>
            </w:tcBorders>
            <w:shd w:val="solid" w:color="FFFFFF" w:fill="FFFFFF"/>
            <w:noWrap/>
            <w:vAlign w:val="bottom"/>
          </w:tcPr>
          <w:p w14:paraId="6F8601C3" w14:textId="77777777" w:rsidR="006E442A" w:rsidRDefault="006E442A" w:rsidP="006E442A">
            <w:pPr>
              <w:spacing w:after="1"/>
              <w:jc w:val="right"/>
              <w:rPr>
                <w:rFonts w:ascii="Calibri" w:eastAsia="Calibri" w:hAnsi="Calibri" w:cs="Calibri"/>
                <w:color w:val="000000"/>
                <w:sz w:val="20"/>
              </w:rPr>
            </w:pPr>
          </w:p>
        </w:tc>
        <w:tc>
          <w:tcPr>
            <w:tcW w:w="152" w:type="pct"/>
            <w:tcBorders>
              <w:top w:val="nil"/>
              <w:left w:val="nil"/>
              <w:bottom w:val="nil"/>
              <w:right w:val="nil"/>
              <w:tl2br w:val="nil"/>
              <w:tr2bl w:val="nil"/>
            </w:tcBorders>
            <w:shd w:val="solid" w:color="FFFFFF" w:fill="FFFFFF"/>
            <w:noWrap/>
            <w:vAlign w:val="bottom"/>
          </w:tcPr>
          <w:p w14:paraId="02FE9047"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nil"/>
              <w:right w:val="nil"/>
              <w:tl2br w:val="nil"/>
              <w:tr2bl w:val="nil"/>
            </w:tcBorders>
            <w:shd w:val="solid" w:color="FFFFFF" w:fill="FFFFFF"/>
            <w:noWrap/>
            <w:vAlign w:val="bottom"/>
          </w:tcPr>
          <w:p w14:paraId="7AF19FC6" w14:textId="77777777" w:rsidR="006E442A" w:rsidRDefault="006E442A" w:rsidP="006E442A">
            <w:pPr>
              <w:spacing w:after="1"/>
              <w:rPr>
                <w:rFonts w:ascii="Calibri" w:eastAsia="Calibri" w:hAnsi="Calibri" w:cs="Calibri"/>
                <w:color w:val="000000"/>
                <w:sz w:val="20"/>
              </w:rPr>
            </w:pPr>
          </w:p>
        </w:tc>
        <w:tc>
          <w:tcPr>
            <w:tcW w:w="799" w:type="pct"/>
            <w:tcBorders>
              <w:top w:val="nil"/>
              <w:left w:val="nil"/>
              <w:bottom w:val="nil"/>
              <w:right w:val="nil"/>
              <w:tl2br w:val="nil"/>
              <w:tr2bl w:val="nil"/>
            </w:tcBorders>
            <w:shd w:val="solid" w:color="FFFFFF" w:fill="FFFFFF"/>
            <w:noWrap/>
            <w:vAlign w:val="bottom"/>
          </w:tcPr>
          <w:p w14:paraId="228B60AD" w14:textId="77777777" w:rsidR="006E442A" w:rsidRDefault="006E442A" w:rsidP="006E442A">
            <w:pPr>
              <w:spacing w:after="1"/>
              <w:jc w:val="right"/>
              <w:rPr>
                <w:rFonts w:ascii="Calibri" w:eastAsia="Calibri" w:hAnsi="Calibri" w:cs="Calibri"/>
                <w:color w:val="000000"/>
                <w:sz w:val="20"/>
              </w:rPr>
            </w:pPr>
          </w:p>
        </w:tc>
      </w:tr>
      <w:tr w:rsidR="006E442A" w14:paraId="4F37FA20" w14:textId="77777777" w:rsidTr="006E442A">
        <w:tc>
          <w:tcPr>
            <w:tcW w:w="2902" w:type="pct"/>
            <w:tcBorders>
              <w:top w:val="nil"/>
              <w:left w:val="nil"/>
              <w:bottom w:val="nil"/>
              <w:right w:val="nil"/>
              <w:tl2br w:val="nil"/>
              <w:tr2bl w:val="nil"/>
            </w:tcBorders>
            <w:shd w:val="solid" w:color="FFFFFF" w:fill="FFFFFF"/>
            <w:vAlign w:val="bottom"/>
          </w:tcPr>
          <w:p w14:paraId="5B186BD6" w14:textId="77777777" w:rsidR="006E442A" w:rsidRDefault="006E442A" w:rsidP="006E442A">
            <w:pPr>
              <w:spacing w:after="1"/>
              <w:ind w:left="120"/>
              <w:rPr>
                <w:rFonts w:ascii="Calibri" w:eastAsia="Calibri" w:hAnsi="Calibri" w:cs="Calibri"/>
                <w:color w:val="000000"/>
                <w:sz w:val="20"/>
              </w:rPr>
            </w:pPr>
            <w:r>
              <w:rPr>
                <w:rFonts w:ascii="Calibri" w:eastAsia="Calibri" w:hAnsi="Calibri" w:cs="Calibri"/>
                <w:color w:val="000000"/>
                <w:sz w:val="20"/>
              </w:rPr>
              <w:t>Weighted average incremental shares of</w:t>
            </w:r>
          </w:p>
        </w:tc>
        <w:tc>
          <w:tcPr>
            <w:tcW w:w="152" w:type="pct"/>
            <w:tcBorders>
              <w:top w:val="nil"/>
              <w:left w:val="nil"/>
              <w:bottom w:val="nil"/>
              <w:right w:val="nil"/>
              <w:tl2br w:val="nil"/>
              <w:tr2bl w:val="nil"/>
            </w:tcBorders>
            <w:shd w:val="solid" w:color="FFFFFF" w:fill="FFFFFF"/>
            <w:noWrap/>
            <w:vAlign w:val="bottom"/>
          </w:tcPr>
          <w:p w14:paraId="52EDE674"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nil"/>
              <w:right w:val="nil"/>
              <w:tl2br w:val="nil"/>
              <w:tr2bl w:val="nil"/>
            </w:tcBorders>
            <w:shd w:val="solid" w:color="FFFFFF" w:fill="FFFFFF"/>
            <w:noWrap/>
            <w:vAlign w:val="bottom"/>
          </w:tcPr>
          <w:p w14:paraId="0BAED7B2" w14:textId="77777777" w:rsidR="006E442A" w:rsidRDefault="006E442A" w:rsidP="006E442A">
            <w:pPr>
              <w:spacing w:after="1"/>
              <w:rPr>
                <w:rFonts w:ascii="Calibri" w:eastAsia="Calibri" w:hAnsi="Calibri" w:cs="Calibri"/>
                <w:color w:val="000000"/>
                <w:sz w:val="20"/>
              </w:rPr>
            </w:pPr>
          </w:p>
        </w:tc>
        <w:tc>
          <w:tcPr>
            <w:tcW w:w="799" w:type="pct"/>
            <w:tcBorders>
              <w:top w:val="nil"/>
              <w:left w:val="nil"/>
              <w:bottom w:val="nil"/>
              <w:right w:val="nil"/>
              <w:tl2br w:val="nil"/>
              <w:tr2bl w:val="nil"/>
            </w:tcBorders>
            <w:shd w:val="solid" w:color="FFFFFF" w:fill="FFFFFF"/>
            <w:noWrap/>
            <w:vAlign w:val="bottom"/>
          </w:tcPr>
          <w:p w14:paraId="4D957C30" w14:textId="77777777" w:rsidR="006E442A" w:rsidRDefault="006E442A" w:rsidP="006E442A">
            <w:pPr>
              <w:spacing w:after="1"/>
              <w:jc w:val="right"/>
              <w:rPr>
                <w:rFonts w:ascii="Calibri" w:eastAsia="Calibri" w:hAnsi="Calibri" w:cs="Calibri"/>
                <w:color w:val="000000"/>
                <w:sz w:val="20"/>
              </w:rPr>
            </w:pPr>
          </w:p>
        </w:tc>
        <w:tc>
          <w:tcPr>
            <w:tcW w:w="152" w:type="pct"/>
            <w:tcBorders>
              <w:top w:val="nil"/>
              <w:left w:val="nil"/>
              <w:bottom w:val="nil"/>
              <w:right w:val="nil"/>
              <w:tl2br w:val="nil"/>
              <w:tr2bl w:val="nil"/>
            </w:tcBorders>
            <w:shd w:val="solid" w:color="FFFFFF" w:fill="FFFFFF"/>
            <w:noWrap/>
            <w:vAlign w:val="bottom"/>
          </w:tcPr>
          <w:p w14:paraId="7ACA23F0"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nil"/>
              <w:right w:val="nil"/>
              <w:tl2br w:val="nil"/>
              <w:tr2bl w:val="nil"/>
            </w:tcBorders>
            <w:shd w:val="solid" w:color="FFFFFF" w:fill="FFFFFF"/>
            <w:noWrap/>
            <w:vAlign w:val="bottom"/>
          </w:tcPr>
          <w:p w14:paraId="37D19A9C" w14:textId="77777777" w:rsidR="006E442A" w:rsidRDefault="006E442A" w:rsidP="006E442A">
            <w:pPr>
              <w:spacing w:after="1"/>
              <w:rPr>
                <w:rFonts w:ascii="Calibri" w:eastAsia="Calibri" w:hAnsi="Calibri" w:cs="Calibri"/>
                <w:color w:val="000000"/>
                <w:sz w:val="20"/>
              </w:rPr>
            </w:pPr>
          </w:p>
        </w:tc>
        <w:tc>
          <w:tcPr>
            <w:tcW w:w="799" w:type="pct"/>
            <w:tcBorders>
              <w:top w:val="nil"/>
              <w:left w:val="nil"/>
              <w:bottom w:val="nil"/>
              <w:right w:val="nil"/>
              <w:tl2br w:val="nil"/>
              <w:tr2bl w:val="nil"/>
            </w:tcBorders>
            <w:shd w:val="solid" w:color="FFFFFF" w:fill="FFFFFF"/>
            <w:noWrap/>
            <w:vAlign w:val="bottom"/>
          </w:tcPr>
          <w:p w14:paraId="7F252637" w14:textId="77777777" w:rsidR="006E442A" w:rsidRDefault="006E442A" w:rsidP="006E442A">
            <w:pPr>
              <w:spacing w:after="1"/>
              <w:jc w:val="right"/>
              <w:rPr>
                <w:rFonts w:ascii="Calibri" w:eastAsia="Calibri" w:hAnsi="Calibri" w:cs="Calibri"/>
                <w:color w:val="000000"/>
                <w:sz w:val="20"/>
              </w:rPr>
            </w:pPr>
          </w:p>
        </w:tc>
      </w:tr>
      <w:tr w:rsidR="006E442A" w14:paraId="1E99DA5F" w14:textId="77777777" w:rsidTr="006E442A">
        <w:tc>
          <w:tcPr>
            <w:tcW w:w="2902" w:type="pct"/>
            <w:tcBorders>
              <w:top w:val="nil"/>
              <w:left w:val="nil"/>
              <w:bottom w:val="nil"/>
              <w:right w:val="nil"/>
              <w:tl2br w:val="nil"/>
              <w:tr2bl w:val="nil"/>
            </w:tcBorders>
            <w:shd w:val="solid" w:color="FFFFFF" w:fill="FFFFFF"/>
            <w:vAlign w:val="bottom"/>
          </w:tcPr>
          <w:p w14:paraId="31837811" w14:textId="77777777" w:rsidR="006E442A" w:rsidRDefault="006E442A" w:rsidP="006E442A">
            <w:pPr>
              <w:spacing w:after="1"/>
              <w:ind w:left="240"/>
              <w:rPr>
                <w:rFonts w:ascii="Calibri" w:eastAsia="Calibri" w:hAnsi="Calibri" w:cs="Calibri"/>
                <w:color w:val="000000"/>
                <w:sz w:val="20"/>
              </w:rPr>
            </w:pPr>
            <w:r>
              <w:rPr>
                <w:rFonts w:ascii="Calibri" w:eastAsia="Calibri" w:hAnsi="Calibri" w:cs="Calibri"/>
                <w:color w:val="000000"/>
                <w:sz w:val="20"/>
              </w:rPr>
              <w:t>Class A common stock related to stock</w:t>
            </w:r>
          </w:p>
        </w:tc>
        <w:tc>
          <w:tcPr>
            <w:tcW w:w="152" w:type="pct"/>
            <w:tcBorders>
              <w:top w:val="nil"/>
              <w:left w:val="nil"/>
              <w:bottom w:val="nil"/>
              <w:right w:val="nil"/>
              <w:tl2br w:val="nil"/>
              <w:tr2bl w:val="nil"/>
            </w:tcBorders>
            <w:shd w:val="solid" w:color="FFFFFF" w:fill="FFFFFF"/>
            <w:noWrap/>
            <w:vAlign w:val="bottom"/>
          </w:tcPr>
          <w:p w14:paraId="1BA1E0DF"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nil"/>
              <w:right w:val="nil"/>
              <w:tl2br w:val="nil"/>
              <w:tr2bl w:val="nil"/>
            </w:tcBorders>
            <w:shd w:val="solid" w:color="FFFFFF" w:fill="FFFFFF"/>
            <w:noWrap/>
            <w:vAlign w:val="bottom"/>
          </w:tcPr>
          <w:p w14:paraId="2C3C836F" w14:textId="77777777" w:rsidR="006E442A" w:rsidRDefault="006E442A" w:rsidP="006E442A">
            <w:pPr>
              <w:spacing w:after="1"/>
              <w:rPr>
                <w:rFonts w:ascii="Calibri" w:eastAsia="Calibri" w:hAnsi="Calibri" w:cs="Calibri"/>
                <w:color w:val="000000"/>
                <w:sz w:val="20"/>
              </w:rPr>
            </w:pPr>
          </w:p>
        </w:tc>
        <w:tc>
          <w:tcPr>
            <w:tcW w:w="799" w:type="pct"/>
            <w:tcBorders>
              <w:top w:val="nil"/>
              <w:left w:val="nil"/>
              <w:bottom w:val="nil"/>
              <w:right w:val="nil"/>
              <w:tl2br w:val="nil"/>
              <w:tr2bl w:val="nil"/>
            </w:tcBorders>
            <w:shd w:val="solid" w:color="FFFFFF" w:fill="FFFFFF"/>
            <w:noWrap/>
            <w:vAlign w:val="bottom"/>
          </w:tcPr>
          <w:p w14:paraId="288B0A8C" w14:textId="77777777" w:rsidR="006E442A" w:rsidRDefault="006E442A" w:rsidP="006E442A">
            <w:pPr>
              <w:spacing w:after="1"/>
              <w:jc w:val="right"/>
              <w:rPr>
                <w:rFonts w:ascii="Calibri" w:eastAsia="Calibri" w:hAnsi="Calibri" w:cs="Calibri"/>
                <w:color w:val="000000"/>
                <w:sz w:val="20"/>
              </w:rPr>
            </w:pPr>
          </w:p>
        </w:tc>
        <w:tc>
          <w:tcPr>
            <w:tcW w:w="152" w:type="pct"/>
            <w:tcBorders>
              <w:top w:val="nil"/>
              <w:left w:val="nil"/>
              <w:bottom w:val="nil"/>
              <w:right w:val="nil"/>
              <w:tl2br w:val="nil"/>
              <w:tr2bl w:val="nil"/>
            </w:tcBorders>
            <w:shd w:val="solid" w:color="FFFFFF" w:fill="FFFFFF"/>
            <w:noWrap/>
            <w:vAlign w:val="bottom"/>
          </w:tcPr>
          <w:p w14:paraId="792072CD"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nil"/>
              <w:right w:val="nil"/>
              <w:tl2br w:val="nil"/>
              <w:tr2bl w:val="nil"/>
            </w:tcBorders>
            <w:shd w:val="solid" w:color="FFFFFF" w:fill="FFFFFF"/>
            <w:noWrap/>
            <w:vAlign w:val="bottom"/>
          </w:tcPr>
          <w:p w14:paraId="6CE1096C" w14:textId="77777777" w:rsidR="006E442A" w:rsidRDefault="006E442A" w:rsidP="006E442A">
            <w:pPr>
              <w:spacing w:after="1"/>
              <w:rPr>
                <w:rFonts w:ascii="Calibri" w:eastAsia="Calibri" w:hAnsi="Calibri" w:cs="Calibri"/>
                <w:color w:val="000000"/>
                <w:sz w:val="20"/>
              </w:rPr>
            </w:pPr>
          </w:p>
        </w:tc>
        <w:tc>
          <w:tcPr>
            <w:tcW w:w="799" w:type="pct"/>
            <w:tcBorders>
              <w:top w:val="nil"/>
              <w:left w:val="nil"/>
              <w:bottom w:val="nil"/>
              <w:right w:val="nil"/>
              <w:tl2br w:val="nil"/>
              <w:tr2bl w:val="nil"/>
            </w:tcBorders>
            <w:shd w:val="solid" w:color="FFFFFF" w:fill="FFFFFF"/>
            <w:noWrap/>
            <w:vAlign w:val="bottom"/>
          </w:tcPr>
          <w:p w14:paraId="10336441" w14:textId="77777777" w:rsidR="006E442A" w:rsidRDefault="006E442A" w:rsidP="006E442A">
            <w:pPr>
              <w:spacing w:after="1"/>
              <w:jc w:val="right"/>
              <w:rPr>
                <w:rFonts w:ascii="Calibri" w:eastAsia="Calibri" w:hAnsi="Calibri" w:cs="Calibri"/>
                <w:color w:val="000000"/>
                <w:sz w:val="20"/>
              </w:rPr>
            </w:pPr>
          </w:p>
        </w:tc>
      </w:tr>
      <w:tr w:rsidR="006E442A" w14:paraId="40190E79" w14:textId="77777777" w:rsidTr="006E442A">
        <w:tc>
          <w:tcPr>
            <w:tcW w:w="2902" w:type="pct"/>
            <w:tcBorders>
              <w:top w:val="nil"/>
              <w:left w:val="nil"/>
              <w:bottom w:val="nil"/>
              <w:right w:val="nil"/>
              <w:tl2br w:val="nil"/>
              <w:tr2bl w:val="nil"/>
            </w:tcBorders>
            <w:shd w:val="solid" w:color="FFFFFF" w:fill="FFFFFF"/>
            <w:vAlign w:val="bottom"/>
          </w:tcPr>
          <w:p w14:paraId="0F5B304D" w14:textId="77777777" w:rsidR="006E442A" w:rsidRDefault="006E442A" w:rsidP="006E442A">
            <w:pPr>
              <w:spacing w:after="1"/>
              <w:ind w:left="240"/>
              <w:rPr>
                <w:rFonts w:ascii="Calibri" w:eastAsia="Calibri" w:hAnsi="Calibri" w:cs="Calibri"/>
                <w:color w:val="000000"/>
                <w:sz w:val="20"/>
              </w:rPr>
            </w:pPr>
            <w:r>
              <w:rPr>
                <w:rFonts w:ascii="Calibri" w:eastAsia="Calibri" w:hAnsi="Calibri" w:cs="Calibri"/>
                <w:color w:val="000000"/>
                <w:sz w:val="20"/>
              </w:rPr>
              <w:t>options and restricted stock units (5)</w:t>
            </w:r>
          </w:p>
        </w:tc>
        <w:tc>
          <w:tcPr>
            <w:tcW w:w="152" w:type="pct"/>
            <w:tcBorders>
              <w:top w:val="nil"/>
              <w:left w:val="nil"/>
              <w:bottom w:val="nil"/>
              <w:right w:val="nil"/>
              <w:tl2br w:val="nil"/>
              <w:tr2bl w:val="nil"/>
            </w:tcBorders>
            <w:shd w:val="solid" w:color="FFFFFF" w:fill="FFFFFF"/>
            <w:noWrap/>
            <w:vAlign w:val="bottom"/>
          </w:tcPr>
          <w:p w14:paraId="3858BFE2"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nil"/>
              <w:right w:val="nil"/>
              <w:tl2br w:val="nil"/>
              <w:tr2bl w:val="nil"/>
            </w:tcBorders>
            <w:shd w:val="solid" w:color="FFFFFF" w:fill="FFFFFF"/>
            <w:noWrap/>
            <w:vAlign w:val="bottom"/>
          </w:tcPr>
          <w:p w14:paraId="3FC606A3"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799" w:type="pct"/>
            <w:tcBorders>
              <w:top w:val="nil"/>
              <w:left w:val="nil"/>
              <w:bottom w:val="nil"/>
              <w:right w:val="nil"/>
              <w:tl2br w:val="nil"/>
              <w:tr2bl w:val="nil"/>
            </w:tcBorders>
            <w:shd w:val="solid" w:color="FFFFFF" w:fill="FFFFFF"/>
            <w:noWrap/>
            <w:vAlign w:val="bottom"/>
          </w:tcPr>
          <w:p w14:paraId="2AF96446"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436,093</w:t>
            </w:r>
          </w:p>
        </w:tc>
        <w:tc>
          <w:tcPr>
            <w:tcW w:w="152" w:type="pct"/>
            <w:tcBorders>
              <w:top w:val="nil"/>
              <w:left w:val="nil"/>
              <w:bottom w:val="nil"/>
              <w:right w:val="nil"/>
              <w:tl2br w:val="nil"/>
              <w:tr2bl w:val="nil"/>
            </w:tcBorders>
            <w:shd w:val="solid" w:color="FFFFFF" w:fill="FFFFFF"/>
            <w:noWrap/>
            <w:vAlign w:val="bottom"/>
          </w:tcPr>
          <w:p w14:paraId="3C8888BA"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nil"/>
              <w:right w:val="nil"/>
              <w:tl2br w:val="nil"/>
              <w:tr2bl w:val="nil"/>
            </w:tcBorders>
            <w:shd w:val="solid" w:color="FFFFFF" w:fill="FFFFFF"/>
            <w:noWrap/>
            <w:vAlign w:val="bottom"/>
          </w:tcPr>
          <w:p w14:paraId="5CF2235B"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799" w:type="pct"/>
            <w:tcBorders>
              <w:top w:val="nil"/>
              <w:left w:val="nil"/>
              <w:bottom w:val="nil"/>
              <w:right w:val="nil"/>
              <w:tl2br w:val="nil"/>
              <w:tr2bl w:val="nil"/>
            </w:tcBorders>
            <w:shd w:val="solid" w:color="FFFFFF" w:fill="FFFFFF"/>
            <w:noWrap/>
            <w:vAlign w:val="bottom"/>
          </w:tcPr>
          <w:p w14:paraId="50434774"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443,542</w:t>
            </w:r>
          </w:p>
        </w:tc>
      </w:tr>
      <w:tr w:rsidR="006E442A" w14:paraId="38F77C90" w14:textId="77777777" w:rsidTr="006E442A">
        <w:tc>
          <w:tcPr>
            <w:tcW w:w="2902" w:type="pct"/>
            <w:tcBorders>
              <w:top w:val="nil"/>
              <w:left w:val="nil"/>
              <w:bottom w:val="nil"/>
              <w:right w:val="nil"/>
              <w:tl2br w:val="nil"/>
              <w:tr2bl w:val="nil"/>
            </w:tcBorders>
            <w:shd w:val="solid" w:color="FFFFFF" w:fill="FFFFFF"/>
            <w:vAlign w:val="bottom"/>
          </w:tcPr>
          <w:p w14:paraId="1C4D0FED" w14:textId="77777777" w:rsidR="006E442A" w:rsidRDefault="006E442A" w:rsidP="006E442A">
            <w:pPr>
              <w:spacing w:after="1"/>
              <w:ind w:left="120"/>
              <w:rPr>
                <w:rFonts w:ascii="Calibri" w:eastAsia="Calibri" w:hAnsi="Calibri" w:cs="Calibri"/>
                <w:color w:val="000000"/>
                <w:sz w:val="20"/>
              </w:rPr>
            </w:pPr>
            <w:r>
              <w:rPr>
                <w:rFonts w:ascii="Calibri" w:eastAsia="Calibri" w:hAnsi="Calibri" w:cs="Calibri"/>
                <w:color w:val="000000"/>
                <w:sz w:val="20"/>
              </w:rPr>
              <w:t>Weighted average Focus LLC common units</w:t>
            </w:r>
          </w:p>
        </w:tc>
        <w:tc>
          <w:tcPr>
            <w:tcW w:w="152" w:type="pct"/>
            <w:tcBorders>
              <w:top w:val="nil"/>
              <w:left w:val="nil"/>
              <w:bottom w:val="nil"/>
              <w:right w:val="nil"/>
              <w:tl2br w:val="nil"/>
              <w:tr2bl w:val="nil"/>
            </w:tcBorders>
            <w:shd w:val="solid" w:color="FFFFFF" w:fill="FFFFFF"/>
            <w:noWrap/>
            <w:vAlign w:val="bottom"/>
          </w:tcPr>
          <w:p w14:paraId="5368B403"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nil"/>
              <w:right w:val="nil"/>
              <w:tl2br w:val="nil"/>
              <w:tr2bl w:val="nil"/>
            </w:tcBorders>
            <w:shd w:val="solid" w:color="FFFFFF" w:fill="FFFFFF"/>
            <w:noWrap/>
            <w:vAlign w:val="bottom"/>
          </w:tcPr>
          <w:p w14:paraId="72CECAC7" w14:textId="77777777" w:rsidR="006E442A" w:rsidRDefault="006E442A" w:rsidP="006E442A">
            <w:pPr>
              <w:spacing w:after="1"/>
              <w:rPr>
                <w:rFonts w:ascii="Calibri" w:eastAsia="Calibri" w:hAnsi="Calibri" w:cs="Calibri"/>
                <w:color w:val="000000"/>
                <w:sz w:val="20"/>
              </w:rPr>
            </w:pPr>
          </w:p>
        </w:tc>
        <w:tc>
          <w:tcPr>
            <w:tcW w:w="799" w:type="pct"/>
            <w:tcBorders>
              <w:top w:val="nil"/>
              <w:left w:val="nil"/>
              <w:bottom w:val="nil"/>
              <w:right w:val="nil"/>
              <w:tl2br w:val="nil"/>
              <w:tr2bl w:val="nil"/>
            </w:tcBorders>
            <w:shd w:val="solid" w:color="FFFFFF" w:fill="FFFFFF"/>
            <w:noWrap/>
            <w:vAlign w:val="bottom"/>
          </w:tcPr>
          <w:p w14:paraId="02461F85" w14:textId="77777777" w:rsidR="006E442A" w:rsidRDefault="006E442A" w:rsidP="006E442A">
            <w:pPr>
              <w:spacing w:after="1"/>
              <w:jc w:val="right"/>
              <w:rPr>
                <w:rFonts w:ascii="Calibri" w:eastAsia="Calibri" w:hAnsi="Calibri" w:cs="Calibri"/>
                <w:color w:val="000000"/>
                <w:sz w:val="20"/>
              </w:rPr>
            </w:pPr>
          </w:p>
        </w:tc>
        <w:tc>
          <w:tcPr>
            <w:tcW w:w="152" w:type="pct"/>
            <w:tcBorders>
              <w:top w:val="nil"/>
              <w:left w:val="nil"/>
              <w:bottom w:val="nil"/>
              <w:right w:val="nil"/>
              <w:tl2br w:val="nil"/>
              <w:tr2bl w:val="nil"/>
            </w:tcBorders>
            <w:shd w:val="solid" w:color="FFFFFF" w:fill="FFFFFF"/>
            <w:noWrap/>
            <w:vAlign w:val="bottom"/>
          </w:tcPr>
          <w:p w14:paraId="5733E218"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nil"/>
              <w:right w:val="nil"/>
              <w:tl2br w:val="nil"/>
              <w:tr2bl w:val="nil"/>
            </w:tcBorders>
            <w:shd w:val="solid" w:color="FFFFFF" w:fill="FFFFFF"/>
            <w:noWrap/>
            <w:vAlign w:val="bottom"/>
          </w:tcPr>
          <w:p w14:paraId="7C759613" w14:textId="77777777" w:rsidR="006E442A" w:rsidRDefault="006E442A" w:rsidP="006E442A">
            <w:pPr>
              <w:spacing w:after="1"/>
              <w:rPr>
                <w:rFonts w:ascii="Calibri" w:eastAsia="Calibri" w:hAnsi="Calibri" w:cs="Calibri"/>
                <w:color w:val="000000"/>
                <w:sz w:val="20"/>
              </w:rPr>
            </w:pPr>
          </w:p>
        </w:tc>
        <w:tc>
          <w:tcPr>
            <w:tcW w:w="799" w:type="pct"/>
            <w:tcBorders>
              <w:top w:val="nil"/>
              <w:left w:val="nil"/>
              <w:bottom w:val="nil"/>
              <w:right w:val="nil"/>
              <w:tl2br w:val="nil"/>
              <w:tr2bl w:val="nil"/>
            </w:tcBorders>
            <w:shd w:val="solid" w:color="FFFFFF" w:fill="FFFFFF"/>
            <w:noWrap/>
            <w:vAlign w:val="bottom"/>
          </w:tcPr>
          <w:p w14:paraId="460B4233" w14:textId="77777777" w:rsidR="006E442A" w:rsidRDefault="006E442A" w:rsidP="006E442A">
            <w:pPr>
              <w:spacing w:after="1"/>
              <w:jc w:val="right"/>
              <w:rPr>
                <w:rFonts w:ascii="Calibri" w:eastAsia="Calibri" w:hAnsi="Calibri" w:cs="Calibri"/>
                <w:color w:val="000000"/>
                <w:sz w:val="20"/>
              </w:rPr>
            </w:pPr>
          </w:p>
        </w:tc>
      </w:tr>
      <w:tr w:rsidR="006E442A" w14:paraId="1E3D0C39" w14:textId="77777777" w:rsidTr="006E442A">
        <w:tc>
          <w:tcPr>
            <w:tcW w:w="2902" w:type="pct"/>
            <w:tcBorders>
              <w:top w:val="nil"/>
              <w:left w:val="nil"/>
              <w:bottom w:val="nil"/>
              <w:right w:val="nil"/>
              <w:tl2br w:val="nil"/>
              <w:tr2bl w:val="nil"/>
            </w:tcBorders>
            <w:shd w:val="solid" w:color="FFFFFF" w:fill="FFFFFF"/>
            <w:vAlign w:val="bottom"/>
          </w:tcPr>
          <w:p w14:paraId="09727895" w14:textId="77777777" w:rsidR="006E442A" w:rsidRDefault="006E442A" w:rsidP="006E442A">
            <w:pPr>
              <w:spacing w:after="1"/>
              <w:ind w:left="240"/>
              <w:rPr>
                <w:rFonts w:ascii="Calibri" w:eastAsia="Calibri" w:hAnsi="Calibri" w:cs="Calibri"/>
                <w:color w:val="000000"/>
                <w:sz w:val="20"/>
              </w:rPr>
            </w:pPr>
            <w:r>
              <w:rPr>
                <w:rFonts w:ascii="Calibri" w:eastAsia="Calibri" w:hAnsi="Calibri" w:cs="Calibri"/>
                <w:color w:val="000000"/>
                <w:sz w:val="20"/>
              </w:rPr>
              <w:t>outstanding (6)</w:t>
            </w:r>
          </w:p>
        </w:tc>
        <w:tc>
          <w:tcPr>
            <w:tcW w:w="152" w:type="pct"/>
            <w:tcBorders>
              <w:top w:val="nil"/>
              <w:left w:val="nil"/>
              <w:bottom w:val="nil"/>
              <w:right w:val="nil"/>
              <w:tl2br w:val="nil"/>
              <w:tr2bl w:val="nil"/>
            </w:tcBorders>
            <w:shd w:val="solid" w:color="FFFFFF" w:fill="FFFFFF"/>
            <w:noWrap/>
            <w:vAlign w:val="bottom"/>
          </w:tcPr>
          <w:p w14:paraId="07889E8F"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nil"/>
              <w:right w:val="nil"/>
              <w:tl2br w:val="nil"/>
              <w:tr2bl w:val="nil"/>
            </w:tcBorders>
            <w:shd w:val="solid" w:color="FFFFFF" w:fill="FFFFFF"/>
            <w:noWrap/>
            <w:vAlign w:val="bottom"/>
          </w:tcPr>
          <w:p w14:paraId="1F3790CB"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799" w:type="pct"/>
            <w:tcBorders>
              <w:top w:val="nil"/>
              <w:left w:val="nil"/>
              <w:bottom w:val="nil"/>
              <w:right w:val="nil"/>
              <w:tl2br w:val="nil"/>
              <w:tr2bl w:val="nil"/>
            </w:tcBorders>
            <w:shd w:val="solid" w:color="FFFFFF" w:fill="FFFFFF"/>
            <w:noWrap/>
            <w:vAlign w:val="bottom"/>
          </w:tcPr>
          <w:p w14:paraId="31BA821B"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11,621,814</w:t>
            </w:r>
          </w:p>
        </w:tc>
        <w:tc>
          <w:tcPr>
            <w:tcW w:w="152" w:type="pct"/>
            <w:tcBorders>
              <w:top w:val="nil"/>
              <w:left w:val="nil"/>
              <w:bottom w:val="nil"/>
              <w:right w:val="nil"/>
              <w:tl2br w:val="nil"/>
              <w:tr2bl w:val="nil"/>
            </w:tcBorders>
            <w:shd w:val="solid" w:color="FFFFFF" w:fill="FFFFFF"/>
            <w:noWrap/>
            <w:vAlign w:val="bottom"/>
          </w:tcPr>
          <w:p w14:paraId="5B1E0ECA"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nil"/>
              <w:right w:val="nil"/>
              <w:tl2br w:val="nil"/>
              <w:tr2bl w:val="nil"/>
            </w:tcBorders>
            <w:shd w:val="solid" w:color="FFFFFF" w:fill="FFFFFF"/>
            <w:noWrap/>
            <w:vAlign w:val="bottom"/>
          </w:tcPr>
          <w:p w14:paraId="2B2A3214"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799" w:type="pct"/>
            <w:tcBorders>
              <w:top w:val="nil"/>
              <w:left w:val="nil"/>
              <w:bottom w:val="nil"/>
              <w:right w:val="nil"/>
              <w:tl2br w:val="nil"/>
              <w:tr2bl w:val="nil"/>
            </w:tcBorders>
            <w:shd w:val="solid" w:color="FFFFFF" w:fill="FFFFFF"/>
            <w:noWrap/>
            <w:vAlign w:val="bottom"/>
          </w:tcPr>
          <w:p w14:paraId="0CCFE2D0"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12,072,890</w:t>
            </w:r>
          </w:p>
        </w:tc>
      </w:tr>
      <w:tr w:rsidR="006E442A" w14:paraId="0BE39FF6" w14:textId="77777777" w:rsidTr="006E442A">
        <w:tc>
          <w:tcPr>
            <w:tcW w:w="2902" w:type="pct"/>
            <w:tcBorders>
              <w:top w:val="nil"/>
              <w:left w:val="nil"/>
              <w:bottom w:val="nil"/>
              <w:right w:val="nil"/>
              <w:tl2br w:val="nil"/>
              <w:tr2bl w:val="nil"/>
            </w:tcBorders>
            <w:shd w:val="solid" w:color="FFFFFF" w:fill="FFFFFF"/>
            <w:vAlign w:val="bottom"/>
          </w:tcPr>
          <w:p w14:paraId="270AA533" w14:textId="77777777" w:rsidR="006E442A" w:rsidRDefault="006E442A" w:rsidP="006E442A">
            <w:pPr>
              <w:spacing w:after="1"/>
              <w:ind w:left="120"/>
              <w:rPr>
                <w:rFonts w:ascii="Calibri" w:eastAsia="Calibri" w:hAnsi="Calibri" w:cs="Calibri"/>
                <w:color w:val="000000"/>
                <w:sz w:val="20"/>
              </w:rPr>
            </w:pPr>
            <w:r>
              <w:rPr>
                <w:rFonts w:ascii="Calibri" w:eastAsia="Calibri" w:hAnsi="Calibri" w:cs="Calibri"/>
                <w:color w:val="000000"/>
                <w:sz w:val="20"/>
              </w:rPr>
              <w:t>Weighted average Focus LLC restricted</w:t>
            </w:r>
          </w:p>
        </w:tc>
        <w:tc>
          <w:tcPr>
            <w:tcW w:w="152" w:type="pct"/>
            <w:tcBorders>
              <w:top w:val="nil"/>
              <w:left w:val="nil"/>
              <w:bottom w:val="nil"/>
              <w:right w:val="nil"/>
              <w:tl2br w:val="nil"/>
              <w:tr2bl w:val="nil"/>
            </w:tcBorders>
            <w:shd w:val="solid" w:color="FFFFFF" w:fill="FFFFFF"/>
            <w:noWrap/>
            <w:vAlign w:val="bottom"/>
          </w:tcPr>
          <w:p w14:paraId="5E705BBC"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nil"/>
              <w:right w:val="nil"/>
              <w:tl2br w:val="nil"/>
              <w:tr2bl w:val="nil"/>
            </w:tcBorders>
            <w:shd w:val="solid" w:color="FFFFFF" w:fill="FFFFFF"/>
            <w:noWrap/>
            <w:vAlign w:val="bottom"/>
          </w:tcPr>
          <w:p w14:paraId="177C1CB5" w14:textId="77777777" w:rsidR="006E442A" w:rsidRDefault="006E442A" w:rsidP="006E442A">
            <w:pPr>
              <w:spacing w:after="1"/>
              <w:rPr>
                <w:rFonts w:ascii="Calibri" w:eastAsia="Calibri" w:hAnsi="Calibri" w:cs="Calibri"/>
                <w:color w:val="000000"/>
                <w:sz w:val="20"/>
              </w:rPr>
            </w:pPr>
          </w:p>
        </w:tc>
        <w:tc>
          <w:tcPr>
            <w:tcW w:w="799" w:type="pct"/>
            <w:tcBorders>
              <w:top w:val="nil"/>
              <w:left w:val="nil"/>
              <w:bottom w:val="nil"/>
              <w:right w:val="nil"/>
              <w:tl2br w:val="nil"/>
              <w:tr2bl w:val="nil"/>
            </w:tcBorders>
            <w:shd w:val="solid" w:color="FFFFFF" w:fill="FFFFFF"/>
            <w:noWrap/>
            <w:vAlign w:val="bottom"/>
          </w:tcPr>
          <w:p w14:paraId="0F660454" w14:textId="77777777" w:rsidR="006E442A" w:rsidRDefault="006E442A" w:rsidP="006E442A">
            <w:pPr>
              <w:spacing w:after="1"/>
              <w:jc w:val="right"/>
              <w:rPr>
                <w:rFonts w:ascii="Calibri" w:eastAsia="Calibri" w:hAnsi="Calibri" w:cs="Calibri"/>
                <w:color w:val="000000"/>
                <w:sz w:val="20"/>
              </w:rPr>
            </w:pPr>
          </w:p>
        </w:tc>
        <w:tc>
          <w:tcPr>
            <w:tcW w:w="152" w:type="pct"/>
            <w:tcBorders>
              <w:top w:val="nil"/>
              <w:left w:val="nil"/>
              <w:bottom w:val="nil"/>
              <w:right w:val="nil"/>
              <w:tl2br w:val="nil"/>
              <w:tr2bl w:val="nil"/>
            </w:tcBorders>
            <w:shd w:val="solid" w:color="FFFFFF" w:fill="FFFFFF"/>
            <w:noWrap/>
            <w:vAlign w:val="bottom"/>
          </w:tcPr>
          <w:p w14:paraId="57C0C34F"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nil"/>
              <w:right w:val="nil"/>
              <w:tl2br w:val="nil"/>
              <w:tr2bl w:val="nil"/>
            </w:tcBorders>
            <w:shd w:val="solid" w:color="FFFFFF" w:fill="FFFFFF"/>
            <w:noWrap/>
            <w:vAlign w:val="bottom"/>
          </w:tcPr>
          <w:p w14:paraId="1911A1C4" w14:textId="77777777" w:rsidR="006E442A" w:rsidRDefault="006E442A" w:rsidP="006E442A">
            <w:pPr>
              <w:spacing w:after="1"/>
              <w:rPr>
                <w:rFonts w:ascii="Calibri" w:eastAsia="Calibri" w:hAnsi="Calibri" w:cs="Calibri"/>
                <w:color w:val="000000"/>
                <w:sz w:val="20"/>
              </w:rPr>
            </w:pPr>
          </w:p>
        </w:tc>
        <w:tc>
          <w:tcPr>
            <w:tcW w:w="799" w:type="pct"/>
            <w:tcBorders>
              <w:top w:val="nil"/>
              <w:left w:val="nil"/>
              <w:bottom w:val="nil"/>
              <w:right w:val="nil"/>
              <w:tl2br w:val="nil"/>
              <w:tr2bl w:val="nil"/>
            </w:tcBorders>
            <w:shd w:val="solid" w:color="FFFFFF" w:fill="FFFFFF"/>
            <w:noWrap/>
            <w:vAlign w:val="bottom"/>
          </w:tcPr>
          <w:p w14:paraId="54779D8A" w14:textId="77777777" w:rsidR="006E442A" w:rsidRDefault="006E442A" w:rsidP="006E442A">
            <w:pPr>
              <w:spacing w:after="1"/>
              <w:jc w:val="right"/>
              <w:rPr>
                <w:rFonts w:ascii="Calibri" w:eastAsia="Calibri" w:hAnsi="Calibri" w:cs="Calibri"/>
                <w:color w:val="000000"/>
                <w:sz w:val="20"/>
              </w:rPr>
            </w:pPr>
          </w:p>
        </w:tc>
      </w:tr>
      <w:tr w:rsidR="006E442A" w14:paraId="009F9098" w14:textId="77777777" w:rsidTr="006E442A">
        <w:tc>
          <w:tcPr>
            <w:tcW w:w="2902" w:type="pct"/>
            <w:tcBorders>
              <w:top w:val="nil"/>
              <w:left w:val="nil"/>
              <w:bottom w:val="nil"/>
              <w:right w:val="nil"/>
              <w:tl2br w:val="nil"/>
              <w:tr2bl w:val="nil"/>
            </w:tcBorders>
            <w:shd w:val="solid" w:color="FFFFFF" w:fill="FFFFFF"/>
            <w:vAlign w:val="bottom"/>
          </w:tcPr>
          <w:p w14:paraId="367C5844" w14:textId="77777777" w:rsidR="006E442A" w:rsidRDefault="006E442A" w:rsidP="006E442A">
            <w:pPr>
              <w:spacing w:after="1"/>
              <w:ind w:left="240"/>
              <w:rPr>
                <w:rFonts w:ascii="Calibri" w:eastAsia="Calibri" w:hAnsi="Calibri" w:cs="Calibri"/>
                <w:color w:val="000000"/>
                <w:sz w:val="20"/>
              </w:rPr>
            </w:pPr>
            <w:r>
              <w:rPr>
                <w:rFonts w:ascii="Calibri" w:eastAsia="Calibri" w:hAnsi="Calibri" w:cs="Calibri"/>
                <w:color w:val="000000"/>
                <w:sz w:val="20"/>
              </w:rPr>
              <w:t>common units outstanding (7)</w:t>
            </w:r>
          </w:p>
        </w:tc>
        <w:tc>
          <w:tcPr>
            <w:tcW w:w="152" w:type="pct"/>
            <w:tcBorders>
              <w:top w:val="nil"/>
              <w:left w:val="nil"/>
              <w:bottom w:val="nil"/>
              <w:right w:val="nil"/>
              <w:tl2br w:val="nil"/>
              <w:tr2bl w:val="nil"/>
            </w:tcBorders>
            <w:shd w:val="solid" w:color="FFFFFF" w:fill="FFFFFF"/>
            <w:noWrap/>
            <w:vAlign w:val="bottom"/>
          </w:tcPr>
          <w:p w14:paraId="5B52EF82"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nil"/>
              <w:right w:val="nil"/>
              <w:tl2br w:val="nil"/>
              <w:tr2bl w:val="nil"/>
            </w:tcBorders>
            <w:shd w:val="solid" w:color="FFFFFF" w:fill="FFFFFF"/>
            <w:noWrap/>
            <w:vAlign w:val="bottom"/>
          </w:tcPr>
          <w:p w14:paraId="17BB4105" w14:textId="77777777" w:rsidR="006E442A" w:rsidRDefault="006E442A" w:rsidP="006E442A">
            <w:pPr>
              <w:spacing w:after="1"/>
              <w:rPr>
                <w:rFonts w:ascii="Calibri" w:eastAsia="Calibri" w:hAnsi="Calibri" w:cs="Calibri"/>
                <w:color w:val="000000"/>
                <w:sz w:val="20"/>
              </w:rPr>
            </w:pPr>
          </w:p>
        </w:tc>
        <w:tc>
          <w:tcPr>
            <w:tcW w:w="799" w:type="pct"/>
            <w:tcBorders>
              <w:top w:val="nil"/>
              <w:left w:val="nil"/>
              <w:bottom w:val="nil"/>
              <w:right w:val="nil"/>
              <w:tl2br w:val="nil"/>
              <w:tr2bl w:val="nil"/>
            </w:tcBorders>
            <w:shd w:val="solid" w:color="FFFFFF" w:fill="FFFFFF"/>
            <w:noWrap/>
            <w:vAlign w:val="bottom"/>
          </w:tcPr>
          <w:p w14:paraId="05BA1AC9"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193,625</w:t>
            </w:r>
          </w:p>
        </w:tc>
        <w:tc>
          <w:tcPr>
            <w:tcW w:w="152" w:type="pct"/>
            <w:tcBorders>
              <w:top w:val="nil"/>
              <w:left w:val="nil"/>
              <w:bottom w:val="nil"/>
              <w:right w:val="nil"/>
              <w:tl2br w:val="nil"/>
              <w:tr2bl w:val="nil"/>
            </w:tcBorders>
            <w:shd w:val="solid" w:color="FFFFFF" w:fill="FFFFFF"/>
            <w:noWrap/>
            <w:vAlign w:val="bottom"/>
          </w:tcPr>
          <w:p w14:paraId="4FA24CD0"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nil"/>
              <w:right w:val="nil"/>
              <w:tl2br w:val="nil"/>
              <w:tr2bl w:val="nil"/>
            </w:tcBorders>
            <w:shd w:val="solid" w:color="FFFFFF" w:fill="FFFFFF"/>
            <w:noWrap/>
            <w:vAlign w:val="bottom"/>
          </w:tcPr>
          <w:p w14:paraId="20699F75"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799" w:type="pct"/>
            <w:tcBorders>
              <w:top w:val="nil"/>
              <w:left w:val="nil"/>
              <w:bottom w:val="nil"/>
              <w:right w:val="nil"/>
              <w:tl2br w:val="nil"/>
              <w:tr2bl w:val="nil"/>
            </w:tcBorders>
            <w:shd w:val="solid" w:color="FFFFFF" w:fill="FFFFFF"/>
            <w:noWrap/>
            <w:vAlign w:val="bottom"/>
          </w:tcPr>
          <w:p w14:paraId="0F170175"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296,548</w:t>
            </w:r>
          </w:p>
        </w:tc>
      </w:tr>
      <w:tr w:rsidR="006E442A" w14:paraId="71458662" w14:textId="77777777" w:rsidTr="006E442A">
        <w:tc>
          <w:tcPr>
            <w:tcW w:w="2902" w:type="pct"/>
            <w:tcBorders>
              <w:top w:val="nil"/>
              <w:left w:val="nil"/>
              <w:bottom w:val="nil"/>
              <w:right w:val="nil"/>
              <w:tl2br w:val="nil"/>
              <w:tr2bl w:val="nil"/>
            </w:tcBorders>
            <w:shd w:val="solid" w:color="FFFFFF" w:fill="FFFFFF"/>
            <w:vAlign w:val="bottom"/>
          </w:tcPr>
          <w:p w14:paraId="047AB558" w14:textId="77777777" w:rsidR="006E442A" w:rsidRDefault="006E442A" w:rsidP="006E442A">
            <w:pPr>
              <w:spacing w:after="1"/>
              <w:ind w:left="120"/>
              <w:rPr>
                <w:rFonts w:ascii="Calibri" w:eastAsia="Calibri" w:hAnsi="Calibri" w:cs="Calibri"/>
                <w:color w:val="000000"/>
                <w:sz w:val="20"/>
              </w:rPr>
            </w:pPr>
            <w:r>
              <w:rPr>
                <w:rFonts w:ascii="Calibri" w:eastAsia="Calibri" w:hAnsi="Calibri" w:cs="Calibri"/>
                <w:color w:val="000000"/>
                <w:sz w:val="20"/>
              </w:rPr>
              <w:t>Weighted average common unit equivalent of</w:t>
            </w:r>
          </w:p>
        </w:tc>
        <w:tc>
          <w:tcPr>
            <w:tcW w:w="152" w:type="pct"/>
            <w:tcBorders>
              <w:top w:val="nil"/>
              <w:left w:val="nil"/>
              <w:bottom w:val="nil"/>
              <w:right w:val="nil"/>
              <w:tl2br w:val="nil"/>
              <w:tr2bl w:val="nil"/>
            </w:tcBorders>
            <w:shd w:val="solid" w:color="FFFFFF" w:fill="FFFFFF"/>
            <w:noWrap/>
            <w:vAlign w:val="bottom"/>
          </w:tcPr>
          <w:p w14:paraId="728BA531"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nil"/>
              <w:right w:val="nil"/>
              <w:tl2br w:val="nil"/>
              <w:tr2bl w:val="nil"/>
            </w:tcBorders>
            <w:shd w:val="solid" w:color="FFFFFF" w:fill="FFFFFF"/>
            <w:noWrap/>
            <w:vAlign w:val="bottom"/>
          </w:tcPr>
          <w:p w14:paraId="724D4549" w14:textId="77777777" w:rsidR="006E442A" w:rsidRDefault="006E442A" w:rsidP="006E442A">
            <w:pPr>
              <w:spacing w:after="1"/>
              <w:rPr>
                <w:rFonts w:ascii="Calibri" w:eastAsia="Calibri" w:hAnsi="Calibri" w:cs="Calibri"/>
                <w:color w:val="000000"/>
                <w:sz w:val="20"/>
              </w:rPr>
            </w:pPr>
          </w:p>
        </w:tc>
        <w:tc>
          <w:tcPr>
            <w:tcW w:w="799" w:type="pct"/>
            <w:tcBorders>
              <w:top w:val="nil"/>
              <w:left w:val="nil"/>
              <w:bottom w:val="nil"/>
              <w:right w:val="nil"/>
              <w:tl2br w:val="nil"/>
              <w:tr2bl w:val="nil"/>
            </w:tcBorders>
            <w:shd w:val="solid" w:color="FFFFFF" w:fill="FFFFFF"/>
            <w:noWrap/>
            <w:vAlign w:val="bottom"/>
          </w:tcPr>
          <w:p w14:paraId="19680579" w14:textId="77777777" w:rsidR="006E442A" w:rsidRDefault="006E442A" w:rsidP="006E442A">
            <w:pPr>
              <w:spacing w:after="1"/>
              <w:jc w:val="right"/>
              <w:rPr>
                <w:rFonts w:ascii="Calibri" w:eastAsia="Calibri" w:hAnsi="Calibri" w:cs="Calibri"/>
                <w:color w:val="000000"/>
                <w:sz w:val="20"/>
              </w:rPr>
            </w:pPr>
          </w:p>
        </w:tc>
        <w:tc>
          <w:tcPr>
            <w:tcW w:w="152" w:type="pct"/>
            <w:tcBorders>
              <w:top w:val="nil"/>
              <w:left w:val="nil"/>
              <w:bottom w:val="nil"/>
              <w:right w:val="nil"/>
              <w:tl2br w:val="nil"/>
              <w:tr2bl w:val="nil"/>
            </w:tcBorders>
            <w:shd w:val="solid" w:color="FFFFFF" w:fill="FFFFFF"/>
            <w:noWrap/>
            <w:vAlign w:val="bottom"/>
          </w:tcPr>
          <w:p w14:paraId="46A6A17D"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nil"/>
              <w:right w:val="nil"/>
              <w:tl2br w:val="nil"/>
              <w:tr2bl w:val="nil"/>
            </w:tcBorders>
            <w:shd w:val="solid" w:color="FFFFFF" w:fill="FFFFFF"/>
            <w:noWrap/>
            <w:vAlign w:val="bottom"/>
          </w:tcPr>
          <w:p w14:paraId="018E0A89" w14:textId="77777777" w:rsidR="006E442A" w:rsidRDefault="006E442A" w:rsidP="006E442A">
            <w:pPr>
              <w:spacing w:after="1"/>
              <w:rPr>
                <w:rFonts w:ascii="Calibri" w:eastAsia="Calibri" w:hAnsi="Calibri" w:cs="Calibri"/>
                <w:color w:val="000000"/>
                <w:sz w:val="20"/>
              </w:rPr>
            </w:pPr>
          </w:p>
        </w:tc>
        <w:tc>
          <w:tcPr>
            <w:tcW w:w="799" w:type="pct"/>
            <w:tcBorders>
              <w:top w:val="nil"/>
              <w:left w:val="nil"/>
              <w:bottom w:val="nil"/>
              <w:right w:val="nil"/>
              <w:tl2br w:val="nil"/>
              <w:tr2bl w:val="nil"/>
            </w:tcBorders>
            <w:shd w:val="solid" w:color="FFFFFF" w:fill="FFFFFF"/>
            <w:noWrap/>
            <w:vAlign w:val="bottom"/>
          </w:tcPr>
          <w:p w14:paraId="4136E03E" w14:textId="77777777" w:rsidR="006E442A" w:rsidRDefault="006E442A" w:rsidP="006E442A">
            <w:pPr>
              <w:spacing w:after="1"/>
              <w:jc w:val="right"/>
              <w:rPr>
                <w:rFonts w:ascii="Calibri" w:eastAsia="Calibri" w:hAnsi="Calibri" w:cs="Calibri"/>
                <w:color w:val="000000"/>
                <w:sz w:val="20"/>
              </w:rPr>
            </w:pPr>
          </w:p>
        </w:tc>
      </w:tr>
      <w:tr w:rsidR="006E442A" w14:paraId="7E1D70DD" w14:textId="77777777" w:rsidTr="006E442A">
        <w:tc>
          <w:tcPr>
            <w:tcW w:w="2902" w:type="pct"/>
            <w:tcBorders>
              <w:top w:val="nil"/>
              <w:left w:val="nil"/>
              <w:bottom w:val="nil"/>
              <w:right w:val="nil"/>
              <w:tl2br w:val="nil"/>
              <w:tr2bl w:val="nil"/>
            </w:tcBorders>
            <w:shd w:val="solid" w:color="FFFFFF" w:fill="FFFFFF"/>
            <w:vAlign w:val="bottom"/>
          </w:tcPr>
          <w:p w14:paraId="13415D6F" w14:textId="77777777" w:rsidR="006E442A" w:rsidRDefault="006E442A" w:rsidP="006E442A">
            <w:pPr>
              <w:spacing w:after="1"/>
              <w:ind w:left="240"/>
              <w:rPr>
                <w:rFonts w:ascii="Calibri" w:eastAsia="Calibri" w:hAnsi="Calibri" w:cs="Calibri"/>
                <w:color w:val="000000"/>
                <w:sz w:val="20"/>
              </w:rPr>
            </w:pPr>
            <w:r>
              <w:rPr>
                <w:rFonts w:ascii="Calibri" w:eastAsia="Calibri" w:hAnsi="Calibri" w:cs="Calibri"/>
                <w:color w:val="000000"/>
                <w:sz w:val="20"/>
              </w:rPr>
              <w:t>Focus LLC incentive units outstanding (8)</w:t>
            </w:r>
          </w:p>
        </w:tc>
        <w:tc>
          <w:tcPr>
            <w:tcW w:w="152" w:type="pct"/>
            <w:tcBorders>
              <w:top w:val="nil"/>
              <w:left w:val="nil"/>
              <w:bottom w:val="nil"/>
              <w:right w:val="nil"/>
              <w:tl2br w:val="nil"/>
              <w:tr2bl w:val="nil"/>
            </w:tcBorders>
            <w:shd w:val="solid" w:color="FFFFFF" w:fill="FFFFFF"/>
            <w:noWrap/>
            <w:vAlign w:val="bottom"/>
          </w:tcPr>
          <w:p w14:paraId="4DAA1A4E"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single" w:sz="4" w:space="0" w:color="000000"/>
              <w:right w:val="nil"/>
              <w:tl2br w:val="nil"/>
              <w:tr2bl w:val="nil"/>
            </w:tcBorders>
            <w:shd w:val="solid" w:color="FFFFFF" w:fill="FFFFFF"/>
            <w:noWrap/>
            <w:vAlign w:val="bottom"/>
          </w:tcPr>
          <w:p w14:paraId="11BFF7E8"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799" w:type="pct"/>
            <w:tcBorders>
              <w:top w:val="nil"/>
              <w:left w:val="nil"/>
              <w:bottom w:val="single" w:sz="4" w:space="0" w:color="000000"/>
              <w:right w:val="nil"/>
              <w:tl2br w:val="nil"/>
              <w:tr2bl w:val="nil"/>
            </w:tcBorders>
            <w:shd w:val="solid" w:color="FFFFFF" w:fill="FFFFFF"/>
            <w:noWrap/>
            <w:vAlign w:val="bottom"/>
          </w:tcPr>
          <w:p w14:paraId="0C964365"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6,996,918</w:t>
            </w:r>
          </w:p>
        </w:tc>
        <w:tc>
          <w:tcPr>
            <w:tcW w:w="152" w:type="pct"/>
            <w:tcBorders>
              <w:top w:val="nil"/>
              <w:left w:val="nil"/>
              <w:bottom w:val="nil"/>
              <w:right w:val="nil"/>
              <w:tl2br w:val="nil"/>
              <w:tr2bl w:val="nil"/>
            </w:tcBorders>
            <w:shd w:val="solid" w:color="FFFFFF" w:fill="FFFFFF"/>
            <w:noWrap/>
            <w:vAlign w:val="bottom"/>
          </w:tcPr>
          <w:p w14:paraId="7BA4316F"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single" w:sz="4" w:space="0" w:color="000000"/>
              <w:right w:val="nil"/>
              <w:tl2br w:val="nil"/>
              <w:tr2bl w:val="nil"/>
            </w:tcBorders>
            <w:shd w:val="solid" w:color="FFFFFF" w:fill="FFFFFF"/>
            <w:noWrap/>
            <w:vAlign w:val="bottom"/>
          </w:tcPr>
          <w:p w14:paraId="650974EB"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799" w:type="pct"/>
            <w:tcBorders>
              <w:top w:val="nil"/>
              <w:left w:val="nil"/>
              <w:bottom w:val="single" w:sz="4" w:space="0" w:color="000000"/>
              <w:right w:val="nil"/>
              <w:tl2br w:val="nil"/>
              <w:tr2bl w:val="nil"/>
            </w:tcBorders>
            <w:shd w:val="solid" w:color="FFFFFF" w:fill="FFFFFF"/>
            <w:noWrap/>
            <w:vAlign w:val="bottom"/>
          </w:tcPr>
          <w:p w14:paraId="36D7567B"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8,091,421</w:t>
            </w:r>
          </w:p>
        </w:tc>
      </w:tr>
      <w:tr w:rsidR="006E442A" w14:paraId="20E8C348" w14:textId="77777777" w:rsidTr="006E442A">
        <w:tc>
          <w:tcPr>
            <w:tcW w:w="2902" w:type="pct"/>
            <w:tcBorders>
              <w:top w:val="nil"/>
              <w:left w:val="nil"/>
              <w:bottom w:val="nil"/>
              <w:right w:val="nil"/>
              <w:tl2br w:val="nil"/>
              <w:tr2bl w:val="nil"/>
            </w:tcBorders>
            <w:shd w:val="solid" w:color="FFFFFF" w:fill="FFFFFF"/>
            <w:vAlign w:val="bottom"/>
          </w:tcPr>
          <w:p w14:paraId="4A7FD9BA"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Adjusted Shares Outstanding</w:t>
            </w:r>
          </w:p>
        </w:tc>
        <w:tc>
          <w:tcPr>
            <w:tcW w:w="152" w:type="pct"/>
            <w:tcBorders>
              <w:top w:val="nil"/>
              <w:left w:val="nil"/>
              <w:bottom w:val="nil"/>
              <w:right w:val="nil"/>
              <w:tl2br w:val="nil"/>
              <w:tr2bl w:val="nil"/>
            </w:tcBorders>
            <w:shd w:val="solid" w:color="FFFFFF" w:fill="FFFFFF"/>
            <w:noWrap/>
            <w:vAlign w:val="bottom"/>
          </w:tcPr>
          <w:p w14:paraId="25D08FC3"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double" w:sz="4" w:space="0" w:color="000000"/>
              <w:right w:val="nil"/>
              <w:tl2br w:val="nil"/>
              <w:tr2bl w:val="nil"/>
            </w:tcBorders>
            <w:shd w:val="solid" w:color="FFFFFF" w:fill="FFFFFF"/>
            <w:noWrap/>
            <w:vAlign w:val="bottom"/>
          </w:tcPr>
          <w:p w14:paraId="4D27E17D"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799" w:type="pct"/>
            <w:tcBorders>
              <w:top w:val="nil"/>
              <w:left w:val="nil"/>
              <w:bottom w:val="double" w:sz="4" w:space="0" w:color="000000"/>
              <w:right w:val="nil"/>
              <w:tl2br w:val="nil"/>
              <w:tr2bl w:val="nil"/>
            </w:tcBorders>
            <w:shd w:val="solid" w:color="FFFFFF" w:fill="FFFFFF"/>
            <w:noWrap/>
            <w:vAlign w:val="bottom"/>
          </w:tcPr>
          <w:p w14:paraId="0E02545A"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84,579,820</w:t>
            </w:r>
          </w:p>
        </w:tc>
        <w:tc>
          <w:tcPr>
            <w:tcW w:w="152" w:type="pct"/>
            <w:tcBorders>
              <w:top w:val="nil"/>
              <w:left w:val="nil"/>
              <w:bottom w:val="nil"/>
              <w:right w:val="nil"/>
              <w:tl2br w:val="nil"/>
              <w:tr2bl w:val="nil"/>
            </w:tcBorders>
            <w:shd w:val="solid" w:color="FFFFFF" w:fill="FFFFFF"/>
            <w:noWrap/>
            <w:vAlign w:val="bottom"/>
          </w:tcPr>
          <w:p w14:paraId="0A6AAF4E" w14:textId="77777777" w:rsidR="006E442A" w:rsidRDefault="006E442A" w:rsidP="006E442A">
            <w:pPr>
              <w:spacing w:after="1"/>
              <w:rPr>
                <w:rFonts w:ascii="Calibri" w:eastAsia="Calibri" w:hAnsi="Calibri" w:cs="Calibri"/>
                <w:color w:val="000000"/>
                <w:sz w:val="20"/>
              </w:rPr>
            </w:pPr>
          </w:p>
        </w:tc>
        <w:tc>
          <w:tcPr>
            <w:tcW w:w="98" w:type="pct"/>
            <w:tcBorders>
              <w:top w:val="nil"/>
              <w:left w:val="nil"/>
              <w:bottom w:val="double" w:sz="4" w:space="0" w:color="000000"/>
              <w:right w:val="nil"/>
              <w:tl2br w:val="nil"/>
              <w:tr2bl w:val="nil"/>
            </w:tcBorders>
            <w:shd w:val="solid" w:color="FFFFFF" w:fill="FFFFFF"/>
            <w:noWrap/>
            <w:vAlign w:val="bottom"/>
          </w:tcPr>
          <w:p w14:paraId="39D3F610"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799" w:type="pct"/>
            <w:tcBorders>
              <w:top w:val="nil"/>
              <w:left w:val="nil"/>
              <w:bottom w:val="double" w:sz="4" w:space="0" w:color="000000"/>
              <w:right w:val="nil"/>
              <w:tl2br w:val="nil"/>
              <w:tr2bl w:val="nil"/>
            </w:tcBorders>
            <w:shd w:val="solid" w:color="FFFFFF" w:fill="FFFFFF"/>
            <w:noWrap/>
            <w:vAlign w:val="bottom"/>
          </w:tcPr>
          <w:p w14:paraId="13939C88"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86,844,405</w:t>
            </w:r>
          </w:p>
        </w:tc>
      </w:tr>
      <w:tr w:rsidR="006E442A" w14:paraId="7B597C16" w14:textId="77777777" w:rsidTr="006E442A">
        <w:tc>
          <w:tcPr>
            <w:tcW w:w="2902" w:type="pct"/>
            <w:tcBorders>
              <w:top w:val="nil"/>
              <w:left w:val="nil"/>
              <w:bottom w:val="nil"/>
              <w:right w:val="nil"/>
              <w:tl2br w:val="nil"/>
              <w:tr2bl w:val="nil"/>
            </w:tcBorders>
            <w:shd w:val="solid" w:color="FFFFFF" w:fill="FFFFFF"/>
            <w:noWrap/>
            <w:vAlign w:val="bottom"/>
          </w:tcPr>
          <w:p w14:paraId="1C986BA3" w14:textId="77777777" w:rsidR="006E442A" w:rsidRDefault="006E442A" w:rsidP="006E442A">
            <w:pPr>
              <w:spacing w:after="1"/>
              <w:rPr>
                <w:rFonts w:ascii="Calibri" w:eastAsia="Calibri" w:hAnsi="Calibri" w:cs="Calibri"/>
                <w:color w:val="000000"/>
              </w:rPr>
            </w:pPr>
          </w:p>
        </w:tc>
        <w:tc>
          <w:tcPr>
            <w:tcW w:w="152" w:type="pct"/>
            <w:tcBorders>
              <w:top w:val="nil"/>
              <w:left w:val="nil"/>
              <w:bottom w:val="nil"/>
              <w:right w:val="nil"/>
              <w:tl2br w:val="nil"/>
              <w:tr2bl w:val="nil"/>
            </w:tcBorders>
            <w:shd w:val="solid" w:color="FFFFFF" w:fill="FFFFFF"/>
            <w:noWrap/>
            <w:vAlign w:val="bottom"/>
          </w:tcPr>
          <w:p w14:paraId="1E6614D3" w14:textId="77777777" w:rsidR="006E442A" w:rsidRDefault="006E442A" w:rsidP="006E442A">
            <w:pPr>
              <w:spacing w:after="1"/>
              <w:rPr>
                <w:rFonts w:ascii="Calibri" w:eastAsia="Calibri" w:hAnsi="Calibri" w:cs="Calibri"/>
                <w:color w:val="000000"/>
              </w:rPr>
            </w:pPr>
          </w:p>
        </w:tc>
        <w:tc>
          <w:tcPr>
            <w:tcW w:w="98" w:type="pct"/>
            <w:tcBorders>
              <w:top w:val="nil"/>
              <w:left w:val="nil"/>
              <w:bottom w:val="nil"/>
              <w:right w:val="nil"/>
              <w:tl2br w:val="nil"/>
              <w:tr2bl w:val="nil"/>
            </w:tcBorders>
            <w:shd w:val="solid" w:color="FFFFFF" w:fill="FFFFFF"/>
            <w:noWrap/>
            <w:vAlign w:val="bottom"/>
          </w:tcPr>
          <w:p w14:paraId="4D399681" w14:textId="77777777" w:rsidR="006E442A" w:rsidRDefault="006E442A" w:rsidP="006E442A">
            <w:pPr>
              <w:spacing w:after="1"/>
              <w:rPr>
                <w:rFonts w:ascii="Calibri" w:eastAsia="Calibri" w:hAnsi="Calibri" w:cs="Calibri"/>
                <w:color w:val="000000"/>
              </w:rPr>
            </w:pPr>
          </w:p>
        </w:tc>
        <w:tc>
          <w:tcPr>
            <w:tcW w:w="799" w:type="pct"/>
            <w:tcBorders>
              <w:top w:val="nil"/>
              <w:left w:val="nil"/>
              <w:bottom w:val="nil"/>
              <w:right w:val="nil"/>
              <w:tl2br w:val="nil"/>
              <w:tr2bl w:val="nil"/>
            </w:tcBorders>
            <w:shd w:val="solid" w:color="FFFFFF" w:fill="FFFFFF"/>
            <w:noWrap/>
            <w:vAlign w:val="bottom"/>
          </w:tcPr>
          <w:p w14:paraId="354FA104" w14:textId="77777777" w:rsidR="006E442A" w:rsidRDefault="006E442A" w:rsidP="006E442A">
            <w:pPr>
              <w:spacing w:after="1"/>
              <w:rPr>
                <w:rFonts w:ascii="Calibri" w:eastAsia="Calibri" w:hAnsi="Calibri" w:cs="Calibri"/>
                <w:color w:val="000000"/>
              </w:rPr>
            </w:pPr>
          </w:p>
        </w:tc>
        <w:tc>
          <w:tcPr>
            <w:tcW w:w="152" w:type="pct"/>
            <w:tcBorders>
              <w:top w:val="nil"/>
              <w:left w:val="nil"/>
              <w:bottom w:val="nil"/>
              <w:right w:val="nil"/>
              <w:tl2br w:val="nil"/>
              <w:tr2bl w:val="nil"/>
            </w:tcBorders>
            <w:shd w:val="solid" w:color="FFFFFF" w:fill="FFFFFF"/>
            <w:noWrap/>
            <w:vAlign w:val="bottom"/>
          </w:tcPr>
          <w:p w14:paraId="4AE0DB3D" w14:textId="77777777" w:rsidR="006E442A" w:rsidRDefault="006E442A" w:rsidP="006E442A">
            <w:pPr>
              <w:spacing w:after="1"/>
              <w:rPr>
                <w:rFonts w:ascii="Calibri" w:eastAsia="Calibri" w:hAnsi="Calibri" w:cs="Calibri"/>
                <w:color w:val="000000"/>
              </w:rPr>
            </w:pPr>
          </w:p>
        </w:tc>
        <w:tc>
          <w:tcPr>
            <w:tcW w:w="98" w:type="pct"/>
            <w:tcBorders>
              <w:top w:val="nil"/>
              <w:left w:val="nil"/>
              <w:bottom w:val="nil"/>
              <w:right w:val="nil"/>
              <w:tl2br w:val="nil"/>
              <w:tr2bl w:val="nil"/>
            </w:tcBorders>
            <w:shd w:val="solid" w:color="FFFFFF" w:fill="FFFFFF"/>
            <w:noWrap/>
            <w:vAlign w:val="bottom"/>
          </w:tcPr>
          <w:p w14:paraId="2F478343" w14:textId="77777777" w:rsidR="006E442A" w:rsidRDefault="006E442A" w:rsidP="006E442A">
            <w:pPr>
              <w:spacing w:after="1"/>
              <w:rPr>
                <w:rFonts w:ascii="Calibri" w:eastAsia="Calibri" w:hAnsi="Calibri" w:cs="Calibri"/>
                <w:color w:val="000000"/>
              </w:rPr>
            </w:pPr>
          </w:p>
        </w:tc>
        <w:tc>
          <w:tcPr>
            <w:tcW w:w="799" w:type="pct"/>
            <w:tcBorders>
              <w:top w:val="nil"/>
              <w:left w:val="nil"/>
              <w:bottom w:val="nil"/>
              <w:right w:val="nil"/>
              <w:tl2br w:val="nil"/>
              <w:tr2bl w:val="nil"/>
            </w:tcBorders>
            <w:shd w:val="solid" w:color="FFFFFF" w:fill="FFFFFF"/>
            <w:noWrap/>
            <w:vAlign w:val="bottom"/>
          </w:tcPr>
          <w:p w14:paraId="65835B7B" w14:textId="77777777" w:rsidR="006E442A" w:rsidRDefault="006E442A" w:rsidP="006E442A">
            <w:pPr>
              <w:spacing w:after="1"/>
              <w:rPr>
                <w:rFonts w:ascii="Calibri" w:eastAsia="Calibri" w:hAnsi="Calibri" w:cs="Calibri"/>
                <w:color w:val="000000"/>
              </w:rPr>
            </w:pPr>
          </w:p>
        </w:tc>
      </w:tr>
    </w:tbl>
    <w:p w14:paraId="32FA423E" w14:textId="77777777" w:rsidR="00536C41" w:rsidRPr="00C247DB" w:rsidRDefault="00536C41" w:rsidP="005E65E6">
      <w:pPr>
        <w:tabs>
          <w:tab w:val="left" w:pos="-720"/>
          <w:tab w:val="left" w:pos="0"/>
        </w:tabs>
        <w:spacing w:after="0" w:line="240" w:lineRule="auto"/>
        <w:ind w:left="360"/>
        <w:jc w:val="both"/>
      </w:pPr>
    </w:p>
    <w:p w14:paraId="45CC0DE1" w14:textId="77777777" w:rsidR="00655745" w:rsidRDefault="00655745" w:rsidP="005E65E6">
      <w:pPr>
        <w:spacing w:after="0" w:line="240" w:lineRule="auto"/>
      </w:pPr>
      <w:r>
        <w:br w:type="page"/>
      </w:r>
    </w:p>
    <w:p w14:paraId="403D43E9" w14:textId="396F16B6" w:rsidR="00131FCD" w:rsidRDefault="005C2225" w:rsidP="00B65D59">
      <w:pPr>
        <w:numPr>
          <w:ilvl w:val="0"/>
          <w:numId w:val="13"/>
        </w:numPr>
        <w:tabs>
          <w:tab w:val="left" w:pos="-720"/>
          <w:tab w:val="left" w:pos="0"/>
        </w:tabs>
        <w:spacing w:after="0" w:line="240" w:lineRule="auto"/>
        <w:jc w:val="both"/>
      </w:pPr>
      <w:r w:rsidRPr="005C2225">
        <w:lastRenderedPageBreak/>
        <w:t xml:space="preserve">Represents costs incurred in conjunction with the </w:t>
      </w:r>
      <w:r w:rsidR="003979F7">
        <w:t xml:space="preserve">Merger </w:t>
      </w:r>
      <w:r w:rsidRPr="005C2225">
        <w:t xml:space="preserve">Agreement </w:t>
      </w:r>
      <w:proofErr w:type="gramStart"/>
      <w:r w:rsidRPr="005C2225">
        <w:t>entered into</w:t>
      </w:r>
      <w:proofErr w:type="gramEnd"/>
      <w:r>
        <w:t xml:space="preserve"> </w:t>
      </w:r>
      <w:r w:rsidRPr="005C2225">
        <w:t xml:space="preserve">on February 27, 2023. Refer to our </w:t>
      </w:r>
      <w:r w:rsidR="00E26A4C">
        <w:t>SEC</w:t>
      </w:r>
      <w:r w:rsidRPr="005C2225">
        <w:t xml:space="preserve"> filings for additional information</w:t>
      </w:r>
      <w:r w:rsidR="00131FCD">
        <w:t xml:space="preserve">. </w:t>
      </w:r>
    </w:p>
    <w:p w14:paraId="09630CF3" w14:textId="77777777" w:rsidR="00131FCD" w:rsidRDefault="00131FCD" w:rsidP="00131FCD">
      <w:pPr>
        <w:tabs>
          <w:tab w:val="left" w:pos="-720"/>
          <w:tab w:val="left" w:pos="0"/>
        </w:tabs>
        <w:spacing w:after="0" w:line="240" w:lineRule="auto"/>
        <w:ind w:left="360"/>
        <w:jc w:val="both"/>
      </w:pPr>
    </w:p>
    <w:p w14:paraId="37F48ECF" w14:textId="77777777" w:rsidR="00131FCD" w:rsidRDefault="00131FCD" w:rsidP="00B65D59">
      <w:pPr>
        <w:numPr>
          <w:ilvl w:val="0"/>
          <w:numId w:val="13"/>
        </w:numPr>
        <w:tabs>
          <w:tab w:val="left" w:pos="-720"/>
          <w:tab w:val="left" w:pos="0"/>
        </w:tabs>
        <w:spacing w:after="0" w:line="240" w:lineRule="auto"/>
        <w:jc w:val="both"/>
      </w:pPr>
      <w:r>
        <w:t xml:space="preserve">The pro forma income tax rate of 27% reflects the estimated U.S. federal, state, local and foreign income tax rates applicable to corporations in the jurisdictions we conduct business and is used for comparative purposes. The actual effective income tax rate, in current or future periods, may differ significantly from the pro forma income tax rate of 27%. The actual effective income tax rate is the percentage of income tax after taking into consideration various tax deductions, </w:t>
      </w:r>
      <w:proofErr w:type="gramStart"/>
      <w:r>
        <w:t>credits</w:t>
      </w:r>
      <w:proofErr w:type="gramEnd"/>
      <w:r>
        <w:t xml:space="preserve"> and limitations. Among other things, periods of increased interest expense and limits on our ability to deduct interest expense may, in current or future periods, contribute to an actual effective income tax rate that is less than or greater than the pro forma income tax rate of 27%.</w:t>
      </w:r>
    </w:p>
    <w:p w14:paraId="3C176E72" w14:textId="77777777" w:rsidR="00131FCD" w:rsidRDefault="00131FCD" w:rsidP="00131FCD">
      <w:pPr>
        <w:tabs>
          <w:tab w:val="left" w:pos="-720"/>
          <w:tab w:val="left" w:pos="0"/>
        </w:tabs>
        <w:spacing w:after="0" w:line="240" w:lineRule="auto"/>
        <w:ind w:left="360"/>
        <w:jc w:val="both"/>
      </w:pPr>
    </w:p>
    <w:p w14:paraId="69F4DDAF" w14:textId="77777777" w:rsidR="00131FCD" w:rsidRDefault="00131FCD" w:rsidP="00B65D59">
      <w:pPr>
        <w:numPr>
          <w:ilvl w:val="0"/>
          <w:numId w:val="13"/>
        </w:numPr>
        <w:tabs>
          <w:tab w:val="left" w:pos="-720"/>
          <w:tab w:val="left" w:pos="0"/>
        </w:tabs>
        <w:spacing w:after="0" w:line="240" w:lineRule="auto"/>
        <w:jc w:val="both"/>
      </w:pPr>
      <w:r>
        <w:t xml:space="preserve">Tax Adjustments represent the tax benefits of intangible assets, including goodwill, associated with deductions allowed for tax amortization of intangible assets in the respective periods based on a pro forma 27% income tax rate. Such amounts were generated from acquisitions completed where we received a step-up in basis for tax purposes. Acquired intangible assets may be amortized for tax purposes, generally over a 15-year period. Due to our acquisitive nature, tax deductions allowed on acquired intangible assets provide additional significant supplemental economic benefit. The tax benefit from amortization is included to show the full economic benefit of deductions for acquired intangible assets with the step-up in tax basis. As of </w:t>
      </w:r>
      <w:r w:rsidR="006A0CBA">
        <w:t>March</w:t>
      </w:r>
      <w:r>
        <w:t xml:space="preserve"> 31, 202</w:t>
      </w:r>
      <w:r w:rsidR="006A0CBA">
        <w:t>3</w:t>
      </w:r>
      <w:r>
        <w:t>, estimated Tax Adjustments from intangible asset related income tax benefits from closed acquisitions based on a pro forma 27% income tax rate for the next 12 months is $</w:t>
      </w:r>
      <w:r w:rsidR="00757C11">
        <w:t>69</w:t>
      </w:r>
      <w:r w:rsidR="006A0CBA">
        <w:t>.</w:t>
      </w:r>
      <w:r w:rsidR="00757C11">
        <w:t>6</w:t>
      </w:r>
      <w:r>
        <w:t xml:space="preserve"> million.</w:t>
      </w:r>
    </w:p>
    <w:p w14:paraId="71E96D58" w14:textId="77777777" w:rsidR="00131FCD" w:rsidRDefault="00131FCD" w:rsidP="00131FCD">
      <w:pPr>
        <w:tabs>
          <w:tab w:val="left" w:pos="-720"/>
          <w:tab w:val="left" w:pos="0"/>
        </w:tabs>
        <w:spacing w:after="0" w:line="240" w:lineRule="auto"/>
        <w:ind w:left="360"/>
        <w:jc w:val="both"/>
      </w:pPr>
    </w:p>
    <w:p w14:paraId="2314C2F4" w14:textId="77777777" w:rsidR="00131FCD" w:rsidRDefault="00131FCD" w:rsidP="00B65D59">
      <w:pPr>
        <w:numPr>
          <w:ilvl w:val="0"/>
          <w:numId w:val="13"/>
        </w:numPr>
        <w:tabs>
          <w:tab w:val="left" w:pos="-720"/>
          <w:tab w:val="left" w:pos="0"/>
        </w:tabs>
        <w:spacing w:after="0" w:line="240" w:lineRule="auto"/>
        <w:jc w:val="both"/>
      </w:pPr>
      <w:r>
        <w:t xml:space="preserve">Represents our GAAP weighted average Class A common stock </w:t>
      </w:r>
      <w:proofErr w:type="gramStart"/>
      <w:r>
        <w:t>outstanding—basic</w:t>
      </w:r>
      <w:proofErr w:type="gramEnd"/>
      <w:r>
        <w:t>.</w:t>
      </w:r>
    </w:p>
    <w:p w14:paraId="6E87D963" w14:textId="77777777" w:rsidR="00131FCD" w:rsidRDefault="00131FCD" w:rsidP="00131FCD">
      <w:pPr>
        <w:pStyle w:val="ListParagraph"/>
      </w:pPr>
    </w:p>
    <w:p w14:paraId="6CABA77E" w14:textId="77777777" w:rsidR="00131FCD" w:rsidRDefault="00131FCD" w:rsidP="00B65D59">
      <w:pPr>
        <w:numPr>
          <w:ilvl w:val="0"/>
          <w:numId w:val="13"/>
        </w:numPr>
        <w:tabs>
          <w:tab w:val="left" w:pos="-720"/>
          <w:tab w:val="left" w:pos="0"/>
        </w:tabs>
        <w:spacing w:after="0" w:line="240" w:lineRule="auto"/>
        <w:jc w:val="both"/>
      </w:pPr>
      <w:r>
        <w:t>Represents the incremental shares related to stock options and restricted stock units as calculated under the treasury stock method.</w:t>
      </w:r>
    </w:p>
    <w:p w14:paraId="104588C8" w14:textId="77777777" w:rsidR="00131FCD" w:rsidRDefault="00131FCD" w:rsidP="00131FCD">
      <w:pPr>
        <w:tabs>
          <w:tab w:val="left" w:pos="-720"/>
          <w:tab w:val="left" w:pos="0"/>
        </w:tabs>
        <w:spacing w:after="0" w:line="240" w:lineRule="auto"/>
        <w:ind w:left="360"/>
        <w:jc w:val="both"/>
      </w:pPr>
    </w:p>
    <w:p w14:paraId="569D2BCF" w14:textId="77777777" w:rsidR="00131FCD" w:rsidRDefault="00131FCD" w:rsidP="00B65D59">
      <w:pPr>
        <w:numPr>
          <w:ilvl w:val="0"/>
          <w:numId w:val="13"/>
        </w:numPr>
        <w:tabs>
          <w:tab w:val="left" w:pos="-720"/>
          <w:tab w:val="left" w:pos="0"/>
        </w:tabs>
        <w:spacing w:after="0" w:line="240" w:lineRule="auto"/>
        <w:jc w:val="both"/>
      </w:pPr>
      <w:r>
        <w:t>Assumes that 100% of the Focus LLC common units, including contingently issuable Focus LLC common units, if any, were exchanged for Class A common stock.</w:t>
      </w:r>
    </w:p>
    <w:p w14:paraId="66A68528" w14:textId="77777777" w:rsidR="00131FCD" w:rsidRDefault="00131FCD" w:rsidP="00131FCD">
      <w:pPr>
        <w:pStyle w:val="ListParagraph"/>
        <w:rPr>
          <w:sz w:val="22"/>
        </w:rPr>
      </w:pPr>
    </w:p>
    <w:p w14:paraId="1D4F2B05" w14:textId="77777777" w:rsidR="00131FCD" w:rsidRDefault="00131FCD" w:rsidP="00B65D59">
      <w:pPr>
        <w:numPr>
          <w:ilvl w:val="0"/>
          <w:numId w:val="13"/>
        </w:numPr>
        <w:tabs>
          <w:tab w:val="left" w:pos="-720"/>
          <w:tab w:val="left" w:pos="0"/>
        </w:tabs>
        <w:spacing w:after="0" w:line="240" w:lineRule="auto"/>
        <w:jc w:val="both"/>
      </w:pPr>
      <w:r>
        <w:t>Assumes that 100% of the Focus LLC restricted common units were exchanged for Class A common stock.</w:t>
      </w:r>
    </w:p>
    <w:p w14:paraId="01323058" w14:textId="77777777" w:rsidR="00131FCD" w:rsidRDefault="00131FCD" w:rsidP="00131FCD">
      <w:pPr>
        <w:pStyle w:val="ListParagraph"/>
        <w:spacing w:line="240" w:lineRule="auto"/>
        <w:rPr>
          <w:sz w:val="22"/>
        </w:rPr>
      </w:pPr>
    </w:p>
    <w:p w14:paraId="7D75450E" w14:textId="77777777" w:rsidR="00536C41" w:rsidRPr="00C247DB" w:rsidRDefault="00131FCD" w:rsidP="00B65D59">
      <w:pPr>
        <w:numPr>
          <w:ilvl w:val="0"/>
          <w:numId w:val="7"/>
        </w:numPr>
        <w:tabs>
          <w:tab w:val="left" w:pos="-720"/>
          <w:tab w:val="left" w:pos="0"/>
        </w:tabs>
        <w:spacing w:after="0" w:line="240" w:lineRule="auto"/>
        <w:contextualSpacing/>
        <w:jc w:val="both"/>
        <w:rPr>
          <w:rFonts w:cstheme="minorHAnsi"/>
        </w:rPr>
      </w:pPr>
      <w:r>
        <w:t>Assumes that 100% of the vested and unvested Focus LLC incentive units were converted into Focus LLC common units based on the closing price of our Class A common stock at the end of the respective period and such Focus LLC common units were exchanged for Class A common stock</w:t>
      </w:r>
      <w:r w:rsidR="00536C41" w:rsidRPr="00C247DB">
        <w:t>.</w:t>
      </w:r>
    </w:p>
    <w:bookmarkEnd w:id="7"/>
    <w:p w14:paraId="16E726EC" w14:textId="77777777" w:rsidR="00536C41" w:rsidRDefault="00536C41" w:rsidP="005E65E6">
      <w:pPr>
        <w:pStyle w:val="Heading2"/>
        <w:rPr>
          <w:rFonts w:eastAsiaTheme="minorHAnsi"/>
          <w:sz w:val="24"/>
          <w:szCs w:val="24"/>
        </w:rPr>
      </w:pPr>
    </w:p>
    <w:p w14:paraId="3CCCDBEA" w14:textId="77777777" w:rsidR="00536C41" w:rsidRPr="00693B87" w:rsidRDefault="00536C41" w:rsidP="005E65E6">
      <w:pPr>
        <w:spacing w:after="0" w:line="240" w:lineRule="auto"/>
        <w:rPr>
          <w:b/>
          <w:bCs/>
          <w:sz w:val="23"/>
          <w:szCs w:val="23"/>
        </w:rPr>
      </w:pPr>
      <w:r w:rsidRPr="00693B87">
        <w:rPr>
          <w:b/>
          <w:bCs/>
          <w:sz w:val="23"/>
          <w:szCs w:val="23"/>
        </w:rPr>
        <w:t>Adjusted Free Cash Flow and Cash Flow Available for Capital Allocation</w:t>
      </w:r>
    </w:p>
    <w:p w14:paraId="1A1D71FB" w14:textId="77777777" w:rsidR="00536C41" w:rsidRPr="00693B87" w:rsidRDefault="00131FCD" w:rsidP="005E65E6">
      <w:pPr>
        <w:spacing w:after="0" w:line="240" w:lineRule="auto"/>
        <w:contextualSpacing/>
        <w:jc w:val="both"/>
        <w:rPr>
          <w:rFonts w:cstheme="minorHAnsi"/>
          <w:sz w:val="23"/>
          <w:szCs w:val="23"/>
        </w:rPr>
      </w:pPr>
      <w:r>
        <w:rPr>
          <w:rFonts w:cstheme="minorHAnsi"/>
          <w:sz w:val="23"/>
          <w:szCs w:val="23"/>
        </w:rPr>
        <w:t xml:space="preserve">To supplement our statements of cash flows presented on a GAAP basis, we use non-GAAP liquidity measures on a trailing 4-quarter basis to analyze cash flows generated from our operations. We consider Adjusted Free Cash Flow and Cash Flow Available for Capital Allocation to be liquidity measures that provide useful information to investors about the amount of cash generated by the business and are two factors in evaluating the amount of cash available to pay contingent consideration and deferred cash consideration, make strategic acquisitions and repay outstanding borrowings. Adjusted Free Cash Flow and Cash Flow Available for Capital Allocation do not represent our residual cash flow available for discretionary expenditures as they do not deduct our mandatory debt service requirements and other non-discretionary expenditures. We define Adjusted Free Cash </w:t>
      </w:r>
      <w:r>
        <w:rPr>
          <w:rFonts w:cstheme="minorHAnsi"/>
          <w:sz w:val="23"/>
          <w:szCs w:val="23"/>
        </w:rPr>
        <w:lastRenderedPageBreak/>
        <w:t xml:space="preserve">Flow as net cash provided by operating activities, less purchase of fixed assets, distributions for Focus LLC unitholders and payments under tax receivable agreements. We define Cash Flow Available for Capital Allocation as Adjusted Free Cash Flow plus the portions of contingent consideration and deferred cash consideration paid which are classified as operating cash flows under GAAP. The balances of such contingent consideration and deferred cash consideration are classified as investing or financing cash flows under GAAP; therefore, we add back the amounts included in operating cash flows so that the full amount of contingent consideration and deferred cash consideration payments are treated consistently. Adjusted Free Cash Flow and Cash Flow Available for Capital Allocation are not defined under GAAP and should not be considered as alternatives to net cash from operating, </w:t>
      </w:r>
      <w:proofErr w:type="gramStart"/>
      <w:r>
        <w:rPr>
          <w:rFonts w:cstheme="minorHAnsi"/>
          <w:sz w:val="23"/>
          <w:szCs w:val="23"/>
        </w:rPr>
        <w:t>investing</w:t>
      </w:r>
      <w:proofErr w:type="gramEnd"/>
      <w:r>
        <w:rPr>
          <w:rFonts w:cstheme="minorHAnsi"/>
          <w:sz w:val="23"/>
          <w:szCs w:val="23"/>
        </w:rPr>
        <w:t xml:space="preserve"> or financing activities. In addition, Adjusted Free Cash Flow and Cash Flow Available for Capital Allocation can differ significantly from company to company</w:t>
      </w:r>
      <w:r w:rsidR="00536C41" w:rsidRPr="00693B87">
        <w:rPr>
          <w:rFonts w:cstheme="minorHAnsi"/>
          <w:sz w:val="23"/>
          <w:szCs w:val="23"/>
        </w:rPr>
        <w:t xml:space="preserve">. </w:t>
      </w:r>
    </w:p>
    <w:p w14:paraId="76AA7914" w14:textId="77777777" w:rsidR="00D0777E" w:rsidRDefault="00D0777E" w:rsidP="005E65E6">
      <w:pPr>
        <w:spacing w:after="0" w:line="240" w:lineRule="auto"/>
        <w:jc w:val="both"/>
        <w:rPr>
          <w:rFonts w:cstheme="minorHAnsi"/>
          <w:sz w:val="23"/>
          <w:szCs w:val="23"/>
        </w:rPr>
      </w:pPr>
    </w:p>
    <w:p w14:paraId="04F3FEBD" w14:textId="77777777" w:rsidR="00536C41" w:rsidRPr="00693B87" w:rsidRDefault="00536C41" w:rsidP="005E65E6">
      <w:pPr>
        <w:spacing w:after="0" w:line="240" w:lineRule="auto"/>
        <w:jc w:val="both"/>
        <w:rPr>
          <w:rFonts w:cstheme="minorHAnsi"/>
          <w:sz w:val="23"/>
          <w:szCs w:val="23"/>
        </w:rPr>
      </w:pPr>
      <w:r w:rsidRPr="00693B87">
        <w:rPr>
          <w:rFonts w:cstheme="minorHAnsi"/>
          <w:sz w:val="23"/>
          <w:szCs w:val="23"/>
        </w:rPr>
        <w:t xml:space="preserve">Set forth below is a reconciliation of net cash provided by operating activities to Adjusted Free Cash Flow and Cash Flow Available for Capital Allocation for the trailing 4-quarters ended </w:t>
      </w:r>
      <w:r w:rsidR="00131FCD">
        <w:rPr>
          <w:rFonts w:cstheme="minorHAnsi"/>
          <w:sz w:val="23"/>
          <w:szCs w:val="23"/>
        </w:rPr>
        <w:t>March</w:t>
      </w:r>
      <w:r w:rsidRPr="00693B87">
        <w:rPr>
          <w:rFonts w:cstheme="minorHAnsi"/>
          <w:sz w:val="23"/>
          <w:szCs w:val="23"/>
        </w:rPr>
        <w:t xml:space="preserve"> 3</w:t>
      </w:r>
      <w:r w:rsidR="009F7561">
        <w:rPr>
          <w:rFonts w:cstheme="minorHAnsi"/>
          <w:sz w:val="23"/>
          <w:szCs w:val="23"/>
        </w:rPr>
        <w:t>1</w:t>
      </w:r>
      <w:r w:rsidRPr="00693B87">
        <w:rPr>
          <w:rFonts w:cstheme="minorHAnsi"/>
          <w:sz w:val="23"/>
          <w:szCs w:val="23"/>
        </w:rPr>
        <w:t xml:space="preserve">, </w:t>
      </w:r>
      <w:proofErr w:type="gramStart"/>
      <w:r w:rsidRPr="00693B87">
        <w:rPr>
          <w:rFonts w:cstheme="minorHAnsi"/>
          <w:sz w:val="23"/>
          <w:szCs w:val="23"/>
        </w:rPr>
        <w:t>20</w:t>
      </w:r>
      <w:r w:rsidR="003E7B97">
        <w:rPr>
          <w:rFonts w:cstheme="minorHAnsi"/>
          <w:sz w:val="23"/>
          <w:szCs w:val="23"/>
        </w:rPr>
        <w:t>2</w:t>
      </w:r>
      <w:r w:rsidR="00131FCD">
        <w:rPr>
          <w:rFonts w:cstheme="minorHAnsi"/>
          <w:sz w:val="23"/>
          <w:szCs w:val="23"/>
        </w:rPr>
        <w:t>2</w:t>
      </w:r>
      <w:proofErr w:type="gramEnd"/>
      <w:r w:rsidRPr="00693B87">
        <w:rPr>
          <w:rFonts w:cstheme="minorHAnsi"/>
          <w:sz w:val="23"/>
          <w:szCs w:val="23"/>
        </w:rPr>
        <w:t xml:space="preserve"> and 202</w:t>
      </w:r>
      <w:r w:rsidR="00131FCD">
        <w:rPr>
          <w:rFonts w:cstheme="minorHAnsi"/>
          <w:sz w:val="23"/>
          <w:szCs w:val="23"/>
        </w:rPr>
        <w:t>3</w:t>
      </w:r>
      <w:r w:rsidRPr="00693B87">
        <w:rPr>
          <w:rFonts w:cstheme="minorHAnsi"/>
          <w:sz w:val="23"/>
          <w:szCs w:val="23"/>
        </w:rPr>
        <w:t>:</w:t>
      </w:r>
    </w:p>
    <w:p w14:paraId="1F803F8D" w14:textId="77777777" w:rsidR="00D30F47" w:rsidRDefault="00D30F47" w:rsidP="005E65E6">
      <w:pPr>
        <w:spacing w:after="0" w:line="240" w:lineRule="auto"/>
        <w:jc w:val="both"/>
        <w:rPr>
          <w:rStyle w:val="SubtleEmphasis"/>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80"/>
        <w:gridCol w:w="180"/>
        <w:gridCol w:w="180"/>
        <w:gridCol w:w="1080"/>
        <w:gridCol w:w="140"/>
        <w:gridCol w:w="182"/>
        <w:gridCol w:w="1118"/>
      </w:tblGrid>
      <w:tr w:rsidR="006E442A" w14:paraId="12B9342F" w14:textId="77777777" w:rsidTr="005C2225">
        <w:trPr>
          <w:trHeight w:hRule="exact" w:val="20"/>
        </w:trPr>
        <w:tc>
          <w:tcPr>
            <w:tcW w:w="3462" w:type="pct"/>
            <w:tcBorders>
              <w:top w:val="nil"/>
              <w:left w:val="nil"/>
              <w:bottom w:val="nil"/>
              <w:right w:val="nil"/>
            </w:tcBorders>
            <w:vAlign w:val="bottom"/>
          </w:tcPr>
          <w:p w14:paraId="1612C21E" w14:textId="77777777" w:rsidR="006E442A" w:rsidRDefault="006E442A" w:rsidP="006E442A">
            <w:pPr>
              <w:keepNext/>
              <w:spacing w:after="1"/>
              <w:rPr>
                <w:sz w:val="2"/>
              </w:rPr>
            </w:pPr>
          </w:p>
        </w:tc>
        <w:tc>
          <w:tcPr>
            <w:tcW w:w="96" w:type="pct"/>
            <w:tcBorders>
              <w:top w:val="nil"/>
              <w:left w:val="nil"/>
              <w:bottom w:val="nil"/>
              <w:right w:val="nil"/>
            </w:tcBorders>
            <w:noWrap/>
            <w:vAlign w:val="bottom"/>
          </w:tcPr>
          <w:p w14:paraId="68ADADB9" w14:textId="77777777" w:rsidR="006E442A" w:rsidRDefault="006E442A" w:rsidP="006E442A">
            <w:pPr>
              <w:keepNext/>
              <w:spacing w:after="1"/>
              <w:rPr>
                <w:sz w:val="2"/>
              </w:rPr>
            </w:pPr>
          </w:p>
        </w:tc>
        <w:tc>
          <w:tcPr>
            <w:tcW w:w="96" w:type="pct"/>
            <w:tcBorders>
              <w:top w:val="nil"/>
              <w:left w:val="nil"/>
              <w:bottom w:val="nil"/>
              <w:right w:val="nil"/>
            </w:tcBorders>
            <w:noWrap/>
            <w:vAlign w:val="bottom"/>
          </w:tcPr>
          <w:p w14:paraId="69EE6E37" w14:textId="77777777" w:rsidR="006E442A" w:rsidRDefault="006E442A" w:rsidP="006E442A">
            <w:pPr>
              <w:keepNext/>
              <w:spacing w:after="1"/>
              <w:rPr>
                <w:sz w:val="2"/>
              </w:rPr>
            </w:pPr>
          </w:p>
        </w:tc>
        <w:tc>
          <w:tcPr>
            <w:tcW w:w="577" w:type="pct"/>
            <w:tcBorders>
              <w:top w:val="nil"/>
              <w:left w:val="nil"/>
              <w:bottom w:val="nil"/>
              <w:right w:val="nil"/>
            </w:tcBorders>
            <w:noWrap/>
            <w:vAlign w:val="bottom"/>
          </w:tcPr>
          <w:p w14:paraId="7B073647" w14:textId="77777777" w:rsidR="006E442A" w:rsidRDefault="006E442A" w:rsidP="006E442A">
            <w:pPr>
              <w:keepNext/>
              <w:spacing w:after="1"/>
              <w:rPr>
                <w:sz w:val="2"/>
              </w:rPr>
            </w:pPr>
          </w:p>
        </w:tc>
        <w:tc>
          <w:tcPr>
            <w:tcW w:w="75" w:type="pct"/>
            <w:tcBorders>
              <w:top w:val="nil"/>
              <w:left w:val="nil"/>
              <w:bottom w:val="nil"/>
              <w:right w:val="nil"/>
            </w:tcBorders>
            <w:noWrap/>
            <w:vAlign w:val="bottom"/>
          </w:tcPr>
          <w:p w14:paraId="5EBA3D20" w14:textId="77777777" w:rsidR="006E442A" w:rsidRDefault="006E442A" w:rsidP="006E442A">
            <w:pPr>
              <w:keepNext/>
              <w:spacing w:after="1"/>
              <w:rPr>
                <w:sz w:val="2"/>
              </w:rPr>
            </w:pPr>
          </w:p>
        </w:tc>
        <w:tc>
          <w:tcPr>
            <w:tcW w:w="97" w:type="pct"/>
            <w:tcBorders>
              <w:top w:val="nil"/>
              <w:left w:val="nil"/>
              <w:bottom w:val="nil"/>
              <w:right w:val="nil"/>
            </w:tcBorders>
            <w:noWrap/>
            <w:vAlign w:val="bottom"/>
          </w:tcPr>
          <w:p w14:paraId="29C7CDDE" w14:textId="77777777" w:rsidR="006E442A" w:rsidRDefault="006E442A" w:rsidP="006E442A">
            <w:pPr>
              <w:keepNext/>
              <w:spacing w:after="1"/>
              <w:rPr>
                <w:sz w:val="2"/>
              </w:rPr>
            </w:pPr>
          </w:p>
        </w:tc>
        <w:tc>
          <w:tcPr>
            <w:tcW w:w="597" w:type="pct"/>
            <w:tcBorders>
              <w:top w:val="nil"/>
              <w:left w:val="nil"/>
              <w:bottom w:val="nil"/>
              <w:right w:val="nil"/>
            </w:tcBorders>
            <w:noWrap/>
            <w:vAlign w:val="bottom"/>
          </w:tcPr>
          <w:p w14:paraId="71317DEF" w14:textId="77777777" w:rsidR="006E442A" w:rsidRDefault="006E442A" w:rsidP="006E442A">
            <w:pPr>
              <w:keepNext/>
              <w:spacing w:after="1"/>
              <w:rPr>
                <w:sz w:val="2"/>
              </w:rPr>
            </w:pPr>
          </w:p>
        </w:tc>
      </w:tr>
      <w:tr w:rsidR="006E442A" w14:paraId="5A9030D5" w14:textId="77777777" w:rsidTr="005C2225">
        <w:tc>
          <w:tcPr>
            <w:tcW w:w="3462" w:type="pct"/>
            <w:tcBorders>
              <w:top w:val="nil"/>
              <w:left w:val="nil"/>
              <w:bottom w:val="nil"/>
              <w:right w:val="nil"/>
              <w:tl2br w:val="nil"/>
              <w:tr2bl w:val="nil"/>
            </w:tcBorders>
            <w:shd w:val="solid" w:color="FFFFFF" w:fill="FFFFFF"/>
            <w:vAlign w:val="bottom"/>
          </w:tcPr>
          <w:p w14:paraId="6613BA60" w14:textId="77777777" w:rsidR="006E442A" w:rsidRDefault="006E442A" w:rsidP="006E442A">
            <w:pPr>
              <w:spacing w:after="1"/>
              <w:rPr>
                <w:rFonts w:ascii="Calibri" w:eastAsia="Calibri" w:hAnsi="Calibri" w:cs="Calibri"/>
                <w:b/>
                <w:color w:val="000000"/>
                <w:sz w:val="20"/>
              </w:rPr>
            </w:pPr>
          </w:p>
        </w:tc>
        <w:tc>
          <w:tcPr>
            <w:tcW w:w="96" w:type="pct"/>
            <w:tcBorders>
              <w:top w:val="nil"/>
              <w:left w:val="nil"/>
              <w:bottom w:val="nil"/>
              <w:right w:val="nil"/>
              <w:tl2br w:val="nil"/>
              <w:tr2bl w:val="nil"/>
            </w:tcBorders>
            <w:shd w:val="solid" w:color="FFFFFF" w:fill="FFFFFF"/>
            <w:noWrap/>
            <w:vAlign w:val="bottom"/>
          </w:tcPr>
          <w:p w14:paraId="1DE1E3C5" w14:textId="77777777" w:rsidR="006E442A" w:rsidRDefault="006E442A" w:rsidP="006E442A">
            <w:pPr>
              <w:spacing w:after="1"/>
              <w:rPr>
                <w:rFonts w:ascii="Calibri" w:eastAsia="Calibri" w:hAnsi="Calibri" w:cs="Calibri"/>
                <w:color w:val="000000"/>
                <w:sz w:val="20"/>
              </w:rPr>
            </w:pPr>
          </w:p>
        </w:tc>
        <w:tc>
          <w:tcPr>
            <w:tcW w:w="1442" w:type="pct"/>
            <w:gridSpan w:val="5"/>
            <w:tcBorders>
              <w:top w:val="nil"/>
              <w:left w:val="nil"/>
              <w:bottom w:val="nil"/>
              <w:right w:val="nil"/>
              <w:tl2br w:val="nil"/>
              <w:tr2bl w:val="nil"/>
            </w:tcBorders>
            <w:shd w:val="solid" w:color="FFFFFF" w:fill="FFFFFF"/>
            <w:noWrap/>
            <w:vAlign w:val="bottom"/>
          </w:tcPr>
          <w:p w14:paraId="7DEBCFCF" w14:textId="77777777" w:rsidR="006E442A" w:rsidRDefault="006E442A" w:rsidP="006E442A">
            <w:pPr>
              <w:spacing w:after="1"/>
              <w:jc w:val="center"/>
              <w:rPr>
                <w:rFonts w:ascii="Calibri" w:eastAsia="Calibri" w:hAnsi="Calibri" w:cs="Calibri"/>
                <w:b/>
                <w:color w:val="000000"/>
                <w:sz w:val="20"/>
              </w:rPr>
            </w:pPr>
            <w:r>
              <w:rPr>
                <w:rFonts w:ascii="Calibri" w:eastAsia="Calibri" w:hAnsi="Calibri" w:cs="Calibri"/>
                <w:b/>
                <w:color w:val="000000"/>
                <w:sz w:val="20"/>
              </w:rPr>
              <w:t>Trailing 4-Quarters Ended</w:t>
            </w:r>
          </w:p>
        </w:tc>
      </w:tr>
      <w:tr w:rsidR="006E442A" w14:paraId="684773EC" w14:textId="77777777" w:rsidTr="005C2225">
        <w:tc>
          <w:tcPr>
            <w:tcW w:w="3462" w:type="pct"/>
            <w:tcBorders>
              <w:top w:val="nil"/>
              <w:left w:val="nil"/>
              <w:bottom w:val="nil"/>
              <w:right w:val="nil"/>
              <w:tl2br w:val="nil"/>
              <w:tr2bl w:val="nil"/>
            </w:tcBorders>
            <w:shd w:val="solid" w:color="FFFFFF" w:fill="FFFFFF"/>
            <w:vAlign w:val="bottom"/>
          </w:tcPr>
          <w:p w14:paraId="68AE464D" w14:textId="77777777" w:rsidR="006E442A" w:rsidRDefault="006E442A" w:rsidP="006E442A">
            <w:pPr>
              <w:spacing w:after="1"/>
              <w:rPr>
                <w:rFonts w:ascii="Calibri" w:eastAsia="Calibri" w:hAnsi="Calibri" w:cs="Calibri"/>
                <w:b/>
                <w:color w:val="000000"/>
                <w:sz w:val="20"/>
              </w:rPr>
            </w:pPr>
          </w:p>
        </w:tc>
        <w:tc>
          <w:tcPr>
            <w:tcW w:w="96" w:type="pct"/>
            <w:tcBorders>
              <w:top w:val="nil"/>
              <w:left w:val="nil"/>
              <w:bottom w:val="nil"/>
              <w:right w:val="nil"/>
              <w:tl2br w:val="nil"/>
              <w:tr2bl w:val="nil"/>
            </w:tcBorders>
            <w:shd w:val="solid" w:color="FFFFFF" w:fill="FFFFFF"/>
            <w:noWrap/>
            <w:vAlign w:val="bottom"/>
          </w:tcPr>
          <w:p w14:paraId="00CBD989" w14:textId="77777777" w:rsidR="006E442A" w:rsidRDefault="006E442A" w:rsidP="006E442A">
            <w:pPr>
              <w:spacing w:after="1"/>
              <w:rPr>
                <w:rFonts w:ascii="Calibri" w:eastAsia="Calibri" w:hAnsi="Calibri" w:cs="Calibri"/>
                <w:color w:val="000000"/>
                <w:sz w:val="20"/>
              </w:rPr>
            </w:pPr>
          </w:p>
        </w:tc>
        <w:tc>
          <w:tcPr>
            <w:tcW w:w="1442" w:type="pct"/>
            <w:gridSpan w:val="5"/>
            <w:tcBorders>
              <w:top w:val="nil"/>
              <w:left w:val="nil"/>
              <w:bottom w:val="single" w:sz="4" w:space="0" w:color="000000"/>
              <w:right w:val="nil"/>
              <w:tl2br w:val="nil"/>
              <w:tr2bl w:val="nil"/>
            </w:tcBorders>
            <w:shd w:val="solid" w:color="FFFFFF" w:fill="FFFFFF"/>
            <w:noWrap/>
            <w:vAlign w:val="bottom"/>
          </w:tcPr>
          <w:p w14:paraId="2764FCEA" w14:textId="77777777" w:rsidR="006E442A" w:rsidRDefault="006E442A" w:rsidP="006E442A">
            <w:pPr>
              <w:spacing w:after="1"/>
              <w:jc w:val="center"/>
              <w:rPr>
                <w:rFonts w:ascii="Calibri" w:eastAsia="Calibri" w:hAnsi="Calibri" w:cs="Calibri"/>
                <w:b/>
                <w:color w:val="000000"/>
                <w:sz w:val="20"/>
              </w:rPr>
            </w:pPr>
            <w:r>
              <w:rPr>
                <w:rFonts w:ascii="Calibri" w:eastAsia="Calibri" w:hAnsi="Calibri" w:cs="Calibri"/>
                <w:b/>
                <w:color w:val="000000"/>
                <w:sz w:val="20"/>
              </w:rPr>
              <w:t>March 31, </w:t>
            </w:r>
          </w:p>
        </w:tc>
      </w:tr>
      <w:tr w:rsidR="006E442A" w14:paraId="4293373D" w14:textId="77777777" w:rsidTr="005C2225">
        <w:trPr>
          <w:trHeight w:val="194"/>
        </w:trPr>
        <w:tc>
          <w:tcPr>
            <w:tcW w:w="3462" w:type="pct"/>
            <w:tcBorders>
              <w:top w:val="nil"/>
              <w:left w:val="nil"/>
              <w:bottom w:val="nil"/>
              <w:right w:val="nil"/>
              <w:tl2br w:val="nil"/>
              <w:tr2bl w:val="nil"/>
            </w:tcBorders>
            <w:shd w:val="solid" w:color="FFFFFF" w:fill="FFFFFF"/>
            <w:vAlign w:val="bottom"/>
          </w:tcPr>
          <w:p w14:paraId="1837250D" w14:textId="77777777" w:rsidR="006E442A" w:rsidRDefault="006E442A" w:rsidP="006E442A">
            <w:pPr>
              <w:spacing w:after="1"/>
              <w:rPr>
                <w:rFonts w:ascii="Calibri" w:eastAsia="Calibri" w:hAnsi="Calibri" w:cs="Calibri"/>
                <w:b/>
                <w:color w:val="000000"/>
                <w:sz w:val="20"/>
              </w:rPr>
            </w:pPr>
          </w:p>
        </w:tc>
        <w:tc>
          <w:tcPr>
            <w:tcW w:w="96" w:type="pct"/>
            <w:tcBorders>
              <w:top w:val="nil"/>
              <w:left w:val="nil"/>
              <w:bottom w:val="nil"/>
              <w:right w:val="nil"/>
              <w:tl2br w:val="nil"/>
              <w:tr2bl w:val="nil"/>
            </w:tcBorders>
            <w:shd w:val="solid" w:color="FFFFFF" w:fill="FFFFFF"/>
            <w:noWrap/>
            <w:vAlign w:val="bottom"/>
          </w:tcPr>
          <w:p w14:paraId="16952CB5" w14:textId="25A66290" w:rsidR="006E442A" w:rsidRDefault="006E442A" w:rsidP="006E442A">
            <w:pPr>
              <w:spacing w:after="1"/>
              <w:rPr>
                <w:rFonts w:ascii="Calibri" w:eastAsia="Calibri" w:hAnsi="Calibri" w:cs="Calibri"/>
                <w:b/>
                <w:color w:val="000000"/>
                <w:sz w:val="20"/>
              </w:rPr>
            </w:pPr>
          </w:p>
        </w:tc>
        <w:tc>
          <w:tcPr>
            <w:tcW w:w="673" w:type="pct"/>
            <w:gridSpan w:val="2"/>
            <w:tcBorders>
              <w:top w:val="nil"/>
              <w:left w:val="nil"/>
              <w:bottom w:val="single" w:sz="4" w:space="0" w:color="000000"/>
              <w:right w:val="nil"/>
              <w:tl2br w:val="nil"/>
              <w:tr2bl w:val="nil"/>
            </w:tcBorders>
            <w:shd w:val="solid" w:color="FFFFFF" w:fill="FFFFFF"/>
            <w:noWrap/>
            <w:vAlign w:val="bottom"/>
          </w:tcPr>
          <w:p w14:paraId="73E0CC14" w14:textId="77777777" w:rsidR="006E442A" w:rsidRDefault="006E442A" w:rsidP="005C2225">
            <w:pPr>
              <w:spacing w:after="1"/>
              <w:jc w:val="center"/>
              <w:rPr>
                <w:rFonts w:ascii="Calibri" w:eastAsia="Calibri" w:hAnsi="Calibri" w:cs="Calibri"/>
                <w:b/>
                <w:color w:val="000000"/>
                <w:sz w:val="20"/>
              </w:rPr>
            </w:pPr>
            <w:r>
              <w:rPr>
                <w:rFonts w:ascii="Calibri" w:eastAsia="Calibri" w:hAnsi="Calibri" w:cs="Calibri"/>
                <w:b/>
                <w:color w:val="000000"/>
                <w:sz w:val="20"/>
              </w:rPr>
              <w:t>2022</w:t>
            </w:r>
          </w:p>
        </w:tc>
        <w:tc>
          <w:tcPr>
            <w:tcW w:w="75" w:type="pct"/>
            <w:tcBorders>
              <w:top w:val="nil"/>
              <w:left w:val="nil"/>
              <w:bottom w:val="nil"/>
              <w:right w:val="nil"/>
              <w:tl2br w:val="nil"/>
              <w:tr2bl w:val="nil"/>
            </w:tcBorders>
            <w:shd w:val="solid" w:color="FFFFFF" w:fill="FFFFFF"/>
            <w:noWrap/>
            <w:vAlign w:val="bottom"/>
          </w:tcPr>
          <w:p w14:paraId="1202218A" w14:textId="7B1FE695" w:rsidR="006E442A" w:rsidRDefault="006E442A" w:rsidP="005C2225">
            <w:pPr>
              <w:spacing w:after="1"/>
              <w:jc w:val="center"/>
              <w:rPr>
                <w:rFonts w:ascii="Calibri" w:eastAsia="Calibri" w:hAnsi="Calibri" w:cs="Calibri"/>
                <w:b/>
                <w:color w:val="000000"/>
                <w:sz w:val="20"/>
              </w:rPr>
            </w:pPr>
          </w:p>
        </w:tc>
        <w:tc>
          <w:tcPr>
            <w:tcW w:w="694" w:type="pct"/>
            <w:gridSpan w:val="2"/>
            <w:tcBorders>
              <w:top w:val="nil"/>
              <w:left w:val="nil"/>
              <w:bottom w:val="single" w:sz="4" w:space="0" w:color="000000"/>
              <w:right w:val="nil"/>
              <w:tl2br w:val="nil"/>
              <w:tr2bl w:val="nil"/>
            </w:tcBorders>
            <w:shd w:val="solid" w:color="FFFFFF" w:fill="FFFFFF"/>
            <w:noWrap/>
            <w:vAlign w:val="bottom"/>
          </w:tcPr>
          <w:p w14:paraId="76CD71CA" w14:textId="77777777" w:rsidR="006E442A" w:rsidRDefault="006E442A" w:rsidP="005C2225">
            <w:pPr>
              <w:spacing w:after="1"/>
              <w:jc w:val="center"/>
              <w:rPr>
                <w:rFonts w:ascii="Calibri" w:eastAsia="Calibri" w:hAnsi="Calibri" w:cs="Calibri"/>
                <w:b/>
                <w:color w:val="000000"/>
                <w:sz w:val="20"/>
              </w:rPr>
            </w:pPr>
            <w:r>
              <w:rPr>
                <w:rFonts w:ascii="Calibri" w:eastAsia="Calibri" w:hAnsi="Calibri" w:cs="Calibri"/>
                <w:b/>
                <w:color w:val="000000"/>
                <w:sz w:val="20"/>
              </w:rPr>
              <w:t>2023</w:t>
            </w:r>
          </w:p>
        </w:tc>
      </w:tr>
      <w:tr w:rsidR="006E442A" w14:paraId="01DAA3E3" w14:textId="77777777" w:rsidTr="005C2225">
        <w:tc>
          <w:tcPr>
            <w:tcW w:w="3462" w:type="pct"/>
            <w:tcBorders>
              <w:top w:val="nil"/>
              <w:left w:val="nil"/>
              <w:bottom w:val="nil"/>
              <w:right w:val="nil"/>
              <w:tl2br w:val="nil"/>
              <w:tr2bl w:val="nil"/>
            </w:tcBorders>
            <w:shd w:val="solid" w:color="FFFFFF" w:fill="FFFFFF"/>
            <w:vAlign w:val="bottom"/>
          </w:tcPr>
          <w:p w14:paraId="24BAE585" w14:textId="77777777" w:rsidR="006E442A" w:rsidRDefault="006E442A" w:rsidP="006E442A">
            <w:pPr>
              <w:spacing w:after="1"/>
              <w:rPr>
                <w:rFonts w:ascii="Calibri" w:eastAsia="Calibri" w:hAnsi="Calibri" w:cs="Calibri"/>
                <w:b/>
                <w:color w:val="000000"/>
                <w:sz w:val="20"/>
              </w:rPr>
            </w:pPr>
          </w:p>
        </w:tc>
        <w:tc>
          <w:tcPr>
            <w:tcW w:w="96" w:type="pct"/>
            <w:tcBorders>
              <w:top w:val="nil"/>
              <w:left w:val="nil"/>
              <w:bottom w:val="nil"/>
              <w:right w:val="nil"/>
              <w:tl2br w:val="nil"/>
              <w:tr2bl w:val="nil"/>
            </w:tcBorders>
            <w:shd w:val="solid" w:color="FFFFFF" w:fill="FFFFFF"/>
            <w:noWrap/>
            <w:vAlign w:val="bottom"/>
          </w:tcPr>
          <w:p w14:paraId="3103E84C" w14:textId="77777777" w:rsidR="006E442A" w:rsidRDefault="006E442A" w:rsidP="006E442A">
            <w:pPr>
              <w:spacing w:after="1"/>
              <w:rPr>
                <w:rFonts w:ascii="Calibri" w:eastAsia="Calibri" w:hAnsi="Calibri" w:cs="Calibri"/>
                <w:b/>
                <w:color w:val="000000"/>
                <w:sz w:val="20"/>
              </w:rPr>
            </w:pPr>
          </w:p>
        </w:tc>
        <w:tc>
          <w:tcPr>
            <w:tcW w:w="1442" w:type="pct"/>
            <w:gridSpan w:val="5"/>
            <w:tcBorders>
              <w:top w:val="nil"/>
              <w:left w:val="nil"/>
              <w:bottom w:val="nil"/>
              <w:right w:val="nil"/>
              <w:tl2br w:val="nil"/>
              <w:tr2bl w:val="nil"/>
            </w:tcBorders>
            <w:shd w:val="solid" w:color="FFFFFF" w:fill="FFFFFF"/>
            <w:noWrap/>
            <w:vAlign w:val="bottom"/>
          </w:tcPr>
          <w:p w14:paraId="7DF3824C" w14:textId="77777777" w:rsidR="006E442A" w:rsidRDefault="006E442A" w:rsidP="006E442A">
            <w:pPr>
              <w:spacing w:after="1"/>
              <w:jc w:val="center"/>
              <w:rPr>
                <w:rFonts w:ascii="Calibri" w:eastAsia="Calibri" w:hAnsi="Calibri" w:cs="Calibri"/>
                <w:b/>
                <w:color w:val="000000"/>
                <w:sz w:val="20"/>
              </w:rPr>
            </w:pPr>
            <w:r>
              <w:rPr>
                <w:rFonts w:ascii="Calibri" w:eastAsia="Calibri" w:hAnsi="Calibri" w:cs="Calibri"/>
                <w:b/>
                <w:color w:val="000000"/>
                <w:sz w:val="20"/>
              </w:rPr>
              <w:t>(</w:t>
            </w:r>
            <w:proofErr w:type="gramStart"/>
            <w:r>
              <w:rPr>
                <w:rFonts w:ascii="Calibri" w:eastAsia="Calibri" w:hAnsi="Calibri" w:cs="Calibri"/>
                <w:b/>
                <w:color w:val="000000"/>
                <w:sz w:val="20"/>
              </w:rPr>
              <w:t>in</w:t>
            </w:r>
            <w:proofErr w:type="gramEnd"/>
            <w:r>
              <w:rPr>
                <w:rFonts w:ascii="Calibri" w:eastAsia="Calibri" w:hAnsi="Calibri" w:cs="Calibri"/>
                <w:b/>
                <w:color w:val="000000"/>
                <w:sz w:val="20"/>
              </w:rPr>
              <w:t xml:space="preserve"> thousands)</w:t>
            </w:r>
          </w:p>
        </w:tc>
      </w:tr>
      <w:tr w:rsidR="006E442A" w14:paraId="23067624" w14:textId="77777777" w:rsidTr="005C2225">
        <w:tc>
          <w:tcPr>
            <w:tcW w:w="3462" w:type="pct"/>
            <w:tcBorders>
              <w:top w:val="nil"/>
              <w:left w:val="nil"/>
              <w:bottom w:val="nil"/>
              <w:right w:val="nil"/>
              <w:tl2br w:val="nil"/>
              <w:tr2bl w:val="nil"/>
            </w:tcBorders>
            <w:shd w:val="solid" w:color="FFFFFF" w:fill="FFFFFF"/>
            <w:vAlign w:val="bottom"/>
          </w:tcPr>
          <w:p w14:paraId="3BCDDBC2"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Net cash provided by operating activities</w:t>
            </w:r>
          </w:p>
        </w:tc>
        <w:tc>
          <w:tcPr>
            <w:tcW w:w="96" w:type="pct"/>
            <w:tcBorders>
              <w:top w:val="nil"/>
              <w:left w:val="nil"/>
              <w:bottom w:val="nil"/>
              <w:right w:val="nil"/>
              <w:tl2br w:val="nil"/>
              <w:tr2bl w:val="nil"/>
            </w:tcBorders>
            <w:shd w:val="solid" w:color="FFFFFF" w:fill="FFFFFF"/>
            <w:noWrap/>
            <w:vAlign w:val="bottom"/>
          </w:tcPr>
          <w:p w14:paraId="63748655" w14:textId="77777777" w:rsidR="006E442A" w:rsidRDefault="006E442A" w:rsidP="006E442A">
            <w:pPr>
              <w:spacing w:after="1"/>
              <w:rPr>
                <w:rFonts w:ascii="Calibri" w:eastAsia="Calibri" w:hAnsi="Calibri" w:cs="Calibri"/>
                <w:color w:val="000000"/>
                <w:sz w:val="20"/>
              </w:rPr>
            </w:pPr>
          </w:p>
        </w:tc>
        <w:tc>
          <w:tcPr>
            <w:tcW w:w="96" w:type="pct"/>
            <w:tcBorders>
              <w:top w:val="nil"/>
              <w:left w:val="nil"/>
              <w:bottom w:val="nil"/>
              <w:right w:val="nil"/>
              <w:tl2br w:val="nil"/>
              <w:tr2bl w:val="nil"/>
            </w:tcBorders>
            <w:shd w:val="solid" w:color="FFFFFF" w:fill="FFFFFF"/>
            <w:noWrap/>
            <w:vAlign w:val="bottom"/>
          </w:tcPr>
          <w:p w14:paraId="08524818"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w:t>
            </w:r>
          </w:p>
        </w:tc>
        <w:tc>
          <w:tcPr>
            <w:tcW w:w="577" w:type="pct"/>
            <w:tcBorders>
              <w:top w:val="nil"/>
              <w:left w:val="nil"/>
              <w:bottom w:val="nil"/>
              <w:right w:val="nil"/>
              <w:tl2br w:val="nil"/>
              <w:tr2bl w:val="nil"/>
            </w:tcBorders>
            <w:shd w:val="solid" w:color="FFFFFF" w:fill="FFFFFF"/>
            <w:noWrap/>
            <w:vAlign w:val="bottom"/>
          </w:tcPr>
          <w:p w14:paraId="57A472B2"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275,148</w:t>
            </w:r>
          </w:p>
        </w:tc>
        <w:tc>
          <w:tcPr>
            <w:tcW w:w="75" w:type="pct"/>
            <w:tcBorders>
              <w:top w:val="nil"/>
              <w:left w:val="nil"/>
              <w:bottom w:val="nil"/>
              <w:right w:val="nil"/>
              <w:tl2br w:val="nil"/>
              <w:tr2bl w:val="nil"/>
            </w:tcBorders>
            <w:shd w:val="solid" w:color="FFFFFF" w:fill="FFFFFF"/>
            <w:noWrap/>
            <w:vAlign w:val="bottom"/>
          </w:tcPr>
          <w:p w14:paraId="5AD0F66C" w14:textId="77777777" w:rsidR="006E442A" w:rsidRDefault="006E442A" w:rsidP="006E442A">
            <w:pPr>
              <w:spacing w:after="1"/>
              <w:rPr>
                <w:rFonts w:ascii="Calibri" w:eastAsia="Calibri" w:hAnsi="Calibri" w:cs="Calibri"/>
                <w:color w:val="000000"/>
                <w:sz w:val="20"/>
              </w:rPr>
            </w:pPr>
          </w:p>
        </w:tc>
        <w:tc>
          <w:tcPr>
            <w:tcW w:w="97" w:type="pct"/>
            <w:tcBorders>
              <w:top w:val="nil"/>
              <w:left w:val="nil"/>
              <w:bottom w:val="nil"/>
              <w:right w:val="nil"/>
              <w:tl2br w:val="nil"/>
              <w:tr2bl w:val="nil"/>
            </w:tcBorders>
            <w:shd w:val="solid" w:color="FFFFFF" w:fill="FFFFFF"/>
            <w:noWrap/>
            <w:vAlign w:val="bottom"/>
          </w:tcPr>
          <w:p w14:paraId="1D8A6C52"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w:t>
            </w:r>
          </w:p>
        </w:tc>
        <w:tc>
          <w:tcPr>
            <w:tcW w:w="597" w:type="pct"/>
            <w:tcBorders>
              <w:top w:val="nil"/>
              <w:left w:val="nil"/>
              <w:bottom w:val="nil"/>
              <w:right w:val="nil"/>
              <w:tl2br w:val="nil"/>
              <w:tr2bl w:val="nil"/>
            </w:tcBorders>
            <w:shd w:val="solid" w:color="FFFFFF" w:fill="FFFFFF"/>
            <w:noWrap/>
            <w:vAlign w:val="bottom"/>
          </w:tcPr>
          <w:p w14:paraId="626A4C85"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290,013</w:t>
            </w:r>
          </w:p>
        </w:tc>
      </w:tr>
      <w:tr w:rsidR="006E442A" w14:paraId="5A90F10F" w14:textId="77777777" w:rsidTr="005C2225">
        <w:tc>
          <w:tcPr>
            <w:tcW w:w="3462" w:type="pct"/>
            <w:tcBorders>
              <w:top w:val="nil"/>
              <w:left w:val="nil"/>
              <w:bottom w:val="nil"/>
              <w:right w:val="nil"/>
              <w:tl2br w:val="nil"/>
              <w:tr2bl w:val="nil"/>
            </w:tcBorders>
            <w:shd w:val="solid" w:color="FFFFFF" w:fill="FFFFFF"/>
            <w:vAlign w:val="bottom"/>
          </w:tcPr>
          <w:p w14:paraId="49EF052A"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Purchase of fixed assets</w:t>
            </w:r>
          </w:p>
        </w:tc>
        <w:tc>
          <w:tcPr>
            <w:tcW w:w="96" w:type="pct"/>
            <w:tcBorders>
              <w:top w:val="nil"/>
              <w:left w:val="nil"/>
              <w:bottom w:val="nil"/>
              <w:right w:val="nil"/>
              <w:tl2br w:val="nil"/>
              <w:tr2bl w:val="nil"/>
            </w:tcBorders>
            <w:shd w:val="solid" w:color="FFFFFF" w:fill="FFFFFF"/>
            <w:noWrap/>
            <w:vAlign w:val="bottom"/>
          </w:tcPr>
          <w:p w14:paraId="71A5FE09" w14:textId="77777777" w:rsidR="006E442A" w:rsidRDefault="006E442A" w:rsidP="006E442A">
            <w:pPr>
              <w:spacing w:after="1"/>
              <w:rPr>
                <w:rFonts w:ascii="Calibri" w:eastAsia="Calibri" w:hAnsi="Calibri" w:cs="Calibri"/>
                <w:color w:val="000000"/>
                <w:sz w:val="20"/>
              </w:rPr>
            </w:pPr>
          </w:p>
        </w:tc>
        <w:tc>
          <w:tcPr>
            <w:tcW w:w="96" w:type="pct"/>
            <w:tcBorders>
              <w:top w:val="nil"/>
              <w:left w:val="nil"/>
              <w:bottom w:val="nil"/>
              <w:right w:val="nil"/>
              <w:tl2br w:val="nil"/>
              <w:tr2bl w:val="nil"/>
            </w:tcBorders>
            <w:shd w:val="solid" w:color="FFFFFF" w:fill="FFFFFF"/>
            <w:noWrap/>
            <w:vAlign w:val="bottom"/>
          </w:tcPr>
          <w:p w14:paraId="080FA10D"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577" w:type="pct"/>
            <w:tcBorders>
              <w:top w:val="nil"/>
              <w:left w:val="nil"/>
              <w:bottom w:val="nil"/>
              <w:right w:val="nil"/>
              <w:tl2br w:val="nil"/>
              <w:tr2bl w:val="nil"/>
            </w:tcBorders>
            <w:shd w:val="solid" w:color="FFFFFF" w:fill="FFFFFF"/>
            <w:noWrap/>
            <w:vAlign w:val="bottom"/>
          </w:tcPr>
          <w:p w14:paraId="5AA213E9" w14:textId="77777777" w:rsidR="006E442A" w:rsidRDefault="006E442A" w:rsidP="006E442A">
            <w:pPr>
              <w:spacing w:after="1"/>
              <w:jc w:val="right"/>
              <w:rPr>
                <w:rFonts w:ascii="Calibri" w:eastAsia="Calibri" w:hAnsi="Calibri" w:cs="Calibri"/>
                <w:color w:val="000000"/>
                <w:sz w:val="20"/>
              </w:rPr>
            </w:pPr>
            <w:r>
              <w:rPr>
                <w:rFonts w:ascii="Calibri" w:eastAsia="Calibri" w:hAnsi="Calibri" w:cs="Calibri"/>
                <w:color w:val="000000"/>
                <w:sz w:val="20"/>
              </w:rPr>
              <w:t xml:space="preserve"> (11,415)</w:t>
            </w:r>
          </w:p>
        </w:tc>
        <w:tc>
          <w:tcPr>
            <w:tcW w:w="75" w:type="pct"/>
            <w:tcBorders>
              <w:top w:val="nil"/>
              <w:left w:val="nil"/>
              <w:bottom w:val="nil"/>
              <w:right w:val="nil"/>
              <w:tl2br w:val="nil"/>
              <w:tr2bl w:val="nil"/>
            </w:tcBorders>
            <w:shd w:val="solid" w:color="FFFFFF" w:fill="FFFFFF"/>
            <w:noWrap/>
            <w:vAlign w:val="bottom"/>
          </w:tcPr>
          <w:p w14:paraId="16E2C796" w14:textId="77777777" w:rsidR="006E442A" w:rsidRDefault="006E442A" w:rsidP="006E442A">
            <w:pPr>
              <w:spacing w:after="1"/>
              <w:rPr>
                <w:rFonts w:ascii="Calibri" w:eastAsia="Calibri" w:hAnsi="Calibri" w:cs="Calibri"/>
                <w:color w:val="000000"/>
                <w:sz w:val="20"/>
              </w:rPr>
            </w:pPr>
          </w:p>
        </w:tc>
        <w:tc>
          <w:tcPr>
            <w:tcW w:w="97" w:type="pct"/>
            <w:tcBorders>
              <w:top w:val="nil"/>
              <w:left w:val="nil"/>
              <w:bottom w:val="nil"/>
              <w:right w:val="nil"/>
              <w:tl2br w:val="nil"/>
              <w:tr2bl w:val="nil"/>
            </w:tcBorders>
            <w:shd w:val="solid" w:color="FFFFFF" w:fill="FFFFFF"/>
            <w:noWrap/>
            <w:vAlign w:val="bottom"/>
          </w:tcPr>
          <w:p w14:paraId="150F7539" w14:textId="77777777" w:rsidR="006E442A" w:rsidRDefault="006E442A" w:rsidP="006E442A">
            <w:pPr>
              <w:spacing w:after="1"/>
              <w:rPr>
                <w:rFonts w:ascii="Calibri" w:eastAsia="Calibri" w:hAnsi="Calibri" w:cs="Calibri"/>
                <w:color w:val="000000"/>
                <w:sz w:val="20"/>
              </w:rPr>
            </w:pPr>
          </w:p>
        </w:tc>
        <w:tc>
          <w:tcPr>
            <w:tcW w:w="597" w:type="pct"/>
            <w:tcBorders>
              <w:top w:val="nil"/>
              <w:left w:val="nil"/>
              <w:bottom w:val="nil"/>
              <w:right w:val="nil"/>
              <w:tl2br w:val="nil"/>
              <w:tr2bl w:val="nil"/>
            </w:tcBorders>
            <w:shd w:val="solid" w:color="FFFFFF" w:fill="FFFFFF"/>
            <w:noWrap/>
            <w:vAlign w:val="bottom"/>
          </w:tcPr>
          <w:p w14:paraId="0D10DA3C" w14:textId="77777777" w:rsidR="006E442A" w:rsidRDefault="006E442A" w:rsidP="006E442A">
            <w:pPr>
              <w:spacing w:after="1"/>
              <w:jc w:val="right"/>
              <w:rPr>
                <w:rFonts w:ascii="Calibri" w:eastAsia="Calibri" w:hAnsi="Calibri" w:cs="Calibri"/>
                <w:color w:val="000000"/>
                <w:sz w:val="20"/>
              </w:rPr>
            </w:pPr>
            <w:r>
              <w:rPr>
                <w:rFonts w:ascii="Calibri" w:eastAsia="Calibri" w:hAnsi="Calibri" w:cs="Calibri"/>
                <w:color w:val="000000"/>
                <w:sz w:val="20"/>
              </w:rPr>
              <w:t xml:space="preserve"> (23,394)</w:t>
            </w:r>
          </w:p>
        </w:tc>
      </w:tr>
      <w:tr w:rsidR="006E442A" w14:paraId="2307EE40" w14:textId="77777777" w:rsidTr="005C2225">
        <w:tc>
          <w:tcPr>
            <w:tcW w:w="3462" w:type="pct"/>
            <w:tcBorders>
              <w:top w:val="nil"/>
              <w:left w:val="nil"/>
              <w:bottom w:val="nil"/>
              <w:right w:val="nil"/>
              <w:tl2br w:val="nil"/>
              <w:tr2bl w:val="nil"/>
            </w:tcBorders>
            <w:shd w:val="solid" w:color="FFFFFF" w:fill="FFFFFF"/>
            <w:vAlign w:val="bottom"/>
          </w:tcPr>
          <w:p w14:paraId="057CAE4F"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Distributions for unitholders</w:t>
            </w:r>
          </w:p>
        </w:tc>
        <w:tc>
          <w:tcPr>
            <w:tcW w:w="96" w:type="pct"/>
            <w:tcBorders>
              <w:top w:val="nil"/>
              <w:left w:val="nil"/>
              <w:bottom w:val="nil"/>
              <w:right w:val="nil"/>
              <w:tl2br w:val="nil"/>
              <w:tr2bl w:val="nil"/>
            </w:tcBorders>
            <w:shd w:val="solid" w:color="FFFFFF" w:fill="FFFFFF"/>
            <w:noWrap/>
            <w:vAlign w:val="bottom"/>
          </w:tcPr>
          <w:p w14:paraId="1B37C8B8" w14:textId="77777777" w:rsidR="006E442A" w:rsidRDefault="006E442A" w:rsidP="006E442A">
            <w:pPr>
              <w:spacing w:after="1"/>
              <w:rPr>
                <w:rFonts w:ascii="Calibri" w:eastAsia="Calibri" w:hAnsi="Calibri" w:cs="Calibri"/>
                <w:color w:val="000000"/>
                <w:sz w:val="20"/>
              </w:rPr>
            </w:pPr>
          </w:p>
        </w:tc>
        <w:tc>
          <w:tcPr>
            <w:tcW w:w="96" w:type="pct"/>
            <w:tcBorders>
              <w:top w:val="nil"/>
              <w:left w:val="nil"/>
              <w:bottom w:val="nil"/>
              <w:right w:val="nil"/>
              <w:tl2br w:val="nil"/>
              <w:tr2bl w:val="nil"/>
            </w:tcBorders>
            <w:shd w:val="solid" w:color="FFFFFF" w:fill="FFFFFF"/>
            <w:noWrap/>
            <w:vAlign w:val="bottom"/>
          </w:tcPr>
          <w:p w14:paraId="461C0147"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 </w:t>
            </w:r>
          </w:p>
        </w:tc>
        <w:tc>
          <w:tcPr>
            <w:tcW w:w="577" w:type="pct"/>
            <w:tcBorders>
              <w:top w:val="nil"/>
              <w:left w:val="nil"/>
              <w:bottom w:val="nil"/>
              <w:right w:val="nil"/>
              <w:tl2br w:val="nil"/>
              <w:tr2bl w:val="nil"/>
            </w:tcBorders>
            <w:shd w:val="solid" w:color="FFFFFF" w:fill="FFFFFF"/>
            <w:noWrap/>
            <w:vAlign w:val="bottom"/>
          </w:tcPr>
          <w:p w14:paraId="3B69D0BE" w14:textId="77777777" w:rsidR="006E442A" w:rsidRDefault="006E442A" w:rsidP="006E442A">
            <w:pPr>
              <w:spacing w:after="1"/>
              <w:jc w:val="right"/>
              <w:rPr>
                <w:rFonts w:ascii="Calibri" w:eastAsia="Calibri" w:hAnsi="Calibri" w:cs="Calibri"/>
                <w:color w:val="000000"/>
                <w:sz w:val="20"/>
              </w:rPr>
            </w:pPr>
            <w:r>
              <w:rPr>
                <w:rFonts w:ascii="Calibri" w:eastAsia="Calibri" w:hAnsi="Calibri" w:cs="Calibri"/>
                <w:color w:val="000000"/>
                <w:sz w:val="20"/>
              </w:rPr>
              <w:t xml:space="preserve"> (31,465)</w:t>
            </w:r>
          </w:p>
        </w:tc>
        <w:tc>
          <w:tcPr>
            <w:tcW w:w="75" w:type="pct"/>
            <w:tcBorders>
              <w:top w:val="nil"/>
              <w:left w:val="nil"/>
              <w:bottom w:val="nil"/>
              <w:right w:val="nil"/>
              <w:tl2br w:val="nil"/>
              <w:tr2bl w:val="nil"/>
            </w:tcBorders>
            <w:shd w:val="solid" w:color="FFFFFF" w:fill="FFFFFF"/>
            <w:noWrap/>
            <w:vAlign w:val="bottom"/>
          </w:tcPr>
          <w:p w14:paraId="6579DB98" w14:textId="77777777" w:rsidR="006E442A" w:rsidRDefault="006E442A" w:rsidP="006E442A">
            <w:pPr>
              <w:spacing w:after="1"/>
              <w:rPr>
                <w:rFonts w:ascii="Calibri" w:eastAsia="Calibri" w:hAnsi="Calibri" w:cs="Calibri"/>
                <w:color w:val="000000"/>
                <w:sz w:val="20"/>
              </w:rPr>
            </w:pPr>
          </w:p>
        </w:tc>
        <w:tc>
          <w:tcPr>
            <w:tcW w:w="97" w:type="pct"/>
            <w:tcBorders>
              <w:top w:val="nil"/>
              <w:left w:val="nil"/>
              <w:bottom w:val="nil"/>
              <w:right w:val="nil"/>
              <w:tl2br w:val="nil"/>
              <w:tr2bl w:val="nil"/>
            </w:tcBorders>
            <w:shd w:val="solid" w:color="FFFFFF" w:fill="FFFFFF"/>
            <w:noWrap/>
            <w:vAlign w:val="bottom"/>
          </w:tcPr>
          <w:p w14:paraId="0EEA3681" w14:textId="77777777" w:rsidR="006E442A" w:rsidRDefault="006E442A" w:rsidP="006E442A">
            <w:pPr>
              <w:spacing w:after="1"/>
              <w:rPr>
                <w:rFonts w:ascii="Calibri" w:eastAsia="Calibri" w:hAnsi="Calibri" w:cs="Calibri"/>
                <w:color w:val="000000"/>
                <w:sz w:val="20"/>
              </w:rPr>
            </w:pPr>
          </w:p>
        </w:tc>
        <w:tc>
          <w:tcPr>
            <w:tcW w:w="597" w:type="pct"/>
            <w:tcBorders>
              <w:top w:val="nil"/>
              <w:left w:val="nil"/>
              <w:bottom w:val="nil"/>
              <w:right w:val="nil"/>
              <w:tl2br w:val="nil"/>
              <w:tr2bl w:val="nil"/>
            </w:tcBorders>
            <w:shd w:val="solid" w:color="FFFFFF" w:fill="FFFFFF"/>
            <w:noWrap/>
            <w:vAlign w:val="bottom"/>
          </w:tcPr>
          <w:p w14:paraId="4A39B600" w14:textId="77777777" w:rsidR="006E442A" w:rsidRDefault="006E442A" w:rsidP="006E442A">
            <w:pPr>
              <w:spacing w:after="1"/>
              <w:jc w:val="right"/>
              <w:rPr>
                <w:rFonts w:ascii="Calibri" w:eastAsia="Calibri" w:hAnsi="Calibri" w:cs="Calibri"/>
                <w:color w:val="000000"/>
                <w:sz w:val="20"/>
              </w:rPr>
            </w:pPr>
            <w:r>
              <w:rPr>
                <w:rFonts w:ascii="Calibri" w:eastAsia="Calibri" w:hAnsi="Calibri" w:cs="Calibri"/>
                <w:color w:val="000000"/>
                <w:sz w:val="20"/>
              </w:rPr>
              <w:t xml:space="preserve"> (16,306)</w:t>
            </w:r>
          </w:p>
        </w:tc>
      </w:tr>
      <w:tr w:rsidR="006E442A" w14:paraId="2CF216AB" w14:textId="77777777" w:rsidTr="005C2225">
        <w:tc>
          <w:tcPr>
            <w:tcW w:w="3462" w:type="pct"/>
            <w:tcBorders>
              <w:top w:val="nil"/>
              <w:left w:val="nil"/>
              <w:bottom w:val="nil"/>
              <w:right w:val="nil"/>
              <w:tl2br w:val="nil"/>
              <w:tr2bl w:val="nil"/>
            </w:tcBorders>
            <w:shd w:val="solid" w:color="FFFFFF" w:fill="FFFFFF"/>
            <w:vAlign w:val="bottom"/>
          </w:tcPr>
          <w:p w14:paraId="024BD556"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Payments under tax receivable agreements</w:t>
            </w:r>
          </w:p>
        </w:tc>
        <w:tc>
          <w:tcPr>
            <w:tcW w:w="96" w:type="pct"/>
            <w:tcBorders>
              <w:top w:val="nil"/>
              <w:left w:val="nil"/>
              <w:bottom w:val="nil"/>
              <w:right w:val="nil"/>
              <w:tl2br w:val="nil"/>
              <w:tr2bl w:val="nil"/>
            </w:tcBorders>
            <w:shd w:val="solid" w:color="FFFFFF" w:fill="FFFFFF"/>
            <w:noWrap/>
            <w:vAlign w:val="bottom"/>
          </w:tcPr>
          <w:p w14:paraId="3243EDAE" w14:textId="77777777" w:rsidR="006E442A" w:rsidRDefault="006E442A" w:rsidP="006E442A">
            <w:pPr>
              <w:spacing w:after="1"/>
              <w:rPr>
                <w:rFonts w:ascii="Calibri" w:eastAsia="Calibri" w:hAnsi="Calibri" w:cs="Calibri"/>
                <w:color w:val="000000"/>
                <w:sz w:val="20"/>
              </w:rPr>
            </w:pPr>
          </w:p>
        </w:tc>
        <w:tc>
          <w:tcPr>
            <w:tcW w:w="96" w:type="pct"/>
            <w:tcBorders>
              <w:top w:val="nil"/>
              <w:left w:val="nil"/>
              <w:bottom w:val="single" w:sz="4" w:space="0" w:color="000000"/>
              <w:right w:val="nil"/>
              <w:tl2br w:val="nil"/>
              <w:tr2bl w:val="nil"/>
            </w:tcBorders>
            <w:shd w:val="solid" w:color="FFFFFF" w:fill="FFFFFF"/>
            <w:noWrap/>
            <w:vAlign w:val="bottom"/>
          </w:tcPr>
          <w:p w14:paraId="7301F0D8" w14:textId="77777777" w:rsidR="006E442A" w:rsidRDefault="006E442A" w:rsidP="006E442A">
            <w:pPr>
              <w:spacing w:after="1"/>
              <w:rPr>
                <w:rFonts w:ascii="Calibri" w:eastAsia="Calibri" w:hAnsi="Calibri" w:cs="Calibri"/>
                <w:color w:val="000000"/>
                <w:sz w:val="20"/>
              </w:rPr>
            </w:pPr>
          </w:p>
        </w:tc>
        <w:tc>
          <w:tcPr>
            <w:tcW w:w="577" w:type="pct"/>
            <w:tcBorders>
              <w:top w:val="nil"/>
              <w:left w:val="nil"/>
              <w:bottom w:val="single" w:sz="4" w:space="0" w:color="000000"/>
              <w:right w:val="nil"/>
              <w:tl2br w:val="nil"/>
              <w:tr2bl w:val="nil"/>
            </w:tcBorders>
            <w:shd w:val="solid" w:color="FFFFFF" w:fill="FFFFFF"/>
            <w:noWrap/>
            <w:vAlign w:val="bottom"/>
          </w:tcPr>
          <w:p w14:paraId="2C818E00" w14:textId="77777777" w:rsidR="006E442A" w:rsidRDefault="006E442A" w:rsidP="006E442A">
            <w:pPr>
              <w:spacing w:after="1"/>
              <w:jc w:val="right"/>
              <w:rPr>
                <w:rFonts w:ascii="Calibri" w:eastAsia="Calibri" w:hAnsi="Calibri" w:cs="Calibri"/>
                <w:color w:val="000000"/>
                <w:sz w:val="20"/>
              </w:rPr>
            </w:pPr>
            <w:r>
              <w:rPr>
                <w:rFonts w:ascii="Calibri" w:eastAsia="Calibri" w:hAnsi="Calibri" w:cs="Calibri"/>
                <w:color w:val="000000"/>
                <w:sz w:val="20"/>
              </w:rPr>
              <w:t xml:space="preserve"> (4,167)</w:t>
            </w:r>
          </w:p>
        </w:tc>
        <w:tc>
          <w:tcPr>
            <w:tcW w:w="75" w:type="pct"/>
            <w:tcBorders>
              <w:top w:val="nil"/>
              <w:left w:val="nil"/>
              <w:bottom w:val="nil"/>
              <w:right w:val="nil"/>
              <w:tl2br w:val="nil"/>
              <w:tr2bl w:val="nil"/>
            </w:tcBorders>
            <w:shd w:val="solid" w:color="FFFFFF" w:fill="FFFFFF"/>
            <w:noWrap/>
            <w:vAlign w:val="bottom"/>
          </w:tcPr>
          <w:p w14:paraId="01314F79" w14:textId="77777777" w:rsidR="006E442A" w:rsidRDefault="006E442A" w:rsidP="006E442A">
            <w:pPr>
              <w:spacing w:after="1"/>
              <w:rPr>
                <w:rFonts w:ascii="Calibri" w:eastAsia="Calibri" w:hAnsi="Calibri" w:cs="Calibri"/>
                <w:color w:val="000000"/>
                <w:sz w:val="20"/>
              </w:rPr>
            </w:pPr>
          </w:p>
        </w:tc>
        <w:tc>
          <w:tcPr>
            <w:tcW w:w="97" w:type="pct"/>
            <w:tcBorders>
              <w:top w:val="nil"/>
              <w:left w:val="nil"/>
              <w:bottom w:val="single" w:sz="4" w:space="0" w:color="000000"/>
              <w:right w:val="nil"/>
              <w:tl2br w:val="nil"/>
              <w:tr2bl w:val="nil"/>
            </w:tcBorders>
            <w:shd w:val="solid" w:color="FFFFFF" w:fill="FFFFFF"/>
            <w:noWrap/>
            <w:vAlign w:val="bottom"/>
          </w:tcPr>
          <w:p w14:paraId="5BC294A5" w14:textId="77777777" w:rsidR="006E442A" w:rsidRDefault="006E442A" w:rsidP="006E442A">
            <w:pPr>
              <w:spacing w:after="1"/>
              <w:rPr>
                <w:rFonts w:ascii="Calibri" w:eastAsia="Calibri" w:hAnsi="Calibri" w:cs="Calibri"/>
                <w:color w:val="000000"/>
                <w:sz w:val="20"/>
              </w:rPr>
            </w:pPr>
          </w:p>
        </w:tc>
        <w:tc>
          <w:tcPr>
            <w:tcW w:w="597" w:type="pct"/>
            <w:tcBorders>
              <w:top w:val="nil"/>
              <w:left w:val="nil"/>
              <w:bottom w:val="single" w:sz="4" w:space="0" w:color="000000"/>
              <w:right w:val="nil"/>
              <w:tl2br w:val="nil"/>
              <w:tr2bl w:val="nil"/>
            </w:tcBorders>
            <w:shd w:val="solid" w:color="FFFFFF" w:fill="FFFFFF"/>
            <w:noWrap/>
            <w:vAlign w:val="bottom"/>
          </w:tcPr>
          <w:p w14:paraId="52CD66EB" w14:textId="77777777" w:rsidR="006E442A" w:rsidRDefault="006E442A" w:rsidP="006E442A">
            <w:pPr>
              <w:spacing w:after="1"/>
              <w:jc w:val="right"/>
              <w:rPr>
                <w:rFonts w:ascii="Calibri" w:eastAsia="Calibri" w:hAnsi="Calibri" w:cs="Calibri"/>
                <w:color w:val="000000"/>
                <w:sz w:val="20"/>
              </w:rPr>
            </w:pPr>
            <w:r>
              <w:rPr>
                <w:rFonts w:ascii="Calibri" w:eastAsia="Calibri" w:hAnsi="Calibri" w:cs="Calibri"/>
                <w:color w:val="000000"/>
                <w:sz w:val="20"/>
              </w:rPr>
              <w:t xml:space="preserve"> (9,598)</w:t>
            </w:r>
          </w:p>
        </w:tc>
      </w:tr>
      <w:tr w:rsidR="006E442A" w14:paraId="0710804F" w14:textId="77777777" w:rsidTr="005C2225">
        <w:tc>
          <w:tcPr>
            <w:tcW w:w="3462" w:type="pct"/>
            <w:tcBorders>
              <w:top w:val="nil"/>
              <w:left w:val="nil"/>
              <w:bottom w:val="nil"/>
              <w:right w:val="nil"/>
              <w:tl2br w:val="nil"/>
              <w:tr2bl w:val="nil"/>
            </w:tcBorders>
            <w:shd w:val="solid" w:color="FFFFFF" w:fill="FFFFFF"/>
            <w:vAlign w:val="bottom"/>
          </w:tcPr>
          <w:p w14:paraId="5E5C7B08" w14:textId="77777777" w:rsidR="006E442A" w:rsidRDefault="006E442A" w:rsidP="006E442A">
            <w:pPr>
              <w:spacing w:after="1"/>
              <w:rPr>
                <w:rFonts w:ascii="Calibri" w:eastAsia="Calibri" w:hAnsi="Calibri" w:cs="Calibri"/>
                <w:b/>
                <w:color w:val="000000"/>
                <w:sz w:val="20"/>
              </w:rPr>
            </w:pPr>
            <w:r>
              <w:rPr>
                <w:rFonts w:ascii="Calibri" w:eastAsia="Calibri" w:hAnsi="Calibri" w:cs="Calibri"/>
                <w:b/>
                <w:color w:val="000000"/>
                <w:sz w:val="20"/>
              </w:rPr>
              <w:t>Adjusted Free Cash Flow</w:t>
            </w:r>
          </w:p>
        </w:tc>
        <w:tc>
          <w:tcPr>
            <w:tcW w:w="96" w:type="pct"/>
            <w:tcBorders>
              <w:top w:val="nil"/>
              <w:left w:val="nil"/>
              <w:bottom w:val="nil"/>
              <w:right w:val="nil"/>
              <w:tl2br w:val="nil"/>
              <w:tr2bl w:val="nil"/>
            </w:tcBorders>
            <w:shd w:val="solid" w:color="FFFFFF" w:fill="FFFFFF"/>
            <w:noWrap/>
            <w:vAlign w:val="bottom"/>
          </w:tcPr>
          <w:p w14:paraId="1CE8C4BD" w14:textId="77777777" w:rsidR="006E442A" w:rsidRDefault="006E442A" w:rsidP="006E442A">
            <w:pPr>
              <w:spacing w:after="1"/>
              <w:rPr>
                <w:rFonts w:ascii="Calibri" w:eastAsia="Calibri" w:hAnsi="Calibri" w:cs="Calibri"/>
                <w:color w:val="000000"/>
                <w:sz w:val="20"/>
              </w:rPr>
            </w:pPr>
          </w:p>
        </w:tc>
        <w:tc>
          <w:tcPr>
            <w:tcW w:w="96" w:type="pct"/>
            <w:tcBorders>
              <w:top w:val="nil"/>
              <w:left w:val="nil"/>
              <w:bottom w:val="nil"/>
              <w:right w:val="nil"/>
              <w:tl2br w:val="nil"/>
              <w:tr2bl w:val="nil"/>
            </w:tcBorders>
            <w:shd w:val="solid" w:color="FFFFFF" w:fill="FFFFFF"/>
            <w:noWrap/>
            <w:vAlign w:val="bottom"/>
          </w:tcPr>
          <w:p w14:paraId="28D0508B"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w:t>
            </w:r>
          </w:p>
        </w:tc>
        <w:tc>
          <w:tcPr>
            <w:tcW w:w="577" w:type="pct"/>
            <w:tcBorders>
              <w:top w:val="nil"/>
              <w:left w:val="nil"/>
              <w:bottom w:val="nil"/>
              <w:right w:val="nil"/>
              <w:tl2br w:val="nil"/>
              <w:tr2bl w:val="nil"/>
            </w:tcBorders>
            <w:shd w:val="solid" w:color="FFFFFF" w:fill="FFFFFF"/>
            <w:noWrap/>
            <w:vAlign w:val="bottom"/>
          </w:tcPr>
          <w:p w14:paraId="5AAE9BB8"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228,101</w:t>
            </w:r>
          </w:p>
        </w:tc>
        <w:tc>
          <w:tcPr>
            <w:tcW w:w="75" w:type="pct"/>
            <w:tcBorders>
              <w:top w:val="nil"/>
              <w:left w:val="nil"/>
              <w:bottom w:val="nil"/>
              <w:right w:val="nil"/>
              <w:tl2br w:val="nil"/>
              <w:tr2bl w:val="nil"/>
            </w:tcBorders>
            <w:shd w:val="solid" w:color="FFFFFF" w:fill="FFFFFF"/>
            <w:noWrap/>
            <w:vAlign w:val="bottom"/>
          </w:tcPr>
          <w:p w14:paraId="7798B6A9" w14:textId="77777777" w:rsidR="006E442A" w:rsidRDefault="006E442A" w:rsidP="006E442A">
            <w:pPr>
              <w:spacing w:after="1"/>
              <w:rPr>
                <w:rFonts w:ascii="Calibri" w:eastAsia="Calibri" w:hAnsi="Calibri" w:cs="Calibri"/>
                <w:color w:val="000000"/>
                <w:sz w:val="20"/>
              </w:rPr>
            </w:pPr>
          </w:p>
        </w:tc>
        <w:tc>
          <w:tcPr>
            <w:tcW w:w="97" w:type="pct"/>
            <w:tcBorders>
              <w:top w:val="nil"/>
              <w:left w:val="nil"/>
              <w:bottom w:val="nil"/>
              <w:right w:val="nil"/>
              <w:tl2br w:val="nil"/>
              <w:tr2bl w:val="nil"/>
            </w:tcBorders>
            <w:shd w:val="solid" w:color="FFFFFF" w:fill="FFFFFF"/>
            <w:noWrap/>
            <w:vAlign w:val="bottom"/>
          </w:tcPr>
          <w:p w14:paraId="38A462E9"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w:t>
            </w:r>
          </w:p>
        </w:tc>
        <w:tc>
          <w:tcPr>
            <w:tcW w:w="597" w:type="pct"/>
            <w:tcBorders>
              <w:top w:val="nil"/>
              <w:left w:val="nil"/>
              <w:bottom w:val="nil"/>
              <w:right w:val="nil"/>
              <w:tl2br w:val="nil"/>
              <w:tr2bl w:val="nil"/>
            </w:tcBorders>
            <w:shd w:val="solid" w:color="FFFFFF" w:fill="FFFFFF"/>
            <w:noWrap/>
            <w:vAlign w:val="bottom"/>
          </w:tcPr>
          <w:p w14:paraId="157365AE"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240,715</w:t>
            </w:r>
          </w:p>
        </w:tc>
      </w:tr>
      <w:tr w:rsidR="006E442A" w14:paraId="224DC4F0" w14:textId="77777777" w:rsidTr="005C2225">
        <w:tc>
          <w:tcPr>
            <w:tcW w:w="3462" w:type="pct"/>
            <w:tcBorders>
              <w:top w:val="nil"/>
              <w:left w:val="nil"/>
              <w:bottom w:val="nil"/>
              <w:right w:val="nil"/>
              <w:tl2br w:val="nil"/>
              <w:tr2bl w:val="nil"/>
            </w:tcBorders>
            <w:shd w:val="solid" w:color="FFFFFF" w:fill="FFFFFF"/>
            <w:vAlign w:val="bottom"/>
          </w:tcPr>
          <w:p w14:paraId="1F16FDBD"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Portion of contingent consideration paid included in operating activities (1)</w:t>
            </w:r>
          </w:p>
        </w:tc>
        <w:tc>
          <w:tcPr>
            <w:tcW w:w="96" w:type="pct"/>
            <w:tcBorders>
              <w:top w:val="nil"/>
              <w:left w:val="nil"/>
              <w:bottom w:val="nil"/>
              <w:right w:val="nil"/>
              <w:tl2br w:val="nil"/>
              <w:tr2bl w:val="nil"/>
            </w:tcBorders>
            <w:shd w:val="solid" w:color="FFFFFF" w:fill="FFFFFF"/>
            <w:noWrap/>
            <w:vAlign w:val="bottom"/>
          </w:tcPr>
          <w:p w14:paraId="5011077D" w14:textId="77777777" w:rsidR="006E442A" w:rsidRDefault="006E442A" w:rsidP="006E442A">
            <w:pPr>
              <w:spacing w:after="1"/>
              <w:rPr>
                <w:rFonts w:ascii="Calibri" w:eastAsia="Calibri" w:hAnsi="Calibri" w:cs="Calibri"/>
                <w:color w:val="000000"/>
                <w:sz w:val="20"/>
              </w:rPr>
            </w:pPr>
          </w:p>
        </w:tc>
        <w:tc>
          <w:tcPr>
            <w:tcW w:w="96" w:type="pct"/>
            <w:tcBorders>
              <w:top w:val="nil"/>
              <w:left w:val="nil"/>
              <w:bottom w:val="nil"/>
              <w:right w:val="nil"/>
              <w:tl2br w:val="nil"/>
              <w:tr2bl w:val="nil"/>
            </w:tcBorders>
            <w:shd w:val="solid" w:color="FFFFFF" w:fill="FFFFFF"/>
            <w:noWrap/>
            <w:vAlign w:val="bottom"/>
          </w:tcPr>
          <w:p w14:paraId="3859195B" w14:textId="77777777" w:rsidR="006E442A" w:rsidRDefault="006E442A" w:rsidP="006E442A">
            <w:pPr>
              <w:spacing w:after="1"/>
              <w:rPr>
                <w:rFonts w:ascii="Calibri" w:eastAsia="Calibri" w:hAnsi="Calibri" w:cs="Calibri"/>
                <w:color w:val="000000"/>
                <w:sz w:val="20"/>
              </w:rPr>
            </w:pPr>
          </w:p>
        </w:tc>
        <w:tc>
          <w:tcPr>
            <w:tcW w:w="577" w:type="pct"/>
            <w:tcBorders>
              <w:top w:val="nil"/>
              <w:left w:val="nil"/>
              <w:bottom w:val="nil"/>
              <w:right w:val="nil"/>
              <w:tl2br w:val="nil"/>
              <w:tr2bl w:val="nil"/>
            </w:tcBorders>
            <w:shd w:val="solid" w:color="FFFFFF" w:fill="FFFFFF"/>
            <w:noWrap/>
            <w:vAlign w:val="bottom"/>
          </w:tcPr>
          <w:p w14:paraId="4D2E94D2"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71,508</w:t>
            </w:r>
          </w:p>
        </w:tc>
        <w:tc>
          <w:tcPr>
            <w:tcW w:w="75" w:type="pct"/>
            <w:tcBorders>
              <w:top w:val="nil"/>
              <w:left w:val="nil"/>
              <w:bottom w:val="nil"/>
              <w:right w:val="nil"/>
              <w:tl2br w:val="nil"/>
              <w:tr2bl w:val="nil"/>
            </w:tcBorders>
            <w:shd w:val="solid" w:color="FFFFFF" w:fill="FFFFFF"/>
            <w:noWrap/>
            <w:vAlign w:val="bottom"/>
          </w:tcPr>
          <w:p w14:paraId="0F101130" w14:textId="77777777" w:rsidR="006E442A" w:rsidRDefault="006E442A" w:rsidP="006E442A">
            <w:pPr>
              <w:spacing w:after="1"/>
              <w:rPr>
                <w:rFonts w:ascii="Calibri" w:eastAsia="Calibri" w:hAnsi="Calibri" w:cs="Calibri"/>
                <w:color w:val="000000"/>
                <w:sz w:val="20"/>
              </w:rPr>
            </w:pPr>
          </w:p>
        </w:tc>
        <w:tc>
          <w:tcPr>
            <w:tcW w:w="97" w:type="pct"/>
            <w:tcBorders>
              <w:top w:val="nil"/>
              <w:left w:val="nil"/>
              <w:bottom w:val="nil"/>
              <w:right w:val="nil"/>
              <w:tl2br w:val="nil"/>
              <w:tr2bl w:val="nil"/>
            </w:tcBorders>
            <w:shd w:val="solid" w:color="FFFFFF" w:fill="FFFFFF"/>
            <w:noWrap/>
            <w:vAlign w:val="bottom"/>
          </w:tcPr>
          <w:p w14:paraId="76700A31" w14:textId="77777777" w:rsidR="006E442A" w:rsidRDefault="006E442A" w:rsidP="006E442A">
            <w:pPr>
              <w:spacing w:after="1"/>
              <w:rPr>
                <w:rFonts w:ascii="Calibri" w:eastAsia="Calibri" w:hAnsi="Calibri" w:cs="Calibri"/>
                <w:color w:val="000000"/>
                <w:sz w:val="20"/>
              </w:rPr>
            </w:pPr>
          </w:p>
        </w:tc>
        <w:tc>
          <w:tcPr>
            <w:tcW w:w="597" w:type="pct"/>
            <w:tcBorders>
              <w:top w:val="nil"/>
              <w:left w:val="nil"/>
              <w:bottom w:val="nil"/>
              <w:right w:val="nil"/>
              <w:tl2br w:val="nil"/>
              <w:tr2bl w:val="nil"/>
            </w:tcBorders>
            <w:shd w:val="solid" w:color="FFFFFF" w:fill="FFFFFF"/>
            <w:noWrap/>
            <w:vAlign w:val="bottom"/>
          </w:tcPr>
          <w:p w14:paraId="4343FD00"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62,835</w:t>
            </w:r>
          </w:p>
        </w:tc>
      </w:tr>
      <w:tr w:rsidR="006E442A" w14:paraId="0D3FD7FB" w14:textId="77777777" w:rsidTr="005C2225">
        <w:tc>
          <w:tcPr>
            <w:tcW w:w="3462" w:type="pct"/>
            <w:tcBorders>
              <w:top w:val="nil"/>
              <w:left w:val="nil"/>
              <w:bottom w:val="nil"/>
              <w:right w:val="nil"/>
              <w:tl2br w:val="nil"/>
              <w:tr2bl w:val="nil"/>
            </w:tcBorders>
            <w:shd w:val="solid" w:color="FFFFFF" w:fill="FFFFFF"/>
            <w:vAlign w:val="bottom"/>
          </w:tcPr>
          <w:p w14:paraId="1C890029"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Portion of deferred cash consideration paid included in operating activities (2)</w:t>
            </w:r>
          </w:p>
        </w:tc>
        <w:tc>
          <w:tcPr>
            <w:tcW w:w="96" w:type="pct"/>
            <w:tcBorders>
              <w:top w:val="nil"/>
              <w:left w:val="nil"/>
              <w:bottom w:val="nil"/>
              <w:right w:val="nil"/>
              <w:tl2br w:val="nil"/>
              <w:tr2bl w:val="nil"/>
            </w:tcBorders>
            <w:shd w:val="solid" w:color="FFFFFF" w:fill="FFFFFF"/>
            <w:noWrap/>
            <w:vAlign w:val="bottom"/>
          </w:tcPr>
          <w:p w14:paraId="4ED7D79F" w14:textId="77777777" w:rsidR="006E442A" w:rsidRDefault="006E442A" w:rsidP="006E442A">
            <w:pPr>
              <w:spacing w:after="1"/>
              <w:rPr>
                <w:rFonts w:ascii="Calibri" w:eastAsia="Calibri" w:hAnsi="Calibri" w:cs="Calibri"/>
                <w:color w:val="000000"/>
                <w:sz w:val="20"/>
              </w:rPr>
            </w:pPr>
          </w:p>
        </w:tc>
        <w:tc>
          <w:tcPr>
            <w:tcW w:w="96" w:type="pct"/>
            <w:tcBorders>
              <w:top w:val="nil"/>
              <w:left w:val="nil"/>
              <w:bottom w:val="single" w:sz="4" w:space="0" w:color="000000"/>
              <w:right w:val="nil"/>
              <w:tl2br w:val="nil"/>
              <w:tr2bl w:val="nil"/>
            </w:tcBorders>
            <w:shd w:val="solid" w:color="FFFFFF" w:fill="FFFFFF"/>
            <w:noWrap/>
            <w:vAlign w:val="bottom"/>
          </w:tcPr>
          <w:p w14:paraId="4977C77A" w14:textId="77777777" w:rsidR="006E442A" w:rsidRDefault="006E442A" w:rsidP="006E442A">
            <w:pPr>
              <w:spacing w:after="1"/>
              <w:rPr>
                <w:rFonts w:ascii="Calibri" w:eastAsia="Calibri" w:hAnsi="Calibri" w:cs="Calibri"/>
                <w:color w:val="000000"/>
                <w:sz w:val="20"/>
              </w:rPr>
            </w:pPr>
          </w:p>
        </w:tc>
        <w:tc>
          <w:tcPr>
            <w:tcW w:w="577" w:type="pct"/>
            <w:tcBorders>
              <w:top w:val="nil"/>
              <w:left w:val="nil"/>
              <w:bottom w:val="single" w:sz="4" w:space="0" w:color="000000"/>
              <w:right w:val="nil"/>
              <w:tl2br w:val="nil"/>
              <w:tr2bl w:val="nil"/>
            </w:tcBorders>
            <w:shd w:val="solid" w:color="FFFFFF" w:fill="FFFFFF"/>
            <w:noWrap/>
            <w:vAlign w:val="bottom"/>
          </w:tcPr>
          <w:p w14:paraId="132C6F8F"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w:t>
            </w:r>
          </w:p>
        </w:tc>
        <w:tc>
          <w:tcPr>
            <w:tcW w:w="75" w:type="pct"/>
            <w:tcBorders>
              <w:top w:val="nil"/>
              <w:left w:val="nil"/>
              <w:bottom w:val="nil"/>
              <w:right w:val="nil"/>
              <w:tl2br w:val="nil"/>
              <w:tr2bl w:val="nil"/>
            </w:tcBorders>
            <w:shd w:val="solid" w:color="FFFFFF" w:fill="FFFFFF"/>
            <w:noWrap/>
            <w:vAlign w:val="bottom"/>
          </w:tcPr>
          <w:p w14:paraId="2AC08B6E" w14:textId="77777777" w:rsidR="006E442A" w:rsidRDefault="006E442A" w:rsidP="006E442A">
            <w:pPr>
              <w:spacing w:after="1"/>
              <w:rPr>
                <w:rFonts w:ascii="Calibri" w:eastAsia="Calibri" w:hAnsi="Calibri" w:cs="Calibri"/>
                <w:color w:val="000000"/>
                <w:sz w:val="20"/>
              </w:rPr>
            </w:pPr>
          </w:p>
        </w:tc>
        <w:tc>
          <w:tcPr>
            <w:tcW w:w="97" w:type="pct"/>
            <w:tcBorders>
              <w:top w:val="nil"/>
              <w:left w:val="nil"/>
              <w:bottom w:val="single" w:sz="4" w:space="0" w:color="000000"/>
              <w:right w:val="nil"/>
              <w:tl2br w:val="nil"/>
              <w:tr2bl w:val="nil"/>
            </w:tcBorders>
            <w:shd w:val="solid" w:color="FFFFFF" w:fill="FFFFFF"/>
            <w:noWrap/>
            <w:vAlign w:val="bottom"/>
          </w:tcPr>
          <w:p w14:paraId="37B1C391" w14:textId="77777777" w:rsidR="006E442A" w:rsidRDefault="006E442A" w:rsidP="006E442A">
            <w:pPr>
              <w:spacing w:after="1"/>
              <w:rPr>
                <w:rFonts w:ascii="Calibri" w:eastAsia="Calibri" w:hAnsi="Calibri" w:cs="Calibri"/>
                <w:color w:val="000000"/>
                <w:sz w:val="20"/>
              </w:rPr>
            </w:pPr>
          </w:p>
        </w:tc>
        <w:tc>
          <w:tcPr>
            <w:tcW w:w="597" w:type="pct"/>
            <w:tcBorders>
              <w:top w:val="nil"/>
              <w:left w:val="nil"/>
              <w:bottom w:val="single" w:sz="4" w:space="0" w:color="000000"/>
              <w:right w:val="nil"/>
              <w:tl2br w:val="nil"/>
              <w:tr2bl w:val="nil"/>
            </w:tcBorders>
            <w:shd w:val="solid" w:color="FFFFFF" w:fill="FFFFFF"/>
            <w:noWrap/>
            <w:vAlign w:val="bottom"/>
          </w:tcPr>
          <w:p w14:paraId="39A86BE4"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304</w:t>
            </w:r>
          </w:p>
        </w:tc>
      </w:tr>
      <w:tr w:rsidR="006E442A" w14:paraId="0AB50671" w14:textId="77777777" w:rsidTr="005C2225">
        <w:tc>
          <w:tcPr>
            <w:tcW w:w="3462" w:type="pct"/>
            <w:tcBorders>
              <w:top w:val="nil"/>
              <w:left w:val="nil"/>
              <w:bottom w:val="nil"/>
              <w:right w:val="nil"/>
              <w:tl2br w:val="nil"/>
              <w:tr2bl w:val="nil"/>
            </w:tcBorders>
            <w:shd w:val="solid" w:color="FFFFFF" w:fill="FFFFFF"/>
            <w:noWrap/>
            <w:vAlign w:val="bottom"/>
          </w:tcPr>
          <w:p w14:paraId="654D7CF7" w14:textId="77777777" w:rsidR="006E442A" w:rsidRDefault="006E442A" w:rsidP="006E442A">
            <w:pPr>
              <w:spacing w:after="1"/>
              <w:rPr>
                <w:rFonts w:ascii="Calibri" w:eastAsia="Calibri" w:hAnsi="Calibri" w:cs="Calibri"/>
                <w:b/>
                <w:color w:val="000000"/>
                <w:sz w:val="20"/>
              </w:rPr>
            </w:pPr>
            <w:r>
              <w:rPr>
                <w:rFonts w:ascii="Calibri" w:eastAsia="Calibri" w:hAnsi="Calibri" w:cs="Calibri"/>
                <w:b/>
                <w:color w:val="000000"/>
                <w:sz w:val="20"/>
              </w:rPr>
              <w:t>Cash Flow Available for Capital Allocation (3)</w:t>
            </w:r>
          </w:p>
        </w:tc>
        <w:tc>
          <w:tcPr>
            <w:tcW w:w="96" w:type="pct"/>
            <w:tcBorders>
              <w:top w:val="nil"/>
              <w:left w:val="nil"/>
              <w:bottom w:val="nil"/>
              <w:right w:val="nil"/>
              <w:tl2br w:val="nil"/>
              <w:tr2bl w:val="nil"/>
            </w:tcBorders>
            <w:shd w:val="solid" w:color="FFFFFF" w:fill="FFFFFF"/>
            <w:noWrap/>
            <w:vAlign w:val="bottom"/>
          </w:tcPr>
          <w:p w14:paraId="68C00631" w14:textId="77777777" w:rsidR="006E442A" w:rsidRDefault="006E442A" w:rsidP="006E442A">
            <w:pPr>
              <w:spacing w:after="1"/>
              <w:rPr>
                <w:rFonts w:ascii="Calibri" w:eastAsia="Calibri" w:hAnsi="Calibri" w:cs="Calibri"/>
                <w:color w:val="000000"/>
                <w:sz w:val="20"/>
              </w:rPr>
            </w:pPr>
          </w:p>
        </w:tc>
        <w:tc>
          <w:tcPr>
            <w:tcW w:w="96" w:type="pct"/>
            <w:tcBorders>
              <w:top w:val="nil"/>
              <w:left w:val="nil"/>
              <w:bottom w:val="double" w:sz="4" w:space="0" w:color="000000"/>
              <w:right w:val="nil"/>
              <w:tl2br w:val="nil"/>
              <w:tr2bl w:val="nil"/>
            </w:tcBorders>
            <w:shd w:val="solid" w:color="FFFFFF" w:fill="FFFFFF"/>
            <w:noWrap/>
            <w:vAlign w:val="bottom"/>
          </w:tcPr>
          <w:p w14:paraId="29BA664F"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w:t>
            </w:r>
          </w:p>
        </w:tc>
        <w:tc>
          <w:tcPr>
            <w:tcW w:w="577" w:type="pct"/>
            <w:tcBorders>
              <w:top w:val="nil"/>
              <w:left w:val="nil"/>
              <w:bottom w:val="double" w:sz="4" w:space="0" w:color="000000"/>
              <w:right w:val="nil"/>
              <w:tl2br w:val="nil"/>
              <w:tr2bl w:val="nil"/>
            </w:tcBorders>
            <w:shd w:val="solid" w:color="FFFFFF" w:fill="FFFFFF"/>
            <w:noWrap/>
            <w:vAlign w:val="bottom"/>
          </w:tcPr>
          <w:p w14:paraId="6EF3BCBD"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299,609</w:t>
            </w:r>
          </w:p>
        </w:tc>
        <w:tc>
          <w:tcPr>
            <w:tcW w:w="75" w:type="pct"/>
            <w:tcBorders>
              <w:top w:val="nil"/>
              <w:left w:val="nil"/>
              <w:bottom w:val="nil"/>
              <w:right w:val="nil"/>
              <w:tl2br w:val="nil"/>
              <w:tr2bl w:val="nil"/>
            </w:tcBorders>
            <w:shd w:val="solid" w:color="FFFFFF" w:fill="FFFFFF"/>
            <w:noWrap/>
            <w:vAlign w:val="bottom"/>
          </w:tcPr>
          <w:p w14:paraId="179C88E9" w14:textId="77777777" w:rsidR="006E442A" w:rsidRDefault="006E442A" w:rsidP="006E442A">
            <w:pPr>
              <w:spacing w:after="1"/>
              <w:rPr>
                <w:rFonts w:ascii="Calibri" w:eastAsia="Calibri" w:hAnsi="Calibri" w:cs="Calibri"/>
                <w:color w:val="000000"/>
                <w:sz w:val="20"/>
              </w:rPr>
            </w:pPr>
          </w:p>
        </w:tc>
        <w:tc>
          <w:tcPr>
            <w:tcW w:w="97" w:type="pct"/>
            <w:tcBorders>
              <w:top w:val="nil"/>
              <w:left w:val="nil"/>
              <w:bottom w:val="double" w:sz="4" w:space="0" w:color="000000"/>
              <w:right w:val="nil"/>
              <w:tl2br w:val="nil"/>
              <w:tr2bl w:val="nil"/>
            </w:tcBorders>
            <w:shd w:val="solid" w:color="FFFFFF" w:fill="FFFFFF"/>
            <w:noWrap/>
            <w:vAlign w:val="bottom"/>
          </w:tcPr>
          <w:p w14:paraId="6B3D1BFF" w14:textId="77777777" w:rsidR="006E442A" w:rsidRDefault="006E442A" w:rsidP="006E442A">
            <w:pPr>
              <w:spacing w:after="1"/>
              <w:rPr>
                <w:rFonts w:ascii="Calibri" w:eastAsia="Calibri" w:hAnsi="Calibri" w:cs="Calibri"/>
                <w:color w:val="000000"/>
                <w:sz w:val="20"/>
              </w:rPr>
            </w:pPr>
            <w:r>
              <w:rPr>
                <w:rFonts w:ascii="Calibri" w:eastAsia="Calibri" w:hAnsi="Calibri" w:cs="Calibri"/>
                <w:color w:val="000000"/>
                <w:sz w:val="20"/>
              </w:rPr>
              <w:t>$</w:t>
            </w:r>
          </w:p>
        </w:tc>
        <w:tc>
          <w:tcPr>
            <w:tcW w:w="597" w:type="pct"/>
            <w:tcBorders>
              <w:top w:val="nil"/>
              <w:left w:val="nil"/>
              <w:bottom w:val="double" w:sz="4" w:space="0" w:color="000000"/>
              <w:right w:val="nil"/>
              <w:tl2br w:val="nil"/>
              <w:tr2bl w:val="nil"/>
            </w:tcBorders>
            <w:shd w:val="solid" w:color="FFFFFF" w:fill="FFFFFF"/>
            <w:noWrap/>
            <w:vAlign w:val="bottom"/>
          </w:tcPr>
          <w:p w14:paraId="2267FF2C" w14:textId="77777777" w:rsidR="006E442A" w:rsidRDefault="006E442A" w:rsidP="006E442A">
            <w:pPr>
              <w:spacing w:after="1"/>
              <w:ind w:right="60"/>
              <w:jc w:val="right"/>
              <w:rPr>
                <w:rFonts w:ascii="Calibri" w:eastAsia="Calibri" w:hAnsi="Calibri" w:cs="Calibri"/>
                <w:color w:val="000000"/>
                <w:sz w:val="20"/>
              </w:rPr>
            </w:pPr>
            <w:r>
              <w:rPr>
                <w:rFonts w:ascii="Calibri" w:eastAsia="Calibri" w:hAnsi="Calibri" w:cs="Calibri"/>
                <w:color w:val="000000"/>
                <w:sz w:val="20"/>
              </w:rPr>
              <w:t xml:space="preserve"> 303,854</w:t>
            </w:r>
          </w:p>
        </w:tc>
      </w:tr>
      <w:tr w:rsidR="006E442A" w14:paraId="782D8BF0" w14:textId="77777777" w:rsidTr="005C2225">
        <w:tc>
          <w:tcPr>
            <w:tcW w:w="3462" w:type="pct"/>
            <w:tcBorders>
              <w:top w:val="nil"/>
              <w:left w:val="nil"/>
              <w:bottom w:val="nil"/>
              <w:right w:val="nil"/>
              <w:tl2br w:val="nil"/>
              <w:tr2bl w:val="nil"/>
            </w:tcBorders>
            <w:shd w:val="solid" w:color="FFFFFF" w:fill="FFFFFF"/>
            <w:noWrap/>
            <w:vAlign w:val="bottom"/>
          </w:tcPr>
          <w:p w14:paraId="5DC4CD27" w14:textId="77777777" w:rsidR="006E442A" w:rsidRDefault="006E442A" w:rsidP="006E442A">
            <w:pPr>
              <w:spacing w:after="1"/>
              <w:rPr>
                <w:rFonts w:ascii="Calibri" w:eastAsia="Calibri" w:hAnsi="Calibri" w:cs="Calibri"/>
                <w:color w:val="000000"/>
                <w:sz w:val="20"/>
              </w:rPr>
            </w:pPr>
          </w:p>
        </w:tc>
        <w:tc>
          <w:tcPr>
            <w:tcW w:w="96" w:type="pct"/>
            <w:tcBorders>
              <w:top w:val="nil"/>
              <w:left w:val="nil"/>
              <w:bottom w:val="nil"/>
              <w:right w:val="nil"/>
              <w:tl2br w:val="nil"/>
              <w:tr2bl w:val="nil"/>
            </w:tcBorders>
            <w:shd w:val="solid" w:color="FFFFFF" w:fill="FFFFFF"/>
            <w:noWrap/>
            <w:vAlign w:val="bottom"/>
          </w:tcPr>
          <w:p w14:paraId="61FF4288" w14:textId="77777777" w:rsidR="006E442A" w:rsidRDefault="006E442A" w:rsidP="006E442A">
            <w:pPr>
              <w:spacing w:after="1"/>
              <w:rPr>
                <w:rFonts w:ascii="Calibri" w:eastAsia="Calibri" w:hAnsi="Calibri" w:cs="Calibri"/>
                <w:color w:val="000000"/>
                <w:sz w:val="20"/>
              </w:rPr>
            </w:pPr>
          </w:p>
        </w:tc>
        <w:tc>
          <w:tcPr>
            <w:tcW w:w="96" w:type="pct"/>
            <w:tcBorders>
              <w:top w:val="nil"/>
              <w:left w:val="nil"/>
              <w:bottom w:val="nil"/>
              <w:right w:val="nil"/>
              <w:tl2br w:val="nil"/>
              <w:tr2bl w:val="nil"/>
            </w:tcBorders>
            <w:shd w:val="solid" w:color="FFFFFF" w:fill="FFFFFF"/>
            <w:noWrap/>
            <w:vAlign w:val="bottom"/>
          </w:tcPr>
          <w:p w14:paraId="18A854CB" w14:textId="77777777" w:rsidR="006E442A" w:rsidRDefault="006E442A" w:rsidP="006E442A">
            <w:pPr>
              <w:spacing w:after="1"/>
              <w:rPr>
                <w:rFonts w:ascii="Calibri" w:eastAsia="Calibri" w:hAnsi="Calibri" w:cs="Calibri"/>
                <w:color w:val="000000"/>
                <w:sz w:val="20"/>
              </w:rPr>
            </w:pPr>
          </w:p>
        </w:tc>
        <w:tc>
          <w:tcPr>
            <w:tcW w:w="577" w:type="pct"/>
            <w:tcBorders>
              <w:top w:val="nil"/>
              <w:left w:val="nil"/>
              <w:bottom w:val="nil"/>
              <w:right w:val="nil"/>
              <w:tl2br w:val="nil"/>
              <w:tr2bl w:val="nil"/>
            </w:tcBorders>
            <w:shd w:val="solid" w:color="FFFFFF" w:fill="FFFFFF"/>
            <w:noWrap/>
            <w:vAlign w:val="bottom"/>
          </w:tcPr>
          <w:p w14:paraId="0CC9AD1E" w14:textId="77777777" w:rsidR="006E442A" w:rsidRDefault="006E442A" w:rsidP="006E442A">
            <w:pPr>
              <w:spacing w:after="1"/>
              <w:rPr>
                <w:rFonts w:ascii="Calibri" w:eastAsia="Calibri" w:hAnsi="Calibri" w:cs="Calibri"/>
                <w:color w:val="000000"/>
                <w:sz w:val="20"/>
              </w:rPr>
            </w:pPr>
          </w:p>
        </w:tc>
        <w:tc>
          <w:tcPr>
            <w:tcW w:w="75" w:type="pct"/>
            <w:tcBorders>
              <w:top w:val="nil"/>
              <w:left w:val="nil"/>
              <w:bottom w:val="nil"/>
              <w:right w:val="nil"/>
              <w:tl2br w:val="nil"/>
              <w:tr2bl w:val="nil"/>
            </w:tcBorders>
            <w:shd w:val="solid" w:color="FFFFFF" w:fill="FFFFFF"/>
            <w:noWrap/>
            <w:vAlign w:val="bottom"/>
          </w:tcPr>
          <w:p w14:paraId="3003024F" w14:textId="77777777" w:rsidR="006E442A" w:rsidRDefault="006E442A" w:rsidP="006E442A">
            <w:pPr>
              <w:spacing w:after="1"/>
              <w:rPr>
                <w:rFonts w:ascii="Calibri" w:eastAsia="Calibri" w:hAnsi="Calibri" w:cs="Calibri"/>
                <w:color w:val="000000"/>
                <w:sz w:val="20"/>
              </w:rPr>
            </w:pPr>
          </w:p>
        </w:tc>
        <w:tc>
          <w:tcPr>
            <w:tcW w:w="97" w:type="pct"/>
            <w:tcBorders>
              <w:top w:val="nil"/>
              <w:left w:val="nil"/>
              <w:bottom w:val="nil"/>
              <w:right w:val="nil"/>
              <w:tl2br w:val="nil"/>
              <w:tr2bl w:val="nil"/>
            </w:tcBorders>
            <w:shd w:val="solid" w:color="FFFFFF" w:fill="FFFFFF"/>
            <w:noWrap/>
            <w:vAlign w:val="bottom"/>
          </w:tcPr>
          <w:p w14:paraId="7E7C6331" w14:textId="77777777" w:rsidR="006E442A" w:rsidRDefault="006E442A" w:rsidP="006E442A">
            <w:pPr>
              <w:spacing w:after="1"/>
              <w:rPr>
                <w:rFonts w:ascii="Calibri" w:eastAsia="Calibri" w:hAnsi="Calibri" w:cs="Calibri"/>
                <w:color w:val="000000"/>
                <w:sz w:val="20"/>
              </w:rPr>
            </w:pPr>
          </w:p>
        </w:tc>
        <w:tc>
          <w:tcPr>
            <w:tcW w:w="597" w:type="pct"/>
            <w:tcBorders>
              <w:top w:val="nil"/>
              <w:left w:val="nil"/>
              <w:bottom w:val="nil"/>
              <w:right w:val="nil"/>
              <w:tl2br w:val="nil"/>
              <w:tr2bl w:val="nil"/>
            </w:tcBorders>
            <w:shd w:val="solid" w:color="FFFFFF" w:fill="FFFFFF"/>
            <w:noWrap/>
            <w:vAlign w:val="bottom"/>
          </w:tcPr>
          <w:p w14:paraId="04F64E7C" w14:textId="77777777" w:rsidR="006E442A" w:rsidRDefault="006E442A" w:rsidP="006E442A">
            <w:pPr>
              <w:spacing w:after="1"/>
              <w:rPr>
                <w:rFonts w:ascii="Calibri" w:eastAsia="Calibri" w:hAnsi="Calibri" w:cs="Calibri"/>
                <w:color w:val="000000"/>
                <w:sz w:val="20"/>
              </w:rPr>
            </w:pPr>
          </w:p>
        </w:tc>
      </w:tr>
    </w:tbl>
    <w:p w14:paraId="065E6C6E" w14:textId="77777777" w:rsidR="00131FCD" w:rsidRPr="00757C11" w:rsidRDefault="00131FCD" w:rsidP="00B65D59">
      <w:pPr>
        <w:pStyle w:val="NoSpacing"/>
        <w:numPr>
          <w:ilvl w:val="0"/>
          <w:numId w:val="5"/>
        </w:numPr>
        <w:contextualSpacing/>
      </w:pPr>
      <w:r w:rsidRPr="00757C11">
        <w:t xml:space="preserve">A portion of contingent consideration paid is classified as operating cash outflows in accordance with GAAP, with the balance reflected in investing or financing cash outflows. Contingent consideration paid classified as operating cash outflows for each of the trailing 4-quarters ended </w:t>
      </w:r>
      <w:r w:rsidR="00757C11" w:rsidRPr="00757C11">
        <w:t>March</w:t>
      </w:r>
      <w:r w:rsidRPr="00757C11">
        <w:t xml:space="preserve"> 31, </w:t>
      </w:r>
      <w:proofErr w:type="gramStart"/>
      <w:r w:rsidRPr="00757C11">
        <w:t>202</w:t>
      </w:r>
      <w:r w:rsidR="00757C11" w:rsidRPr="00757C11">
        <w:t>2</w:t>
      </w:r>
      <w:proofErr w:type="gramEnd"/>
      <w:r w:rsidRPr="00757C11">
        <w:t xml:space="preserve"> was $11.6 million, $20.4 million</w:t>
      </w:r>
      <w:r w:rsidR="00757C11" w:rsidRPr="00757C11">
        <w:t xml:space="preserve">, </w:t>
      </w:r>
      <w:r w:rsidRPr="00757C11">
        <w:t>$16.4 million</w:t>
      </w:r>
      <w:r w:rsidR="00757C11" w:rsidRPr="00757C11">
        <w:t xml:space="preserve"> and $23.1 million</w:t>
      </w:r>
      <w:r w:rsidRPr="00757C11">
        <w:t>, respectively, totaling $</w:t>
      </w:r>
      <w:r w:rsidR="00757C11" w:rsidRPr="00757C11">
        <w:t>71.5</w:t>
      </w:r>
      <w:r w:rsidRPr="00757C11">
        <w:t xml:space="preserve"> million for the trailing 4-quarters ended </w:t>
      </w:r>
      <w:r w:rsidR="00757C11" w:rsidRPr="00757C11">
        <w:t>March</w:t>
      </w:r>
      <w:r w:rsidRPr="00757C11">
        <w:t xml:space="preserve"> 31, 202</w:t>
      </w:r>
      <w:r w:rsidR="00757C11" w:rsidRPr="00757C11">
        <w:t>2</w:t>
      </w:r>
      <w:r w:rsidRPr="00757C11">
        <w:t xml:space="preserve">.  Contingent consideration paid classified as operating cash outflows for each of the trailing 4-quarters ended </w:t>
      </w:r>
      <w:r w:rsidR="00757C11" w:rsidRPr="00757C11">
        <w:t>March</w:t>
      </w:r>
      <w:r w:rsidRPr="00757C11">
        <w:t xml:space="preserve"> 31, </w:t>
      </w:r>
      <w:proofErr w:type="gramStart"/>
      <w:r w:rsidRPr="00757C11">
        <w:t>202</w:t>
      </w:r>
      <w:r w:rsidR="00757C11" w:rsidRPr="00757C11">
        <w:t>3</w:t>
      </w:r>
      <w:proofErr w:type="gramEnd"/>
      <w:r w:rsidRPr="00757C11">
        <w:t xml:space="preserve"> was $18.2 million, $29.</w:t>
      </w:r>
      <w:r w:rsidR="00757C11" w:rsidRPr="00757C11">
        <w:t>5</w:t>
      </w:r>
      <w:r w:rsidRPr="00757C11">
        <w:t xml:space="preserve"> million</w:t>
      </w:r>
      <w:r w:rsidR="00757C11" w:rsidRPr="00757C11">
        <w:t xml:space="preserve">, </w:t>
      </w:r>
      <w:r w:rsidRPr="00757C11">
        <w:t>$6.1 million</w:t>
      </w:r>
      <w:r w:rsidR="00757C11" w:rsidRPr="00757C11">
        <w:t xml:space="preserve"> and $9.0 million</w:t>
      </w:r>
      <w:r w:rsidRPr="00757C11">
        <w:t>, respectively, totaling $</w:t>
      </w:r>
      <w:r w:rsidR="00757C11" w:rsidRPr="00757C11">
        <w:t>62.8</w:t>
      </w:r>
      <w:r w:rsidRPr="00757C11">
        <w:t xml:space="preserve"> million for the trailing 4-quarters ended </w:t>
      </w:r>
      <w:r w:rsidR="00757C11" w:rsidRPr="00757C11">
        <w:t>March</w:t>
      </w:r>
      <w:r w:rsidRPr="00757C11">
        <w:t xml:space="preserve"> 31, 202</w:t>
      </w:r>
      <w:r w:rsidR="00757C11" w:rsidRPr="00757C11">
        <w:t>3</w:t>
      </w:r>
      <w:r w:rsidRPr="00757C11">
        <w:t>.</w:t>
      </w:r>
    </w:p>
    <w:p w14:paraId="6F725D59" w14:textId="77777777" w:rsidR="00131FCD" w:rsidRPr="00757C11" w:rsidRDefault="00131FCD" w:rsidP="00131FCD">
      <w:pPr>
        <w:pStyle w:val="NoSpacing"/>
        <w:ind w:left="360"/>
        <w:contextualSpacing/>
        <w:rPr>
          <w:rStyle w:val="SubtleEmphasis"/>
        </w:rPr>
      </w:pPr>
    </w:p>
    <w:p w14:paraId="117411AD" w14:textId="77777777" w:rsidR="00131FCD" w:rsidRPr="00757C11" w:rsidRDefault="00131FCD" w:rsidP="00B65D59">
      <w:pPr>
        <w:pStyle w:val="NoSpacing"/>
        <w:numPr>
          <w:ilvl w:val="0"/>
          <w:numId w:val="5"/>
        </w:numPr>
        <w:contextualSpacing/>
      </w:pPr>
      <w:r w:rsidRPr="00757C11">
        <w:rPr>
          <w:rFonts w:cstheme="minorHAnsi"/>
          <w:szCs w:val="20"/>
        </w:rPr>
        <w:t>A portion of deferred cash consideration paid is classified as operating cash outflows in accordance with GAAP, with the balance reflected in financing cash outflows. Deferred cash consideration paid and classified as operating cash outflows was $</w:t>
      </w:r>
      <w:r w:rsidR="00757C11" w:rsidRPr="00757C11">
        <w:rPr>
          <w:rFonts w:cstheme="minorHAnsi"/>
          <w:szCs w:val="20"/>
        </w:rPr>
        <w:t>0.3 million</w:t>
      </w:r>
      <w:r w:rsidRPr="00757C11">
        <w:rPr>
          <w:rFonts w:cstheme="minorHAnsi"/>
          <w:szCs w:val="20"/>
        </w:rPr>
        <w:t xml:space="preserve"> for the trailing 4-quarters ended </w:t>
      </w:r>
      <w:r w:rsidR="00757C11" w:rsidRPr="00757C11">
        <w:rPr>
          <w:rFonts w:cstheme="minorHAnsi"/>
          <w:szCs w:val="20"/>
        </w:rPr>
        <w:t>March</w:t>
      </w:r>
      <w:r w:rsidRPr="00757C11">
        <w:rPr>
          <w:rFonts w:cstheme="minorHAnsi"/>
          <w:szCs w:val="20"/>
        </w:rPr>
        <w:t xml:space="preserve"> 31, 202</w:t>
      </w:r>
      <w:r w:rsidR="00757C11" w:rsidRPr="00757C11">
        <w:rPr>
          <w:rFonts w:cstheme="minorHAnsi"/>
          <w:szCs w:val="20"/>
        </w:rPr>
        <w:t>3</w:t>
      </w:r>
      <w:r w:rsidRPr="00757C11">
        <w:rPr>
          <w:rFonts w:cstheme="minorHAnsi"/>
          <w:szCs w:val="20"/>
        </w:rPr>
        <w:t>.</w:t>
      </w:r>
    </w:p>
    <w:p w14:paraId="2CD6D485" w14:textId="77777777" w:rsidR="00131FCD" w:rsidRDefault="00131FCD" w:rsidP="00131FCD">
      <w:pPr>
        <w:pStyle w:val="ListParagraph"/>
        <w:rPr>
          <w:rFonts w:cstheme="minorHAnsi"/>
          <w:szCs w:val="20"/>
        </w:rPr>
      </w:pPr>
    </w:p>
    <w:p w14:paraId="48A3AE69" w14:textId="77777777" w:rsidR="00131FCD" w:rsidRDefault="00131FCD" w:rsidP="00B65D59">
      <w:pPr>
        <w:pStyle w:val="NoSpacing"/>
        <w:numPr>
          <w:ilvl w:val="0"/>
          <w:numId w:val="5"/>
        </w:numPr>
        <w:contextualSpacing/>
        <w:rPr>
          <w:rStyle w:val="SubtleEmphasis"/>
        </w:rPr>
      </w:pPr>
      <w:r>
        <w:rPr>
          <w:rFonts w:cstheme="minorHAnsi"/>
          <w:szCs w:val="20"/>
        </w:rPr>
        <w:t xml:space="preserve">Cash Flow Available for Capital Allocation excludes all contingent consideration and deferred cash consideration that was included in either operating, </w:t>
      </w:r>
      <w:proofErr w:type="gramStart"/>
      <w:r>
        <w:rPr>
          <w:rFonts w:cstheme="minorHAnsi"/>
          <w:szCs w:val="20"/>
        </w:rPr>
        <w:t>investing</w:t>
      </w:r>
      <w:proofErr w:type="gramEnd"/>
      <w:r>
        <w:rPr>
          <w:rFonts w:cstheme="minorHAnsi"/>
          <w:szCs w:val="20"/>
        </w:rPr>
        <w:t xml:space="preserve"> or financing activities of our consolidated statements of cash flows.</w:t>
      </w:r>
    </w:p>
    <w:p w14:paraId="4A66BF8C" w14:textId="77777777" w:rsidR="00536C41" w:rsidRDefault="00536C41" w:rsidP="005E65E6">
      <w:pPr>
        <w:spacing w:after="0" w:line="240" w:lineRule="auto"/>
        <w:contextualSpacing/>
        <w:rPr>
          <w:rStyle w:val="SubtleEmphasis"/>
          <w:sz w:val="24"/>
          <w:szCs w:val="24"/>
        </w:rPr>
      </w:pPr>
    </w:p>
    <w:p w14:paraId="62CF29AF" w14:textId="77777777" w:rsidR="00E16845" w:rsidRDefault="00E16845" w:rsidP="005E65E6">
      <w:pPr>
        <w:spacing w:after="0" w:line="240" w:lineRule="auto"/>
        <w:rPr>
          <w:rStyle w:val="SubtleEmphasis"/>
          <w:b/>
          <w:bCs/>
          <w:sz w:val="24"/>
          <w:szCs w:val="24"/>
        </w:rPr>
      </w:pPr>
      <w:r>
        <w:rPr>
          <w:rStyle w:val="SubtleEmphasis"/>
          <w:b/>
          <w:bCs/>
          <w:sz w:val="24"/>
          <w:szCs w:val="24"/>
        </w:rPr>
        <w:br w:type="page"/>
      </w:r>
    </w:p>
    <w:p w14:paraId="407F17E2" w14:textId="77777777" w:rsidR="0057101E" w:rsidRDefault="0057101E" w:rsidP="005E65E6">
      <w:pPr>
        <w:spacing w:after="0" w:line="240" w:lineRule="auto"/>
        <w:rPr>
          <w:rStyle w:val="SubtleEmphasis"/>
          <w:b/>
          <w:bCs/>
          <w:sz w:val="23"/>
          <w:szCs w:val="23"/>
        </w:rPr>
      </w:pPr>
    </w:p>
    <w:p w14:paraId="66C415DC" w14:textId="77777777" w:rsidR="00536C41" w:rsidRPr="00693B87" w:rsidRDefault="00536C41" w:rsidP="005E65E6">
      <w:pPr>
        <w:spacing w:after="0" w:line="240" w:lineRule="auto"/>
        <w:rPr>
          <w:rStyle w:val="SubtleEmphasis"/>
          <w:b/>
          <w:bCs/>
          <w:sz w:val="23"/>
          <w:szCs w:val="23"/>
        </w:rPr>
      </w:pPr>
      <w:r w:rsidRPr="00693B87">
        <w:rPr>
          <w:rStyle w:val="SubtleEmphasis"/>
          <w:b/>
          <w:bCs/>
          <w:sz w:val="23"/>
          <w:szCs w:val="23"/>
        </w:rPr>
        <w:t>Supplemental Information</w:t>
      </w:r>
    </w:p>
    <w:p w14:paraId="0B87942F" w14:textId="77777777" w:rsidR="00536C41" w:rsidRPr="00693B87" w:rsidRDefault="00536C41" w:rsidP="005E65E6">
      <w:pPr>
        <w:spacing w:after="0" w:line="240" w:lineRule="auto"/>
        <w:rPr>
          <w:rStyle w:val="SubtleEmphasis"/>
          <w:b/>
          <w:bCs/>
          <w:sz w:val="23"/>
          <w:szCs w:val="23"/>
        </w:rPr>
      </w:pPr>
    </w:p>
    <w:p w14:paraId="6B4C7AD4" w14:textId="77777777" w:rsidR="00536C41" w:rsidRPr="00693B87" w:rsidRDefault="00536C41" w:rsidP="005E65E6">
      <w:pPr>
        <w:spacing w:after="0" w:line="240" w:lineRule="auto"/>
        <w:rPr>
          <w:rStyle w:val="SubtleEmphasis"/>
          <w:b/>
          <w:bCs/>
          <w:sz w:val="23"/>
          <w:szCs w:val="23"/>
        </w:rPr>
      </w:pPr>
      <w:r w:rsidRPr="00693B87">
        <w:rPr>
          <w:rStyle w:val="SubtleEmphasis"/>
          <w:b/>
          <w:bCs/>
          <w:sz w:val="23"/>
          <w:szCs w:val="23"/>
        </w:rPr>
        <w:t>Economic Ownership</w:t>
      </w:r>
    </w:p>
    <w:p w14:paraId="70111A36" w14:textId="77777777" w:rsidR="00AB067C" w:rsidRPr="00693B87" w:rsidRDefault="00536C41" w:rsidP="005E65E6">
      <w:pPr>
        <w:pStyle w:val="NoSpacing"/>
        <w:rPr>
          <w:rStyle w:val="SubtleEmphasis"/>
          <w:sz w:val="23"/>
          <w:szCs w:val="23"/>
        </w:rPr>
      </w:pPr>
      <w:r w:rsidRPr="00693B87">
        <w:rPr>
          <w:rStyle w:val="SubtleEmphasis"/>
          <w:sz w:val="23"/>
          <w:szCs w:val="23"/>
        </w:rPr>
        <w:t xml:space="preserve">The following table provides supplemental information regarding the economic ownership of Focus Financial Partners, LLC as of </w:t>
      </w:r>
      <w:r w:rsidR="00131FCD">
        <w:rPr>
          <w:rStyle w:val="SubtleEmphasis"/>
          <w:sz w:val="23"/>
          <w:szCs w:val="23"/>
        </w:rPr>
        <w:t>March</w:t>
      </w:r>
      <w:r w:rsidRPr="00693B87">
        <w:rPr>
          <w:rStyle w:val="SubtleEmphasis"/>
          <w:sz w:val="23"/>
          <w:szCs w:val="23"/>
        </w:rPr>
        <w:t xml:space="preserve"> 3</w:t>
      </w:r>
      <w:r w:rsidR="009F7561">
        <w:rPr>
          <w:rStyle w:val="SubtleEmphasis"/>
          <w:sz w:val="23"/>
          <w:szCs w:val="23"/>
        </w:rPr>
        <w:t>1</w:t>
      </w:r>
      <w:r w:rsidRPr="00693B87">
        <w:rPr>
          <w:rStyle w:val="SubtleEmphasis"/>
          <w:sz w:val="23"/>
          <w:szCs w:val="23"/>
        </w:rPr>
        <w:t>, 202</w:t>
      </w:r>
      <w:r w:rsidR="00131FCD">
        <w:rPr>
          <w:rStyle w:val="SubtleEmphasis"/>
          <w:sz w:val="23"/>
          <w:szCs w:val="23"/>
        </w:rPr>
        <w:t>3</w:t>
      </w:r>
      <w:r w:rsidRPr="00693B87">
        <w:rPr>
          <w:rStyle w:val="SubtleEmphasis"/>
          <w:sz w:val="23"/>
          <w:szCs w:val="23"/>
        </w:rPr>
        <w:t xml:space="preserve">: </w:t>
      </w:r>
      <w:r w:rsidR="00AB067C" w:rsidRPr="00693B87">
        <w:rPr>
          <w:rStyle w:val="SubtleEmphasis"/>
          <w:sz w:val="23"/>
          <w:szCs w:val="23"/>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66"/>
        <w:gridCol w:w="301"/>
        <w:gridCol w:w="88"/>
        <w:gridCol w:w="1262"/>
        <w:gridCol w:w="301"/>
        <w:gridCol w:w="942"/>
      </w:tblGrid>
      <w:tr w:rsidR="006E442A" w14:paraId="636F64FC" w14:textId="77777777" w:rsidTr="006E442A">
        <w:trPr>
          <w:trHeight w:hRule="exact" w:val="20"/>
        </w:trPr>
        <w:tc>
          <w:tcPr>
            <w:tcW w:w="3454" w:type="pct"/>
            <w:tcBorders>
              <w:top w:val="nil"/>
              <w:left w:val="nil"/>
              <w:bottom w:val="nil"/>
              <w:right w:val="nil"/>
            </w:tcBorders>
            <w:vAlign w:val="bottom"/>
          </w:tcPr>
          <w:p w14:paraId="5B278BEB" w14:textId="77777777" w:rsidR="006E442A" w:rsidRDefault="006E442A" w:rsidP="006E442A">
            <w:pPr>
              <w:keepNext/>
              <w:spacing w:before="1" w:after="1"/>
              <w:rPr>
                <w:sz w:val="2"/>
              </w:rPr>
            </w:pPr>
          </w:p>
        </w:tc>
        <w:tc>
          <w:tcPr>
            <w:tcW w:w="161" w:type="pct"/>
            <w:tcBorders>
              <w:top w:val="nil"/>
              <w:left w:val="nil"/>
              <w:bottom w:val="nil"/>
              <w:right w:val="nil"/>
            </w:tcBorders>
            <w:vAlign w:val="bottom"/>
          </w:tcPr>
          <w:p w14:paraId="172F8B6B" w14:textId="77777777" w:rsidR="006E442A" w:rsidRDefault="006E442A" w:rsidP="006E442A">
            <w:pPr>
              <w:keepNext/>
              <w:spacing w:before="1" w:after="1"/>
              <w:rPr>
                <w:sz w:val="2"/>
              </w:rPr>
            </w:pPr>
          </w:p>
        </w:tc>
        <w:tc>
          <w:tcPr>
            <w:tcW w:w="47" w:type="pct"/>
            <w:tcBorders>
              <w:top w:val="nil"/>
              <w:left w:val="nil"/>
              <w:bottom w:val="nil"/>
              <w:right w:val="nil"/>
            </w:tcBorders>
            <w:vAlign w:val="bottom"/>
          </w:tcPr>
          <w:p w14:paraId="16044192" w14:textId="77777777" w:rsidR="006E442A" w:rsidRDefault="006E442A" w:rsidP="006E442A">
            <w:pPr>
              <w:keepNext/>
              <w:spacing w:before="1" w:after="1"/>
              <w:rPr>
                <w:sz w:val="2"/>
              </w:rPr>
            </w:pPr>
          </w:p>
        </w:tc>
        <w:tc>
          <w:tcPr>
            <w:tcW w:w="674" w:type="pct"/>
            <w:tcBorders>
              <w:top w:val="nil"/>
              <w:left w:val="nil"/>
              <w:bottom w:val="nil"/>
              <w:right w:val="nil"/>
            </w:tcBorders>
            <w:vAlign w:val="bottom"/>
          </w:tcPr>
          <w:p w14:paraId="3C542C45" w14:textId="77777777" w:rsidR="006E442A" w:rsidRDefault="006E442A" w:rsidP="006E442A">
            <w:pPr>
              <w:keepNext/>
              <w:spacing w:before="1" w:after="1"/>
              <w:rPr>
                <w:sz w:val="2"/>
              </w:rPr>
            </w:pPr>
          </w:p>
        </w:tc>
        <w:tc>
          <w:tcPr>
            <w:tcW w:w="161" w:type="pct"/>
            <w:tcBorders>
              <w:top w:val="nil"/>
              <w:left w:val="nil"/>
              <w:bottom w:val="nil"/>
              <w:right w:val="nil"/>
            </w:tcBorders>
            <w:vAlign w:val="bottom"/>
          </w:tcPr>
          <w:p w14:paraId="04332FAF" w14:textId="77777777" w:rsidR="006E442A" w:rsidRDefault="006E442A" w:rsidP="006E442A">
            <w:pPr>
              <w:keepNext/>
              <w:spacing w:before="1" w:after="1"/>
              <w:rPr>
                <w:sz w:val="2"/>
              </w:rPr>
            </w:pPr>
          </w:p>
        </w:tc>
        <w:tc>
          <w:tcPr>
            <w:tcW w:w="503" w:type="pct"/>
            <w:tcBorders>
              <w:top w:val="nil"/>
              <w:left w:val="nil"/>
              <w:bottom w:val="nil"/>
              <w:right w:val="nil"/>
            </w:tcBorders>
            <w:vAlign w:val="bottom"/>
          </w:tcPr>
          <w:p w14:paraId="3AB8ED2B" w14:textId="77777777" w:rsidR="006E442A" w:rsidRDefault="006E442A" w:rsidP="006E442A">
            <w:pPr>
              <w:keepNext/>
              <w:spacing w:before="1" w:after="1"/>
              <w:rPr>
                <w:sz w:val="2"/>
              </w:rPr>
            </w:pPr>
          </w:p>
        </w:tc>
      </w:tr>
      <w:tr w:rsidR="006E442A" w14:paraId="27D6B0B2" w14:textId="77777777" w:rsidTr="006E442A">
        <w:tc>
          <w:tcPr>
            <w:tcW w:w="3454" w:type="pct"/>
            <w:tcBorders>
              <w:top w:val="nil"/>
              <w:left w:val="nil"/>
              <w:bottom w:val="nil"/>
              <w:right w:val="nil"/>
              <w:tl2br w:val="nil"/>
              <w:tr2bl w:val="nil"/>
            </w:tcBorders>
            <w:shd w:val="solid" w:color="FFFFFF" w:fill="FFFFFF"/>
            <w:vAlign w:val="bottom"/>
          </w:tcPr>
          <w:p w14:paraId="4381F3A2" w14:textId="77777777" w:rsidR="006E442A" w:rsidRDefault="006E442A" w:rsidP="006E442A">
            <w:pPr>
              <w:spacing w:before="1" w:after="1"/>
              <w:rPr>
                <w:rFonts w:ascii="Calibri" w:eastAsia="Calibri" w:hAnsi="Calibri" w:cs="Calibri"/>
                <w:b/>
                <w:color w:val="000000"/>
                <w:sz w:val="20"/>
              </w:rPr>
            </w:pPr>
          </w:p>
        </w:tc>
        <w:tc>
          <w:tcPr>
            <w:tcW w:w="161" w:type="pct"/>
            <w:tcBorders>
              <w:top w:val="nil"/>
              <w:left w:val="nil"/>
              <w:bottom w:val="nil"/>
              <w:right w:val="nil"/>
              <w:tl2br w:val="nil"/>
              <w:tr2bl w:val="nil"/>
            </w:tcBorders>
            <w:shd w:val="solid" w:color="FFFFFF" w:fill="FFFFFF"/>
            <w:noWrap/>
            <w:vAlign w:val="bottom"/>
          </w:tcPr>
          <w:p w14:paraId="6B6C70C1" w14:textId="77777777" w:rsidR="006E442A" w:rsidRDefault="006E442A" w:rsidP="006E442A">
            <w:pPr>
              <w:spacing w:before="1" w:after="1"/>
              <w:rPr>
                <w:rFonts w:ascii="Calibri" w:eastAsia="Calibri" w:hAnsi="Calibri" w:cs="Calibri"/>
                <w:b/>
                <w:color w:val="000000"/>
                <w:sz w:val="20"/>
              </w:rPr>
            </w:pPr>
            <w:r>
              <w:rPr>
                <w:rFonts w:ascii="Calibri" w:eastAsia="Calibri" w:hAnsi="Calibri" w:cs="Calibri"/>
                <w:b/>
                <w:color w:val="000000"/>
                <w:sz w:val="20"/>
              </w:rPr>
              <w:t>    </w:t>
            </w:r>
          </w:p>
        </w:tc>
        <w:tc>
          <w:tcPr>
            <w:tcW w:w="1385" w:type="pct"/>
            <w:gridSpan w:val="4"/>
            <w:tcBorders>
              <w:top w:val="nil"/>
              <w:left w:val="nil"/>
              <w:bottom w:val="single" w:sz="4" w:space="0" w:color="000000"/>
              <w:right w:val="nil"/>
              <w:tl2br w:val="nil"/>
              <w:tr2bl w:val="nil"/>
            </w:tcBorders>
            <w:shd w:val="solid" w:color="FFFFFF" w:fill="FFFFFF"/>
            <w:noWrap/>
            <w:vAlign w:val="bottom"/>
          </w:tcPr>
          <w:p w14:paraId="3A2E9353" w14:textId="77777777" w:rsidR="006E442A" w:rsidRDefault="006E442A" w:rsidP="006E442A">
            <w:pPr>
              <w:spacing w:before="1" w:after="1"/>
              <w:jc w:val="center"/>
              <w:rPr>
                <w:rFonts w:ascii="Calibri" w:eastAsia="Calibri" w:hAnsi="Calibri" w:cs="Calibri"/>
                <w:b/>
                <w:color w:val="000000"/>
                <w:sz w:val="20"/>
              </w:rPr>
            </w:pPr>
            <w:r>
              <w:rPr>
                <w:rFonts w:ascii="Calibri" w:eastAsia="Calibri" w:hAnsi="Calibri" w:cs="Calibri"/>
                <w:b/>
                <w:color w:val="000000"/>
                <w:sz w:val="20"/>
              </w:rPr>
              <w:t>March 31, 2023</w:t>
            </w:r>
          </w:p>
        </w:tc>
      </w:tr>
      <w:tr w:rsidR="006E442A" w14:paraId="668D37EB" w14:textId="77777777" w:rsidTr="006E442A">
        <w:tc>
          <w:tcPr>
            <w:tcW w:w="3454" w:type="pct"/>
            <w:tcBorders>
              <w:top w:val="nil"/>
              <w:left w:val="nil"/>
              <w:bottom w:val="nil"/>
              <w:right w:val="nil"/>
              <w:tl2br w:val="nil"/>
              <w:tr2bl w:val="nil"/>
            </w:tcBorders>
            <w:shd w:val="solid" w:color="FFFFFF" w:fill="FFFFFF"/>
            <w:vAlign w:val="bottom"/>
          </w:tcPr>
          <w:p w14:paraId="72455276" w14:textId="77777777" w:rsidR="006E442A" w:rsidRDefault="006E442A" w:rsidP="006E442A">
            <w:pPr>
              <w:spacing w:before="1" w:after="1"/>
              <w:rPr>
                <w:rFonts w:ascii="Calibri" w:eastAsia="Calibri" w:hAnsi="Calibri" w:cs="Calibri"/>
                <w:b/>
                <w:color w:val="000000"/>
                <w:sz w:val="20"/>
              </w:rPr>
            </w:pPr>
            <w:r>
              <w:rPr>
                <w:rFonts w:ascii="Calibri" w:eastAsia="Calibri" w:hAnsi="Calibri" w:cs="Calibri"/>
                <w:b/>
                <w:color w:val="000000"/>
                <w:sz w:val="20"/>
              </w:rPr>
              <w:t>Economic Ownership of Focus Financial Partners, LLC Interests:</w:t>
            </w:r>
          </w:p>
        </w:tc>
        <w:tc>
          <w:tcPr>
            <w:tcW w:w="161" w:type="pct"/>
            <w:tcBorders>
              <w:top w:val="nil"/>
              <w:left w:val="nil"/>
              <w:bottom w:val="nil"/>
              <w:right w:val="nil"/>
              <w:tl2br w:val="nil"/>
              <w:tr2bl w:val="nil"/>
            </w:tcBorders>
            <w:shd w:val="solid" w:color="FFFFFF" w:fill="FFFFFF"/>
            <w:vAlign w:val="bottom"/>
          </w:tcPr>
          <w:p w14:paraId="687962BD" w14:textId="77777777" w:rsidR="006E442A" w:rsidRDefault="006E442A" w:rsidP="006E442A">
            <w:pPr>
              <w:spacing w:before="1" w:after="1"/>
              <w:rPr>
                <w:rFonts w:ascii="Calibri" w:eastAsia="Calibri" w:hAnsi="Calibri" w:cs="Calibri"/>
                <w:b/>
                <w:color w:val="000000"/>
                <w:sz w:val="20"/>
              </w:rPr>
            </w:pPr>
          </w:p>
        </w:tc>
        <w:tc>
          <w:tcPr>
            <w:tcW w:w="47" w:type="pct"/>
            <w:tcBorders>
              <w:top w:val="nil"/>
              <w:left w:val="nil"/>
              <w:bottom w:val="nil"/>
              <w:right w:val="nil"/>
              <w:tl2br w:val="nil"/>
              <w:tr2bl w:val="nil"/>
            </w:tcBorders>
            <w:shd w:val="solid" w:color="FFFFFF" w:fill="FFFFFF"/>
            <w:vAlign w:val="bottom"/>
          </w:tcPr>
          <w:p w14:paraId="13CDDFD4" w14:textId="77777777" w:rsidR="006E442A" w:rsidRDefault="006E442A" w:rsidP="006E442A">
            <w:pPr>
              <w:spacing w:before="1" w:after="1"/>
              <w:rPr>
                <w:rFonts w:ascii="Calibri" w:eastAsia="Calibri" w:hAnsi="Calibri" w:cs="Calibri"/>
                <w:b/>
                <w:color w:val="000000"/>
                <w:sz w:val="20"/>
              </w:rPr>
            </w:pPr>
          </w:p>
        </w:tc>
        <w:tc>
          <w:tcPr>
            <w:tcW w:w="674" w:type="pct"/>
            <w:tcBorders>
              <w:top w:val="nil"/>
              <w:left w:val="nil"/>
              <w:bottom w:val="nil"/>
              <w:right w:val="nil"/>
              <w:tl2br w:val="nil"/>
              <w:tr2bl w:val="nil"/>
            </w:tcBorders>
            <w:shd w:val="solid" w:color="FFFFFF" w:fill="FFFFFF"/>
            <w:vAlign w:val="bottom"/>
          </w:tcPr>
          <w:p w14:paraId="5C108275" w14:textId="77777777" w:rsidR="006E442A" w:rsidRDefault="006E442A" w:rsidP="006E442A">
            <w:pPr>
              <w:spacing w:before="1" w:after="1"/>
              <w:jc w:val="center"/>
              <w:rPr>
                <w:rFonts w:ascii="Calibri" w:eastAsia="Calibri" w:hAnsi="Calibri" w:cs="Calibri"/>
                <w:b/>
                <w:color w:val="000000"/>
                <w:sz w:val="20"/>
              </w:rPr>
            </w:pPr>
            <w:r>
              <w:rPr>
                <w:rFonts w:ascii="Calibri" w:eastAsia="Calibri" w:hAnsi="Calibri" w:cs="Calibri"/>
                <w:b/>
                <w:color w:val="000000"/>
                <w:sz w:val="20"/>
              </w:rPr>
              <w:t>Interest</w:t>
            </w:r>
          </w:p>
        </w:tc>
        <w:tc>
          <w:tcPr>
            <w:tcW w:w="161" w:type="pct"/>
            <w:tcBorders>
              <w:top w:val="nil"/>
              <w:left w:val="nil"/>
              <w:bottom w:val="nil"/>
              <w:right w:val="nil"/>
              <w:tl2br w:val="nil"/>
              <w:tr2bl w:val="nil"/>
            </w:tcBorders>
            <w:shd w:val="solid" w:color="FFFFFF" w:fill="FFFFFF"/>
            <w:vAlign w:val="bottom"/>
          </w:tcPr>
          <w:p w14:paraId="0069B66C" w14:textId="77777777" w:rsidR="006E442A" w:rsidRDefault="006E442A" w:rsidP="006E442A">
            <w:pPr>
              <w:spacing w:before="1" w:after="1"/>
              <w:rPr>
                <w:rFonts w:ascii="Calibri" w:eastAsia="Calibri" w:hAnsi="Calibri" w:cs="Calibri"/>
                <w:b/>
                <w:color w:val="000000"/>
                <w:sz w:val="20"/>
              </w:rPr>
            </w:pPr>
          </w:p>
        </w:tc>
        <w:tc>
          <w:tcPr>
            <w:tcW w:w="503" w:type="pct"/>
            <w:tcBorders>
              <w:top w:val="nil"/>
              <w:left w:val="nil"/>
              <w:bottom w:val="nil"/>
              <w:right w:val="nil"/>
              <w:tl2br w:val="nil"/>
              <w:tr2bl w:val="nil"/>
            </w:tcBorders>
            <w:shd w:val="solid" w:color="FFFFFF" w:fill="FFFFFF"/>
            <w:vAlign w:val="bottom"/>
          </w:tcPr>
          <w:p w14:paraId="728800A2" w14:textId="77777777" w:rsidR="006E442A" w:rsidRDefault="006E442A" w:rsidP="006E442A">
            <w:pPr>
              <w:spacing w:before="1" w:after="1"/>
              <w:jc w:val="center"/>
              <w:rPr>
                <w:rFonts w:ascii="Calibri" w:eastAsia="Calibri" w:hAnsi="Calibri" w:cs="Calibri"/>
                <w:b/>
                <w:color w:val="000000"/>
                <w:sz w:val="20"/>
              </w:rPr>
            </w:pPr>
            <w:r>
              <w:rPr>
                <w:rFonts w:ascii="Calibri" w:eastAsia="Calibri" w:hAnsi="Calibri" w:cs="Calibri"/>
                <w:b/>
                <w:color w:val="000000"/>
                <w:sz w:val="20"/>
              </w:rPr>
              <w:t>%</w:t>
            </w:r>
          </w:p>
        </w:tc>
      </w:tr>
      <w:tr w:rsidR="006E442A" w14:paraId="234D78FE" w14:textId="77777777" w:rsidTr="006E442A">
        <w:tc>
          <w:tcPr>
            <w:tcW w:w="3454" w:type="pct"/>
            <w:tcBorders>
              <w:top w:val="nil"/>
              <w:left w:val="nil"/>
              <w:bottom w:val="nil"/>
              <w:right w:val="nil"/>
              <w:tl2br w:val="nil"/>
              <w:tr2bl w:val="nil"/>
            </w:tcBorders>
            <w:shd w:val="solid" w:color="FFFFFF" w:fill="FFFFFF"/>
            <w:vAlign w:val="bottom"/>
          </w:tcPr>
          <w:p w14:paraId="52A71E58" w14:textId="77777777" w:rsidR="006E442A" w:rsidRDefault="006E442A" w:rsidP="006E442A">
            <w:pPr>
              <w:spacing w:before="1" w:after="1"/>
              <w:rPr>
                <w:rFonts w:ascii="Calibri" w:eastAsia="Calibri" w:hAnsi="Calibri" w:cs="Calibri"/>
                <w:color w:val="000000"/>
                <w:sz w:val="20"/>
              </w:rPr>
            </w:pPr>
            <w:r>
              <w:rPr>
                <w:rFonts w:ascii="Calibri" w:eastAsia="Calibri" w:hAnsi="Calibri" w:cs="Calibri"/>
                <w:color w:val="000000"/>
                <w:sz w:val="20"/>
              </w:rPr>
              <w:t>Focus Financial Partners Inc.</w:t>
            </w:r>
          </w:p>
        </w:tc>
        <w:tc>
          <w:tcPr>
            <w:tcW w:w="161" w:type="pct"/>
            <w:tcBorders>
              <w:top w:val="nil"/>
              <w:left w:val="nil"/>
              <w:bottom w:val="nil"/>
              <w:right w:val="nil"/>
              <w:tl2br w:val="nil"/>
              <w:tr2bl w:val="nil"/>
            </w:tcBorders>
            <w:shd w:val="solid" w:color="FFFFFF" w:fill="FFFFFF"/>
            <w:noWrap/>
            <w:vAlign w:val="bottom"/>
          </w:tcPr>
          <w:p w14:paraId="7043E5FD" w14:textId="77777777" w:rsidR="006E442A" w:rsidRDefault="006E442A" w:rsidP="006E442A">
            <w:pPr>
              <w:spacing w:before="1" w:after="1"/>
              <w:rPr>
                <w:rFonts w:ascii="Calibri" w:eastAsia="Calibri" w:hAnsi="Calibri" w:cs="Calibri"/>
                <w:color w:val="000000"/>
                <w:sz w:val="20"/>
              </w:rPr>
            </w:pPr>
          </w:p>
        </w:tc>
        <w:tc>
          <w:tcPr>
            <w:tcW w:w="47" w:type="pct"/>
            <w:tcBorders>
              <w:top w:val="nil"/>
              <w:left w:val="nil"/>
              <w:bottom w:val="nil"/>
              <w:right w:val="nil"/>
              <w:tl2br w:val="nil"/>
              <w:tr2bl w:val="nil"/>
            </w:tcBorders>
            <w:shd w:val="solid" w:color="FFFFFF" w:fill="FFFFFF"/>
            <w:noWrap/>
            <w:vAlign w:val="bottom"/>
          </w:tcPr>
          <w:p w14:paraId="77DB1ACF" w14:textId="77777777" w:rsidR="006E442A" w:rsidRDefault="006E442A" w:rsidP="006E442A">
            <w:pPr>
              <w:spacing w:before="1" w:after="1"/>
              <w:rPr>
                <w:rFonts w:ascii="Calibri" w:eastAsia="Calibri" w:hAnsi="Calibri" w:cs="Calibri"/>
                <w:color w:val="000000"/>
                <w:sz w:val="20"/>
              </w:rPr>
            </w:pPr>
          </w:p>
        </w:tc>
        <w:tc>
          <w:tcPr>
            <w:tcW w:w="674" w:type="pct"/>
            <w:tcBorders>
              <w:top w:val="nil"/>
              <w:left w:val="nil"/>
              <w:bottom w:val="nil"/>
              <w:right w:val="nil"/>
              <w:tl2br w:val="nil"/>
              <w:tr2bl w:val="nil"/>
            </w:tcBorders>
            <w:shd w:val="solid" w:color="FFFFFF" w:fill="FFFFFF"/>
            <w:noWrap/>
            <w:vAlign w:val="bottom"/>
          </w:tcPr>
          <w:p w14:paraId="2BA079CD" w14:textId="77777777" w:rsidR="006E442A" w:rsidRDefault="006E442A" w:rsidP="006E442A">
            <w:pPr>
              <w:spacing w:before="1" w:after="1"/>
              <w:ind w:right="60"/>
              <w:jc w:val="right"/>
              <w:rPr>
                <w:rFonts w:ascii="Calibri" w:eastAsia="Calibri" w:hAnsi="Calibri" w:cs="Calibri"/>
                <w:color w:val="000000"/>
                <w:sz w:val="20"/>
              </w:rPr>
            </w:pPr>
            <w:r>
              <w:rPr>
                <w:rFonts w:ascii="Calibri" w:eastAsia="Calibri" w:hAnsi="Calibri" w:cs="Calibri"/>
                <w:color w:val="000000"/>
                <w:sz w:val="20"/>
              </w:rPr>
              <w:t xml:space="preserve"> 65,960,079</w:t>
            </w:r>
          </w:p>
        </w:tc>
        <w:tc>
          <w:tcPr>
            <w:tcW w:w="161" w:type="pct"/>
            <w:tcBorders>
              <w:top w:val="nil"/>
              <w:left w:val="nil"/>
              <w:bottom w:val="nil"/>
              <w:right w:val="nil"/>
              <w:tl2br w:val="nil"/>
              <w:tr2bl w:val="nil"/>
            </w:tcBorders>
            <w:shd w:val="solid" w:color="FFFFFF" w:fill="FFFFFF"/>
            <w:noWrap/>
            <w:vAlign w:val="bottom"/>
          </w:tcPr>
          <w:p w14:paraId="466D7807" w14:textId="77777777" w:rsidR="006E442A" w:rsidRDefault="006E442A" w:rsidP="006E442A">
            <w:pPr>
              <w:spacing w:before="1" w:after="1"/>
              <w:rPr>
                <w:rFonts w:ascii="Calibri" w:eastAsia="Calibri" w:hAnsi="Calibri" w:cs="Calibri"/>
                <w:color w:val="000000"/>
                <w:sz w:val="20"/>
              </w:rPr>
            </w:pPr>
          </w:p>
        </w:tc>
        <w:tc>
          <w:tcPr>
            <w:tcW w:w="503" w:type="pct"/>
            <w:tcBorders>
              <w:top w:val="nil"/>
              <w:left w:val="nil"/>
              <w:bottom w:val="nil"/>
              <w:right w:val="nil"/>
              <w:tl2br w:val="nil"/>
              <w:tr2bl w:val="nil"/>
            </w:tcBorders>
            <w:shd w:val="solid" w:color="FFFFFF" w:fill="FFFFFF"/>
            <w:noWrap/>
            <w:vAlign w:val="bottom"/>
          </w:tcPr>
          <w:p w14:paraId="70A2741D" w14:textId="77777777" w:rsidR="006E442A" w:rsidRDefault="006E442A" w:rsidP="006E442A">
            <w:pPr>
              <w:spacing w:before="1" w:after="1"/>
              <w:jc w:val="center"/>
              <w:rPr>
                <w:rFonts w:ascii="Calibri" w:eastAsia="Calibri" w:hAnsi="Calibri" w:cs="Calibri"/>
                <w:color w:val="000000"/>
                <w:sz w:val="20"/>
              </w:rPr>
            </w:pPr>
            <w:r>
              <w:rPr>
                <w:rFonts w:ascii="Calibri" w:eastAsia="Calibri" w:hAnsi="Calibri" w:cs="Calibri"/>
                <w:color w:val="000000"/>
                <w:sz w:val="20"/>
              </w:rPr>
              <w:t>75.9%</w:t>
            </w:r>
          </w:p>
        </w:tc>
      </w:tr>
      <w:tr w:rsidR="006E442A" w14:paraId="219B061D" w14:textId="77777777" w:rsidTr="006E442A">
        <w:tc>
          <w:tcPr>
            <w:tcW w:w="3454" w:type="pct"/>
            <w:tcBorders>
              <w:top w:val="nil"/>
              <w:left w:val="nil"/>
              <w:bottom w:val="nil"/>
              <w:right w:val="nil"/>
              <w:tl2br w:val="nil"/>
              <w:tr2bl w:val="nil"/>
            </w:tcBorders>
            <w:shd w:val="solid" w:color="FFFFFF" w:fill="FFFFFF"/>
            <w:vAlign w:val="bottom"/>
          </w:tcPr>
          <w:p w14:paraId="6E2776DF" w14:textId="77777777" w:rsidR="006E442A" w:rsidRDefault="006E442A" w:rsidP="006E442A">
            <w:pPr>
              <w:spacing w:before="1" w:after="1"/>
              <w:rPr>
                <w:rFonts w:ascii="Calibri" w:eastAsia="Calibri" w:hAnsi="Calibri" w:cs="Calibri"/>
                <w:color w:val="000000"/>
                <w:sz w:val="20"/>
              </w:rPr>
            </w:pPr>
            <w:r>
              <w:rPr>
                <w:rFonts w:ascii="Calibri" w:eastAsia="Calibri" w:hAnsi="Calibri" w:cs="Calibri"/>
                <w:color w:val="000000"/>
                <w:sz w:val="20"/>
              </w:rPr>
              <w:t>Non-Controlling Interests (1)</w:t>
            </w:r>
          </w:p>
        </w:tc>
        <w:tc>
          <w:tcPr>
            <w:tcW w:w="161" w:type="pct"/>
            <w:tcBorders>
              <w:top w:val="nil"/>
              <w:left w:val="nil"/>
              <w:bottom w:val="nil"/>
              <w:right w:val="nil"/>
              <w:tl2br w:val="nil"/>
              <w:tr2bl w:val="nil"/>
            </w:tcBorders>
            <w:shd w:val="solid" w:color="FFFFFF" w:fill="FFFFFF"/>
            <w:noWrap/>
            <w:vAlign w:val="bottom"/>
          </w:tcPr>
          <w:p w14:paraId="7B08379A" w14:textId="77777777" w:rsidR="006E442A" w:rsidRDefault="006E442A" w:rsidP="006E442A">
            <w:pPr>
              <w:spacing w:before="1" w:after="1"/>
              <w:rPr>
                <w:rFonts w:ascii="Calibri" w:eastAsia="Calibri" w:hAnsi="Calibri" w:cs="Calibri"/>
                <w:color w:val="000000"/>
                <w:sz w:val="20"/>
              </w:rPr>
            </w:pPr>
          </w:p>
        </w:tc>
        <w:tc>
          <w:tcPr>
            <w:tcW w:w="47" w:type="pct"/>
            <w:tcBorders>
              <w:top w:val="nil"/>
              <w:left w:val="nil"/>
              <w:bottom w:val="nil"/>
              <w:right w:val="nil"/>
              <w:tl2br w:val="nil"/>
              <w:tr2bl w:val="nil"/>
            </w:tcBorders>
            <w:shd w:val="solid" w:color="FFFFFF" w:fill="FFFFFF"/>
            <w:noWrap/>
            <w:vAlign w:val="bottom"/>
          </w:tcPr>
          <w:p w14:paraId="054A130C" w14:textId="77777777" w:rsidR="006E442A" w:rsidRDefault="006E442A" w:rsidP="006E442A">
            <w:pPr>
              <w:spacing w:before="1" w:after="1"/>
              <w:rPr>
                <w:rFonts w:ascii="Calibri" w:eastAsia="Calibri" w:hAnsi="Calibri" w:cs="Calibri"/>
                <w:color w:val="000000"/>
                <w:sz w:val="20"/>
              </w:rPr>
            </w:pPr>
          </w:p>
        </w:tc>
        <w:tc>
          <w:tcPr>
            <w:tcW w:w="674" w:type="pct"/>
            <w:tcBorders>
              <w:top w:val="nil"/>
              <w:left w:val="nil"/>
              <w:bottom w:val="single" w:sz="4" w:space="0" w:color="000000"/>
              <w:right w:val="nil"/>
              <w:tl2br w:val="nil"/>
              <w:tr2bl w:val="nil"/>
            </w:tcBorders>
            <w:shd w:val="solid" w:color="FFFFFF" w:fill="FFFFFF"/>
            <w:noWrap/>
            <w:vAlign w:val="bottom"/>
          </w:tcPr>
          <w:p w14:paraId="05C96FD5" w14:textId="77777777" w:rsidR="006E442A" w:rsidRDefault="006E442A" w:rsidP="006E442A">
            <w:pPr>
              <w:spacing w:before="1" w:after="1"/>
              <w:ind w:right="60"/>
              <w:jc w:val="right"/>
              <w:rPr>
                <w:rFonts w:ascii="Calibri" w:eastAsia="Calibri" w:hAnsi="Calibri" w:cs="Calibri"/>
                <w:color w:val="000000"/>
                <w:sz w:val="20"/>
              </w:rPr>
            </w:pPr>
            <w:r>
              <w:rPr>
                <w:rFonts w:ascii="Calibri" w:eastAsia="Calibri" w:hAnsi="Calibri" w:cs="Calibri"/>
                <w:color w:val="000000"/>
                <w:sz w:val="20"/>
              </w:rPr>
              <w:t xml:space="preserve"> 20,928,231</w:t>
            </w:r>
          </w:p>
        </w:tc>
        <w:tc>
          <w:tcPr>
            <w:tcW w:w="161" w:type="pct"/>
            <w:tcBorders>
              <w:top w:val="nil"/>
              <w:left w:val="nil"/>
              <w:bottom w:val="nil"/>
              <w:right w:val="nil"/>
              <w:tl2br w:val="nil"/>
              <w:tr2bl w:val="nil"/>
            </w:tcBorders>
            <w:shd w:val="solid" w:color="FFFFFF" w:fill="FFFFFF"/>
            <w:noWrap/>
            <w:vAlign w:val="bottom"/>
          </w:tcPr>
          <w:p w14:paraId="1BD3E1E6" w14:textId="77777777" w:rsidR="006E442A" w:rsidRDefault="006E442A" w:rsidP="006E442A">
            <w:pPr>
              <w:spacing w:before="1" w:after="1"/>
              <w:rPr>
                <w:rFonts w:ascii="Calibri" w:eastAsia="Calibri" w:hAnsi="Calibri" w:cs="Calibri"/>
                <w:color w:val="000000"/>
                <w:sz w:val="20"/>
              </w:rPr>
            </w:pPr>
          </w:p>
        </w:tc>
        <w:tc>
          <w:tcPr>
            <w:tcW w:w="503" w:type="pct"/>
            <w:tcBorders>
              <w:top w:val="nil"/>
              <w:left w:val="nil"/>
              <w:bottom w:val="single" w:sz="4" w:space="0" w:color="000000"/>
              <w:right w:val="nil"/>
              <w:tl2br w:val="nil"/>
              <w:tr2bl w:val="nil"/>
            </w:tcBorders>
            <w:shd w:val="solid" w:color="FFFFFF" w:fill="FFFFFF"/>
            <w:noWrap/>
            <w:vAlign w:val="bottom"/>
          </w:tcPr>
          <w:p w14:paraId="2A8DEBC7" w14:textId="77777777" w:rsidR="006E442A" w:rsidRDefault="006E442A" w:rsidP="006E442A">
            <w:pPr>
              <w:spacing w:before="1" w:after="1"/>
              <w:jc w:val="center"/>
              <w:rPr>
                <w:rFonts w:ascii="Calibri" w:eastAsia="Calibri" w:hAnsi="Calibri" w:cs="Calibri"/>
                <w:color w:val="000000"/>
                <w:sz w:val="20"/>
              </w:rPr>
            </w:pPr>
            <w:r>
              <w:rPr>
                <w:rFonts w:ascii="Calibri" w:eastAsia="Calibri" w:hAnsi="Calibri" w:cs="Calibri"/>
                <w:color w:val="000000"/>
                <w:sz w:val="20"/>
              </w:rPr>
              <w:t>24.1%</w:t>
            </w:r>
          </w:p>
        </w:tc>
      </w:tr>
      <w:tr w:rsidR="006E442A" w14:paraId="51FD5359" w14:textId="77777777" w:rsidTr="006E442A">
        <w:tc>
          <w:tcPr>
            <w:tcW w:w="3454" w:type="pct"/>
            <w:tcBorders>
              <w:top w:val="nil"/>
              <w:left w:val="nil"/>
              <w:bottom w:val="nil"/>
              <w:right w:val="nil"/>
              <w:tl2br w:val="nil"/>
              <w:tr2bl w:val="nil"/>
            </w:tcBorders>
            <w:shd w:val="solid" w:color="FFFFFF" w:fill="FFFFFF"/>
            <w:vAlign w:val="bottom"/>
          </w:tcPr>
          <w:p w14:paraId="534651B0" w14:textId="77777777" w:rsidR="006E442A" w:rsidRDefault="006E442A" w:rsidP="006E442A">
            <w:pPr>
              <w:spacing w:before="1" w:after="1"/>
              <w:ind w:left="240"/>
              <w:rPr>
                <w:rFonts w:ascii="Calibri" w:eastAsia="Calibri" w:hAnsi="Calibri" w:cs="Calibri"/>
                <w:b/>
                <w:color w:val="000000"/>
                <w:sz w:val="20"/>
              </w:rPr>
            </w:pPr>
            <w:r>
              <w:rPr>
                <w:rFonts w:ascii="Calibri" w:eastAsia="Calibri" w:hAnsi="Calibri" w:cs="Calibri"/>
                <w:b/>
                <w:color w:val="000000"/>
                <w:sz w:val="20"/>
              </w:rPr>
              <w:t>Total</w:t>
            </w:r>
          </w:p>
        </w:tc>
        <w:tc>
          <w:tcPr>
            <w:tcW w:w="161" w:type="pct"/>
            <w:tcBorders>
              <w:top w:val="nil"/>
              <w:left w:val="nil"/>
              <w:bottom w:val="nil"/>
              <w:right w:val="nil"/>
              <w:tl2br w:val="nil"/>
              <w:tr2bl w:val="nil"/>
            </w:tcBorders>
            <w:shd w:val="solid" w:color="FFFFFF" w:fill="FFFFFF"/>
            <w:noWrap/>
            <w:vAlign w:val="bottom"/>
          </w:tcPr>
          <w:p w14:paraId="4BB8ADE5" w14:textId="77777777" w:rsidR="006E442A" w:rsidRDefault="006E442A" w:rsidP="006E442A">
            <w:pPr>
              <w:spacing w:before="1" w:after="1"/>
              <w:rPr>
                <w:rFonts w:ascii="Calibri" w:eastAsia="Calibri" w:hAnsi="Calibri" w:cs="Calibri"/>
                <w:color w:val="000000"/>
                <w:sz w:val="20"/>
              </w:rPr>
            </w:pPr>
          </w:p>
        </w:tc>
        <w:tc>
          <w:tcPr>
            <w:tcW w:w="47" w:type="pct"/>
            <w:tcBorders>
              <w:top w:val="nil"/>
              <w:left w:val="nil"/>
              <w:bottom w:val="nil"/>
              <w:right w:val="nil"/>
              <w:tl2br w:val="nil"/>
              <w:tr2bl w:val="nil"/>
            </w:tcBorders>
            <w:shd w:val="solid" w:color="FFFFFF" w:fill="FFFFFF"/>
            <w:noWrap/>
            <w:vAlign w:val="bottom"/>
          </w:tcPr>
          <w:p w14:paraId="06F405AF" w14:textId="77777777" w:rsidR="006E442A" w:rsidRDefault="006E442A" w:rsidP="006E442A">
            <w:pPr>
              <w:spacing w:before="1" w:after="1"/>
              <w:rPr>
                <w:rFonts w:ascii="Calibri" w:eastAsia="Calibri" w:hAnsi="Calibri" w:cs="Calibri"/>
                <w:color w:val="000000"/>
                <w:sz w:val="20"/>
              </w:rPr>
            </w:pPr>
          </w:p>
        </w:tc>
        <w:tc>
          <w:tcPr>
            <w:tcW w:w="674" w:type="pct"/>
            <w:tcBorders>
              <w:top w:val="nil"/>
              <w:left w:val="nil"/>
              <w:bottom w:val="double" w:sz="4" w:space="0" w:color="000000"/>
              <w:right w:val="nil"/>
              <w:tl2br w:val="nil"/>
              <w:tr2bl w:val="nil"/>
            </w:tcBorders>
            <w:shd w:val="solid" w:color="FFFFFF" w:fill="FFFFFF"/>
            <w:noWrap/>
            <w:vAlign w:val="bottom"/>
          </w:tcPr>
          <w:p w14:paraId="5A8AB5BB" w14:textId="77777777" w:rsidR="006E442A" w:rsidRDefault="006E442A" w:rsidP="006E442A">
            <w:pPr>
              <w:spacing w:before="1" w:after="1"/>
              <w:ind w:right="60"/>
              <w:jc w:val="right"/>
              <w:rPr>
                <w:rFonts w:ascii="Calibri" w:eastAsia="Calibri" w:hAnsi="Calibri" w:cs="Calibri"/>
                <w:color w:val="000000"/>
                <w:sz w:val="20"/>
              </w:rPr>
            </w:pPr>
            <w:r>
              <w:rPr>
                <w:rFonts w:ascii="Calibri" w:eastAsia="Calibri" w:hAnsi="Calibri" w:cs="Calibri"/>
                <w:color w:val="000000"/>
                <w:sz w:val="20"/>
              </w:rPr>
              <w:t xml:space="preserve"> 86,888,310</w:t>
            </w:r>
          </w:p>
        </w:tc>
        <w:tc>
          <w:tcPr>
            <w:tcW w:w="161" w:type="pct"/>
            <w:tcBorders>
              <w:top w:val="nil"/>
              <w:left w:val="nil"/>
              <w:bottom w:val="nil"/>
              <w:right w:val="nil"/>
              <w:tl2br w:val="nil"/>
              <w:tr2bl w:val="nil"/>
            </w:tcBorders>
            <w:shd w:val="solid" w:color="FFFFFF" w:fill="FFFFFF"/>
            <w:noWrap/>
            <w:vAlign w:val="bottom"/>
          </w:tcPr>
          <w:p w14:paraId="166AB8C1" w14:textId="77777777" w:rsidR="006E442A" w:rsidRDefault="006E442A" w:rsidP="006E442A">
            <w:pPr>
              <w:spacing w:before="1" w:after="1"/>
              <w:rPr>
                <w:rFonts w:ascii="Calibri" w:eastAsia="Calibri" w:hAnsi="Calibri" w:cs="Calibri"/>
                <w:color w:val="000000"/>
                <w:sz w:val="20"/>
              </w:rPr>
            </w:pPr>
          </w:p>
        </w:tc>
        <w:tc>
          <w:tcPr>
            <w:tcW w:w="503" w:type="pct"/>
            <w:tcBorders>
              <w:top w:val="nil"/>
              <w:left w:val="nil"/>
              <w:bottom w:val="double" w:sz="4" w:space="0" w:color="000000"/>
              <w:right w:val="nil"/>
              <w:tl2br w:val="nil"/>
              <w:tr2bl w:val="nil"/>
            </w:tcBorders>
            <w:shd w:val="solid" w:color="FFFFFF" w:fill="FFFFFF"/>
            <w:noWrap/>
            <w:vAlign w:val="bottom"/>
          </w:tcPr>
          <w:p w14:paraId="173E7438" w14:textId="77777777" w:rsidR="006E442A" w:rsidRDefault="006E442A" w:rsidP="006E442A">
            <w:pPr>
              <w:spacing w:before="1" w:after="1"/>
              <w:jc w:val="center"/>
              <w:rPr>
                <w:rFonts w:ascii="Calibri" w:eastAsia="Calibri" w:hAnsi="Calibri" w:cs="Calibri"/>
                <w:color w:val="000000"/>
                <w:sz w:val="20"/>
              </w:rPr>
            </w:pPr>
            <w:r>
              <w:rPr>
                <w:rFonts w:ascii="Calibri" w:eastAsia="Calibri" w:hAnsi="Calibri" w:cs="Calibri"/>
                <w:color w:val="000000"/>
                <w:sz w:val="20"/>
              </w:rPr>
              <w:t>100.0%</w:t>
            </w:r>
          </w:p>
        </w:tc>
      </w:tr>
      <w:tr w:rsidR="006E442A" w14:paraId="3893A8CA" w14:textId="77777777" w:rsidTr="006E442A">
        <w:tc>
          <w:tcPr>
            <w:tcW w:w="3454" w:type="pct"/>
            <w:tcBorders>
              <w:top w:val="nil"/>
              <w:left w:val="nil"/>
              <w:bottom w:val="nil"/>
              <w:right w:val="nil"/>
              <w:tl2br w:val="nil"/>
              <w:tr2bl w:val="nil"/>
            </w:tcBorders>
            <w:shd w:val="solid" w:color="FFFFFF" w:fill="FFFFFF"/>
            <w:noWrap/>
            <w:vAlign w:val="bottom"/>
          </w:tcPr>
          <w:p w14:paraId="7E735059" w14:textId="77777777" w:rsidR="006E442A" w:rsidRDefault="006E442A" w:rsidP="006E442A">
            <w:pPr>
              <w:spacing w:before="1" w:after="1"/>
              <w:rPr>
                <w:rFonts w:ascii="Calibri" w:eastAsia="Calibri" w:hAnsi="Calibri" w:cs="Calibri"/>
                <w:color w:val="000000"/>
                <w:sz w:val="20"/>
              </w:rPr>
            </w:pPr>
          </w:p>
        </w:tc>
        <w:tc>
          <w:tcPr>
            <w:tcW w:w="161" w:type="pct"/>
            <w:tcBorders>
              <w:top w:val="nil"/>
              <w:left w:val="nil"/>
              <w:bottom w:val="nil"/>
              <w:right w:val="nil"/>
              <w:tl2br w:val="nil"/>
              <w:tr2bl w:val="nil"/>
            </w:tcBorders>
            <w:shd w:val="solid" w:color="FFFFFF" w:fill="FFFFFF"/>
            <w:noWrap/>
            <w:vAlign w:val="bottom"/>
          </w:tcPr>
          <w:p w14:paraId="28DE706D" w14:textId="77777777" w:rsidR="006E442A" w:rsidRDefault="006E442A" w:rsidP="006E442A">
            <w:pPr>
              <w:spacing w:before="1" w:after="1"/>
              <w:rPr>
                <w:rFonts w:ascii="Calibri" w:eastAsia="Calibri" w:hAnsi="Calibri" w:cs="Calibri"/>
                <w:color w:val="000000"/>
                <w:sz w:val="20"/>
              </w:rPr>
            </w:pPr>
          </w:p>
        </w:tc>
        <w:tc>
          <w:tcPr>
            <w:tcW w:w="47" w:type="pct"/>
            <w:tcBorders>
              <w:top w:val="nil"/>
              <w:left w:val="nil"/>
              <w:bottom w:val="nil"/>
              <w:right w:val="nil"/>
              <w:tl2br w:val="nil"/>
              <w:tr2bl w:val="nil"/>
            </w:tcBorders>
            <w:shd w:val="solid" w:color="FFFFFF" w:fill="FFFFFF"/>
            <w:noWrap/>
            <w:vAlign w:val="bottom"/>
          </w:tcPr>
          <w:p w14:paraId="788BD671" w14:textId="77777777" w:rsidR="006E442A" w:rsidRDefault="006E442A" w:rsidP="006E442A">
            <w:pPr>
              <w:spacing w:before="1" w:after="1"/>
              <w:rPr>
                <w:rFonts w:ascii="Calibri" w:eastAsia="Calibri" w:hAnsi="Calibri" w:cs="Calibri"/>
                <w:color w:val="000000"/>
                <w:sz w:val="20"/>
              </w:rPr>
            </w:pPr>
          </w:p>
        </w:tc>
        <w:tc>
          <w:tcPr>
            <w:tcW w:w="674" w:type="pct"/>
            <w:tcBorders>
              <w:top w:val="nil"/>
              <w:left w:val="nil"/>
              <w:bottom w:val="nil"/>
              <w:right w:val="nil"/>
              <w:tl2br w:val="nil"/>
              <w:tr2bl w:val="nil"/>
            </w:tcBorders>
            <w:shd w:val="solid" w:color="FFFFFF" w:fill="FFFFFF"/>
            <w:noWrap/>
            <w:vAlign w:val="bottom"/>
          </w:tcPr>
          <w:p w14:paraId="27AEACE1" w14:textId="77777777" w:rsidR="006E442A" w:rsidRDefault="006E442A" w:rsidP="006E442A">
            <w:pPr>
              <w:spacing w:before="1" w:after="1"/>
              <w:rPr>
                <w:rFonts w:ascii="Calibri" w:eastAsia="Calibri" w:hAnsi="Calibri" w:cs="Calibri"/>
                <w:color w:val="000000"/>
                <w:sz w:val="20"/>
              </w:rPr>
            </w:pPr>
          </w:p>
        </w:tc>
        <w:tc>
          <w:tcPr>
            <w:tcW w:w="161" w:type="pct"/>
            <w:tcBorders>
              <w:top w:val="nil"/>
              <w:left w:val="nil"/>
              <w:bottom w:val="nil"/>
              <w:right w:val="nil"/>
              <w:tl2br w:val="nil"/>
              <w:tr2bl w:val="nil"/>
            </w:tcBorders>
            <w:shd w:val="solid" w:color="FFFFFF" w:fill="FFFFFF"/>
            <w:noWrap/>
            <w:vAlign w:val="bottom"/>
          </w:tcPr>
          <w:p w14:paraId="732B0914" w14:textId="77777777" w:rsidR="006E442A" w:rsidRDefault="006E442A" w:rsidP="006E442A">
            <w:pPr>
              <w:spacing w:before="1" w:after="1"/>
              <w:rPr>
                <w:rFonts w:ascii="Calibri" w:eastAsia="Calibri" w:hAnsi="Calibri" w:cs="Calibri"/>
                <w:color w:val="000000"/>
                <w:sz w:val="20"/>
              </w:rPr>
            </w:pPr>
          </w:p>
        </w:tc>
        <w:tc>
          <w:tcPr>
            <w:tcW w:w="503" w:type="pct"/>
            <w:tcBorders>
              <w:top w:val="nil"/>
              <w:left w:val="nil"/>
              <w:bottom w:val="nil"/>
              <w:right w:val="nil"/>
              <w:tl2br w:val="nil"/>
              <w:tr2bl w:val="nil"/>
            </w:tcBorders>
            <w:shd w:val="solid" w:color="FFFFFF" w:fill="FFFFFF"/>
            <w:noWrap/>
            <w:vAlign w:val="bottom"/>
          </w:tcPr>
          <w:p w14:paraId="55084032" w14:textId="77777777" w:rsidR="006E442A" w:rsidRDefault="006E442A" w:rsidP="006E442A">
            <w:pPr>
              <w:spacing w:before="1" w:after="1"/>
              <w:rPr>
                <w:rFonts w:ascii="Calibri" w:eastAsia="Calibri" w:hAnsi="Calibri" w:cs="Calibri"/>
                <w:color w:val="000000"/>
                <w:sz w:val="20"/>
              </w:rPr>
            </w:pPr>
          </w:p>
        </w:tc>
      </w:tr>
    </w:tbl>
    <w:p w14:paraId="13BF1312" w14:textId="77777777" w:rsidR="00536C41" w:rsidRPr="006A0CBA" w:rsidRDefault="00536C41" w:rsidP="00B65D59">
      <w:pPr>
        <w:pStyle w:val="NoSpacing"/>
        <w:numPr>
          <w:ilvl w:val="0"/>
          <w:numId w:val="6"/>
        </w:numPr>
        <w:contextualSpacing/>
        <w:rPr>
          <w:rStyle w:val="SubtleEmphasis"/>
        </w:rPr>
      </w:pPr>
      <w:r w:rsidRPr="006A0CBA">
        <w:rPr>
          <w:rStyle w:val="SubtleEmphasis"/>
        </w:rPr>
        <w:t xml:space="preserve">Includes </w:t>
      </w:r>
      <w:r w:rsidR="006A0CBA" w:rsidRPr="006A0CBA">
        <w:rPr>
          <w:rStyle w:val="SubtleEmphasis"/>
        </w:rPr>
        <w:t>8</w:t>
      </w:r>
      <w:r w:rsidR="00804A5B" w:rsidRPr="006A0CBA">
        <w:rPr>
          <w:rStyle w:val="SubtleEmphasis"/>
        </w:rPr>
        <w:t>,</w:t>
      </w:r>
      <w:r w:rsidR="006A0CBA" w:rsidRPr="006A0CBA">
        <w:rPr>
          <w:rStyle w:val="SubtleEmphasis"/>
        </w:rPr>
        <w:t>091</w:t>
      </w:r>
      <w:r w:rsidR="00804A5B" w:rsidRPr="006A0CBA">
        <w:rPr>
          <w:rStyle w:val="SubtleEmphasis"/>
        </w:rPr>
        <w:t>,</w:t>
      </w:r>
      <w:r w:rsidR="006A0CBA" w:rsidRPr="006A0CBA">
        <w:rPr>
          <w:rStyle w:val="SubtleEmphasis"/>
        </w:rPr>
        <w:t>421</w:t>
      </w:r>
      <w:r w:rsidR="00804A5B" w:rsidRPr="006A0CBA">
        <w:rPr>
          <w:rStyle w:val="SubtleEmphasis"/>
        </w:rPr>
        <w:t xml:space="preserve"> </w:t>
      </w:r>
      <w:r w:rsidRPr="006A0CBA">
        <w:rPr>
          <w:rStyle w:val="SubtleEmphasis"/>
        </w:rPr>
        <w:t xml:space="preserve">Focus LLC common units issuable upon conversion of the outstanding </w:t>
      </w:r>
      <w:r w:rsidR="00657A41" w:rsidRPr="006A0CBA">
        <w:rPr>
          <w:rStyle w:val="SubtleEmphasis"/>
        </w:rPr>
        <w:t>16</w:t>
      </w:r>
      <w:r w:rsidR="007E666C" w:rsidRPr="006A0CBA">
        <w:rPr>
          <w:rStyle w:val="SubtleEmphasis"/>
        </w:rPr>
        <w:t>,</w:t>
      </w:r>
      <w:r w:rsidR="009F7561" w:rsidRPr="006A0CBA">
        <w:rPr>
          <w:rStyle w:val="SubtleEmphasis"/>
        </w:rPr>
        <w:t>602</w:t>
      </w:r>
      <w:r w:rsidR="007E666C" w:rsidRPr="006A0CBA">
        <w:rPr>
          <w:rStyle w:val="SubtleEmphasis"/>
        </w:rPr>
        <w:t>,</w:t>
      </w:r>
      <w:r w:rsidR="009F7561" w:rsidRPr="006A0CBA">
        <w:rPr>
          <w:rStyle w:val="SubtleEmphasis"/>
        </w:rPr>
        <w:t>886</w:t>
      </w:r>
      <w:r w:rsidR="00C2370A" w:rsidRPr="006A0CBA">
        <w:rPr>
          <w:rStyle w:val="SubtleEmphasis"/>
        </w:rPr>
        <w:t xml:space="preserve"> </w:t>
      </w:r>
      <w:r w:rsidRPr="006A0CBA">
        <w:rPr>
          <w:rStyle w:val="SubtleEmphasis"/>
        </w:rPr>
        <w:t xml:space="preserve">vested and unvested incentive units (assuming vesting of the unvested incentive units and a </w:t>
      </w:r>
      <w:r w:rsidR="006A0CBA" w:rsidRPr="006A0CBA">
        <w:rPr>
          <w:rStyle w:val="SubtleEmphasis"/>
        </w:rPr>
        <w:t>March</w:t>
      </w:r>
      <w:r w:rsidRPr="006A0CBA">
        <w:rPr>
          <w:rStyle w:val="SubtleEmphasis"/>
        </w:rPr>
        <w:t xml:space="preserve"> 3</w:t>
      </w:r>
      <w:r w:rsidR="009F7561" w:rsidRPr="006A0CBA">
        <w:rPr>
          <w:rStyle w:val="SubtleEmphasis"/>
        </w:rPr>
        <w:t>1</w:t>
      </w:r>
      <w:r w:rsidRPr="006A0CBA">
        <w:rPr>
          <w:rStyle w:val="SubtleEmphasis"/>
        </w:rPr>
        <w:t xml:space="preserve">, </w:t>
      </w:r>
      <w:proofErr w:type="gramStart"/>
      <w:r w:rsidRPr="006A0CBA">
        <w:rPr>
          <w:rStyle w:val="SubtleEmphasis"/>
        </w:rPr>
        <w:t>202</w:t>
      </w:r>
      <w:r w:rsidR="006A0CBA" w:rsidRPr="006A0CBA">
        <w:rPr>
          <w:rStyle w:val="SubtleEmphasis"/>
        </w:rPr>
        <w:t>3</w:t>
      </w:r>
      <w:proofErr w:type="gramEnd"/>
      <w:r w:rsidRPr="006A0CBA">
        <w:rPr>
          <w:rStyle w:val="SubtleEmphasis"/>
        </w:rPr>
        <w:t xml:space="preserve"> period end value of the Focus LLC common units equal to $</w:t>
      </w:r>
      <w:r w:rsidR="006A0CBA" w:rsidRPr="006A0CBA">
        <w:rPr>
          <w:rStyle w:val="SubtleEmphasis"/>
        </w:rPr>
        <w:t>51</w:t>
      </w:r>
      <w:r w:rsidR="00804A5B" w:rsidRPr="006A0CBA">
        <w:rPr>
          <w:rStyle w:val="SubtleEmphasis"/>
        </w:rPr>
        <w:t>.</w:t>
      </w:r>
      <w:r w:rsidR="006A0CBA" w:rsidRPr="006A0CBA">
        <w:rPr>
          <w:rStyle w:val="SubtleEmphasis"/>
        </w:rPr>
        <w:t>8</w:t>
      </w:r>
      <w:r w:rsidR="009F7561" w:rsidRPr="006A0CBA">
        <w:rPr>
          <w:rStyle w:val="SubtleEmphasis"/>
        </w:rPr>
        <w:t>7</w:t>
      </w:r>
      <w:r w:rsidRPr="006A0CBA">
        <w:rPr>
          <w:rStyle w:val="SubtleEmphasis"/>
        </w:rPr>
        <w:t>)</w:t>
      </w:r>
      <w:r w:rsidR="00A92BC8" w:rsidRPr="006A0CBA">
        <w:rPr>
          <w:rStyle w:val="SubtleEmphasis"/>
        </w:rPr>
        <w:t xml:space="preserve"> and includes </w:t>
      </w:r>
      <w:r w:rsidR="00332EBD" w:rsidRPr="006A0CBA">
        <w:rPr>
          <w:rStyle w:val="SubtleEmphasis"/>
        </w:rPr>
        <w:t>2</w:t>
      </w:r>
      <w:r w:rsidR="009F7561" w:rsidRPr="006A0CBA">
        <w:rPr>
          <w:rStyle w:val="SubtleEmphasis"/>
        </w:rPr>
        <w:t>96</w:t>
      </w:r>
      <w:r w:rsidR="00C2370A" w:rsidRPr="006A0CBA">
        <w:rPr>
          <w:rStyle w:val="SubtleEmphasis"/>
        </w:rPr>
        <w:t>,</w:t>
      </w:r>
      <w:r w:rsidR="009F7561" w:rsidRPr="006A0CBA">
        <w:rPr>
          <w:rStyle w:val="SubtleEmphasis"/>
        </w:rPr>
        <w:t>548</w:t>
      </w:r>
      <w:r w:rsidR="00A92BC8" w:rsidRPr="006A0CBA">
        <w:rPr>
          <w:rStyle w:val="SubtleEmphasis"/>
        </w:rPr>
        <w:t xml:space="preserve"> Focus LLC restricted common units</w:t>
      </w:r>
      <w:r w:rsidRPr="006A0CBA">
        <w:rPr>
          <w:rStyle w:val="SubtleEmphasis"/>
        </w:rPr>
        <w:t>.</w:t>
      </w:r>
    </w:p>
    <w:p w14:paraId="244B4A2B" w14:textId="77777777" w:rsidR="00FA56EC" w:rsidRDefault="00FA56EC" w:rsidP="005E65E6">
      <w:pPr>
        <w:spacing w:after="0" w:line="240" w:lineRule="auto"/>
        <w:rPr>
          <w:rStyle w:val="SubtleEmphasis"/>
          <w:sz w:val="24"/>
          <w:szCs w:val="24"/>
        </w:rPr>
      </w:pPr>
    </w:p>
    <w:p w14:paraId="77692909" w14:textId="77777777" w:rsidR="00536C41" w:rsidRPr="00693B87" w:rsidRDefault="00536C41" w:rsidP="005E65E6">
      <w:pPr>
        <w:spacing w:after="0" w:line="240" w:lineRule="auto"/>
        <w:rPr>
          <w:rStyle w:val="SubtleEmphasis"/>
          <w:b/>
          <w:bCs/>
          <w:sz w:val="23"/>
          <w:szCs w:val="23"/>
        </w:rPr>
      </w:pPr>
      <w:r w:rsidRPr="00693B87">
        <w:rPr>
          <w:rStyle w:val="SubtleEmphasis"/>
          <w:b/>
          <w:bCs/>
          <w:sz w:val="23"/>
          <w:szCs w:val="23"/>
        </w:rPr>
        <w:t>Class A and Class B Common Stock Outstanding</w:t>
      </w:r>
    </w:p>
    <w:p w14:paraId="1858412C" w14:textId="77777777" w:rsidR="00536C41" w:rsidRPr="00693B87" w:rsidRDefault="00536C41" w:rsidP="005E65E6">
      <w:pPr>
        <w:pStyle w:val="NoSpacing"/>
        <w:rPr>
          <w:rStyle w:val="SubtleEmphasis"/>
          <w:sz w:val="23"/>
          <w:szCs w:val="23"/>
        </w:rPr>
      </w:pPr>
      <w:r w:rsidRPr="00693B87">
        <w:rPr>
          <w:rStyle w:val="SubtleEmphasis"/>
          <w:sz w:val="23"/>
          <w:szCs w:val="23"/>
        </w:rPr>
        <w:t xml:space="preserve">The following table provides supplemental information regarding the Company’s Class A and Class B common stock: </w:t>
      </w:r>
    </w:p>
    <w:p w14:paraId="0CC8F50D" w14:textId="77777777" w:rsidR="00AB067C" w:rsidRPr="000F1739" w:rsidRDefault="00AB067C" w:rsidP="005E65E6">
      <w:pPr>
        <w:pStyle w:val="NoSpacing"/>
        <w:contextualSpacing/>
        <w:rPr>
          <w:rStyle w:val="SubtleEmphasi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7"/>
        <w:gridCol w:w="3932"/>
        <w:gridCol w:w="3931"/>
      </w:tblGrid>
      <w:tr w:rsidR="006E442A" w14:paraId="192EE707" w14:textId="77777777" w:rsidTr="006E442A">
        <w:trPr>
          <w:trHeight w:hRule="exact" w:val="20"/>
        </w:trPr>
        <w:tc>
          <w:tcPr>
            <w:tcW w:w="799" w:type="pct"/>
            <w:tcBorders>
              <w:top w:val="nil"/>
              <w:left w:val="nil"/>
              <w:bottom w:val="nil"/>
              <w:right w:val="nil"/>
            </w:tcBorders>
            <w:noWrap/>
            <w:vAlign w:val="bottom"/>
          </w:tcPr>
          <w:p w14:paraId="146DB2D1" w14:textId="77777777" w:rsidR="006E442A" w:rsidRDefault="006E442A" w:rsidP="006E442A">
            <w:pPr>
              <w:keepNext/>
              <w:spacing w:after="1"/>
              <w:rPr>
                <w:sz w:val="2"/>
              </w:rPr>
            </w:pPr>
          </w:p>
        </w:tc>
        <w:tc>
          <w:tcPr>
            <w:tcW w:w="2100" w:type="pct"/>
            <w:tcBorders>
              <w:top w:val="nil"/>
              <w:left w:val="nil"/>
              <w:bottom w:val="nil"/>
              <w:right w:val="nil"/>
            </w:tcBorders>
            <w:vAlign w:val="bottom"/>
          </w:tcPr>
          <w:p w14:paraId="4F71AD27" w14:textId="77777777" w:rsidR="006E442A" w:rsidRDefault="006E442A" w:rsidP="006E442A">
            <w:pPr>
              <w:keepNext/>
              <w:spacing w:after="1"/>
              <w:rPr>
                <w:sz w:val="2"/>
              </w:rPr>
            </w:pPr>
          </w:p>
        </w:tc>
        <w:tc>
          <w:tcPr>
            <w:tcW w:w="2100" w:type="pct"/>
            <w:tcBorders>
              <w:top w:val="nil"/>
              <w:left w:val="nil"/>
              <w:bottom w:val="nil"/>
              <w:right w:val="nil"/>
            </w:tcBorders>
            <w:vAlign w:val="bottom"/>
          </w:tcPr>
          <w:p w14:paraId="570C97F8" w14:textId="77777777" w:rsidR="006E442A" w:rsidRDefault="006E442A" w:rsidP="006E442A">
            <w:pPr>
              <w:keepNext/>
              <w:spacing w:after="1"/>
              <w:rPr>
                <w:sz w:val="2"/>
              </w:rPr>
            </w:pPr>
          </w:p>
        </w:tc>
      </w:tr>
      <w:tr w:rsidR="006E442A" w14:paraId="148554AC" w14:textId="77777777" w:rsidTr="006E442A">
        <w:tc>
          <w:tcPr>
            <w:tcW w:w="799" w:type="pct"/>
            <w:tcBorders>
              <w:top w:val="nil"/>
              <w:left w:val="nil"/>
              <w:bottom w:val="nil"/>
              <w:right w:val="nil"/>
              <w:tl2br w:val="nil"/>
              <w:tr2bl w:val="nil"/>
            </w:tcBorders>
            <w:shd w:val="solid" w:color="FFFFFF" w:fill="FFFFFF"/>
            <w:noWrap/>
            <w:vAlign w:val="bottom"/>
          </w:tcPr>
          <w:p w14:paraId="3761BA88" w14:textId="77777777" w:rsidR="006E442A" w:rsidRDefault="006E442A" w:rsidP="006E442A">
            <w:pPr>
              <w:spacing w:after="1"/>
              <w:rPr>
                <w:rFonts w:ascii="Calibri" w:eastAsia="Calibri" w:hAnsi="Calibri" w:cs="Calibri"/>
                <w:color w:val="000000"/>
              </w:rPr>
            </w:pPr>
          </w:p>
        </w:tc>
        <w:tc>
          <w:tcPr>
            <w:tcW w:w="2100" w:type="pct"/>
            <w:tcBorders>
              <w:top w:val="nil"/>
              <w:left w:val="nil"/>
              <w:bottom w:val="single" w:sz="4" w:space="0" w:color="000000"/>
              <w:right w:val="nil"/>
              <w:tl2br w:val="nil"/>
              <w:tr2bl w:val="nil"/>
            </w:tcBorders>
            <w:shd w:val="solid" w:color="FFFFFF" w:fill="FFFFFF"/>
            <w:vAlign w:val="bottom"/>
          </w:tcPr>
          <w:p w14:paraId="3B3DB5B8" w14:textId="77777777" w:rsidR="006E442A" w:rsidRDefault="006E442A" w:rsidP="006E442A">
            <w:pPr>
              <w:spacing w:after="1"/>
              <w:jc w:val="center"/>
              <w:rPr>
                <w:rFonts w:ascii="Calibri" w:eastAsia="Calibri" w:hAnsi="Calibri" w:cs="Calibri"/>
                <w:b/>
                <w:color w:val="000000"/>
              </w:rPr>
            </w:pPr>
            <w:r>
              <w:rPr>
                <w:rFonts w:ascii="Calibri" w:eastAsia="Calibri" w:hAnsi="Calibri" w:cs="Calibri"/>
                <w:b/>
                <w:color w:val="000000"/>
              </w:rPr>
              <w:t xml:space="preserve">Number of Shares Outstanding at </w:t>
            </w:r>
            <w:r>
              <w:rPr>
                <w:rFonts w:ascii="Calibri" w:eastAsia="Calibri" w:hAnsi="Calibri" w:cs="Calibri"/>
                <w:b/>
                <w:color w:val="000000"/>
              </w:rPr>
              <w:br/>
              <w:t>March 31, 2023</w:t>
            </w:r>
          </w:p>
        </w:tc>
        <w:tc>
          <w:tcPr>
            <w:tcW w:w="2100" w:type="pct"/>
            <w:tcBorders>
              <w:top w:val="nil"/>
              <w:left w:val="nil"/>
              <w:bottom w:val="single" w:sz="4" w:space="0" w:color="000000"/>
              <w:right w:val="nil"/>
              <w:tl2br w:val="nil"/>
              <w:tr2bl w:val="nil"/>
            </w:tcBorders>
            <w:shd w:val="solid" w:color="FFFFFF" w:fill="FFFFFF"/>
            <w:vAlign w:val="bottom"/>
          </w:tcPr>
          <w:p w14:paraId="4971242B" w14:textId="77777777" w:rsidR="006E442A" w:rsidRDefault="006E442A" w:rsidP="006E442A">
            <w:pPr>
              <w:spacing w:after="1"/>
              <w:jc w:val="center"/>
              <w:rPr>
                <w:rFonts w:ascii="Calibri" w:eastAsia="Calibri" w:hAnsi="Calibri" w:cs="Calibri"/>
                <w:b/>
                <w:color w:val="000000"/>
              </w:rPr>
            </w:pPr>
            <w:r>
              <w:rPr>
                <w:rFonts w:ascii="Calibri" w:eastAsia="Calibri" w:hAnsi="Calibri" w:cs="Calibri"/>
                <w:b/>
                <w:color w:val="000000"/>
              </w:rPr>
              <w:t xml:space="preserve">Number of Shares Outstanding at </w:t>
            </w:r>
            <w:r>
              <w:rPr>
                <w:rFonts w:ascii="Calibri" w:eastAsia="Calibri" w:hAnsi="Calibri" w:cs="Calibri"/>
                <w:b/>
                <w:color w:val="000000"/>
              </w:rPr>
              <w:br/>
              <w:t>May 1, 2023</w:t>
            </w:r>
          </w:p>
        </w:tc>
      </w:tr>
      <w:tr w:rsidR="006E442A" w14:paraId="09E692E7" w14:textId="77777777" w:rsidTr="006E442A">
        <w:tc>
          <w:tcPr>
            <w:tcW w:w="799" w:type="pct"/>
            <w:tcBorders>
              <w:top w:val="nil"/>
              <w:left w:val="nil"/>
              <w:bottom w:val="nil"/>
              <w:right w:val="nil"/>
              <w:tl2br w:val="nil"/>
              <w:tr2bl w:val="nil"/>
            </w:tcBorders>
            <w:shd w:val="solid" w:color="FFFFFF" w:fill="FFFFFF"/>
            <w:noWrap/>
            <w:vAlign w:val="center"/>
          </w:tcPr>
          <w:p w14:paraId="5A0E1629" w14:textId="77777777" w:rsidR="006E442A" w:rsidRDefault="006E442A" w:rsidP="006E442A">
            <w:pPr>
              <w:spacing w:after="1"/>
              <w:rPr>
                <w:rFonts w:ascii="Calibri" w:eastAsia="Calibri" w:hAnsi="Calibri" w:cs="Calibri"/>
                <w:color w:val="000000"/>
              </w:rPr>
            </w:pPr>
            <w:r>
              <w:rPr>
                <w:rFonts w:ascii="Calibri" w:eastAsia="Calibri" w:hAnsi="Calibri" w:cs="Calibri"/>
                <w:color w:val="000000"/>
              </w:rPr>
              <w:t>Class A</w:t>
            </w:r>
          </w:p>
        </w:tc>
        <w:tc>
          <w:tcPr>
            <w:tcW w:w="2100" w:type="pct"/>
            <w:tcBorders>
              <w:top w:val="nil"/>
              <w:left w:val="nil"/>
              <w:bottom w:val="nil"/>
              <w:right w:val="nil"/>
              <w:tl2br w:val="nil"/>
              <w:tr2bl w:val="nil"/>
            </w:tcBorders>
            <w:shd w:val="solid" w:color="FFFFFF" w:fill="FFFFFF"/>
            <w:noWrap/>
            <w:vAlign w:val="center"/>
          </w:tcPr>
          <w:p w14:paraId="69750E44" w14:textId="77777777" w:rsidR="006E442A" w:rsidRDefault="006E442A" w:rsidP="006E442A">
            <w:pPr>
              <w:spacing w:after="1"/>
              <w:jc w:val="center"/>
              <w:rPr>
                <w:rFonts w:ascii="Calibri" w:eastAsia="Calibri" w:hAnsi="Calibri" w:cs="Calibri"/>
                <w:color w:val="000000"/>
              </w:rPr>
            </w:pPr>
            <w:r>
              <w:rPr>
                <w:rFonts w:ascii="Calibri" w:eastAsia="Calibri" w:hAnsi="Calibri" w:cs="Calibri"/>
                <w:color w:val="000000"/>
              </w:rPr>
              <w:t>65,960,079</w:t>
            </w:r>
          </w:p>
        </w:tc>
        <w:tc>
          <w:tcPr>
            <w:tcW w:w="2100" w:type="pct"/>
            <w:tcBorders>
              <w:top w:val="nil"/>
              <w:left w:val="nil"/>
              <w:bottom w:val="nil"/>
              <w:right w:val="nil"/>
              <w:tl2br w:val="nil"/>
              <w:tr2bl w:val="nil"/>
            </w:tcBorders>
            <w:shd w:val="solid" w:color="FFFFFF" w:fill="FFFFFF"/>
            <w:noWrap/>
            <w:vAlign w:val="center"/>
          </w:tcPr>
          <w:p w14:paraId="4AB12BB5" w14:textId="4ADE4F7E" w:rsidR="006E442A" w:rsidRDefault="00746FD0" w:rsidP="006E442A">
            <w:pPr>
              <w:spacing w:after="1"/>
              <w:jc w:val="center"/>
              <w:rPr>
                <w:rFonts w:ascii="Calibri" w:eastAsia="Calibri" w:hAnsi="Calibri" w:cs="Calibri"/>
                <w:color w:val="000000"/>
              </w:rPr>
            </w:pPr>
            <w:r>
              <w:rPr>
                <w:rFonts w:ascii="Calibri" w:eastAsia="Calibri" w:hAnsi="Calibri" w:cs="Calibri"/>
                <w:color w:val="000000"/>
              </w:rPr>
              <w:t>66,009,979</w:t>
            </w:r>
          </w:p>
        </w:tc>
      </w:tr>
      <w:tr w:rsidR="006E442A" w14:paraId="243EFAB2" w14:textId="77777777" w:rsidTr="006E442A">
        <w:tc>
          <w:tcPr>
            <w:tcW w:w="799" w:type="pct"/>
            <w:tcBorders>
              <w:top w:val="nil"/>
              <w:left w:val="nil"/>
              <w:bottom w:val="nil"/>
              <w:right w:val="nil"/>
              <w:tl2br w:val="nil"/>
              <w:tr2bl w:val="nil"/>
            </w:tcBorders>
            <w:shd w:val="solid" w:color="FFFFFF" w:fill="FFFFFF"/>
            <w:noWrap/>
            <w:vAlign w:val="center"/>
          </w:tcPr>
          <w:p w14:paraId="6D9E5AB8" w14:textId="77777777" w:rsidR="006E442A" w:rsidRDefault="006E442A" w:rsidP="006E442A">
            <w:pPr>
              <w:spacing w:after="1"/>
              <w:rPr>
                <w:rFonts w:ascii="Calibri" w:eastAsia="Calibri" w:hAnsi="Calibri" w:cs="Calibri"/>
                <w:color w:val="000000"/>
              </w:rPr>
            </w:pPr>
            <w:r>
              <w:rPr>
                <w:rFonts w:ascii="Calibri" w:eastAsia="Calibri" w:hAnsi="Calibri" w:cs="Calibri"/>
                <w:color w:val="000000"/>
              </w:rPr>
              <w:t>Class B</w:t>
            </w:r>
          </w:p>
        </w:tc>
        <w:tc>
          <w:tcPr>
            <w:tcW w:w="2100" w:type="pct"/>
            <w:tcBorders>
              <w:top w:val="nil"/>
              <w:left w:val="nil"/>
              <w:bottom w:val="nil"/>
              <w:right w:val="nil"/>
              <w:tl2br w:val="nil"/>
              <w:tr2bl w:val="nil"/>
            </w:tcBorders>
            <w:shd w:val="solid" w:color="FFFFFF" w:fill="FFFFFF"/>
            <w:noWrap/>
            <w:vAlign w:val="center"/>
          </w:tcPr>
          <w:p w14:paraId="6F0B2486" w14:textId="77777777" w:rsidR="006E442A" w:rsidRDefault="006E442A" w:rsidP="006E442A">
            <w:pPr>
              <w:spacing w:after="1"/>
              <w:jc w:val="center"/>
              <w:rPr>
                <w:rFonts w:ascii="Calibri" w:eastAsia="Calibri" w:hAnsi="Calibri" w:cs="Calibri"/>
                <w:color w:val="000000"/>
              </w:rPr>
            </w:pPr>
            <w:r>
              <w:rPr>
                <w:rFonts w:ascii="Calibri" w:eastAsia="Calibri" w:hAnsi="Calibri" w:cs="Calibri"/>
                <w:color w:val="000000"/>
              </w:rPr>
              <w:t>12,540,262</w:t>
            </w:r>
          </w:p>
        </w:tc>
        <w:tc>
          <w:tcPr>
            <w:tcW w:w="2100" w:type="pct"/>
            <w:tcBorders>
              <w:top w:val="nil"/>
              <w:left w:val="nil"/>
              <w:bottom w:val="nil"/>
              <w:right w:val="nil"/>
              <w:tl2br w:val="nil"/>
              <w:tr2bl w:val="nil"/>
            </w:tcBorders>
            <w:shd w:val="solid" w:color="FFFFFF" w:fill="FFFFFF"/>
            <w:noWrap/>
            <w:vAlign w:val="center"/>
          </w:tcPr>
          <w:p w14:paraId="1985273C" w14:textId="5BACD778" w:rsidR="006E442A" w:rsidRDefault="00746FD0" w:rsidP="006E442A">
            <w:pPr>
              <w:spacing w:after="1"/>
              <w:jc w:val="center"/>
              <w:rPr>
                <w:rFonts w:ascii="Calibri" w:eastAsia="Calibri" w:hAnsi="Calibri" w:cs="Calibri"/>
                <w:color w:val="000000"/>
              </w:rPr>
            </w:pPr>
            <w:r>
              <w:rPr>
                <w:rFonts w:ascii="Calibri" w:eastAsia="Calibri" w:hAnsi="Calibri" w:cs="Calibri"/>
                <w:color w:val="000000"/>
              </w:rPr>
              <w:t>12,540,262</w:t>
            </w:r>
          </w:p>
        </w:tc>
      </w:tr>
    </w:tbl>
    <w:p w14:paraId="1F244699" w14:textId="77777777" w:rsidR="00AB067C" w:rsidRDefault="00AB067C" w:rsidP="005E65E6">
      <w:pPr>
        <w:spacing w:after="0" w:line="240" w:lineRule="auto"/>
        <w:contextualSpacing/>
        <w:rPr>
          <w:rFonts w:cstheme="minorHAnsi"/>
        </w:rPr>
      </w:pPr>
    </w:p>
    <w:p w14:paraId="4DB51D72" w14:textId="77777777" w:rsidR="00E16845" w:rsidRDefault="00E16845" w:rsidP="005E65E6">
      <w:pPr>
        <w:spacing w:after="0" w:line="240" w:lineRule="auto"/>
        <w:rPr>
          <w:rStyle w:val="SubtleEmphasis"/>
          <w:b/>
          <w:bCs/>
          <w:sz w:val="24"/>
          <w:szCs w:val="24"/>
        </w:rPr>
      </w:pPr>
      <w:r>
        <w:rPr>
          <w:rStyle w:val="SubtleEmphasis"/>
          <w:b/>
          <w:bCs/>
          <w:sz w:val="24"/>
          <w:szCs w:val="24"/>
        </w:rPr>
        <w:br w:type="page"/>
      </w:r>
    </w:p>
    <w:p w14:paraId="38376B4B" w14:textId="77777777" w:rsidR="0057101E" w:rsidRDefault="0057101E" w:rsidP="005E65E6">
      <w:pPr>
        <w:spacing w:after="0" w:line="240" w:lineRule="auto"/>
        <w:rPr>
          <w:rStyle w:val="SubtleEmphasis"/>
          <w:b/>
          <w:bCs/>
          <w:sz w:val="23"/>
          <w:szCs w:val="23"/>
        </w:rPr>
      </w:pPr>
    </w:p>
    <w:p w14:paraId="411BDDA9" w14:textId="77777777" w:rsidR="00536C41" w:rsidRPr="00693B87" w:rsidRDefault="00536C41" w:rsidP="005E65E6">
      <w:pPr>
        <w:spacing w:after="0" w:line="240" w:lineRule="auto"/>
        <w:rPr>
          <w:rStyle w:val="SubtleEmphasis"/>
          <w:b/>
          <w:bCs/>
          <w:sz w:val="23"/>
          <w:szCs w:val="23"/>
        </w:rPr>
      </w:pPr>
      <w:r w:rsidRPr="00693B87">
        <w:rPr>
          <w:rStyle w:val="SubtleEmphasis"/>
          <w:b/>
          <w:bCs/>
          <w:sz w:val="23"/>
          <w:szCs w:val="23"/>
        </w:rPr>
        <w:t>Incentive Units</w:t>
      </w:r>
    </w:p>
    <w:p w14:paraId="651365D3" w14:textId="77777777" w:rsidR="00536C41" w:rsidRPr="00693B87" w:rsidRDefault="00536C41" w:rsidP="005E65E6">
      <w:pPr>
        <w:pStyle w:val="NoSpacing"/>
        <w:rPr>
          <w:rStyle w:val="SubtleEmphasis"/>
          <w:sz w:val="23"/>
          <w:szCs w:val="23"/>
        </w:rPr>
      </w:pPr>
      <w:r w:rsidRPr="00693B87">
        <w:rPr>
          <w:rStyle w:val="SubtleEmphasis"/>
          <w:sz w:val="23"/>
          <w:szCs w:val="23"/>
        </w:rPr>
        <w:t xml:space="preserve">The following table provides supplemental information regarding the outstanding Focus LLC vested and unvested Incentive Units (“IUs”) </w:t>
      </w:r>
      <w:proofErr w:type="gramStart"/>
      <w:r w:rsidRPr="00693B87">
        <w:rPr>
          <w:rStyle w:val="SubtleEmphasis"/>
          <w:sz w:val="23"/>
          <w:szCs w:val="23"/>
        </w:rPr>
        <w:t>at</w:t>
      </w:r>
      <w:proofErr w:type="gramEnd"/>
      <w:r w:rsidRPr="00693B87">
        <w:rPr>
          <w:rStyle w:val="SubtleEmphasis"/>
          <w:sz w:val="23"/>
          <w:szCs w:val="23"/>
        </w:rPr>
        <w:t xml:space="preserve"> </w:t>
      </w:r>
      <w:r w:rsidR="00131FCD">
        <w:rPr>
          <w:rStyle w:val="SubtleEmphasis"/>
          <w:sz w:val="23"/>
          <w:szCs w:val="23"/>
        </w:rPr>
        <w:t>March</w:t>
      </w:r>
      <w:r w:rsidRPr="00693B87">
        <w:rPr>
          <w:rStyle w:val="SubtleEmphasis"/>
          <w:sz w:val="23"/>
          <w:szCs w:val="23"/>
        </w:rPr>
        <w:t xml:space="preserve"> 3</w:t>
      </w:r>
      <w:r w:rsidR="009F7561">
        <w:rPr>
          <w:rStyle w:val="SubtleEmphasis"/>
          <w:sz w:val="23"/>
          <w:szCs w:val="23"/>
        </w:rPr>
        <w:t>1</w:t>
      </w:r>
      <w:r w:rsidRPr="00693B87">
        <w:rPr>
          <w:rStyle w:val="SubtleEmphasis"/>
          <w:sz w:val="23"/>
          <w:szCs w:val="23"/>
        </w:rPr>
        <w:t>, 202</w:t>
      </w:r>
      <w:r w:rsidR="00131FCD">
        <w:rPr>
          <w:rStyle w:val="SubtleEmphasis"/>
          <w:sz w:val="23"/>
          <w:szCs w:val="23"/>
        </w:rPr>
        <w:t>3</w:t>
      </w:r>
      <w:r w:rsidRPr="00693B87">
        <w:rPr>
          <w:rStyle w:val="SubtleEmphasis"/>
          <w:sz w:val="23"/>
          <w:szCs w:val="23"/>
        </w:rPr>
        <w:t xml:space="preserve">. The vested IUs in future periods can be exchanged into shares of Class A common stock (after conversion into </w:t>
      </w:r>
      <w:proofErr w:type="gramStart"/>
      <w:r w:rsidRPr="00693B87">
        <w:rPr>
          <w:rStyle w:val="SubtleEmphasis"/>
          <w:sz w:val="23"/>
          <w:szCs w:val="23"/>
        </w:rPr>
        <w:t>a number of</w:t>
      </w:r>
      <w:proofErr w:type="gramEnd"/>
      <w:r w:rsidRPr="00693B87">
        <w:rPr>
          <w:rStyle w:val="SubtleEmphasis"/>
          <w:sz w:val="23"/>
          <w:szCs w:val="23"/>
        </w:rPr>
        <w:t xml:space="preserve"> Focus LLC common units that takes into account the then-current value of common units and such IUs aggregate hurdle amount), and therefore, the Company calculates the Class A common stock equivalent of such IUs for purposes of calculating per share data. The period-end share price of the Company’s Class A common stock is used to calculate the intrinsic value of the outstanding Focus LLC IUs </w:t>
      </w:r>
      <w:proofErr w:type="gramStart"/>
      <w:r w:rsidRPr="00693B87">
        <w:rPr>
          <w:rStyle w:val="SubtleEmphasis"/>
          <w:sz w:val="23"/>
          <w:szCs w:val="23"/>
        </w:rPr>
        <w:t>in order to</w:t>
      </w:r>
      <w:proofErr w:type="gramEnd"/>
      <w:r w:rsidRPr="00693B87">
        <w:rPr>
          <w:rStyle w:val="SubtleEmphasis"/>
          <w:sz w:val="23"/>
          <w:szCs w:val="23"/>
        </w:rPr>
        <w:t xml:space="preserve"> calculate a Focus LLC common unit equivalent of the Focus LLC IUs.  </w:t>
      </w:r>
    </w:p>
    <w:p w14:paraId="343629CB" w14:textId="77777777" w:rsidR="00536C41" w:rsidRPr="006F2C93" w:rsidRDefault="00536C41" w:rsidP="005E65E6">
      <w:pPr>
        <w:spacing w:after="0" w:line="240" w:lineRule="auto"/>
        <w:contextualSpacing/>
        <w:rPr>
          <w:rFonts w:cstheme="minorHAnsi"/>
        </w:rPr>
      </w:pPr>
    </w:p>
    <w:p w14:paraId="1CEE17EE" w14:textId="77777777" w:rsidR="00973CBD" w:rsidRPr="00630B3E" w:rsidRDefault="00973CBD" w:rsidP="005E65E6">
      <w:pPr>
        <w:pStyle w:val="NoSpacing"/>
        <w:contextualSpacing/>
        <w:rPr>
          <w:rStyle w:val="SubtleEmphasis"/>
          <w:b/>
          <w:bCs/>
          <w:sz w:val="22"/>
          <w:szCs w:val="22"/>
        </w:rPr>
      </w:pPr>
    </w:p>
    <w:tbl>
      <w:tblPr>
        <w:tblW w:w="1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87"/>
        <w:gridCol w:w="2013"/>
      </w:tblGrid>
      <w:tr w:rsidR="006E442A" w14:paraId="64813E0A" w14:textId="77777777" w:rsidTr="006E442A">
        <w:trPr>
          <w:trHeight w:hRule="exact" w:val="20"/>
        </w:trPr>
        <w:tc>
          <w:tcPr>
            <w:tcW w:w="2204" w:type="pct"/>
            <w:tcBorders>
              <w:top w:val="nil"/>
              <w:left w:val="nil"/>
              <w:bottom w:val="nil"/>
              <w:right w:val="nil"/>
            </w:tcBorders>
            <w:vAlign w:val="bottom"/>
          </w:tcPr>
          <w:p w14:paraId="7518CE5D" w14:textId="77777777" w:rsidR="006E442A" w:rsidRDefault="006E442A" w:rsidP="006E442A">
            <w:pPr>
              <w:keepNext/>
              <w:spacing w:after="1"/>
              <w:rPr>
                <w:sz w:val="2"/>
              </w:rPr>
            </w:pPr>
          </w:p>
        </w:tc>
        <w:tc>
          <w:tcPr>
            <w:tcW w:w="2796" w:type="pct"/>
            <w:tcBorders>
              <w:top w:val="nil"/>
              <w:left w:val="nil"/>
              <w:bottom w:val="nil"/>
              <w:right w:val="nil"/>
            </w:tcBorders>
            <w:vAlign w:val="bottom"/>
          </w:tcPr>
          <w:p w14:paraId="53B1BBDF" w14:textId="77777777" w:rsidR="006E442A" w:rsidRDefault="006E442A" w:rsidP="006E442A">
            <w:pPr>
              <w:keepNext/>
              <w:spacing w:after="1"/>
              <w:rPr>
                <w:sz w:val="2"/>
              </w:rPr>
            </w:pPr>
          </w:p>
        </w:tc>
      </w:tr>
      <w:tr w:rsidR="006E442A" w14:paraId="726E2A6E" w14:textId="77777777" w:rsidTr="006E442A">
        <w:tc>
          <w:tcPr>
            <w:tcW w:w="2204" w:type="pct"/>
            <w:tcBorders>
              <w:top w:val="nil"/>
              <w:left w:val="nil"/>
              <w:bottom w:val="single" w:sz="4" w:space="0" w:color="000000"/>
              <w:right w:val="nil"/>
              <w:tl2br w:val="nil"/>
              <w:tr2bl w:val="nil"/>
            </w:tcBorders>
            <w:shd w:val="solid" w:color="FFFFFF" w:fill="FFFFFF"/>
            <w:vAlign w:val="bottom"/>
          </w:tcPr>
          <w:p w14:paraId="4D35F247" w14:textId="77777777" w:rsidR="006E442A" w:rsidRDefault="006E442A" w:rsidP="006E442A">
            <w:pPr>
              <w:spacing w:after="1"/>
              <w:jc w:val="center"/>
              <w:rPr>
                <w:rFonts w:ascii="Calibri" w:eastAsia="Calibri" w:hAnsi="Calibri" w:cs="Calibri"/>
                <w:color w:val="000000"/>
                <w:sz w:val="20"/>
              </w:rPr>
            </w:pPr>
            <w:r>
              <w:rPr>
                <w:rFonts w:ascii="Calibri" w:eastAsia="Calibri" w:hAnsi="Calibri" w:cs="Calibri"/>
                <w:color w:val="000000"/>
                <w:sz w:val="20"/>
              </w:rPr>
              <w:t xml:space="preserve">Hurdle </w:t>
            </w:r>
            <w:r>
              <w:rPr>
                <w:rFonts w:ascii="Calibri" w:eastAsia="Calibri" w:hAnsi="Calibri" w:cs="Calibri"/>
                <w:color w:val="000000"/>
                <w:sz w:val="20"/>
              </w:rPr>
              <w:br/>
              <w:t>Rates</w:t>
            </w:r>
          </w:p>
        </w:tc>
        <w:tc>
          <w:tcPr>
            <w:tcW w:w="2796" w:type="pct"/>
            <w:tcBorders>
              <w:top w:val="nil"/>
              <w:left w:val="nil"/>
              <w:bottom w:val="single" w:sz="4" w:space="0" w:color="000000"/>
              <w:right w:val="nil"/>
              <w:tl2br w:val="nil"/>
              <w:tr2bl w:val="nil"/>
            </w:tcBorders>
            <w:shd w:val="solid" w:color="FFFFFF" w:fill="FFFFFF"/>
            <w:vAlign w:val="bottom"/>
          </w:tcPr>
          <w:p w14:paraId="299C762B" w14:textId="77777777" w:rsidR="006E442A" w:rsidRDefault="006E442A" w:rsidP="006E442A">
            <w:pPr>
              <w:spacing w:after="1"/>
              <w:jc w:val="center"/>
              <w:rPr>
                <w:rFonts w:ascii="Calibri" w:eastAsia="Calibri" w:hAnsi="Calibri" w:cs="Calibri"/>
                <w:color w:val="000000"/>
                <w:sz w:val="20"/>
              </w:rPr>
            </w:pPr>
            <w:r>
              <w:rPr>
                <w:rFonts w:ascii="Calibri" w:eastAsia="Calibri" w:hAnsi="Calibri" w:cs="Calibri"/>
                <w:color w:val="000000"/>
                <w:sz w:val="20"/>
              </w:rPr>
              <w:t xml:space="preserve">Number </w:t>
            </w:r>
            <w:r>
              <w:rPr>
                <w:rFonts w:ascii="Calibri" w:eastAsia="Calibri" w:hAnsi="Calibri" w:cs="Calibri"/>
                <w:color w:val="000000"/>
                <w:sz w:val="20"/>
              </w:rPr>
              <w:br/>
              <w:t>Outstanding</w:t>
            </w:r>
          </w:p>
        </w:tc>
      </w:tr>
      <w:tr w:rsidR="006E442A" w14:paraId="01DD2D6A" w14:textId="77777777" w:rsidTr="006E442A">
        <w:tc>
          <w:tcPr>
            <w:tcW w:w="2204" w:type="pct"/>
            <w:tcBorders>
              <w:top w:val="nil"/>
              <w:left w:val="nil"/>
              <w:bottom w:val="nil"/>
              <w:right w:val="nil"/>
              <w:tl2br w:val="nil"/>
              <w:tr2bl w:val="nil"/>
            </w:tcBorders>
            <w:shd w:val="solid" w:color="FFFFFF" w:fill="FFFFFF"/>
            <w:noWrap/>
            <w:vAlign w:val="bottom"/>
          </w:tcPr>
          <w:p w14:paraId="075EC3DD" w14:textId="77777777" w:rsidR="006E442A" w:rsidRDefault="006E442A" w:rsidP="006E442A">
            <w:pPr>
              <w:spacing w:after="1"/>
              <w:jc w:val="center"/>
              <w:rPr>
                <w:rFonts w:ascii="Calibri" w:eastAsia="Calibri" w:hAnsi="Calibri" w:cs="Calibri"/>
                <w:color w:val="000000"/>
                <w:sz w:val="20"/>
              </w:rPr>
            </w:pPr>
            <w:r>
              <w:rPr>
                <w:rFonts w:ascii="Calibri" w:eastAsia="Calibri" w:hAnsi="Calibri" w:cs="Calibri"/>
                <w:color w:val="000000"/>
                <w:sz w:val="20"/>
              </w:rPr>
              <w:t xml:space="preserve">$1.42 </w:t>
            </w:r>
          </w:p>
        </w:tc>
        <w:tc>
          <w:tcPr>
            <w:tcW w:w="2796" w:type="pct"/>
            <w:tcBorders>
              <w:top w:val="nil"/>
              <w:left w:val="nil"/>
              <w:bottom w:val="nil"/>
              <w:right w:val="nil"/>
              <w:tl2br w:val="nil"/>
              <w:tr2bl w:val="nil"/>
            </w:tcBorders>
            <w:shd w:val="solid" w:color="FFFFFF" w:fill="FFFFFF"/>
            <w:noWrap/>
            <w:vAlign w:val="bottom"/>
          </w:tcPr>
          <w:p w14:paraId="598C992D" w14:textId="77777777" w:rsidR="006E442A" w:rsidRDefault="006E442A" w:rsidP="006E442A">
            <w:pPr>
              <w:spacing w:after="1"/>
              <w:ind w:right="420"/>
              <w:jc w:val="right"/>
              <w:rPr>
                <w:rFonts w:ascii="Calibri" w:eastAsia="Calibri" w:hAnsi="Calibri" w:cs="Calibri"/>
                <w:color w:val="000000"/>
                <w:sz w:val="20"/>
              </w:rPr>
            </w:pPr>
            <w:r>
              <w:rPr>
                <w:rFonts w:ascii="Calibri" w:eastAsia="Calibri" w:hAnsi="Calibri" w:cs="Calibri"/>
                <w:color w:val="000000"/>
                <w:sz w:val="20"/>
              </w:rPr>
              <w:t xml:space="preserve">421 </w:t>
            </w:r>
          </w:p>
        </w:tc>
      </w:tr>
      <w:tr w:rsidR="006E442A" w14:paraId="3341A526" w14:textId="77777777" w:rsidTr="006E442A">
        <w:tc>
          <w:tcPr>
            <w:tcW w:w="2204" w:type="pct"/>
            <w:tcBorders>
              <w:top w:val="nil"/>
              <w:left w:val="nil"/>
              <w:bottom w:val="nil"/>
              <w:right w:val="nil"/>
              <w:tl2br w:val="nil"/>
              <w:tr2bl w:val="nil"/>
            </w:tcBorders>
            <w:shd w:val="solid" w:color="FFFFFF" w:fill="FFFFFF"/>
            <w:noWrap/>
            <w:vAlign w:val="bottom"/>
          </w:tcPr>
          <w:p w14:paraId="1D23FBB9" w14:textId="77777777" w:rsidR="006E442A" w:rsidRDefault="006E442A" w:rsidP="006E442A">
            <w:pPr>
              <w:spacing w:after="1"/>
              <w:jc w:val="center"/>
              <w:rPr>
                <w:rFonts w:ascii="Calibri" w:eastAsia="Calibri" w:hAnsi="Calibri" w:cs="Calibri"/>
                <w:color w:val="000000"/>
                <w:sz w:val="20"/>
              </w:rPr>
            </w:pPr>
            <w:r>
              <w:rPr>
                <w:rFonts w:ascii="Calibri" w:eastAsia="Calibri" w:hAnsi="Calibri" w:cs="Calibri"/>
                <w:color w:val="000000"/>
                <w:sz w:val="20"/>
              </w:rPr>
              <w:t xml:space="preserve">$5.50 </w:t>
            </w:r>
          </w:p>
        </w:tc>
        <w:tc>
          <w:tcPr>
            <w:tcW w:w="2796" w:type="pct"/>
            <w:tcBorders>
              <w:top w:val="nil"/>
              <w:left w:val="nil"/>
              <w:bottom w:val="nil"/>
              <w:right w:val="nil"/>
              <w:tl2br w:val="nil"/>
              <w:tr2bl w:val="nil"/>
            </w:tcBorders>
            <w:shd w:val="solid" w:color="FFFFFF" w:fill="FFFFFF"/>
            <w:noWrap/>
            <w:vAlign w:val="bottom"/>
          </w:tcPr>
          <w:p w14:paraId="087CB53D" w14:textId="77777777" w:rsidR="006E442A" w:rsidRDefault="006E442A" w:rsidP="006E442A">
            <w:pPr>
              <w:spacing w:after="1"/>
              <w:ind w:right="420"/>
              <w:jc w:val="right"/>
              <w:rPr>
                <w:rFonts w:ascii="Calibri" w:eastAsia="Calibri" w:hAnsi="Calibri" w:cs="Calibri"/>
                <w:color w:val="000000"/>
                <w:sz w:val="20"/>
              </w:rPr>
            </w:pPr>
            <w:r>
              <w:rPr>
                <w:rFonts w:ascii="Calibri" w:eastAsia="Calibri" w:hAnsi="Calibri" w:cs="Calibri"/>
                <w:color w:val="000000"/>
                <w:sz w:val="20"/>
              </w:rPr>
              <w:t xml:space="preserve">798 </w:t>
            </w:r>
          </w:p>
        </w:tc>
      </w:tr>
      <w:tr w:rsidR="006E442A" w14:paraId="2ED5E0A6" w14:textId="77777777" w:rsidTr="006E442A">
        <w:tc>
          <w:tcPr>
            <w:tcW w:w="2204" w:type="pct"/>
            <w:tcBorders>
              <w:top w:val="nil"/>
              <w:left w:val="nil"/>
              <w:bottom w:val="nil"/>
              <w:right w:val="nil"/>
              <w:tl2br w:val="nil"/>
              <w:tr2bl w:val="nil"/>
            </w:tcBorders>
            <w:shd w:val="solid" w:color="FFFFFF" w:fill="FFFFFF"/>
            <w:noWrap/>
            <w:vAlign w:val="bottom"/>
          </w:tcPr>
          <w:p w14:paraId="78698149" w14:textId="77777777" w:rsidR="006E442A" w:rsidRDefault="006E442A" w:rsidP="006E442A">
            <w:pPr>
              <w:spacing w:after="1"/>
              <w:jc w:val="center"/>
              <w:rPr>
                <w:rFonts w:ascii="Calibri" w:eastAsia="Calibri" w:hAnsi="Calibri" w:cs="Calibri"/>
                <w:color w:val="000000"/>
                <w:sz w:val="20"/>
              </w:rPr>
            </w:pPr>
            <w:r>
              <w:rPr>
                <w:rFonts w:ascii="Calibri" w:eastAsia="Calibri" w:hAnsi="Calibri" w:cs="Calibri"/>
                <w:color w:val="000000"/>
                <w:sz w:val="20"/>
              </w:rPr>
              <w:t xml:space="preserve">$6.00 </w:t>
            </w:r>
          </w:p>
        </w:tc>
        <w:tc>
          <w:tcPr>
            <w:tcW w:w="2796" w:type="pct"/>
            <w:tcBorders>
              <w:top w:val="nil"/>
              <w:left w:val="nil"/>
              <w:bottom w:val="nil"/>
              <w:right w:val="nil"/>
              <w:tl2br w:val="nil"/>
              <w:tr2bl w:val="nil"/>
            </w:tcBorders>
            <w:shd w:val="solid" w:color="FFFFFF" w:fill="FFFFFF"/>
            <w:noWrap/>
            <w:vAlign w:val="bottom"/>
          </w:tcPr>
          <w:p w14:paraId="0291CF99" w14:textId="77777777" w:rsidR="006E442A" w:rsidRDefault="006E442A" w:rsidP="006E442A">
            <w:pPr>
              <w:spacing w:after="1"/>
              <w:ind w:right="420"/>
              <w:jc w:val="right"/>
              <w:rPr>
                <w:rFonts w:ascii="Calibri" w:eastAsia="Calibri" w:hAnsi="Calibri" w:cs="Calibri"/>
                <w:color w:val="000000"/>
                <w:sz w:val="20"/>
              </w:rPr>
            </w:pPr>
            <w:r>
              <w:rPr>
                <w:rFonts w:ascii="Calibri" w:eastAsia="Calibri" w:hAnsi="Calibri" w:cs="Calibri"/>
                <w:color w:val="000000"/>
                <w:sz w:val="20"/>
              </w:rPr>
              <w:t xml:space="preserve">386 </w:t>
            </w:r>
          </w:p>
        </w:tc>
      </w:tr>
      <w:tr w:rsidR="006E442A" w14:paraId="77EA3240" w14:textId="77777777" w:rsidTr="006E442A">
        <w:tc>
          <w:tcPr>
            <w:tcW w:w="2204" w:type="pct"/>
            <w:tcBorders>
              <w:top w:val="nil"/>
              <w:left w:val="nil"/>
              <w:bottom w:val="nil"/>
              <w:right w:val="nil"/>
              <w:tl2br w:val="nil"/>
              <w:tr2bl w:val="nil"/>
            </w:tcBorders>
            <w:shd w:val="solid" w:color="FFFFFF" w:fill="FFFFFF"/>
            <w:noWrap/>
            <w:vAlign w:val="bottom"/>
          </w:tcPr>
          <w:p w14:paraId="5E17FF65" w14:textId="77777777" w:rsidR="006E442A" w:rsidRDefault="006E442A" w:rsidP="006E442A">
            <w:pPr>
              <w:spacing w:after="1"/>
              <w:jc w:val="center"/>
              <w:rPr>
                <w:rFonts w:ascii="Calibri" w:eastAsia="Calibri" w:hAnsi="Calibri" w:cs="Calibri"/>
                <w:color w:val="000000"/>
                <w:sz w:val="20"/>
              </w:rPr>
            </w:pPr>
            <w:r>
              <w:rPr>
                <w:rFonts w:ascii="Calibri" w:eastAsia="Calibri" w:hAnsi="Calibri" w:cs="Calibri"/>
                <w:color w:val="000000"/>
                <w:sz w:val="20"/>
              </w:rPr>
              <w:t xml:space="preserve">$7.00 </w:t>
            </w:r>
          </w:p>
        </w:tc>
        <w:tc>
          <w:tcPr>
            <w:tcW w:w="2796" w:type="pct"/>
            <w:tcBorders>
              <w:top w:val="nil"/>
              <w:left w:val="nil"/>
              <w:bottom w:val="nil"/>
              <w:right w:val="nil"/>
              <w:tl2br w:val="nil"/>
              <w:tr2bl w:val="nil"/>
            </w:tcBorders>
            <w:shd w:val="solid" w:color="FFFFFF" w:fill="FFFFFF"/>
            <w:noWrap/>
            <w:vAlign w:val="bottom"/>
          </w:tcPr>
          <w:p w14:paraId="59ADB449" w14:textId="77777777" w:rsidR="006E442A" w:rsidRDefault="006E442A" w:rsidP="006E442A">
            <w:pPr>
              <w:spacing w:after="1"/>
              <w:ind w:right="420"/>
              <w:jc w:val="right"/>
              <w:rPr>
                <w:rFonts w:ascii="Calibri" w:eastAsia="Calibri" w:hAnsi="Calibri" w:cs="Calibri"/>
                <w:color w:val="000000"/>
                <w:sz w:val="20"/>
              </w:rPr>
            </w:pPr>
            <w:r>
              <w:rPr>
                <w:rFonts w:ascii="Calibri" w:eastAsia="Calibri" w:hAnsi="Calibri" w:cs="Calibri"/>
                <w:color w:val="000000"/>
                <w:sz w:val="20"/>
              </w:rPr>
              <w:t xml:space="preserve">1,081 </w:t>
            </w:r>
          </w:p>
        </w:tc>
      </w:tr>
      <w:tr w:rsidR="006E442A" w14:paraId="53520DC2" w14:textId="77777777" w:rsidTr="006E442A">
        <w:tc>
          <w:tcPr>
            <w:tcW w:w="2204" w:type="pct"/>
            <w:tcBorders>
              <w:top w:val="nil"/>
              <w:left w:val="nil"/>
              <w:bottom w:val="nil"/>
              <w:right w:val="nil"/>
              <w:tl2br w:val="nil"/>
              <w:tr2bl w:val="nil"/>
            </w:tcBorders>
            <w:shd w:val="solid" w:color="FFFFFF" w:fill="FFFFFF"/>
            <w:noWrap/>
            <w:vAlign w:val="bottom"/>
          </w:tcPr>
          <w:p w14:paraId="6E96CA5E" w14:textId="77777777" w:rsidR="006E442A" w:rsidRDefault="006E442A" w:rsidP="006E442A">
            <w:pPr>
              <w:spacing w:after="1"/>
              <w:jc w:val="center"/>
              <w:rPr>
                <w:rFonts w:ascii="Calibri" w:eastAsia="Calibri" w:hAnsi="Calibri" w:cs="Calibri"/>
                <w:color w:val="000000"/>
                <w:sz w:val="20"/>
              </w:rPr>
            </w:pPr>
            <w:r>
              <w:rPr>
                <w:rFonts w:ascii="Calibri" w:eastAsia="Calibri" w:hAnsi="Calibri" w:cs="Calibri"/>
                <w:color w:val="000000"/>
                <w:sz w:val="20"/>
              </w:rPr>
              <w:t xml:space="preserve">$9.00 </w:t>
            </w:r>
          </w:p>
        </w:tc>
        <w:tc>
          <w:tcPr>
            <w:tcW w:w="2796" w:type="pct"/>
            <w:tcBorders>
              <w:top w:val="nil"/>
              <w:left w:val="nil"/>
              <w:bottom w:val="nil"/>
              <w:right w:val="nil"/>
              <w:tl2br w:val="nil"/>
              <w:tr2bl w:val="nil"/>
            </w:tcBorders>
            <w:shd w:val="solid" w:color="FFFFFF" w:fill="FFFFFF"/>
            <w:noWrap/>
            <w:vAlign w:val="bottom"/>
          </w:tcPr>
          <w:p w14:paraId="29DE6193" w14:textId="77777777" w:rsidR="006E442A" w:rsidRDefault="006E442A" w:rsidP="006E442A">
            <w:pPr>
              <w:spacing w:after="1"/>
              <w:ind w:right="420"/>
              <w:jc w:val="right"/>
              <w:rPr>
                <w:rFonts w:ascii="Calibri" w:eastAsia="Calibri" w:hAnsi="Calibri" w:cs="Calibri"/>
                <w:color w:val="000000"/>
                <w:sz w:val="20"/>
              </w:rPr>
            </w:pPr>
            <w:r>
              <w:rPr>
                <w:rFonts w:ascii="Calibri" w:eastAsia="Calibri" w:hAnsi="Calibri" w:cs="Calibri"/>
                <w:color w:val="000000"/>
                <w:sz w:val="20"/>
              </w:rPr>
              <w:t xml:space="preserve">708,107 </w:t>
            </w:r>
          </w:p>
        </w:tc>
      </w:tr>
      <w:tr w:rsidR="006E442A" w14:paraId="1DED5634" w14:textId="77777777" w:rsidTr="006E442A">
        <w:tc>
          <w:tcPr>
            <w:tcW w:w="2204" w:type="pct"/>
            <w:tcBorders>
              <w:top w:val="nil"/>
              <w:left w:val="nil"/>
              <w:bottom w:val="nil"/>
              <w:right w:val="nil"/>
              <w:tl2br w:val="nil"/>
              <w:tr2bl w:val="nil"/>
            </w:tcBorders>
            <w:shd w:val="solid" w:color="FFFFFF" w:fill="FFFFFF"/>
            <w:noWrap/>
            <w:vAlign w:val="bottom"/>
          </w:tcPr>
          <w:p w14:paraId="0DE69EA6" w14:textId="77777777" w:rsidR="006E442A" w:rsidRDefault="006E442A" w:rsidP="006E442A">
            <w:pPr>
              <w:spacing w:after="1"/>
              <w:jc w:val="center"/>
              <w:rPr>
                <w:rFonts w:ascii="Calibri" w:eastAsia="Calibri" w:hAnsi="Calibri" w:cs="Calibri"/>
                <w:color w:val="000000"/>
                <w:sz w:val="20"/>
              </w:rPr>
            </w:pPr>
            <w:r>
              <w:rPr>
                <w:rFonts w:ascii="Calibri" w:eastAsia="Calibri" w:hAnsi="Calibri" w:cs="Calibri"/>
                <w:color w:val="000000"/>
                <w:sz w:val="20"/>
              </w:rPr>
              <w:t xml:space="preserve">$11.00 </w:t>
            </w:r>
          </w:p>
        </w:tc>
        <w:tc>
          <w:tcPr>
            <w:tcW w:w="2796" w:type="pct"/>
            <w:tcBorders>
              <w:top w:val="nil"/>
              <w:left w:val="nil"/>
              <w:bottom w:val="nil"/>
              <w:right w:val="nil"/>
              <w:tl2br w:val="nil"/>
              <w:tr2bl w:val="nil"/>
            </w:tcBorders>
            <w:shd w:val="solid" w:color="FFFFFF" w:fill="FFFFFF"/>
            <w:noWrap/>
            <w:vAlign w:val="bottom"/>
          </w:tcPr>
          <w:p w14:paraId="6361119B" w14:textId="77777777" w:rsidR="006E442A" w:rsidRDefault="006E442A" w:rsidP="006E442A">
            <w:pPr>
              <w:spacing w:after="1"/>
              <w:ind w:right="420"/>
              <w:jc w:val="right"/>
              <w:rPr>
                <w:rFonts w:ascii="Calibri" w:eastAsia="Calibri" w:hAnsi="Calibri" w:cs="Calibri"/>
                <w:color w:val="000000"/>
                <w:sz w:val="20"/>
              </w:rPr>
            </w:pPr>
            <w:r>
              <w:rPr>
                <w:rFonts w:ascii="Calibri" w:eastAsia="Calibri" w:hAnsi="Calibri" w:cs="Calibri"/>
                <w:color w:val="000000"/>
                <w:sz w:val="20"/>
              </w:rPr>
              <w:t xml:space="preserve">813,001 </w:t>
            </w:r>
          </w:p>
        </w:tc>
      </w:tr>
      <w:tr w:rsidR="006E442A" w14:paraId="5FCB3A51" w14:textId="77777777" w:rsidTr="006E442A">
        <w:tc>
          <w:tcPr>
            <w:tcW w:w="2204" w:type="pct"/>
            <w:tcBorders>
              <w:top w:val="nil"/>
              <w:left w:val="nil"/>
              <w:bottom w:val="nil"/>
              <w:right w:val="nil"/>
              <w:tl2br w:val="nil"/>
              <w:tr2bl w:val="nil"/>
            </w:tcBorders>
            <w:shd w:val="solid" w:color="FFFFFF" w:fill="FFFFFF"/>
            <w:noWrap/>
            <w:vAlign w:val="bottom"/>
          </w:tcPr>
          <w:p w14:paraId="3510DC23" w14:textId="77777777" w:rsidR="006E442A" w:rsidRDefault="006E442A" w:rsidP="006E442A">
            <w:pPr>
              <w:spacing w:after="1"/>
              <w:jc w:val="center"/>
              <w:rPr>
                <w:rFonts w:ascii="Calibri" w:eastAsia="Calibri" w:hAnsi="Calibri" w:cs="Calibri"/>
                <w:color w:val="000000"/>
                <w:sz w:val="20"/>
              </w:rPr>
            </w:pPr>
            <w:r>
              <w:rPr>
                <w:rFonts w:ascii="Calibri" w:eastAsia="Calibri" w:hAnsi="Calibri" w:cs="Calibri"/>
                <w:color w:val="000000"/>
                <w:sz w:val="20"/>
              </w:rPr>
              <w:t xml:space="preserve">$12.00 </w:t>
            </w:r>
          </w:p>
        </w:tc>
        <w:tc>
          <w:tcPr>
            <w:tcW w:w="2796" w:type="pct"/>
            <w:tcBorders>
              <w:top w:val="nil"/>
              <w:left w:val="nil"/>
              <w:bottom w:val="nil"/>
              <w:right w:val="nil"/>
              <w:tl2br w:val="nil"/>
              <w:tr2bl w:val="nil"/>
            </w:tcBorders>
            <w:shd w:val="solid" w:color="FFFFFF" w:fill="FFFFFF"/>
            <w:noWrap/>
            <w:vAlign w:val="bottom"/>
          </w:tcPr>
          <w:p w14:paraId="62D9FCFC" w14:textId="77777777" w:rsidR="006E442A" w:rsidRDefault="006E442A" w:rsidP="006E442A">
            <w:pPr>
              <w:spacing w:after="1"/>
              <w:ind w:right="420"/>
              <w:jc w:val="right"/>
              <w:rPr>
                <w:rFonts w:ascii="Calibri" w:eastAsia="Calibri" w:hAnsi="Calibri" w:cs="Calibri"/>
                <w:color w:val="000000"/>
                <w:sz w:val="20"/>
              </w:rPr>
            </w:pPr>
            <w:r>
              <w:rPr>
                <w:rFonts w:ascii="Calibri" w:eastAsia="Calibri" w:hAnsi="Calibri" w:cs="Calibri"/>
                <w:color w:val="000000"/>
                <w:sz w:val="20"/>
              </w:rPr>
              <w:t xml:space="preserve">513,043 </w:t>
            </w:r>
          </w:p>
        </w:tc>
      </w:tr>
      <w:tr w:rsidR="006E442A" w14:paraId="1772305D" w14:textId="77777777" w:rsidTr="006E442A">
        <w:tc>
          <w:tcPr>
            <w:tcW w:w="2204" w:type="pct"/>
            <w:tcBorders>
              <w:top w:val="nil"/>
              <w:left w:val="nil"/>
              <w:bottom w:val="nil"/>
              <w:right w:val="nil"/>
              <w:tl2br w:val="nil"/>
              <w:tr2bl w:val="nil"/>
            </w:tcBorders>
            <w:shd w:val="solid" w:color="FFFFFF" w:fill="FFFFFF"/>
            <w:noWrap/>
            <w:vAlign w:val="bottom"/>
          </w:tcPr>
          <w:p w14:paraId="12892F6A" w14:textId="77777777" w:rsidR="006E442A" w:rsidRDefault="006E442A" w:rsidP="006E442A">
            <w:pPr>
              <w:spacing w:after="1"/>
              <w:jc w:val="center"/>
              <w:rPr>
                <w:rFonts w:ascii="Calibri" w:eastAsia="Calibri" w:hAnsi="Calibri" w:cs="Calibri"/>
                <w:color w:val="000000"/>
                <w:sz w:val="20"/>
              </w:rPr>
            </w:pPr>
            <w:r>
              <w:rPr>
                <w:rFonts w:ascii="Calibri" w:eastAsia="Calibri" w:hAnsi="Calibri" w:cs="Calibri"/>
                <w:color w:val="000000"/>
                <w:sz w:val="20"/>
              </w:rPr>
              <w:t xml:space="preserve">$13.00 </w:t>
            </w:r>
          </w:p>
        </w:tc>
        <w:tc>
          <w:tcPr>
            <w:tcW w:w="2796" w:type="pct"/>
            <w:tcBorders>
              <w:top w:val="nil"/>
              <w:left w:val="nil"/>
              <w:bottom w:val="nil"/>
              <w:right w:val="nil"/>
              <w:tl2br w:val="nil"/>
              <w:tr2bl w:val="nil"/>
            </w:tcBorders>
            <w:shd w:val="solid" w:color="FFFFFF" w:fill="FFFFFF"/>
            <w:noWrap/>
            <w:vAlign w:val="bottom"/>
          </w:tcPr>
          <w:p w14:paraId="33EC9DE5" w14:textId="77777777" w:rsidR="006E442A" w:rsidRDefault="006E442A" w:rsidP="006E442A">
            <w:pPr>
              <w:spacing w:after="1"/>
              <w:ind w:right="420"/>
              <w:jc w:val="right"/>
              <w:rPr>
                <w:rFonts w:ascii="Calibri" w:eastAsia="Calibri" w:hAnsi="Calibri" w:cs="Calibri"/>
                <w:color w:val="000000"/>
                <w:sz w:val="20"/>
              </w:rPr>
            </w:pPr>
            <w:r>
              <w:rPr>
                <w:rFonts w:ascii="Calibri" w:eastAsia="Calibri" w:hAnsi="Calibri" w:cs="Calibri"/>
                <w:color w:val="000000"/>
                <w:sz w:val="20"/>
              </w:rPr>
              <w:t xml:space="preserve">540,000 </w:t>
            </w:r>
          </w:p>
        </w:tc>
      </w:tr>
      <w:tr w:rsidR="006E442A" w14:paraId="250B25D3" w14:textId="77777777" w:rsidTr="006E442A">
        <w:tc>
          <w:tcPr>
            <w:tcW w:w="2204" w:type="pct"/>
            <w:tcBorders>
              <w:top w:val="nil"/>
              <w:left w:val="nil"/>
              <w:bottom w:val="nil"/>
              <w:right w:val="nil"/>
              <w:tl2br w:val="nil"/>
              <w:tr2bl w:val="nil"/>
            </w:tcBorders>
            <w:shd w:val="solid" w:color="FFFFFF" w:fill="FFFFFF"/>
            <w:noWrap/>
            <w:vAlign w:val="bottom"/>
          </w:tcPr>
          <w:p w14:paraId="12B60EEB" w14:textId="77777777" w:rsidR="006E442A" w:rsidRDefault="006E442A" w:rsidP="006E442A">
            <w:pPr>
              <w:spacing w:after="1"/>
              <w:jc w:val="center"/>
              <w:rPr>
                <w:rFonts w:ascii="Calibri" w:eastAsia="Calibri" w:hAnsi="Calibri" w:cs="Calibri"/>
                <w:color w:val="000000"/>
                <w:sz w:val="20"/>
              </w:rPr>
            </w:pPr>
            <w:r>
              <w:rPr>
                <w:rFonts w:ascii="Calibri" w:eastAsia="Calibri" w:hAnsi="Calibri" w:cs="Calibri"/>
                <w:color w:val="000000"/>
                <w:sz w:val="20"/>
              </w:rPr>
              <w:t xml:space="preserve">$14.00 </w:t>
            </w:r>
          </w:p>
        </w:tc>
        <w:tc>
          <w:tcPr>
            <w:tcW w:w="2796" w:type="pct"/>
            <w:tcBorders>
              <w:top w:val="nil"/>
              <w:left w:val="nil"/>
              <w:bottom w:val="nil"/>
              <w:right w:val="nil"/>
              <w:tl2br w:val="nil"/>
              <w:tr2bl w:val="nil"/>
            </w:tcBorders>
            <w:shd w:val="solid" w:color="FFFFFF" w:fill="FFFFFF"/>
            <w:noWrap/>
            <w:vAlign w:val="bottom"/>
          </w:tcPr>
          <w:p w14:paraId="6D670A83" w14:textId="77777777" w:rsidR="006E442A" w:rsidRDefault="006E442A" w:rsidP="006E442A">
            <w:pPr>
              <w:spacing w:after="1"/>
              <w:ind w:right="420"/>
              <w:jc w:val="right"/>
              <w:rPr>
                <w:rFonts w:ascii="Calibri" w:eastAsia="Calibri" w:hAnsi="Calibri" w:cs="Calibri"/>
                <w:color w:val="000000"/>
                <w:sz w:val="20"/>
              </w:rPr>
            </w:pPr>
            <w:r>
              <w:rPr>
                <w:rFonts w:ascii="Calibri" w:eastAsia="Calibri" w:hAnsi="Calibri" w:cs="Calibri"/>
                <w:color w:val="000000"/>
                <w:sz w:val="20"/>
              </w:rPr>
              <w:t xml:space="preserve">10,098 </w:t>
            </w:r>
          </w:p>
        </w:tc>
      </w:tr>
      <w:tr w:rsidR="006E442A" w14:paraId="07B63F5A" w14:textId="77777777" w:rsidTr="006E442A">
        <w:tc>
          <w:tcPr>
            <w:tcW w:w="2204" w:type="pct"/>
            <w:tcBorders>
              <w:top w:val="nil"/>
              <w:left w:val="nil"/>
              <w:bottom w:val="nil"/>
              <w:right w:val="nil"/>
              <w:tl2br w:val="nil"/>
              <w:tr2bl w:val="nil"/>
            </w:tcBorders>
            <w:shd w:val="solid" w:color="FFFFFF" w:fill="FFFFFF"/>
            <w:noWrap/>
            <w:vAlign w:val="bottom"/>
          </w:tcPr>
          <w:p w14:paraId="37B6C839" w14:textId="77777777" w:rsidR="006E442A" w:rsidRDefault="006E442A" w:rsidP="006E442A">
            <w:pPr>
              <w:spacing w:after="1"/>
              <w:jc w:val="center"/>
              <w:rPr>
                <w:rFonts w:ascii="Calibri" w:eastAsia="Calibri" w:hAnsi="Calibri" w:cs="Calibri"/>
                <w:color w:val="000000"/>
                <w:sz w:val="20"/>
              </w:rPr>
            </w:pPr>
            <w:r>
              <w:rPr>
                <w:rFonts w:ascii="Calibri" w:eastAsia="Calibri" w:hAnsi="Calibri" w:cs="Calibri"/>
                <w:color w:val="000000"/>
                <w:sz w:val="20"/>
              </w:rPr>
              <w:t xml:space="preserve">$16.00 </w:t>
            </w:r>
          </w:p>
        </w:tc>
        <w:tc>
          <w:tcPr>
            <w:tcW w:w="2796" w:type="pct"/>
            <w:tcBorders>
              <w:top w:val="nil"/>
              <w:left w:val="nil"/>
              <w:bottom w:val="nil"/>
              <w:right w:val="nil"/>
              <w:tl2br w:val="nil"/>
              <w:tr2bl w:val="nil"/>
            </w:tcBorders>
            <w:shd w:val="solid" w:color="FFFFFF" w:fill="FFFFFF"/>
            <w:noWrap/>
            <w:vAlign w:val="bottom"/>
          </w:tcPr>
          <w:p w14:paraId="7A2C11DD" w14:textId="77777777" w:rsidR="006E442A" w:rsidRDefault="006E442A" w:rsidP="006E442A">
            <w:pPr>
              <w:spacing w:after="1"/>
              <w:ind w:right="420"/>
              <w:jc w:val="right"/>
              <w:rPr>
                <w:rFonts w:ascii="Calibri" w:eastAsia="Calibri" w:hAnsi="Calibri" w:cs="Calibri"/>
                <w:color w:val="000000"/>
                <w:sz w:val="20"/>
              </w:rPr>
            </w:pPr>
            <w:r>
              <w:rPr>
                <w:rFonts w:ascii="Calibri" w:eastAsia="Calibri" w:hAnsi="Calibri" w:cs="Calibri"/>
                <w:color w:val="000000"/>
                <w:sz w:val="20"/>
              </w:rPr>
              <w:t xml:space="preserve">45,191 </w:t>
            </w:r>
          </w:p>
        </w:tc>
      </w:tr>
      <w:tr w:rsidR="006E442A" w14:paraId="53B90615" w14:textId="77777777" w:rsidTr="006E442A">
        <w:tc>
          <w:tcPr>
            <w:tcW w:w="2204" w:type="pct"/>
            <w:tcBorders>
              <w:top w:val="nil"/>
              <w:left w:val="nil"/>
              <w:bottom w:val="nil"/>
              <w:right w:val="nil"/>
              <w:tl2br w:val="nil"/>
              <w:tr2bl w:val="nil"/>
            </w:tcBorders>
            <w:shd w:val="solid" w:color="FFFFFF" w:fill="FFFFFF"/>
            <w:noWrap/>
            <w:vAlign w:val="bottom"/>
          </w:tcPr>
          <w:p w14:paraId="75A9211B" w14:textId="77777777" w:rsidR="006E442A" w:rsidRDefault="006E442A" w:rsidP="006E442A">
            <w:pPr>
              <w:spacing w:after="1"/>
              <w:jc w:val="center"/>
              <w:rPr>
                <w:rFonts w:ascii="Calibri" w:eastAsia="Calibri" w:hAnsi="Calibri" w:cs="Calibri"/>
                <w:color w:val="000000"/>
                <w:sz w:val="20"/>
              </w:rPr>
            </w:pPr>
            <w:r>
              <w:rPr>
                <w:rFonts w:ascii="Calibri" w:eastAsia="Calibri" w:hAnsi="Calibri" w:cs="Calibri"/>
                <w:color w:val="000000"/>
                <w:sz w:val="20"/>
              </w:rPr>
              <w:t xml:space="preserve">$17.00 </w:t>
            </w:r>
          </w:p>
        </w:tc>
        <w:tc>
          <w:tcPr>
            <w:tcW w:w="2796" w:type="pct"/>
            <w:tcBorders>
              <w:top w:val="nil"/>
              <w:left w:val="nil"/>
              <w:bottom w:val="nil"/>
              <w:right w:val="nil"/>
              <w:tl2br w:val="nil"/>
              <w:tr2bl w:val="nil"/>
            </w:tcBorders>
            <w:shd w:val="solid" w:color="FFFFFF" w:fill="FFFFFF"/>
            <w:noWrap/>
            <w:vAlign w:val="bottom"/>
          </w:tcPr>
          <w:p w14:paraId="7467F899" w14:textId="77777777" w:rsidR="006E442A" w:rsidRDefault="006E442A" w:rsidP="006E442A">
            <w:pPr>
              <w:spacing w:after="1"/>
              <w:ind w:right="420"/>
              <w:jc w:val="right"/>
              <w:rPr>
                <w:rFonts w:ascii="Calibri" w:eastAsia="Calibri" w:hAnsi="Calibri" w:cs="Calibri"/>
                <w:color w:val="000000"/>
                <w:sz w:val="20"/>
              </w:rPr>
            </w:pPr>
            <w:r>
              <w:rPr>
                <w:rFonts w:ascii="Calibri" w:eastAsia="Calibri" w:hAnsi="Calibri" w:cs="Calibri"/>
                <w:color w:val="000000"/>
                <w:sz w:val="20"/>
              </w:rPr>
              <w:t xml:space="preserve">20,000 </w:t>
            </w:r>
          </w:p>
        </w:tc>
      </w:tr>
      <w:tr w:rsidR="006E442A" w14:paraId="31720B61" w14:textId="77777777" w:rsidTr="006E442A">
        <w:tc>
          <w:tcPr>
            <w:tcW w:w="2204" w:type="pct"/>
            <w:tcBorders>
              <w:top w:val="nil"/>
              <w:left w:val="nil"/>
              <w:bottom w:val="nil"/>
              <w:right w:val="nil"/>
              <w:tl2br w:val="nil"/>
              <w:tr2bl w:val="nil"/>
            </w:tcBorders>
            <w:shd w:val="solid" w:color="FFFFFF" w:fill="FFFFFF"/>
            <w:noWrap/>
            <w:vAlign w:val="bottom"/>
          </w:tcPr>
          <w:p w14:paraId="7C2B413F" w14:textId="77777777" w:rsidR="006E442A" w:rsidRDefault="006E442A" w:rsidP="006E442A">
            <w:pPr>
              <w:spacing w:after="1"/>
              <w:jc w:val="center"/>
              <w:rPr>
                <w:rFonts w:ascii="Calibri" w:eastAsia="Calibri" w:hAnsi="Calibri" w:cs="Calibri"/>
                <w:color w:val="000000"/>
                <w:sz w:val="20"/>
              </w:rPr>
            </w:pPr>
            <w:r>
              <w:rPr>
                <w:rFonts w:ascii="Calibri" w:eastAsia="Calibri" w:hAnsi="Calibri" w:cs="Calibri"/>
                <w:color w:val="000000"/>
                <w:sz w:val="20"/>
              </w:rPr>
              <w:t xml:space="preserve">$19.00 </w:t>
            </w:r>
          </w:p>
        </w:tc>
        <w:tc>
          <w:tcPr>
            <w:tcW w:w="2796" w:type="pct"/>
            <w:tcBorders>
              <w:top w:val="nil"/>
              <w:left w:val="nil"/>
              <w:bottom w:val="nil"/>
              <w:right w:val="nil"/>
              <w:tl2br w:val="nil"/>
              <w:tr2bl w:val="nil"/>
            </w:tcBorders>
            <w:shd w:val="solid" w:color="FFFFFF" w:fill="FFFFFF"/>
            <w:noWrap/>
            <w:vAlign w:val="bottom"/>
          </w:tcPr>
          <w:p w14:paraId="22730420" w14:textId="77777777" w:rsidR="006E442A" w:rsidRDefault="006E442A" w:rsidP="006E442A">
            <w:pPr>
              <w:spacing w:after="1"/>
              <w:ind w:right="420"/>
              <w:jc w:val="right"/>
              <w:rPr>
                <w:rFonts w:ascii="Calibri" w:eastAsia="Calibri" w:hAnsi="Calibri" w:cs="Calibri"/>
                <w:color w:val="000000"/>
                <w:sz w:val="20"/>
              </w:rPr>
            </w:pPr>
            <w:r>
              <w:rPr>
                <w:rFonts w:ascii="Calibri" w:eastAsia="Calibri" w:hAnsi="Calibri" w:cs="Calibri"/>
                <w:color w:val="000000"/>
                <w:sz w:val="20"/>
              </w:rPr>
              <w:t xml:space="preserve">527,928 </w:t>
            </w:r>
          </w:p>
        </w:tc>
      </w:tr>
      <w:tr w:rsidR="006E442A" w14:paraId="1656CCE2" w14:textId="77777777" w:rsidTr="006E442A">
        <w:tc>
          <w:tcPr>
            <w:tcW w:w="2204" w:type="pct"/>
            <w:tcBorders>
              <w:top w:val="nil"/>
              <w:left w:val="nil"/>
              <w:bottom w:val="nil"/>
              <w:right w:val="nil"/>
              <w:tl2br w:val="nil"/>
              <w:tr2bl w:val="nil"/>
            </w:tcBorders>
            <w:shd w:val="solid" w:color="FFFFFF" w:fill="FFFFFF"/>
            <w:noWrap/>
            <w:vAlign w:val="bottom"/>
          </w:tcPr>
          <w:p w14:paraId="7F2B5436" w14:textId="77777777" w:rsidR="006E442A" w:rsidRDefault="006E442A" w:rsidP="006E442A">
            <w:pPr>
              <w:spacing w:after="1"/>
              <w:jc w:val="center"/>
              <w:rPr>
                <w:rFonts w:ascii="Calibri" w:eastAsia="Calibri" w:hAnsi="Calibri" w:cs="Calibri"/>
                <w:color w:val="000000"/>
                <w:sz w:val="20"/>
              </w:rPr>
            </w:pPr>
            <w:r>
              <w:rPr>
                <w:rFonts w:ascii="Calibri" w:eastAsia="Calibri" w:hAnsi="Calibri" w:cs="Calibri"/>
                <w:color w:val="000000"/>
                <w:sz w:val="20"/>
              </w:rPr>
              <w:t xml:space="preserve">$21.00 </w:t>
            </w:r>
          </w:p>
        </w:tc>
        <w:tc>
          <w:tcPr>
            <w:tcW w:w="2796" w:type="pct"/>
            <w:tcBorders>
              <w:top w:val="nil"/>
              <w:left w:val="nil"/>
              <w:bottom w:val="nil"/>
              <w:right w:val="nil"/>
              <w:tl2br w:val="nil"/>
              <w:tr2bl w:val="nil"/>
            </w:tcBorders>
            <w:shd w:val="solid" w:color="FFFFFF" w:fill="FFFFFF"/>
            <w:noWrap/>
            <w:vAlign w:val="bottom"/>
          </w:tcPr>
          <w:p w14:paraId="3C4AA2DD" w14:textId="77777777" w:rsidR="006E442A" w:rsidRDefault="006E442A" w:rsidP="006E442A">
            <w:pPr>
              <w:spacing w:after="1"/>
              <w:ind w:right="420"/>
              <w:jc w:val="right"/>
              <w:rPr>
                <w:rFonts w:ascii="Calibri" w:eastAsia="Calibri" w:hAnsi="Calibri" w:cs="Calibri"/>
                <w:color w:val="000000"/>
                <w:sz w:val="20"/>
              </w:rPr>
            </w:pPr>
            <w:r>
              <w:rPr>
                <w:rFonts w:ascii="Calibri" w:eastAsia="Calibri" w:hAnsi="Calibri" w:cs="Calibri"/>
                <w:color w:val="000000"/>
                <w:sz w:val="20"/>
              </w:rPr>
              <w:t xml:space="preserve">3,017,692 </w:t>
            </w:r>
          </w:p>
        </w:tc>
      </w:tr>
      <w:tr w:rsidR="006E442A" w14:paraId="638A6808" w14:textId="77777777" w:rsidTr="006E442A">
        <w:tc>
          <w:tcPr>
            <w:tcW w:w="2204" w:type="pct"/>
            <w:tcBorders>
              <w:top w:val="nil"/>
              <w:left w:val="nil"/>
              <w:bottom w:val="nil"/>
              <w:right w:val="nil"/>
              <w:tl2br w:val="nil"/>
              <w:tr2bl w:val="nil"/>
            </w:tcBorders>
            <w:shd w:val="solid" w:color="FFFFFF" w:fill="FFFFFF"/>
            <w:noWrap/>
            <w:vAlign w:val="bottom"/>
          </w:tcPr>
          <w:p w14:paraId="1AFEB05A" w14:textId="77777777" w:rsidR="006E442A" w:rsidRDefault="006E442A" w:rsidP="006E442A">
            <w:pPr>
              <w:spacing w:after="1"/>
              <w:jc w:val="center"/>
              <w:rPr>
                <w:rFonts w:ascii="Calibri" w:eastAsia="Calibri" w:hAnsi="Calibri" w:cs="Calibri"/>
                <w:color w:val="000000"/>
                <w:sz w:val="20"/>
              </w:rPr>
            </w:pPr>
            <w:r>
              <w:rPr>
                <w:rFonts w:ascii="Calibri" w:eastAsia="Calibri" w:hAnsi="Calibri" w:cs="Calibri"/>
                <w:color w:val="000000"/>
                <w:sz w:val="20"/>
              </w:rPr>
              <w:t xml:space="preserve">$22.00 </w:t>
            </w:r>
          </w:p>
        </w:tc>
        <w:tc>
          <w:tcPr>
            <w:tcW w:w="2796" w:type="pct"/>
            <w:tcBorders>
              <w:top w:val="nil"/>
              <w:left w:val="nil"/>
              <w:bottom w:val="nil"/>
              <w:right w:val="nil"/>
              <w:tl2br w:val="nil"/>
              <w:tr2bl w:val="nil"/>
            </w:tcBorders>
            <w:shd w:val="solid" w:color="FFFFFF" w:fill="FFFFFF"/>
            <w:noWrap/>
            <w:vAlign w:val="bottom"/>
          </w:tcPr>
          <w:p w14:paraId="37C033A7" w14:textId="77777777" w:rsidR="006E442A" w:rsidRDefault="006E442A" w:rsidP="006E442A">
            <w:pPr>
              <w:spacing w:after="1"/>
              <w:ind w:right="420"/>
              <w:jc w:val="right"/>
              <w:rPr>
                <w:rFonts w:ascii="Calibri" w:eastAsia="Calibri" w:hAnsi="Calibri" w:cs="Calibri"/>
                <w:color w:val="000000"/>
                <w:sz w:val="20"/>
              </w:rPr>
            </w:pPr>
            <w:r>
              <w:rPr>
                <w:rFonts w:ascii="Calibri" w:eastAsia="Calibri" w:hAnsi="Calibri" w:cs="Calibri"/>
                <w:color w:val="000000"/>
                <w:sz w:val="20"/>
              </w:rPr>
              <w:t xml:space="preserve">796,417 </w:t>
            </w:r>
          </w:p>
        </w:tc>
      </w:tr>
      <w:tr w:rsidR="006E442A" w14:paraId="67FB028E" w14:textId="77777777" w:rsidTr="006E442A">
        <w:tc>
          <w:tcPr>
            <w:tcW w:w="2204" w:type="pct"/>
            <w:tcBorders>
              <w:top w:val="nil"/>
              <w:left w:val="nil"/>
              <w:bottom w:val="nil"/>
              <w:right w:val="nil"/>
              <w:tl2br w:val="nil"/>
              <w:tr2bl w:val="nil"/>
            </w:tcBorders>
            <w:shd w:val="solid" w:color="FFFFFF" w:fill="FFFFFF"/>
            <w:noWrap/>
            <w:vAlign w:val="bottom"/>
          </w:tcPr>
          <w:p w14:paraId="4FC5D6FE" w14:textId="77777777" w:rsidR="006E442A" w:rsidRDefault="006E442A" w:rsidP="006E442A">
            <w:pPr>
              <w:spacing w:after="1"/>
              <w:jc w:val="center"/>
              <w:rPr>
                <w:rFonts w:ascii="Calibri" w:eastAsia="Calibri" w:hAnsi="Calibri" w:cs="Calibri"/>
                <w:color w:val="000000"/>
                <w:sz w:val="20"/>
              </w:rPr>
            </w:pPr>
            <w:r>
              <w:rPr>
                <w:rFonts w:ascii="Calibri" w:eastAsia="Calibri" w:hAnsi="Calibri" w:cs="Calibri"/>
                <w:color w:val="000000"/>
                <w:sz w:val="20"/>
              </w:rPr>
              <w:t xml:space="preserve">$23.00 </w:t>
            </w:r>
          </w:p>
        </w:tc>
        <w:tc>
          <w:tcPr>
            <w:tcW w:w="2796" w:type="pct"/>
            <w:tcBorders>
              <w:top w:val="nil"/>
              <w:left w:val="nil"/>
              <w:bottom w:val="nil"/>
              <w:right w:val="nil"/>
              <w:tl2br w:val="nil"/>
              <w:tr2bl w:val="nil"/>
            </w:tcBorders>
            <w:shd w:val="solid" w:color="FFFFFF" w:fill="FFFFFF"/>
            <w:noWrap/>
            <w:vAlign w:val="bottom"/>
          </w:tcPr>
          <w:p w14:paraId="73D5B12D" w14:textId="77777777" w:rsidR="006E442A" w:rsidRDefault="006E442A" w:rsidP="006E442A">
            <w:pPr>
              <w:spacing w:after="1"/>
              <w:ind w:right="420"/>
              <w:jc w:val="right"/>
              <w:rPr>
                <w:rFonts w:ascii="Calibri" w:eastAsia="Calibri" w:hAnsi="Calibri" w:cs="Calibri"/>
                <w:color w:val="000000"/>
                <w:sz w:val="20"/>
              </w:rPr>
            </w:pPr>
            <w:r>
              <w:rPr>
                <w:rFonts w:ascii="Calibri" w:eastAsia="Calibri" w:hAnsi="Calibri" w:cs="Calibri"/>
                <w:color w:val="000000"/>
                <w:sz w:val="20"/>
              </w:rPr>
              <w:t xml:space="preserve">524,828 </w:t>
            </w:r>
          </w:p>
        </w:tc>
      </w:tr>
      <w:tr w:rsidR="006E442A" w14:paraId="02D26EEB" w14:textId="77777777" w:rsidTr="006E442A">
        <w:tc>
          <w:tcPr>
            <w:tcW w:w="2204" w:type="pct"/>
            <w:tcBorders>
              <w:top w:val="nil"/>
              <w:left w:val="nil"/>
              <w:bottom w:val="nil"/>
              <w:right w:val="nil"/>
              <w:tl2br w:val="nil"/>
              <w:tr2bl w:val="nil"/>
            </w:tcBorders>
            <w:shd w:val="solid" w:color="FFFFFF" w:fill="FFFFFF"/>
            <w:noWrap/>
            <w:vAlign w:val="bottom"/>
          </w:tcPr>
          <w:p w14:paraId="239E017E" w14:textId="77777777" w:rsidR="006E442A" w:rsidRDefault="006E442A" w:rsidP="006E442A">
            <w:pPr>
              <w:spacing w:after="1"/>
              <w:jc w:val="center"/>
              <w:rPr>
                <w:rFonts w:ascii="Calibri" w:eastAsia="Calibri" w:hAnsi="Calibri" w:cs="Calibri"/>
                <w:color w:val="000000"/>
                <w:sz w:val="20"/>
              </w:rPr>
            </w:pPr>
            <w:r>
              <w:rPr>
                <w:rFonts w:ascii="Calibri" w:eastAsia="Calibri" w:hAnsi="Calibri" w:cs="Calibri"/>
                <w:color w:val="000000"/>
                <w:sz w:val="20"/>
              </w:rPr>
              <w:t xml:space="preserve">$26.26 </w:t>
            </w:r>
          </w:p>
        </w:tc>
        <w:tc>
          <w:tcPr>
            <w:tcW w:w="2796" w:type="pct"/>
            <w:tcBorders>
              <w:top w:val="nil"/>
              <w:left w:val="nil"/>
              <w:bottom w:val="nil"/>
              <w:right w:val="nil"/>
              <w:tl2br w:val="nil"/>
              <w:tr2bl w:val="nil"/>
            </w:tcBorders>
            <w:shd w:val="solid" w:color="FFFFFF" w:fill="FFFFFF"/>
            <w:noWrap/>
            <w:vAlign w:val="bottom"/>
          </w:tcPr>
          <w:p w14:paraId="7FABF492" w14:textId="77777777" w:rsidR="006E442A" w:rsidRDefault="006E442A" w:rsidP="006E442A">
            <w:pPr>
              <w:spacing w:after="1"/>
              <w:ind w:right="420"/>
              <w:jc w:val="right"/>
              <w:rPr>
                <w:rFonts w:ascii="Calibri" w:eastAsia="Calibri" w:hAnsi="Calibri" w:cs="Calibri"/>
                <w:color w:val="000000"/>
                <w:sz w:val="20"/>
              </w:rPr>
            </w:pPr>
            <w:r>
              <w:rPr>
                <w:rFonts w:ascii="Calibri" w:eastAsia="Calibri" w:hAnsi="Calibri" w:cs="Calibri"/>
                <w:color w:val="000000"/>
                <w:sz w:val="20"/>
              </w:rPr>
              <w:t xml:space="preserve">12,500 </w:t>
            </w:r>
          </w:p>
        </w:tc>
      </w:tr>
      <w:tr w:rsidR="006E442A" w14:paraId="2DED6A48" w14:textId="77777777" w:rsidTr="006E442A">
        <w:tc>
          <w:tcPr>
            <w:tcW w:w="2204" w:type="pct"/>
            <w:tcBorders>
              <w:top w:val="nil"/>
              <w:left w:val="nil"/>
              <w:bottom w:val="nil"/>
              <w:right w:val="nil"/>
              <w:tl2br w:val="nil"/>
              <w:tr2bl w:val="nil"/>
            </w:tcBorders>
            <w:shd w:val="solid" w:color="FFFFFF" w:fill="FFFFFF"/>
            <w:noWrap/>
            <w:vAlign w:val="bottom"/>
          </w:tcPr>
          <w:p w14:paraId="5DF5D3CF" w14:textId="77777777" w:rsidR="006E442A" w:rsidRDefault="006E442A" w:rsidP="006E442A">
            <w:pPr>
              <w:spacing w:after="1"/>
              <w:jc w:val="center"/>
              <w:rPr>
                <w:rFonts w:ascii="Calibri" w:eastAsia="Calibri" w:hAnsi="Calibri" w:cs="Calibri"/>
                <w:color w:val="000000"/>
                <w:sz w:val="20"/>
              </w:rPr>
            </w:pPr>
            <w:r>
              <w:rPr>
                <w:rFonts w:ascii="Calibri" w:eastAsia="Calibri" w:hAnsi="Calibri" w:cs="Calibri"/>
                <w:color w:val="000000"/>
                <w:sz w:val="20"/>
              </w:rPr>
              <w:t xml:space="preserve">$27.00 </w:t>
            </w:r>
          </w:p>
        </w:tc>
        <w:tc>
          <w:tcPr>
            <w:tcW w:w="2796" w:type="pct"/>
            <w:tcBorders>
              <w:top w:val="nil"/>
              <w:left w:val="nil"/>
              <w:bottom w:val="nil"/>
              <w:right w:val="nil"/>
              <w:tl2br w:val="nil"/>
              <w:tr2bl w:val="nil"/>
            </w:tcBorders>
            <w:shd w:val="solid" w:color="FFFFFF" w:fill="FFFFFF"/>
            <w:noWrap/>
            <w:vAlign w:val="bottom"/>
          </w:tcPr>
          <w:p w14:paraId="3ACB8D02" w14:textId="77777777" w:rsidR="006E442A" w:rsidRDefault="006E442A" w:rsidP="006E442A">
            <w:pPr>
              <w:spacing w:after="1"/>
              <w:ind w:right="420"/>
              <w:jc w:val="right"/>
              <w:rPr>
                <w:rFonts w:ascii="Calibri" w:eastAsia="Calibri" w:hAnsi="Calibri" w:cs="Calibri"/>
                <w:color w:val="000000"/>
                <w:sz w:val="20"/>
              </w:rPr>
            </w:pPr>
            <w:r>
              <w:rPr>
                <w:rFonts w:ascii="Calibri" w:eastAsia="Calibri" w:hAnsi="Calibri" w:cs="Calibri"/>
                <w:color w:val="000000"/>
                <w:sz w:val="20"/>
              </w:rPr>
              <w:t xml:space="preserve">12,484 </w:t>
            </w:r>
          </w:p>
        </w:tc>
      </w:tr>
      <w:tr w:rsidR="006E442A" w14:paraId="169D2E6E" w14:textId="77777777" w:rsidTr="006E442A">
        <w:tc>
          <w:tcPr>
            <w:tcW w:w="2204" w:type="pct"/>
            <w:tcBorders>
              <w:top w:val="nil"/>
              <w:left w:val="nil"/>
              <w:bottom w:val="nil"/>
              <w:right w:val="nil"/>
              <w:tl2br w:val="nil"/>
              <w:tr2bl w:val="nil"/>
            </w:tcBorders>
            <w:shd w:val="solid" w:color="FFFFFF" w:fill="FFFFFF"/>
            <w:noWrap/>
            <w:vAlign w:val="bottom"/>
          </w:tcPr>
          <w:p w14:paraId="08131CDC" w14:textId="77777777" w:rsidR="006E442A" w:rsidRDefault="006E442A" w:rsidP="006E442A">
            <w:pPr>
              <w:spacing w:after="1"/>
              <w:jc w:val="center"/>
              <w:rPr>
                <w:rFonts w:ascii="Calibri" w:eastAsia="Calibri" w:hAnsi="Calibri" w:cs="Calibri"/>
                <w:color w:val="000000"/>
                <w:sz w:val="20"/>
              </w:rPr>
            </w:pPr>
            <w:r>
              <w:rPr>
                <w:rFonts w:ascii="Calibri" w:eastAsia="Calibri" w:hAnsi="Calibri" w:cs="Calibri"/>
                <w:color w:val="000000"/>
                <w:sz w:val="20"/>
              </w:rPr>
              <w:t xml:space="preserve">$27.90 </w:t>
            </w:r>
          </w:p>
        </w:tc>
        <w:tc>
          <w:tcPr>
            <w:tcW w:w="2796" w:type="pct"/>
            <w:tcBorders>
              <w:top w:val="nil"/>
              <w:left w:val="nil"/>
              <w:bottom w:val="nil"/>
              <w:right w:val="nil"/>
              <w:tl2br w:val="nil"/>
              <w:tr2bl w:val="nil"/>
            </w:tcBorders>
            <w:shd w:val="solid" w:color="FFFFFF" w:fill="FFFFFF"/>
            <w:noWrap/>
            <w:vAlign w:val="bottom"/>
          </w:tcPr>
          <w:p w14:paraId="6046C916" w14:textId="77777777" w:rsidR="006E442A" w:rsidRDefault="006E442A" w:rsidP="006E442A">
            <w:pPr>
              <w:spacing w:after="1"/>
              <w:ind w:right="420"/>
              <w:jc w:val="right"/>
              <w:rPr>
                <w:rFonts w:ascii="Calibri" w:eastAsia="Calibri" w:hAnsi="Calibri" w:cs="Calibri"/>
                <w:color w:val="000000"/>
                <w:sz w:val="20"/>
              </w:rPr>
            </w:pPr>
            <w:r>
              <w:rPr>
                <w:rFonts w:ascii="Calibri" w:eastAsia="Calibri" w:hAnsi="Calibri" w:cs="Calibri"/>
                <w:color w:val="000000"/>
                <w:sz w:val="20"/>
              </w:rPr>
              <w:t xml:space="preserve">1,890,440 </w:t>
            </w:r>
          </w:p>
        </w:tc>
      </w:tr>
      <w:tr w:rsidR="006E442A" w14:paraId="7893837D" w14:textId="77777777" w:rsidTr="006E442A">
        <w:tc>
          <w:tcPr>
            <w:tcW w:w="2204" w:type="pct"/>
            <w:tcBorders>
              <w:top w:val="nil"/>
              <w:left w:val="nil"/>
              <w:bottom w:val="nil"/>
              <w:right w:val="nil"/>
              <w:tl2br w:val="nil"/>
              <w:tr2bl w:val="nil"/>
            </w:tcBorders>
            <w:shd w:val="solid" w:color="FFFFFF" w:fill="FFFFFF"/>
            <w:noWrap/>
            <w:vAlign w:val="bottom"/>
          </w:tcPr>
          <w:p w14:paraId="270AF8D8" w14:textId="77777777" w:rsidR="006E442A" w:rsidRDefault="006E442A" w:rsidP="006E442A">
            <w:pPr>
              <w:spacing w:after="1"/>
              <w:jc w:val="center"/>
              <w:rPr>
                <w:rFonts w:ascii="Calibri" w:eastAsia="Calibri" w:hAnsi="Calibri" w:cs="Calibri"/>
                <w:color w:val="000000"/>
                <w:sz w:val="20"/>
              </w:rPr>
            </w:pPr>
            <w:r>
              <w:rPr>
                <w:rFonts w:ascii="Calibri" w:eastAsia="Calibri" w:hAnsi="Calibri" w:cs="Calibri"/>
                <w:color w:val="000000"/>
                <w:sz w:val="20"/>
              </w:rPr>
              <w:t xml:space="preserve">$28.50 </w:t>
            </w:r>
          </w:p>
        </w:tc>
        <w:tc>
          <w:tcPr>
            <w:tcW w:w="2796" w:type="pct"/>
            <w:tcBorders>
              <w:top w:val="nil"/>
              <w:left w:val="nil"/>
              <w:bottom w:val="nil"/>
              <w:right w:val="nil"/>
              <w:tl2br w:val="nil"/>
              <w:tr2bl w:val="nil"/>
            </w:tcBorders>
            <w:shd w:val="solid" w:color="FFFFFF" w:fill="FFFFFF"/>
            <w:noWrap/>
            <w:vAlign w:val="bottom"/>
          </w:tcPr>
          <w:p w14:paraId="6AF949DD" w14:textId="77777777" w:rsidR="006E442A" w:rsidRDefault="006E442A" w:rsidP="006E442A">
            <w:pPr>
              <w:spacing w:after="1"/>
              <w:ind w:right="420"/>
              <w:jc w:val="right"/>
              <w:rPr>
                <w:rFonts w:ascii="Calibri" w:eastAsia="Calibri" w:hAnsi="Calibri" w:cs="Calibri"/>
                <w:color w:val="000000"/>
                <w:sz w:val="20"/>
              </w:rPr>
            </w:pPr>
            <w:r>
              <w:rPr>
                <w:rFonts w:ascii="Calibri" w:eastAsia="Calibri" w:hAnsi="Calibri" w:cs="Calibri"/>
                <w:color w:val="000000"/>
                <w:sz w:val="20"/>
              </w:rPr>
              <w:t xml:space="preserve">1,424,225 </w:t>
            </w:r>
          </w:p>
        </w:tc>
      </w:tr>
      <w:tr w:rsidR="006E442A" w14:paraId="24892E55" w14:textId="77777777" w:rsidTr="006E442A">
        <w:tc>
          <w:tcPr>
            <w:tcW w:w="2204" w:type="pct"/>
            <w:tcBorders>
              <w:top w:val="nil"/>
              <w:left w:val="nil"/>
              <w:bottom w:val="nil"/>
              <w:right w:val="nil"/>
              <w:tl2br w:val="nil"/>
              <w:tr2bl w:val="nil"/>
            </w:tcBorders>
            <w:shd w:val="solid" w:color="FFFFFF" w:fill="FFFFFF"/>
            <w:noWrap/>
            <w:vAlign w:val="bottom"/>
          </w:tcPr>
          <w:p w14:paraId="4E285B4E" w14:textId="77777777" w:rsidR="006E442A" w:rsidRDefault="006E442A" w:rsidP="006E442A">
            <w:pPr>
              <w:spacing w:after="1"/>
              <w:jc w:val="center"/>
              <w:rPr>
                <w:rFonts w:ascii="Calibri" w:eastAsia="Calibri" w:hAnsi="Calibri" w:cs="Calibri"/>
                <w:color w:val="000000"/>
                <w:sz w:val="20"/>
              </w:rPr>
            </w:pPr>
            <w:r>
              <w:rPr>
                <w:rFonts w:ascii="Calibri" w:eastAsia="Calibri" w:hAnsi="Calibri" w:cs="Calibri"/>
                <w:color w:val="000000"/>
                <w:sz w:val="20"/>
              </w:rPr>
              <w:t xml:space="preserve">$30.48 </w:t>
            </w:r>
          </w:p>
        </w:tc>
        <w:tc>
          <w:tcPr>
            <w:tcW w:w="2796" w:type="pct"/>
            <w:tcBorders>
              <w:top w:val="nil"/>
              <w:left w:val="nil"/>
              <w:bottom w:val="nil"/>
              <w:right w:val="nil"/>
              <w:tl2br w:val="nil"/>
              <w:tr2bl w:val="nil"/>
            </w:tcBorders>
            <w:shd w:val="solid" w:color="FFFFFF" w:fill="FFFFFF"/>
            <w:noWrap/>
            <w:vAlign w:val="bottom"/>
          </w:tcPr>
          <w:p w14:paraId="7D4393C7" w14:textId="77777777" w:rsidR="006E442A" w:rsidRDefault="006E442A" w:rsidP="006E442A">
            <w:pPr>
              <w:spacing w:after="1"/>
              <w:ind w:right="420"/>
              <w:jc w:val="right"/>
              <w:rPr>
                <w:rFonts w:ascii="Calibri" w:eastAsia="Calibri" w:hAnsi="Calibri" w:cs="Calibri"/>
                <w:color w:val="000000"/>
                <w:sz w:val="20"/>
              </w:rPr>
            </w:pPr>
            <w:r>
              <w:rPr>
                <w:rFonts w:ascii="Calibri" w:eastAsia="Calibri" w:hAnsi="Calibri" w:cs="Calibri"/>
                <w:color w:val="000000"/>
                <w:sz w:val="20"/>
              </w:rPr>
              <w:t xml:space="preserve">30,000 </w:t>
            </w:r>
          </w:p>
        </w:tc>
      </w:tr>
      <w:tr w:rsidR="006E442A" w14:paraId="0A95B8A7" w14:textId="77777777" w:rsidTr="006E442A">
        <w:tc>
          <w:tcPr>
            <w:tcW w:w="2204" w:type="pct"/>
            <w:tcBorders>
              <w:top w:val="nil"/>
              <w:left w:val="nil"/>
              <w:bottom w:val="nil"/>
              <w:right w:val="nil"/>
              <w:tl2br w:val="nil"/>
              <w:tr2bl w:val="nil"/>
            </w:tcBorders>
            <w:shd w:val="solid" w:color="FFFFFF" w:fill="FFFFFF"/>
            <w:noWrap/>
            <w:vAlign w:val="bottom"/>
          </w:tcPr>
          <w:p w14:paraId="3DC3423A" w14:textId="77777777" w:rsidR="006E442A" w:rsidRDefault="006E442A" w:rsidP="006E442A">
            <w:pPr>
              <w:spacing w:after="1"/>
              <w:jc w:val="center"/>
              <w:rPr>
                <w:rFonts w:ascii="Calibri" w:eastAsia="Calibri" w:hAnsi="Calibri" w:cs="Calibri"/>
                <w:color w:val="000000"/>
                <w:sz w:val="20"/>
              </w:rPr>
            </w:pPr>
            <w:r>
              <w:rPr>
                <w:rFonts w:ascii="Calibri" w:eastAsia="Calibri" w:hAnsi="Calibri" w:cs="Calibri"/>
                <w:color w:val="000000"/>
                <w:sz w:val="20"/>
              </w:rPr>
              <w:t xml:space="preserve">$33.00 </w:t>
            </w:r>
          </w:p>
        </w:tc>
        <w:tc>
          <w:tcPr>
            <w:tcW w:w="2796" w:type="pct"/>
            <w:tcBorders>
              <w:top w:val="nil"/>
              <w:left w:val="nil"/>
              <w:bottom w:val="nil"/>
              <w:right w:val="nil"/>
              <w:tl2br w:val="nil"/>
              <w:tr2bl w:val="nil"/>
            </w:tcBorders>
            <w:shd w:val="solid" w:color="FFFFFF" w:fill="FFFFFF"/>
            <w:noWrap/>
            <w:vAlign w:val="bottom"/>
          </w:tcPr>
          <w:p w14:paraId="06D092A0" w14:textId="77777777" w:rsidR="006E442A" w:rsidRDefault="006E442A" w:rsidP="006E442A">
            <w:pPr>
              <w:spacing w:after="1"/>
              <w:ind w:right="420"/>
              <w:jc w:val="right"/>
              <w:rPr>
                <w:rFonts w:ascii="Calibri" w:eastAsia="Calibri" w:hAnsi="Calibri" w:cs="Calibri"/>
                <w:color w:val="000000"/>
                <w:sz w:val="20"/>
              </w:rPr>
            </w:pPr>
            <w:r>
              <w:rPr>
                <w:rFonts w:ascii="Calibri" w:eastAsia="Calibri" w:hAnsi="Calibri" w:cs="Calibri"/>
                <w:color w:val="000000"/>
                <w:sz w:val="20"/>
              </w:rPr>
              <w:t xml:space="preserve">3,617,500 </w:t>
            </w:r>
          </w:p>
        </w:tc>
      </w:tr>
      <w:tr w:rsidR="006E442A" w14:paraId="3CA48472" w14:textId="77777777" w:rsidTr="006E442A">
        <w:tc>
          <w:tcPr>
            <w:tcW w:w="2204" w:type="pct"/>
            <w:tcBorders>
              <w:top w:val="nil"/>
              <w:left w:val="nil"/>
              <w:bottom w:val="nil"/>
              <w:right w:val="nil"/>
              <w:tl2br w:val="nil"/>
              <w:tr2bl w:val="nil"/>
            </w:tcBorders>
            <w:shd w:val="solid" w:color="FFFFFF" w:fill="FFFFFF"/>
            <w:noWrap/>
            <w:vAlign w:val="bottom"/>
          </w:tcPr>
          <w:p w14:paraId="2CD99ECF" w14:textId="77777777" w:rsidR="006E442A" w:rsidRDefault="006E442A" w:rsidP="006E442A">
            <w:pPr>
              <w:spacing w:after="1"/>
              <w:jc w:val="center"/>
              <w:rPr>
                <w:rFonts w:ascii="Calibri" w:eastAsia="Calibri" w:hAnsi="Calibri" w:cs="Calibri"/>
                <w:color w:val="000000"/>
                <w:sz w:val="20"/>
              </w:rPr>
            </w:pPr>
            <w:r>
              <w:rPr>
                <w:rFonts w:ascii="Calibri" w:eastAsia="Calibri" w:hAnsi="Calibri" w:cs="Calibri"/>
                <w:color w:val="000000"/>
                <w:sz w:val="20"/>
              </w:rPr>
              <w:t xml:space="preserve">$36.64 </w:t>
            </w:r>
          </w:p>
        </w:tc>
        <w:tc>
          <w:tcPr>
            <w:tcW w:w="2796" w:type="pct"/>
            <w:tcBorders>
              <w:top w:val="nil"/>
              <w:left w:val="nil"/>
              <w:bottom w:val="nil"/>
              <w:right w:val="nil"/>
              <w:tl2br w:val="nil"/>
              <w:tr2bl w:val="nil"/>
            </w:tcBorders>
            <w:shd w:val="solid" w:color="FFFFFF" w:fill="FFFFFF"/>
            <w:noWrap/>
            <w:vAlign w:val="bottom"/>
          </w:tcPr>
          <w:p w14:paraId="33AE3142" w14:textId="77777777" w:rsidR="006E442A" w:rsidRDefault="006E442A" w:rsidP="006E442A">
            <w:pPr>
              <w:spacing w:after="1"/>
              <w:ind w:right="420"/>
              <w:jc w:val="right"/>
              <w:rPr>
                <w:rFonts w:ascii="Calibri" w:eastAsia="Calibri" w:hAnsi="Calibri" w:cs="Calibri"/>
                <w:color w:val="000000"/>
                <w:sz w:val="20"/>
              </w:rPr>
            </w:pPr>
            <w:r>
              <w:rPr>
                <w:rFonts w:ascii="Calibri" w:eastAsia="Calibri" w:hAnsi="Calibri" w:cs="Calibri"/>
                <w:color w:val="000000"/>
                <w:sz w:val="20"/>
              </w:rPr>
              <w:t xml:space="preserve">30,000 </w:t>
            </w:r>
          </w:p>
        </w:tc>
      </w:tr>
      <w:tr w:rsidR="006E442A" w14:paraId="2FC39873" w14:textId="77777777" w:rsidTr="006E442A">
        <w:tc>
          <w:tcPr>
            <w:tcW w:w="2204" w:type="pct"/>
            <w:tcBorders>
              <w:top w:val="nil"/>
              <w:left w:val="nil"/>
              <w:bottom w:val="nil"/>
              <w:right w:val="nil"/>
              <w:tl2br w:val="nil"/>
              <w:tr2bl w:val="nil"/>
            </w:tcBorders>
            <w:shd w:val="solid" w:color="FFFFFF" w:fill="FFFFFF"/>
            <w:noWrap/>
            <w:vAlign w:val="bottom"/>
          </w:tcPr>
          <w:p w14:paraId="0E79F098" w14:textId="77777777" w:rsidR="006E442A" w:rsidRDefault="006E442A" w:rsidP="006E442A">
            <w:pPr>
              <w:spacing w:after="1"/>
              <w:jc w:val="center"/>
              <w:rPr>
                <w:rFonts w:ascii="Calibri" w:eastAsia="Calibri" w:hAnsi="Calibri" w:cs="Calibri"/>
                <w:color w:val="000000"/>
                <w:sz w:val="20"/>
              </w:rPr>
            </w:pPr>
            <w:r>
              <w:rPr>
                <w:rFonts w:ascii="Calibri" w:eastAsia="Calibri" w:hAnsi="Calibri" w:cs="Calibri"/>
                <w:color w:val="000000"/>
                <w:sz w:val="20"/>
              </w:rPr>
              <w:t xml:space="preserve">$37.59 </w:t>
            </w:r>
          </w:p>
        </w:tc>
        <w:tc>
          <w:tcPr>
            <w:tcW w:w="2796" w:type="pct"/>
            <w:tcBorders>
              <w:top w:val="nil"/>
              <w:left w:val="nil"/>
              <w:bottom w:val="nil"/>
              <w:right w:val="nil"/>
              <w:tl2br w:val="nil"/>
              <w:tr2bl w:val="nil"/>
            </w:tcBorders>
            <w:shd w:val="solid" w:color="FFFFFF" w:fill="FFFFFF"/>
            <w:noWrap/>
            <w:vAlign w:val="bottom"/>
          </w:tcPr>
          <w:p w14:paraId="770FAF43" w14:textId="77777777" w:rsidR="006E442A" w:rsidRDefault="006E442A" w:rsidP="006E442A">
            <w:pPr>
              <w:spacing w:after="1"/>
              <w:ind w:right="420"/>
              <w:jc w:val="right"/>
              <w:rPr>
                <w:rFonts w:ascii="Calibri" w:eastAsia="Calibri" w:hAnsi="Calibri" w:cs="Calibri"/>
                <w:color w:val="000000"/>
                <w:sz w:val="20"/>
              </w:rPr>
            </w:pPr>
            <w:r>
              <w:rPr>
                <w:rFonts w:ascii="Calibri" w:eastAsia="Calibri" w:hAnsi="Calibri" w:cs="Calibri"/>
                <w:color w:val="000000"/>
                <w:sz w:val="20"/>
              </w:rPr>
              <w:t xml:space="preserve">508,145 </w:t>
            </w:r>
          </w:p>
        </w:tc>
      </w:tr>
      <w:tr w:rsidR="006E442A" w14:paraId="03A60392" w14:textId="77777777" w:rsidTr="006E442A">
        <w:tc>
          <w:tcPr>
            <w:tcW w:w="2204" w:type="pct"/>
            <w:tcBorders>
              <w:top w:val="nil"/>
              <w:left w:val="nil"/>
              <w:bottom w:val="nil"/>
              <w:right w:val="nil"/>
              <w:tl2br w:val="nil"/>
              <w:tr2bl w:val="nil"/>
            </w:tcBorders>
            <w:shd w:val="solid" w:color="FFFFFF" w:fill="FFFFFF"/>
            <w:noWrap/>
            <w:vAlign w:val="bottom"/>
          </w:tcPr>
          <w:p w14:paraId="7DBC3809" w14:textId="77777777" w:rsidR="006E442A" w:rsidRDefault="006E442A" w:rsidP="006E442A">
            <w:pPr>
              <w:spacing w:after="1"/>
              <w:jc w:val="center"/>
              <w:rPr>
                <w:rFonts w:ascii="Calibri" w:eastAsia="Calibri" w:hAnsi="Calibri" w:cs="Calibri"/>
                <w:color w:val="000000"/>
                <w:sz w:val="20"/>
              </w:rPr>
            </w:pPr>
            <w:r>
              <w:rPr>
                <w:rFonts w:ascii="Calibri" w:eastAsia="Calibri" w:hAnsi="Calibri" w:cs="Calibri"/>
                <w:color w:val="000000"/>
                <w:sz w:val="20"/>
              </w:rPr>
              <w:t xml:space="preserve">$43.07 </w:t>
            </w:r>
          </w:p>
        </w:tc>
        <w:tc>
          <w:tcPr>
            <w:tcW w:w="2796" w:type="pct"/>
            <w:tcBorders>
              <w:top w:val="nil"/>
              <w:left w:val="nil"/>
              <w:bottom w:val="nil"/>
              <w:right w:val="nil"/>
              <w:tl2br w:val="nil"/>
              <w:tr2bl w:val="nil"/>
            </w:tcBorders>
            <w:shd w:val="solid" w:color="FFFFFF" w:fill="FFFFFF"/>
            <w:noWrap/>
            <w:vAlign w:val="bottom"/>
          </w:tcPr>
          <w:p w14:paraId="38BE9D51" w14:textId="77777777" w:rsidR="006E442A" w:rsidRDefault="006E442A" w:rsidP="006E442A">
            <w:pPr>
              <w:spacing w:after="1"/>
              <w:ind w:right="420"/>
              <w:jc w:val="right"/>
              <w:rPr>
                <w:rFonts w:ascii="Calibri" w:eastAsia="Calibri" w:hAnsi="Calibri" w:cs="Calibri"/>
                <w:color w:val="000000"/>
                <w:sz w:val="20"/>
              </w:rPr>
            </w:pPr>
            <w:r>
              <w:rPr>
                <w:rFonts w:ascii="Calibri" w:eastAsia="Calibri" w:hAnsi="Calibri" w:cs="Calibri"/>
                <w:color w:val="000000"/>
                <w:sz w:val="20"/>
              </w:rPr>
              <w:t xml:space="preserve">60,000 </w:t>
            </w:r>
          </w:p>
        </w:tc>
      </w:tr>
      <w:tr w:rsidR="006E442A" w14:paraId="00A133A2" w14:textId="77777777" w:rsidTr="006E442A">
        <w:tc>
          <w:tcPr>
            <w:tcW w:w="2204" w:type="pct"/>
            <w:tcBorders>
              <w:top w:val="nil"/>
              <w:left w:val="nil"/>
              <w:bottom w:val="nil"/>
              <w:right w:val="nil"/>
              <w:tl2br w:val="nil"/>
              <w:tr2bl w:val="nil"/>
            </w:tcBorders>
            <w:shd w:val="solid" w:color="FFFFFF" w:fill="FFFFFF"/>
            <w:noWrap/>
            <w:vAlign w:val="bottom"/>
          </w:tcPr>
          <w:p w14:paraId="12E3B509" w14:textId="77777777" w:rsidR="006E442A" w:rsidRDefault="006E442A" w:rsidP="006E442A">
            <w:pPr>
              <w:spacing w:after="1"/>
              <w:jc w:val="center"/>
              <w:rPr>
                <w:rFonts w:ascii="Calibri" w:eastAsia="Calibri" w:hAnsi="Calibri" w:cs="Calibri"/>
                <w:color w:val="000000"/>
                <w:sz w:val="20"/>
              </w:rPr>
            </w:pPr>
            <w:r>
              <w:rPr>
                <w:rFonts w:ascii="Calibri" w:eastAsia="Calibri" w:hAnsi="Calibri" w:cs="Calibri"/>
                <w:color w:val="000000"/>
                <w:sz w:val="20"/>
              </w:rPr>
              <w:t xml:space="preserve">$43.50 </w:t>
            </w:r>
          </w:p>
        </w:tc>
        <w:tc>
          <w:tcPr>
            <w:tcW w:w="2796" w:type="pct"/>
            <w:tcBorders>
              <w:top w:val="nil"/>
              <w:left w:val="nil"/>
              <w:bottom w:val="nil"/>
              <w:right w:val="nil"/>
              <w:tl2br w:val="nil"/>
              <w:tr2bl w:val="nil"/>
            </w:tcBorders>
            <w:shd w:val="solid" w:color="FFFFFF" w:fill="FFFFFF"/>
            <w:noWrap/>
            <w:vAlign w:val="bottom"/>
          </w:tcPr>
          <w:p w14:paraId="44A4C833" w14:textId="77777777" w:rsidR="006E442A" w:rsidRDefault="006E442A" w:rsidP="006E442A">
            <w:pPr>
              <w:spacing w:after="1"/>
              <w:ind w:right="420"/>
              <w:jc w:val="right"/>
              <w:rPr>
                <w:rFonts w:ascii="Calibri" w:eastAsia="Calibri" w:hAnsi="Calibri" w:cs="Calibri"/>
                <w:color w:val="000000"/>
                <w:sz w:val="20"/>
              </w:rPr>
            </w:pPr>
            <w:r>
              <w:rPr>
                <w:rFonts w:ascii="Calibri" w:eastAsia="Calibri" w:hAnsi="Calibri" w:cs="Calibri"/>
                <w:color w:val="000000"/>
                <w:sz w:val="20"/>
              </w:rPr>
              <w:t xml:space="preserve">30,000 </w:t>
            </w:r>
          </w:p>
        </w:tc>
      </w:tr>
      <w:tr w:rsidR="006E442A" w14:paraId="0E89EACB" w14:textId="77777777" w:rsidTr="006E442A">
        <w:tc>
          <w:tcPr>
            <w:tcW w:w="2204" w:type="pct"/>
            <w:tcBorders>
              <w:top w:val="nil"/>
              <w:left w:val="nil"/>
              <w:bottom w:val="nil"/>
              <w:right w:val="nil"/>
              <w:tl2br w:val="nil"/>
              <w:tr2bl w:val="nil"/>
            </w:tcBorders>
            <w:shd w:val="solid" w:color="FFFFFF" w:fill="FFFFFF"/>
            <w:noWrap/>
            <w:vAlign w:val="bottom"/>
          </w:tcPr>
          <w:p w14:paraId="43467EEE" w14:textId="77777777" w:rsidR="006E442A" w:rsidRDefault="006E442A" w:rsidP="006E442A">
            <w:pPr>
              <w:spacing w:after="1"/>
              <w:jc w:val="center"/>
              <w:rPr>
                <w:rFonts w:ascii="Calibri" w:eastAsia="Calibri" w:hAnsi="Calibri" w:cs="Calibri"/>
                <w:color w:val="000000"/>
                <w:sz w:val="20"/>
              </w:rPr>
            </w:pPr>
            <w:r>
              <w:rPr>
                <w:rFonts w:ascii="Calibri" w:eastAsia="Calibri" w:hAnsi="Calibri" w:cs="Calibri"/>
                <w:color w:val="000000"/>
                <w:sz w:val="20"/>
              </w:rPr>
              <w:t xml:space="preserve">$44.71 </w:t>
            </w:r>
          </w:p>
        </w:tc>
        <w:tc>
          <w:tcPr>
            <w:tcW w:w="2796" w:type="pct"/>
            <w:tcBorders>
              <w:top w:val="nil"/>
              <w:left w:val="nil"/>
              <w:bottom w:val="nil"/>
              <w:right w:val="nil"/>
              <w:tl2br w:val="nil"/>
              <w:tr2bl w:val="nil"/>
            </w:tcBorders>
            <w:shd w:val="solid" w:color="FFFFFF" w:fill="FFFFFF"/>
            <w:noWrap/>
            <w:vAlign w:val="bottom"/>
          </w:tcPr>
          <w:p w14:paraId="02804955" w14:textId="77777777" w:rsidR="006E442A" w:rsidRDefault="006E442A" w:rsidP="006E442A">
            <w:pPr>
              <w:spacing w:after="1"/>
              <w:ind w:right="420"/>
              <w:jc w:val="right"/>
              <w:rPr>
                <w:rFonts w:ascii="Calibri" w:eastAsia="Calibri" w:hAnsi="Calibri" w:cs="Calibri"/>
                <w:color w:val="000000"/>
                <w:sz w:val="20"/>
              </w:rPr>
            </w:pPr>
            <w:r>
              <w:rPr>
                <w:rFonts w:ascii="Calibri" w:eastAsia="Calibri" w:hAnsi="Calibri" w:cs="Calibri"/>
                <w:color w:val="000000"/>
                <w:sz w:val="20"/>
              </w:rPr>
              <w:t xml:space="preserve">806,324 </w:t>
            </w:r>
          </w:p>
        </w:tc>
      </w:tr>
      <w:tr w:rsidR="006E442A" w14:paraId="16F96A16" w14:textId="77777777" w:rsidTr="006E442A">
        <w:tc>
          <w:tcPr>
            <w:tcW w:w="2204" w:type="pct"/>
            <w:tcBorders>
              <w:top w:val="nil"/>
              <w:left w:val="nil"/>
              <w:bottom w:val="nil"/>
              <w:right w:val="nil"/>
              <w:tl2br w:val="nil"/>
              <w:tr2bl w:val="nil"/>
            </w:tcBorders>
            <w:shd w:val="solid" w:color="FFFFFF" w:fill="FFFFFF"/>
            <w:noWrap/>
            <w:vAlign w:val="bottom"/>
          </w:tcPr>
          <w:p w14:paraId="5C0127F7" w14:textId="77777777" w:rsidR="006E442A" w:rsidRDefault="006E442A" w:rsidP="006E442A">
            <w:pPr>
              <w:spacing w:after="1"/>
              <w:jc w:val="center"/>
              <w:rPr>
                <w:rFonts w:ascii="Calibri" w:eastAsia="Calibri" w:hAnsi="Calibri" w:cs="Calibri"/>
                <w:color w:val="000000"/>
                <w:sz w:val="20"/>
              </w:rPr>
            </w:pPr>
            <w:r>
              <w:rPr>
                <w:rFonts w:ascii="Calibri" w:eastAsia="Calibri" w:hAnsi="Calibri" w:cs="Calibri"/>
                <w:color w:val="000000"/>
                <w:sz w:val="20"/>
              </w:rPr>
              <w:t xml:space="preserve">$58.50 </w:t>
            </w:r>
          </w:p>
        </w:tc>
        <w:tc>
          <w:tcPr>
            <w:tcW w:w="2796" w:type="pct"/>
            <w:tcBorders>
              <w:top w:val="nil"/>
              <w:left w:val="nil"/>
              <w:bottom w:val="single" w:sz="4" w:space="0" w:color="000000"/>
              <w:right w:val="nil"/>
              <w:tl2br w:val="nil"/>
              <w:tr2bl w:val="nil"/>
            </w:tcBorders>
            <w:shd w:val="solid" w:color="FFFFFF" w:fill="FFFFFF"/>
            <w:noWrap/>
            <w:vAlign w:val="bottom"/>
          </w:tcPr>
          <w:p w14:paraId="336724BE" w14:textId="77777777" w:rsidR="006E442A" w:rsidRDefault="006E442A" w:rsidP="006E442A">
            <w:pPr>
              <w:spacing w:after="1"/>
              <w:ind w:right="420"/>
              <w:jc w:val="right"/>
              <w:rPr>
                <w:rFonts w:ascii="Calibri" w:eastAsia="Calibri" w:hAnsi="Calibri" w:cs="Calibri"/>
                <w:color w:val="000000"/>
                <w:sz w:val="20"/>
              </w:rPr>
            </w:pPr>
            <w:r>
              <w:rPr>
                <w:rFonts w:ascii="Calibri" w:eastAsia="Calibri" w:hAnsi="Calibri" w:cs="Calibri"/>
                <w:color w:val="000000"/>
                <w:sz w:val="20"/>
              </w:rPr>
              <w:t xml:space="preserve">662,277 </w:t>
            </w:r>
          </w:p>
        </w:tc>
      </w:tr>
      <w:tr w:rsidR="006E442A" w14:paraId="53615EA2" w14:textId="77777777" w:rsidTr="006E442A">
        <w:tc>
          <w:tcPr>
            <w:tcW w:w="2204" w:type="pct"/>
            <w:tcBorders>
              <w:top w:val="nil"/>
              <w:left w:val="nil"/>
              <w:bottom w:val="nil"/>
              <w:right w:val="nil"/>
              <w:tl2br w:val="nil"/>
              <w:tr2bl w:val="nil"/>
            </w:tcBorders>
            <w:shd w:val="solid" w:color="FFFFFF" w:fill="FFFFFF"/>
            <w:noWrap/>
            <w:vAlign w:val="bottom"/>
          </w:tcPr>
          <w:p w14:paraId="79679865" w14:textId="77777777" w:rsidR="006E442A" w:rsidRDefault="006E442A" w:rsidP="006E442A">
            <w:pPr>
              <w:spacing w:after="1"/>
              <w:rPr>
                <w:rFonts w:ascii="Calibri" w:eastAsia="Calibri" w:hAnsi="Calibri" w:cs="Calibri"/>
                <w:color w:val="000000"/>
                <w:sz w:val="20"/>
              </w:rPr>
            </w:pPr>
          </w:p>
        </w:tc>
        <w:tc>
          <w:tcPr>
            <w:tcW w:w="2796" w:type="pct"/>
            <w:tcBorders>
              <w:top w:val="nil"/>
              <w:left w:val="nil"/>
              <w:bottom w:val="double" w:sz="4" w:space="0" w:color="000000"/>
              <w:right w:val="nil"/>
              <w:tl2br w:val="nil"/>
              <w:tr2bl w:val="nil"/>
            </w:tcBorders>
            <w:shd w:val="solid" w:color="FFFFFF" w:fill="FFFFFF"/>
            <w:noWrap/>
            <w:vAlign w:val="bottom"/>
          </w:tcPr>
          <w:p w14:paraId="164E42B2" w14:textId="77777777" w:rsidR="006E442A" w:rsidRDefault="006E442A" w:rsidP="006E442A">
            <w:pPr>
              <w:spacing w:after="1"/>
              <w:ind w:right="420"/>
              <w:jc w:val="right"/>
              <w:rPr>
                <w:rFonts w:ascii="Calibri" w:eastAsia="Calibri" w:hAnsi="Calibri" w:cs="Calibri"/>
                <w:color w:val="000000"/>
                <w:sz w:val="20"/>
              </w:rPr>
            </w:pPr>
            <w:r>
              <w:rPr>
                <w:rFonts w:ascii="Calibri" w:eastAsia="Calibri" w:hAnsi="Calibri" w:cs="Calibri"/>
                <w:color w:val="000000"/>
                <w:sz w:val="20"/>
              </w:rPr>
              <w:t xml:space="preserve">16,602,886 </w:t>
            </w:r>
          </w:p>
        </w:tc>
      </w:tr>
      <w:tr w:rsidR="006E442A" w14:paraId="470EEA78" w14:textId="77777777" w:rsidTr="006E442A">
        <w:tc>
          <w:tcPr>
            <w:tcW w:w="2204" w:type="pct"/>
            <w:tcBorders>
              <w:top w:val="nil"/>
              <w:left w:val="nil"/>
              <w:bottom w:val="nil"/>
              <w:right w:val="nil"/>
              <w:tl2br w:val="nil"/>
              <w:tr2bl w:val="nil"/>
            </w:tcBorders>
            <w:shd w:val="solid" w:color="FFFFFF" w:fill="FFFFFF"/>
            <w:noWrap/>
            <w:vAlign w:val="bottom"/>
          </w:tcPr>
          <w:p w14:paraId="597860FD" w14:textId="77777777" w:rsidR="006E442A" w:rsidRDefault="006E442A" w:rsidP="006E442A">
            <w:pPr>
              <w:spacing w:after="1"/>
              <w:rPr>
                <w:rFonts w:ascii="Calibri" w:eastAsia="Calibri" w:hAnsi="Calibri" w:cs="Calibri"/>
                <w:color w:val="000000"/>
                <w:sz w:val="20"/>
              </w:rPr>
            </w:pPr>
          </w:p>
        </w:tc>
        <w:tc>
          <w:tcPr>
            <w:tcW w:w="2796" w:type="pct"/>
            <w:tcBorders>
              <w:top w:val="nil"/>
              <w:left w:val="nil"/>
              <w:bottom w:val="nil"/>
              <w:right w:val="nil"/>
              <w:tl2br w:val="nil"/>
              <w:tr2bl w:val="nil"/>
            </w:tcBorders>
            <w:shd w:val="solid" w:color="FFFFFF" w:fill="FFFFFF"/>
            <w:noWrap/>
            <w:vAlign w:val="bottom"/>
          </w:tcPr>
          <w:p w14:paraId="7A2DB893" w14:textId="77777777" w:rsidR="006E442A" w:rsidRDefault="006E442A" w:rsidP="006E442A">
            <w:pPr>
              <w:spacing w:after="1"/>
              <w:rPr>
                <w:rFonts w:ascii="Calibri" w:eastAsia="Calibri" w:hAnsi="Calibri" w:cs="Calibri"/>
                <w:color w:val="000000"/>
                <w:sz w:val="20"/>
              </w:rPr>
            </w:pPr>
          </w:p>
        </w:tc>
      </w:tr>
    </w:tbl>
    <w:p w14:paraId="2245DC3B" w14:textId="77777777" w:rsidR="00DE4F1A" w:rsidRPr="006F2C93" w:rsidRDefault="00DE4F1A" w:rsidP="005E65E6">
      <w:pPr>
        <w:spacing w:after="0" w:line="240" w:lineRule="auto"/>
        <w:contextualSpacing/>
        <w:rPr>
          <w:rFonts w:cstheme="minorHAnsi"/>
        </w:rPr>
      </w:pPr>
    </w:p>
    <w:sectPr w:rsidR="00DE4F1A" w:rsidRPr="006F2C93" w:rsidSect="0057101E">
      <w:headerReference w:type="default" r:id="rId13"/>
      <w:footerReference w:type="default" r:id="rId14"/>
      <w:pgSz w:w="12240" w:h="15840"/>
      <w:pgMar w:top="1056" w:right="1440" w:bottom="432"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24F20" w14:textId="77777777" w:rsidR="00AB5182" w:rsidRDefault="00AB5182" w:rsidP="00AB067C">
      <w:pPr>
        <w:spacing w:after="0" w:line="240" w:lineRule="auto"/>
      </w:pPr>
      <w:r>
        <w:separator/>
      </w:r>
    </w:p>
  </w:endnote>
  <w:endnote w:type="continuationSeparator" w:id="0">
    <w:p w14:paraId="3EF4692E" w14:textId="77777777" w:rsidR="00AB5182" w:rsidRDefault="00AB5182" w:rsidP="00AB067C">
      <w:pPr>
        <w:spacing w:after="0" w:line="240" w:lineRule="auto"/>
      </w:pPr>
      <w:r>
        <w:continuationSeparator/>
      </w:r>
    </w:p>
  </w:endnote>
  <w:endnote w:type="continuationNotice" w:id="1">
    <w:p w14:paraId="12F3AC2B" w14:textId="77777777" w:rsidR="00AB5182" w:rsidRDefault="00AB51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392FA" w14:textId="77777777" w:rsidR="00435B01" w:rsidRDefault="00435B01" w:rsidP="00D30F47">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507B2" w14:textId="77777777" w:rsidR="00AB5182" w:rsidRDefault="00AB5182" w:rsidP="00AB067C">
      <w:pPr>
        <w:spacing w:after="0" w:line="240" w:lineRule="auto"/>
      </w:pPr>
      <w:r>
        <w:separator/>
      </w:r>
    </w:p>
  </w:footnote>
  <w:footnote w:type="continuationSeparator" w:id="0">
    <w:p w14:paraId="17246935" w14:textId="77777777" w:rsidR="00AB5182" w:rsidRDefault="00AB5182" w:rsidP="00AB067C">
      <w:pPr>
        <w:spacing w:after="0" w:line="240" w:lineRule="auto"/>
      </w:pPr>
      <w:r>
        <w:continuationSeparator/>
      </w:r>
    </w:p>
  </w:footnote>
  <w:footnote w:type="continuationNotice" w:id="1">
    <w:p w14:paraId="696056F8" w14:textId="77777777" w:rsidR="00AB5182" w:rsidRDefault="00AB51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2C54" w14:textId="77777777" w:rsidR="00435B01" w:rsidRDefault="00435B01" w:rsidP="00AB067C">
    <w:pPr>
      <w:pStyle w:val="Header"/>
      <w:jc w:val="right"/>
    </w:pPr>
    <w:r>
      <w:rPr>
        <w:noProof/>
      </w:rPr>
      <w:drawing>
        <wp:inline distT="0" distB="0" distL="0" distR="0" wp14:anchorId="19BC5CBA" wp14:editId="6A3E16CC">
          <wp:extent cx="1949450" cy="571500"/>
          <wp:effectExtent l="0" t="0" r="7620" b="7620"/>
          <wp:docPr id="13" name="Picture 13"/>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9450" cy="571500"/>
                  </a:xfrm>
                  <a:prstGeom prst="rect">
                    <a:avLst/>
                  </a:prstGeom>
                </pic:spPr>
              </pic:pic>
            </a:graphicData>
          </a:graphic>
        </wp:inline>
      </w:drawing>
    </w:r>
  </w:p>
  <w:p w14:paraId="7FDB69F4" w14:textId="77777777" w:rsidR="00435B01" w:rsidRDefault="00435B01" w:rsidP="008928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06C4"/>
    <w:multiLevelType w:val="hybridMultilevel"/>
    <w:tmpl w:val="0A361352"/>
    <w:lvl w:ilvl="0" w:tplc="E07A230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BB3D65"/>
    <w:multiLevelType w:val="hybridMultilevel"/>
    <w:tmpl w:val="FD681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A2697E"/>
    <w:multiLevelType w:val="hybridMultilevel"/>
    <w:tmpl w:val="48FEB0CE"/>
    <w:lvl w:ilvl="0" w:tplc="FFFFFFFF">
      <w:start w:val="1"/>
      <w:numFmt w:val="decimal"/>
      <w:lvlText w:val="(%1)"/>
      <w:lvlJc w:val="left"/>
      <w:pPr>
        <w:ind w:left="360" w:hanging="360"/>
      </w:pPr>
      <w:rPr>
        <w:rFonts w:eastAsia="Times New Roman" w:hAnsi="Times New Roman" w:cs="Times New Roman"/>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291E24CC"/>
    <w:multiLevelType w:val="hybridMultilevel"/>
    <w:tmpl w:val="9F7CC1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2F686C20"/>
    <w:multiLevelType w:val="hybridMultilevel"/>
    <w:tmpl w:val="AE4ABB68"/>
    <w:lvl w:ilvl="0" w:tplc="D2E8A3AA">
      <w:start w:val="1"/>
      <w:numFmt w:val="decimal"/>
      <w:lvlText w:val="(%1)"/>
      <w:lvlJc w:val="left"/>
      <w:pPr>
        <w:ind w:left="360" w:hanging="360"/>
      </w:pPr>
      <w:rPr>
        <w:vertAlign w:val="baseli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42E04BB3"/>
    <w:multiLevelType w:val="hybridMultilevel"/>
    <w:tmpl w:val="A614D66A"/>
    <w:lvl w:ilvl="0" w:tplc="38A0ADF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7F42CA7"/>
    <w:multiLevelType w:val="hybridMultilevel"/>
    <w:tmpl w:val="797E38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4ABD745B"/>
    <w:multiLevelType w:val="hybridMultilevel"/>
    <w:tmpl w:val="872038F2"/>
    <w:lvl w:ilvl="0" w:tplc="38A0ADF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CD5469B"/>
    <w:multiLevelType w:val="hybridMultilevel"/>
    <w:tmpl w:val="BB1A4374"/>
    <w:lvl w:ilvl="0" w:tplc="8E582960">
      <w:start w:val="1"/>
      <w:numFmt w:val="decimal"/>
      <w:lvlText w:val="(%1)"/>
      <w:lvlJc w:val="left"/>
      <w:pPr>
        <w:ind w:left="360" w:hanging="360"/>
      </w:pPr>
      <w:rPr>
        <w:vertAlign w:val="baseli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5277662C"/>
    <w:multiLevelType w:val="hybridMultilevel"/>
    <w:tmpl w:val="CC322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9891DC8"/>
    <w:multiLevelType w:val="hybridMultilevel"/>
    <w:tmpl w:val="7C8A5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E856918"/>
    <w:multiLevelType w:val="hybridMultilevel"/>
    <w:tmpl w:val="7188CAFA"/>
    <w:lvl w:ilvl="0" w:tplc="952C55A0">
      <w:start w:val="1"/>
      <w:numFmt w:val="decimal"/>
      <w:lvlText w:val="(%1)"/>
      <w:lvlJc w:val="left"/>
      <w:pPr>
        <w:ind w:left="720" w:hanging="360"/>
      </w:pPr>
      <w:rPr>
        <w:sz w:val="18"/>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B881E97"/>
    <w:multiLevelType w:val="hybridMultilevel"/>
    <w:tmpl w:val="B7CE0AE0"/>
    <w:lvl w:ilvl="0" w:tplc="B8426190">
      <w:start w:val="1"/>
      <w:numFmt w:val="decimal"/>
      <w:lvlText w:val="(%1)"/>
      <w:lvlJc w:val="left"/>
      <w:pPr>
        <w:ind w:left="360" w:hanging="360"/>
      </w:pPr>
      <w:rPr>
        <w:vertAlign w:val="baseli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7DFF7369"/>
    <w:multiLevelType w:val="hybridMultilevel"/>
    <w:tmpl w:val="7FC8C0E2"/>
    <w:lvl w:ilvl="0" w:tplc="DB0CEC80">
      <w:start w:val="1"/>
      <w:numFmt w:val="decimal"/>
      <w:lvlText w:val="(%1)"/>
      <w:lvlJc w:val="left"/>
      <w:pPr>
        <w:ind w:left="360" w:hanging="360"/>
      </w:pPr>
      <w:rPr>
        <w:i w:val="0"/>
        <w:sz w:val="1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649028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78263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70631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85315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65249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4990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6206582">
    <w:abstractNumId w:val="2"/>
  </w:num>
  <w:num w:numId="8" w16cid:durableId="1251961080">
    <w:abstractNumId w:val="1"/>
  </w:num>
  <w:num w:numId="9" w16cid:durableId="517817543">
    <w:abstractNumId w:val="9"/>
  </w:num>
  <w:num w:numId="10" w16cid:durableId="227569296">
    <w:abstractNumId w:val="0"/>
  </w:num>
  <w:num w:numId="11" w16cid:durableId="425611906">
    <w:abstractNumId w:val="6"/>
  </w:num>
  <w:num w:numId="12" w16cid:durableId="785612236">
    <w:abstractNumId w:val="3"/>
  </w:num>
  <w:num w:numId="13" w16cid:durableId="18714095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1168773">
    <w:abstractNumId w:val="10"/>
  </w:num>
  <w:num w:numId="15" w16cid:durableId="524053792">
    <w:abstractNumId w:val="7"/>
  </w:num>
  <w:num w:numId="16" w16cid:durableId="814030414">
    <w:abstractNumId w:val="4"/>
  </w:num>
  <w:num w:numId="17" w16cid:durableId="15750268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67C"/>
    <w:rsid w:val="0000714A"/>
    <w:rsid w:val="0001468C"/>
    <w:rsid w:val="00022208"/>
    <w:rsid w:val="000276FA"/>
    <w:rsid w:val="000343A6"/>
    <w:rsid w:val="000373C4"/>
    <w:rsid w:val="00047762"/>
    <w:rsid w:val="000545F8"/>
    <w:rsid w:val="00073170"/>
    <w:rsid w:val="00084424"/>
    <w:rsid w:val="000903DB"/>
    <w:rsid w:val="000934DF"/>
    <w:rsid w:val="00097CB2"/>
    <w:rsid w:val="000B5073"/>
    <w:rsid w:val="000C035F"/>
    <w:rsid w:val="000C5871"/>
    <w:rsid w:val="000C5C4F"/>
    <w:rsid w:val="000C7AD4"/>
    <w:rsid w:val="000C7FCF"/>
    <w:rsid w:val="000E18AC"/>
    <w:rsid w:val="000E4CFD"/>
    <w:rsid w:val="000F1739"/>
    <w:rsid w:val="000F1D02"/>
    <w:rsid w:val="000F43B5"/>
    <w:rsid w:val="000F5E29"/>
    <w:rsid w:val="00104B65"/>
    <w:rsid w:val="00112472"/>
    <w:rsid w:val="00115788"/>
    <w:rsid w:val="001157C3"/>
    <w:rsid w:val="00125E48"/>
    <w:rsid w:val="00130597"/>
    <w:rsid w:val="00131266"/>
    <w:rsid w:val="00131FCD"/>
    <w:rsid w:val="00132396"/>
    <w:rsid w:val="00140659"/>
    <w:rsid w:val="00147935"/>
    <w:rsid w:val="00157CC9"/>
    <w:rsid w:val="0016039C"/>
    <w:rsid w:val="00161E67"/>
    <w:rsid w:val="00163592"/>
    <w:rsid w:val="001723F9"/>
    <w:rsid w:val="00175799"/>
    <w:rsid w:val="0017730B"/>
    <w:rsid w:val="00182ABE"/>
    <w:rsid w:val="001A592A"/>
    <w:rsid w:val="001B66AD"/>
    <w:rsid w:val="001C425A"/>
    <w:rsid w:val="001C4937"/>
    <w:rsid w:val="001C5850"/>
    <w:rsid w:val="001D500E"/>
    <w:rsid w:val="001E29F9"/>
    <w:rsid w:val="001E43BC"/>
    <w:rsid w:val="001E6D58"/>
    <w:rsid w:val="001F27AE"/>
    <w:rsid w:val="001F3B42"/>
    <w:rsid w:val="001F5630"/>
    <w:rsid w:val="001F7CD6"/>
    <w:rsid w:val="00205E17"/>
    <w:rsid w:val="00224E04"/>
    <w:rsid w:val="00227688"/>
    <w:rsid w:val="00240FC6"/>
    <w:rsid w:val="002456B6"/>
    <w:rsid w:val="00250262"/>
    <w:rsid w:val="00255472"/>
    <w:rsid w:val="0025741B"/>
    <w:rsid w:val="00270E96"/>
    <w:rsid w:val="00286C1E"/>
    <w:rsid w:val="00297B03"/>
    <w:rsid w:val="002A0736"/>
    <w:rsid w:val="002A16EB"/>
    <w:rsid w:val="002A704B"/>
    <w:rsid w:val="002A783B"/>
    <w:rsid w:val="002B0F53"/>
    <w:rsid w:val="002B69F7"/>
    <w:rsid w:val="002B6D64"/>
    <w:rsid w:val="002C146D"/>
    <w:rsid w:val="002C59A7"/>
    <w:rsid w:val="002C6CB6"/>
    <w:rsid w:val="002D1E9D"/>
    <w:rsid w:val="002D5F5E"/>
    <w:rsid w:val="002E0947"/>
    <w:rsid w:val="002E2751"/>
    <w:rsid w:val="002E4AFF"/>
    <w:rsid w:val="002F1CCB"/>
    <w:rsid w:val="00302378"/>
    <w:rsid w:val="003115F5"/>
    <w:rsid w:val="00321A56"/>
    <w:rsid w:val="00332EBD"/>
    <w:rsid w:val="00335F0C"/>
    <w:rsid w:val="0033600B"/>
    <w:rsid w:val="0034060D"/>
    <w:rsid w:val="00340A25"/>
    <w:rsid w:val="00340DEE"/>
    <w:rsid w:val="003476EF"/>
    <w:rsid w:val="00353CEE"/>
    <w:rsid w:val="00364576"/>
    <w:rsid w:val="00364CFD"/>
    <w:rsid w:val="00365724"/>
    <w:rsid w:val="00366977"/>
    <w:rsid w:val="00370161"/>
    <w:rsid w:val="00371281"/>
    <w:rsid w:val="0037344D"/>
    <w:rsid w:val="00373864"/>
    <w:rsid w:val="00377209"/>
    <w:rsid w:val="0038259F"/>
    <w:rsid w:val="003871DD"/>
    <w:rsid w:val="0039179F"/>
    <w:rsid w:val="00397924"/>
    <w:rsid w:val="003979F7"/>
    <w:rsid w:val="003A5135"/>
    <w:rsid w:val="003A573B"/>
    <w:rsid w:val="003B2C99"/>
    <w:rsid w:val="003B42A8"/>
    <w:rsid w:val="003B44B0"/>
    <w:rsid w:val="003C45BD"/>
    <w:rsid w:val="003C535A"/>
    <w:rsid w:val="003C794C"/>
    <w:rsid w:val="003D2129"/>
    <w:rsid w:val="003D286C"/>
    <w:rsid w:val="003D301F"/>
    <w:rsid w:val="003E14D6"/>
    <w:rsid w:val="003E7B97"/>
    <w:rsid w:val="003F4A3F"/>
    <w:rsid w:val="003F667B"/>
    <w:rsid w:val="003F74EF"/>
    <w:rsid w:val="004001B5"/>
    <w:rsid w:val="00402273"/>
    <w:rsid w:val="004059CE"/>
    <w:rsid w:val="00410394"/>
    <w:rsid w:val="00410442"/>
    <w:rsid w:val="0041124E"/>
    <w:rsid w:val="004248E9"/>
    <w:rsid w:val="0042590A"/>
    <w:rsid w:val="00432314"/>
    <w:rsid w:val="00435B01"/>
    <w:rsid w:val="004373FF"/>
    <w:rsid w:val="00443B0B"/>
    <w:rsid w:val="004478FF"/>
    <w:rsid w:val="00454F83"/>
    <w:rsid w:val="00457BBD"/>
    <w:rsid w:val="0046138B"/>
    <w:rsid w:val="00461D4C"/>
    <w:rsid w:val="00470B1F"/>
    <w:rsid w:val="0047232B"/>
    <w:rsid w:val="00482540"/>
    <w:rsid w:val="00483DCD"/>
    <w:rsid w:val="004853E9"/>
    <w:rsid w:val="00491256"/>
    <w:rsid w:val="0049271D"/>
    <w:rsid w:val="004938AF"/>
    <w:rsid w:val="004A3CD4"/>
    <w:rsid w:val="004A3E69"/>
    <w:rsid w:val="004B1903"/>
    <w:rsid w:val="004B4BE5"/>
    <w:rsid w:val="004B582D"/>
    <w:rsid w:val="004B67E7"/>
    <w:rsid w:val="004B6F78"/>
    <w:rsid w:val="004C7C96"/>
    <w:rsid w:val="004D7B11"/>
    <w:rsid w:val="004E0AAF"/>
    <w:rsid w:val="004E11C2"/>
    <w:rsid w:val="004E38B5"/>
    <w:rsid w:val="004E3AD4"/>
    <w:rsid w:val="004E4838"/>
    <w:rsid w:val="004E66A8"/>
    <w:rsid w:val="004F32E9"/>
    <w:rsid w:val="005023A2"/>
    <w:rsid w:val="00520496"/>
    <w:rsid w:val="0052067F"/>
    <w:rsid w:val="00521161"/>
    <w:rsid w:val="00525387"/>
    <w:rsid w:val="00525E32"/>
    <w:rsid w:val="00532095"/>
    <w:rsid w:val="00532A3D"/>
    <w:rsid w:val="0053434B"/>
    <w:rsid w:val="00535D06"/>
    <w:rsid w:val="00536C41"/>
    <w:rsid w:val="0054087C"/>
    <w:rsid w:val="00547289"/>
    <w:rsid w:val="005528BA"/>
    <w:rsid w:val="00553B2B"/>
    <w:rsid w:val="0055787E"/>
    <w:rsid w:val="00563B4E"/>
    <w:rsid w:val="005654D5"/>
    <w:rsid w:val="00565A6B"/>
    <w:rsid w:val="0057101E"/>
    <w:rsid w:val="00586963"/>
    <w:rsid w:val="00586ED1"/>
    <w:rsid w:val="005A345F"/>
    <w:rsid w:val="005B609A"/>
    <w:rsid w:val="005C0DF6"/>
    <w:rsid w:val="005C2225"/>
    <w:rsid w:val="005C691F"/>
    <w:rsid w:val="005D2C66"/>
    <w:rsid w:val="005D38F6"/>
    <w:rsid w:val="005D73E4"/>
    <w:rsid w:val="005E2B72"/>
    <w:rsid w:val="005E59D2"/>
    <w:rsid w:val="005E65E6"/>
    <w:rsid w:val="005E7742"/>
    <w:rsid w:val="005F2100"/>
    <w:rsid w:val="005F38BC"/>
    <w:rsid w:val="0060146D"/>
    <w:rsid w:val="00606342"/>
    <w:rsid w:val="006066B9"/>
    <w:rsid w:val="006118D7"/>
    <w:rsid w:val="00613307"/>
    <w:rsid w:val="00630B3E"/>
    <w:rsid w:val="00633F9C"/>
    <w:rsid w:val="006450F2"/>
    <w:rsid w:val="00647678"/>
    <w:rsid w:val="00647B29"/>
    <w:rsid w:val="00655677"/>
    <w:rsid w:val="00655745"/>
    <w:rsid w:val="006557EB"/>
    <w:rsid w:val="00657A41"/>
    <w:rsid w:val="00662828"/>
    <w:rsid w:val="00676AE3"/>
    <w:rsid w:val="00677D08"/>
    <w:rsid w:val="0068279C"/>
    <w:rsid w:val="00683CF2"/>
    <w:rsid w:val="006840A0"/>
    <w:rsid w:val="006866C0"/>
    <w:rsid w:val="00691722"/>
    <w:rsid w:val="00693B87"/>
    <w:rsid w:val="00695F54"/>
    <w:rsid w:val="006A0CBA"/>
    <w:rsid w:val="006B2CB0"/>
    <w:rsid w:val="006B3A69"/>
    <w:rsid w:val="006E442A"/>
    <w:rsid w:val="006E67AD"/>
    <w:rsid w:val="006F29EC"/>
    <w:rsid w:val="006F2AF3"/>
    <w:rsid w:val="006F2C93"/>
    <w:rsid w:val="006F3799"/>
    <w:rsid w:val="006F75F9"/>
    <w:rsid w:val="00701B99"/>
    <w:rsid w:val="00702009"/>
    <w:rsid w:val="00706F7E"/>
    <w:rsid w:val="00715F4C"/>
    <w:rsid w:val="0072047F"/>
    <w:rsid w:val="00720980"/>
    <w:rsid w:val="007235B9"/>
    <w:rsid w:val="007243A5"/>
    <w:rsid w:val="00734F54"/>
    <w:rsid w:val="0073522D"/>
    <w:rsid w:val="007420EF"/>
    <w:rsid w:val="00743582"/>
    <w:rsid w:val="00743FDA"/>
    <w:rsid w:val="00746FD0"/>
    <w:rsid w:val="00750732"/>
    <w:rsid w:val="00757C11"/>
    <w:rsid w:val="00761F53"/>
    <w:rsid w:val="00764B45"/>
    <w:rsid w:val="007655C8"/>
    <w:rsid w:val="00765C9A"/>
    <w:rsid w:val="00773B1B"/>
    <w:rsid w:val="0077600C"/>
    <w:rsid w:val="007772FD"/>
    <w:rsid w:val="00787383"/>
    <w:rsid w:val="007A0783"/>
    <w:rsid w:val="007A71ED"/>
    <w:rsid w:val="007B10FF"/>
    <w:rsid w:val="007C068A"/>
    <w:rsid w:val="007C2CE7"/>
    <w:rsid w:val="007C4237"/>
    <w:rsid w:val="007C6A40"/>
    <w:rsid w:val="007D071E"/>
    <w:rsid w:val="007D31B5"/>
    <w:rsid w:val="007D3D32"/>
    <w:rsid w:val="007D59B2"/>
    <w:rsid w:val="007E5962"/>
    <w:rsid w:val="007E63DA"/>
    <w:rsid w:val="007E666C"/>
    <w:rsid w:val="007F2F79"/>
    <w:rsid w:val="007F355F"/>
    <w:rsid w:val="007F4B3C"/>
    <w:rsid w:val="00804A5B"/>
    <w:rsid w:val="00804C98"/>
    <w:rsid w:val="00804E62"/>
    <w:rsid w:val="00807E35"/>
    <w:rsid w:val="008156A9"/>
    <w:rsid w:val="00815CA0"/>
    <w:rsid w:val="0082081E"/>
    <w:rsid w:val="0082121E"/>
    <w:rsid w:val="00833E89"/>
    <w:rsid w:val="008370ED"/>
    <w:rsid w:val="00841D8D"/>
    <w:rsid w:val="008520EB"/>
    <w:rsid w:val="00862418"/>
    <w:rsid w:val="00870695"/>
    <w:rsid w:val="00871D33"/>
    <w:rsid w:val="00874E46"/>
    <w:rsid w:val="00883CA4"/>
    <w:rsid w:val="00884384"/>
    <w:rsid w:val="0088742B"/>
    <w:rsid w:val="00891799"/>
    <w:rsid w:val="0089282B"/>
    <w:rsid w:val="00893EF4"/>
    <w:rsid w:val="00895E05"/>
    <w:rsid w:val="00896DEA"/>
    <w:rsid w:val="008A044B"/>
    <w:rsid w:val="008A720D"/>
    <w:rsid w:val="008B409B"/>
    <w:rsid w:val="008B6F25"/>
    <w:rsid w:val="008C46AA"/>
    <w:rsid w:val="008C4F0C"/>
    <w:rsid w:val="008C70D3"/>
    <w:rsid w:val="00900C8A"/>
    <w:rsid w:val="0090224B"/>
    <w:rsid w:val="00904A30"/>
    <w:rsid w:val="00912593"/>
    <w:rsid w:val="00912FC3"/>
    <w:rsid w:val="00914D8B"/>
    <w:rsid w:val="009167AB"/>
    <w:rsid w:val="0092065E"/>
    <w:rsid w:val="00920B80"/>
    <w:rsid w:val="00923572"/>
    <w:rsid w:val="0092415D"/>
    <w:rsid w:val="00926CB0"/>
    <w:rsid w:val="0092741F"/>
    <w:rsid w:val="009301A3"/>
    <w:rsid w:val="00930AF4"/>
    <w:rsid w:val="0093363B"/>
    <w:rsid w:val="00935502"/>
    <w:rsid w:val="00935A53"/>
    <w:rsid w:val="00940B38"/>
    <w:rsid w:val="0094502E"/>
    <w:rsid w:val="00945C24"/>
    <w:rsid w:val="00955F1A"/>
    <w:rsid w:val="009563B5"/>
    <w:rsid w:val="0096224F"/>
    <w:rsid w:val="00973CBD"/>
    <w:rsid w:val="009B0864"/>
    <w:rsid w:val="009B1674"/>
    <w:rsid w:val="009B4122"/>
    <w:rsid w:val="009B651D"/>
    <w:rsid w:val="009C0CE0"/>
    <w:rsid w:val="009C35EA"/>
    <w:rsid w:val="009C3852"/>
    <w:rsid w:val="009C7CF0"/>
    <w:rsid w:val="009E0532"/>
    <w:rsid w:val="009E5531"/>
    <w:rsid w:val="009E7CBF"/>
    <w:rsid w:val="009F0443"/>
    <w:rsid w:val="009F7526"/>
    <w:rsid w:val="009F7561"/>
    <w:rsid w:val="00A00BCC"/>
    <w:rsid w:val="00A0194F"/>
    <w:rsid w:val="00A03543"/>
    <w:rsid w:val="00A2001D"/>
    <w:rsid w:val="00A27F33"/>
    <w:rsid w:val="00A335C2"/>
    <w:rsid w:val="00A355A0"/>
    <w:rsid w:val="00A37AA8"/>
    <w:rsid w:val="00A40E10"/>
    <w:rsid w:val="00A6309F"/>
    <w:rsid w:val="00A74B8A"/>
    <w:rsid w:val="00A77995"/>
    <w:rsid w:val="00A81B50"/>
    <w:rsid w:val="00A90DEF"/>
    <w:rsid w:val="00A91E90"/>
    <w:rsid w:val="00A92BC8"/>
    <w:rsid w:val="00A9351C"/>
    <w:rsid w:val="00AA3256"/>
    <w:rsid w:val="00AA6C53"/>
    <w:rsid w:val="00AB067C"/>
    <w:rsid w:val="00AB208F"/>
    <w:rsid w:val="00AB3DBA"/>
    <w:rsid w:val="00AB443C"/>
    <w:rsid w:val="00AB5182"/>
    <w:rsid w:val="00AB5991"/>
    <w:rsid w:val="00AC485C"/>
    <w:rsid w:val="00AD1564"/>
    <w:rsid w:val="00AE031E"/>
    <w:rsid w:val="00AE5034"/>
    <w:rsid w:val="00AE7DBC"/>
    <w:rsid w:val="00B038EB"/>
    <w:rsid w:val="00B05A4A"/>
    <w:rsid w:val="00B06027"/>
    <w:rsid w:val="00B24094"/>
    <w:rsid w:val="00B259B2"/>
    <w:rsid w:val="00B46147"/>
    <w:rsid w:val="00B507DB"/>
    <w:rsid w:val="00B55EA1"/>
    <w:rsid w:val="00B61C61"/>
    <w:rsid w:val="00B6332F"/>
    <w:rsid w:val="00B65D59"/>
    <w:rsid w:val="00B80016"/>
    <w:rsid w:val="00B862A4"/>
    <w:rsid w:val="00B87959"/>
    <w:rsid w:val="00B87C01"/>
    <w:rsid w:val="00B91544"/>
    <w:rsid w:val="00B92D66"/>
    <w:rsid w:val="00B959C1"/>
    <w:rsid w:val="00BA35C9"/>
    <w:rsid w:val="00BA570D"/>
    <w:rsid w:val="00BB76DA"/>
    <w:rsid w:val="00BD0ACA"/>
    <w:rsid w:val="00BD1174"/>
    <w:rsid w:val="00BD4183"/>
    <w:rsid w:val="00BD776B"/>
    <w:rsid w:val="00BF53A1"/>
    <w:rsid w:val="00C010BA"/>
    <w:rsid w:val="00C03F46"/>
    <w:rsid w:val="00C10878"/>
    <w:rsid w:val="00C20ABD"/>
    <w:rsid w:val="00C2370A"/>
    <w:rsid w:val="00C23885"/>
    <w:rsid w:val="00C23D2C"/>
    <w:rsid w:val="00C247DB"/>
    <w:rsid w:val="00C2756C"/>
    <w:rsid w:val="00C27C20"/>
    <w:rsid w:val="00C316F6"/>
    <w:rsid w:val="00C31DE4"/>
    <w:rsid w:val="00C32419"/>
    <w:rsid w:val="00C3693D"/>
    <w:rsid w:val="00C40893"/>
    <w:rsid w:val="00C413CB"/>
    <w:rsid w:val="00C52991"/>
    <w:rsid w:val="00C601CF"/>
    <w:rsid w:val="00C624CB"/>
    <w:rsid w:val="00C62976"/>
    <w:rsid w:val="00C679BC"/>
    <w:rsid w:val="00C84DEF"/>
    <w:rsid w:val="00C91660"/>
    <w:rsid w:val="00C924AF"/>
    <w:rsid w:val="00C95621"/>
    <w:rsid w:val="00C957CA"/>
    <w:rsid w:val="00CA0239"/>
    <w:rsid w:val="00CB0646"/>
    <w:rsid w:val="00CC3BA3"/>
    <w:rsid w:val="00CC3F97"/>
    <w:rsid w:val="00CC6939"/>
    <w:rsid w:val="00CD5FEB"/>
    <w:rsid w:val="00CE0385"/>
    <w:rsid w:val="00CE3C0C"/>
    <w:rsid w:val="00CE3D07"/>
    <w:rsid w:val="00CE444B"/>
    <w:rsid w:val="00CE7F41"/>
    <w:rsid w:val="00D02D60"/>
    <w:rsid w:val="00D06750"/>
    <w:rsid w:val="00D0777E"/>
    <w:rsid w:val="00D07C3C"/>
    <w:rsid w:val="00D115F1"/>
    <w:rsid w:val="00D13567"/>
    <w:rsid w:val="00D13B08"/>
    <w:rsid w:val="00D1565F"/>
    <w:rsid w:val="00D2074A"/>
    <w:rsid w:val="00D21F22"/>
    <w:rsid w:val="00D2520E"/>
    <w:rsid w:val="00D2543C"/>
    <w:rsid w:val="00D30F47"/>
    <w:rsid w:val="00D322FE"/>
    <w:rsid w:val="00D33043"/>
    <w:rsid w:val="00D41EBE"/>
    <w:rsid w:val="00D553F4"/>
    <w:rsid w:val="00D606B7"/>
    <w:rsid w:val="00D62DD7"/>
    <w:rsid w:val="00D6453F"/>
    <w:rsid w:val="00D729F5"/>
    <w:rsid w:val="00D72CC7"/>
    <w:rsid w:val="00D7611A"/>
    <w:rsid w:val="00D90D30"/>
    <w:rsid w:val="00D936D6"/>
    <w:rsid w:val="00DA0D2E"/>
    <w:rsid w:val="00DA2402"/>
    <w:rsid w:val="00DB1C69"/>
    <w:rsid w:val="00DB6671"/>
    <w:rsid w:val="00DC4C1A"/>
    <w:rsid w:val="00DC6D4D"/>
    <w:rsid w:val="00DD026E"/>
    <w:rsid w:val="00DD1287"/>
    <w:rsid w:val="00DE2662"/>
    <w:rsid w:val="00DE342E"/>
    <w:rsid w:val="00DE4F1A"/>
    <w:rsid w:val="00DE78DE"/>
    <w:rsid w:val="00DF007D"/>
    <w:rsid w:val="00DF1A4B"/>
    <w:rsid w:val="00DF5BB3"/>
    <w:rsid w:val="00E003A9"/>
    <w:rsid w:val="00E0527C"/>
    <w:rsid w:val="00E06857"/>
    <w:rsid w:val="00E1330B"/>
    <w:rsid w:val="00E161E1"/>
    <w:rsid w:val="00E16845"/>
    <w:rsid w:val="00E173C6"/>
    <w:rsid w:val="00E21514"/>
    <w:rsid w:val="00E21A21"/>
    <w:rsid w:val="00E225AE"/>
    <w:rsid w:val="00E26A4C"/>
    <w:rsid w:val="00E27B47"/>
    <w:rsid w:val="00E27DFB"/>
    <w:rsid w:val="00E40DB4"/>
    <w:rsid w:val="00E5488F"/>
    <w:rsid w:val="00E564BB"/>
    <w:rsid w:val="00E62B97"/>
    <w:rsid w:val="00E6678E"/>
    <w:rsid w:val="00E73B80"/>
    <w:rsid w:val="00E842E1"/>
    <w:rsid w:val="00E85251"/>
    <w:rsid w:val="00E92CCA"/>
    <w:rsid w:val="00E92FF6"/>
    <w:rsid w:val="00EA5955"/>
    <w:rsid w:val="00EB05BC"/>
    <w:rsid w:val="00EB07D2"/>
    <w:rsid w:val="00EB54D6"/>
    <w:rsid w:val="00EC706C"/>
    <w:rsid w:val="00EC7EB6"/>
    <w:rsid w:val="00ED48E3"/>
    <w:rsid w:val="00ED6E94"/>
    <w:rsid w:val="00ED7A32"/>
    <w:rsid w:val="00EF22C3"/>
    <w:rsid w:val="00F01DF1"/>
    <w:rsid w:val="00F06691"/>
    <w:rsid w:val="00F10139"/>
    <w:rsid w:val="00F10DDD"/>
    <w:rsid w:val="00F14964"/>
    <w:rsid w:val="00F16A39"/>
    <w:rsid w:val="00F17473"/>
    <w:rsid w:val="00F22005"/>
    <w:rsid w:val="00F31147"/>
    <w:rsid w:val="00F3573F"/>
    <w:rsid w:val="00F4435F"/>
    <w:rsid w:val="00F664E8"/>
    <w:rsid w:val="00F72EF0"/>
    <w:rsid w:val="00F8049B"/>
    <w:rsid w:val="00F81A68"/>
    <w:rsid w:val="00F923B9"/>
    <w:rsid w:val="00FA2BD7"/>
    <w:rsid w:val="00FA505C"/>
    <w:rsid w:val="00FA56EC"/>
    <w:rsid w:val="00FB0209"/>
    <w:rsid w:val="00FB028B"/>
    <w:rsid w:val="00FB092A"/>
    <w:rsid w:val="00FB35AB"/>
    <w:rsid w:val="00FB4B55"/>
    <w:rsid w:val="00FB7017"/>
    <w:rsid w:val="00FC0AC2"/>
    <w:rsid w:val="00FC48EB"/>
    <w:rsid w:val="00FD251F"/>
    <w:rsid w:val="00FD35E4"/>
    <w:rsid w:val="00FE083A"/>
    <w:rsid w:val="00FF484B"/>
    <w:rsid w:val="00FF7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F2C8A3"/>
  <w15:chartTrackingRefBased/>
  <w15:docId w15:val="{4413C458-DFBF-4E56-B75F-56F2CA9C9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067C"/>
    <w:pPr>
      <w:spacing w:before="240" w:after="120" w:line="240" w:lineRule="auto"/>
      <w:jc w:val="both"/>
      <w:outlineLvl w:val="0"/>
    </w:pPr>
    <w:rPr>
      <w:rFonts w:eastAsia="Times New Roman" w:cstheme="minorHAnsi"/>
      <w:b/>
      <w:sz w:val="20"/>
    </w:rPr>
  </w:style>
  <w:style w:type="paragraph" w:styleId="Heading2">
    <w:name w:val="heading 2"/>
    <w:basedOn w:val="NoSpacing"/>
    <w:next w:val="Normal"/>
    <w:link w:val="Heading2Char"/>
    <w:uiPriority w:val="9"/>
    <w:semiHidden/>
    <w:unhideWhenUsed/>
    <w:qFormat/>
    <w:rsid w:val="00AB067C"/>
    <w:pPr>
      <w:outlineLvl w:val="1"/>
    </w:pPr>
    <w:rPr>
      <w:rFonts w:eastAsia="Times New Roman" w:cstheme="minorHAns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67C"/>
    <w:rPr>
      <w:rFonts w:eastAsia="Times New Roman" w:cstheme="minorHAnsi"/>
      <w:b/>
      <w:sz w:val="20"/>
    </w:rPr>
  </w:style>
  <w:style w:type="character" w:customStyle="1" w:styleId="Heading2Char">
    <w:name w:val="Heading 2 Char"/>
    <w:basedOn w:val="DefaultParagraphFont"/>
    <w:link w:val="Heading2"/>
    <w:uiPriority w:val="9"/>
    <w:semiHidden/>
    <w:rsid w:val="00AB067C"/>
    <w:rPr>
      <w:rFonts w:eastAsia="Times New Roman" w:cstheme="minorHAnsi"/>
      <w:b/>
      <w:i/>
      <w:sz w:val="20"/>
    </w:rPr>
  </w:style>
  <w:style w:type="character" w:styleId="Hyperlink">
    <w:name w:val="Hyperlink"/>
    <w:basedOn w:val="DefaultParagraphFont"/>
    <w:uiPriority w:val="99"/>
    <w:unhideWhenUsed/>
    <w:rsid w:val="00AB067C"/>
    <w:rPr>
      <w:color w:val="0563C1" w:themeColor="hyperlink"/>
      <w:u w:val="single"/>
    </w:rPr>
  </w:style>
  <w:style w:type="paragraph" w:styleId="NoSpacing">
    <w:name w:val="No Spacing"/>
    <w:uiPriority w:val="1"/>
    <w:qFormat/>
    <w:rsid w:val="00AB067C"/>
    <w:pPr>
      <w:spacing w:after="0" w:line="240" w:lineRule="auto"/>
      <w:jc w:val="both"/>
    </w:pPr>
    <w:rPr>
      <w:sz w:val="20"/>
    </w:rPr>
  </w:style>
  <w:style w:type="paragraph" w:styleId="Title">
    <w:name w:val="Title"/>
    <w:basedOn w:val="Normal"/>
    <w:next w:val="Normal"/>
    <w:link w:val="TitleChar"/>
    <w:uiPriority w:val="10"/>
    <w:qFormat/>
    <w:rsid w:val="00AB067C"/>
    <w:pPr>
      <w:spacing w:after="0" w:line="240" w:lineRule="auto"/>
      <w:jc w:val="both"/>
    </w:pPr>
    <w:rPr>
      <w:rFonts w:cstheme="minorHAnsi"/>
      <w:b/>
      <w:noProof/>
      <w:sz w:val="28"/>
    </w:rPr>
  </w:style>
  <w:style w:type="character" w:customStyle="1" w:styleId="TitleChar">
    <w:name w:val="Title Char"/>
    <w:basedOn w:val="DefaultParagraphFont"/>
    <w:link w:val="Title"/>
    <w:uiPriority w:val="10"/>
    <w:rsid w:val="00AB067C"/>
    <w:rPr>
      <w:rFonts w:cstheme="minorHAnsi"/>
      <w:b/>
      <w:noProof/>
      <w:sz w:val="28"/>
    </w:rPr>
  </w:style>
  <w:style w:type="paragraph" w:styleId="ListParagraph">
    <w:name w:val="List Paragraph"/>
    <w:basedOn w:val="Normal"/>
    <w:uiPriority w:val="34"/>
    <w:qFormat/>
    <w:rsid w:val="00AB067C"/>
    <w:pPr>
      <w:spacing w:after="0" w:line="276" w:lineRule="auto"/>
      <w:ind w:left="720"/>
      <w:contextualSpacing/>
      <w:jc w:val="both"/>
    </w:pPr>
    <w:rPr>
      <w:sz w:val="20"/>
    </w:rPr>
  </w:style>
  <w:style w:type="character" w:styleId="SubtleEmphasis">
    <w:name w:val="Subtle Emphasis"/>
    <w:aliases w:val="Foot Note"/>
    <w:uiPriority w:val="19"/>
    <w:qFormat/>
    <w:rsid w:val="00AB067C"/>
    <w:rPr>
      <w:rFonts w:asciiTheme="minorHAnsi" w:hAnsiTheme="minorHAnsi" w:cstheme="minorHAnsi" w:hint="default"/>
      <w:sz w:val="18"/>
      <w:szCs w:val="20"/>
    </w:rPr>
  </w:style>
  <w:style w:type="paragraph" w:styleId="BalloonText">
    <w:name w:val="Balloon Text"/>
    <w:basedOn w:val="Normal"/>
    <w:link w:val="BalloonTextChar"/>
    <w:uiPriority w:val="99"/>
    <w:semiHidden/>
    <w:unhideWhenUsed/>
    <w:rsid w:val="00AB06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67C"/>
    <w:rPr>
      <w:rFonts w:ascii="Segoe UI" w:hAnsi="Segoe UI" w:cs="Segoe UI"/>
      <w:sz w:val="18"/>
      <w:szCs w:val="18"/>
    </w:rPr>
  </w:style>
  <w:style w:type="paragraph" w:styleId="Header">
    <w:name w:val="header"/>
    <w:basedOn w:val="Normal"/>
    <w:link w:val="HeaderChar"/>
    <w:uiPriority w:val="99"/>
    <w:unhideWhenUsed/>
    <w:rsid w:val="00AB0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67C"/>
  </w:style>
  <w:style w:type="paragraph" w:styleId="Footer">
    <w:name w:val="footer"/>
    <w:basedOn w:val="Normal"/>
    <w:link w:val="FooterChar"/>
    <w:uiPriority w:val="99"/>
    <w:unhideWhenUsed/>
    <w:rsid w:val="00AB0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67C"/>
  </w:style>
  <w:style w:type="character" w:styleId="UnresolvedMention">
    <w:name w:val="Unresolved Mention"/>
    <w:basedOn w:val="DefaultParagraphFont"/>
    <w:uiPriority w:val="99"/>
    <w:semiHidden/>
    <w:unhideWhenUsed/>
    <w:rsid w:val="00FC48EB"/>
    <w:rPr>
      <w:color w:val="605E5C"/>
      <w:shd w:val="clear" w:color="auto" w:fill="E1DFDD"/>
    </w:rPr>
  </w:style>
  <w:style w:type="paragraph" w:styleId="CommentText">
    <w:name w:val="annotation text"/>
    <w:basedOn w:val="Normal"/>
    <w:link w:val="CommentTextChar"/>
    <w:uiPriority w:val="99"/>
    <w:semiHidden/>
    <w:unhideWhenUsed/>
    <w:rsid w:val="00084424"/>
    <w:pPr>
      <w:spacing w:line="240" w:lineRule="auto"/>
    </w:pPr>
    <w:rPr>
      <w:sz w:val="20"/>
      <w:szCs w:val="20"/>
    </w:rPr>
  </w:style>
  <w:style w:type="character" w:customStyle="1" w:styleId="CommentTextChar">
    <w:name w:val="Comment Text Char"/>
    <w:basedOn w:val="DefaultParagraphFont"/>
    <w:link w:val="CommentText"/>
    <w:uiPriority w:val="99"/>
    <w:semiHidden/>
    <w:rsid w:val="00084424"/>
    <w:rPr>
      <w:sz w:val="20"/>
      <w:szCs w:val="20"/>
    </w:rPr>
  </w:style>
  <w:style w:type="character" w:styleId="CommentReference">
    <w:name w:val="annotation reference"/>
    <w:basedOn w:val="DefaultParagraphFont"/>
    <w:uiPriority w:val="99"/>
    <w:semiHidden/>
    <w:unhideWhenUsed/>
    <w:rsid w:val="00084424"/>
    <w:rPr>
      <w:sz w:val="16"/>
      <w:szCs w:val="16"/>
    </w:rPr>
  </w:style>
  <w:style w:type="character" w:styleId="FollowedHyperlink">
    <w:name w:val="FollowedHyperlink"/>
    <w:basedOn w:val="DefaultParagraphFont"/>
    <w:uiPriority w:val="99"/>
    <w:semiHidden/>
    <w:unhideWhenUsed/>
    <w:rsid w:val="005F2100"/>
    <w:rPr>
      <w:color w:val="954F72" w:themeColor="followedHyperlink"/>
      <w:u w:val="single"/>
    </w:rPr>
  </w:style>
  <w:style w:type="paragraph" w:styleId="Revision">
    <w:name w:val="Revision"/>
    <w:hidden/>
    <w:uiPriority w:val="99"/>
    <w:semiHidden/>
    <w:rsid w:val="00532095"/>
    <w:pPr>
      <w:spacing w:after="0" w:line="240" w:lineRule="auto"/>
    </w:pPr>
  </w:style>
  <w:style w:type="paragraph" w:styleId="CommentSubject">
    <w:name w:val="annotation subject"/>
    <w:basedOn w:val="CommentText"/>
    <w:next w:val="CommentText"/>
    <w:link w:val="CommentSubjectChar"/>
    <w:uiPriority w:val="99"/>
    <w:semiHidden/>
    <w:unhideWhenUsed/>
    <w:rsid w:val="005528BA"/>
    <w:rPr>
      <w:b/>
      <w:bCs/>
    </w:rPr>
  </w:style>
  <w:style w:type="character" w:customStyle="1" w:styleId="CommentSubjectChar">
    <w:name w:val="Comment Subject Char"/>
    <w:basedOn w:val="CommentTextChar"/>
    <w:link w:val="CommentSubject"/>
    <w:uiPriority w:val="99"/>
    <w:semiHidden/>
    <w:rsid w:val="005528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5833">
      <w:bodyDiv w:val="1"/>
      <w:marLeft w:val="0"/>
      <w:marRight w:val="0"/>
      <w:marTop w:val="0"/>
      <w:marBottom w:val="0"/>
      <w:divBdr>
        <w:top w:val="none" w:sz="0" w:space="0" w:color="auto"/>
        <w:left w:val="none" w:sz="0" w:space="0" w:color="auto"/>
        <w:bottom w:val="none" w:sz="0" w:space="0" w:color="auto"/>
        <w:right w:val="none" w:sz="0" w:space="0" w:color="auto"/>
      </w:divBdr>
    </w:div>
    <w:div w:id="17897393">
      <w:bodyDiv w:val="1"/>
      <w:marLeft w:val="0"/>
      <w:marRight w:val="0"/>
      <w:marTop w:val="0"/>
      <w:marBottom w:val="0"/>
      <w:divBdr>
        <w:top w:val="none" w:sz="0" w:space="0" w:color="auto"/>
        <w:left w:val="none" w:sz="0" w:space="0" w:color="auto"/>
        <w:bottom w:val="none" w:sz="0" w:space="0" w:color="auto"/>
        <w:right w:val="none" w:sz="0" w:space="0" w:color="auto"/>
      </w:divBdr>
    </w:div>
    <w:div w:id="73017572">
      <w:bodyDiv w:val="1"/>
      <w:marLeft w:val="0"/>
      <w:marRight w:val="0"/>
      <w:marTop w:val="0"/>
      <w:marBottom w:val="0"/>
      <w:divBdr>
        <w:top w:val="none" w:sz="0" w:space="0" w:color="auto"/>
        <w:left w:val="none" w:sz="0" w:space="0" w:color="auto"/>
        <w:bottom w:val="none" w:sz="0" w:space="0" w:color="auto"/>
        <w:right w:val="none" w:sz="0" w:space="0" w:color="auto"/>
      </w:divBdr>
    </w:div>
    <w:div w:id="137460544">
      <w:bodyDiv w:val="1"/>
      <w:marLeft w:val="0"/>
      <w:marRight w:val="0"/>
      <w:marTop w:val="0"/>
      <w:marBottom w:val="0"/>
      <w:divBdr>
        <w:top w:val="none" w:sz="0" w:space="0" w:color="auto"/>
        <w:left w:val="none" w:sz="0" w:space="0" w:color="auto"/>
        <w:bottom w:val="none" w:sz="0" w:space="0" w:color="auto"/>
        <w:right w:val="none" w:sz="0" w:space="0" w:color="auto"/>
      </w:divBdr>
    </w:div>
    <w:div w:id="154539259">
      <w:bodyDiv w:val="1"/>
      <w:marLeft w:val="0"/>
      <w:marRight w:val="0"/>
      <w:marTop w:val="0"/>
      <w:marBottom w:val="0"/>
      <w:divBdr>
        <w:top w:val="none" w:sz="0" w:space="0" w:color="auto"/>
        <w:left w:val="none" w:sz="0" w:space="0" w:color="auto"/>
        <w:bottom w:val="none" w:sz="0" w:space="0" w:color="auto"/>
        <w:right w:val="none" w:sz="0" w:space="0" w:color="auto"/>
      </w:divBdr>
    </w:div>
    <w:div w:id="164634618">
      <w:bodyDiv w:val="1"/>
      <w:marLeft w:val="0"/>
      <w:marRight w:val="0"/>
      <w:marTop w:val="0"/>
      <w:marBottom w:val="0"/>
      <w:divBdr>
        <w:top w:val="none" w:sz="0" w:space="0" w:color="auto"/>
        <w:left w:val="none" w:sz="0" w:space="0" w:color="auto"/>
        <w:bottom w:val="none" w:sz="0" w:space="0" w:color="auto"/>
        <w:right w:val="none" w:sz="0" w:space="0" w:color="auto"/>
      </w:divBdr>
    </w:div>
    <w:div w:id="217011761">
      <w:bodyDiv w:val="1"/>
      <w:marLeft w:val="0"/>
      <w:marRight w:val="0"/>
      <w:marTop w:val="0"/>
      <w:marBottom w:val="0"/>
      <w:divBdr>
        <w:top w:val="none" w:sz="0" w:space="0" w:color="auto"/>
        <w:left w:val="none" w:sz="0" w:space="0" w:color="auto"/>
        <w:bottom w:val="none" w:sz="0" w:space="0" w:color="auto"/>
        <w:right w:val="none" w:sz="0" w:space="0" w:color="auto"/>
      </w:divBdr>
    </w:div>
    <w:div w:id="273949457">
      <w:bodyDiv w:val="1"/>
      <w:marLeft w:val="0"/>
      <w:marRight w:val="0"/>
      <w:marTop w:val="0"/>
      <w:marBottom w:val="0"/>
      <w:divBdr>
        <w:top w:val="none" w:sz="0" w:space="0" w:color="auto"/>
        <w:left w:val="none" w:sz="0" w:space="0" w:color="auto"/>
        <w:bottom w:val="none" w:sz="0" w:space="0" w:color="auto"/>
        <w:right w:val="none" w:sz="0" w:space="0" w:color="auto"/>
      </w:divBdr>
    </w:div>
    <w:div w:id="361707156">
      <w:bodyDiv w:val="1"/>
      <w:marLeft w:val="0"/>
      <w:marRight w:val="0"/>
      <w:marTop w:val="0"/>
      <w:marBottom w:val="0"/>
      <w:divBdr>
        <w:top w:val="none" w:sz="0" w:space="0" w:color="auto"/>
        <w:left w:val="none" w:sz="0" w:space="0" w:color="auto"/>
        <w:bottom w:val="none" w:sz="0" w:space="0" w:color="auto"/>
        <w:right w:val="none" w:sz="0" w:space="0" w:color="auto"/>
      </w:divBdr>
    </w:div>
    <w:div w:id="394935900">
      <w:bodyDiv w:val="1"/>
      <w:marLeft w:val="0"/>
      <w:marRight w:val="0"/>
      <w:marTop w:val="0"/>
      <w:marBottom w:val="0"/>
      <w:divBdr>
        <w:top w:val="none" w:sz="0" w:space="0" w:color="auto"/>
        <w:left w:val="none" w:sz="0" w:space="0" w:color="auto"/>
        <w:bottom w:val="none" w:sz="0" w:space="0" w:color="auto"/>
        <w:right w:val="none" w:sz="0" w:space="0" w:color="auto"/>
      </w:divBdr>
    </w:div>
    <w:div w:id="398553179">
      <w:bodyDiv w:val="1"/>
      <w:marLeft w:val="0"/>
      <w:marRight w:val="0"/>
      <w:marTop w:val="0"/>
      <w:marBottom w:val="0"/>
      <w:divBdr>
        <w:top w:val="none" w:sz="0" w:space="0" w:color="auto"/>
        <w:left w:val="none" w:sz="0" w:space="0" w:color="auto"/>
        <w:bottom w:val="none" w:sz="0" w:space="0" w:color="auto"/>
        <w:right w:val="none" w:sz="0" w:space="0" w:color="auto"/>
      </w:divBdr>
    </w:div>
    <w:div w:id="443618365">
      <w:bodyDiv w:val="1"/>
      <w:marLeft w:val="0"/>
      <w:marRight w:val="0"/>
      <w:marTop w:val="0"/>
      <w:marBottom w:val="0"/>
      <w:divBdr>
        <w:top w:val="none" w:sz="0" w:space="0" w:color="auto"/>
        <w:left w:val="none" w:sz="0" w:space="0" w:color="auto"/>
        <w:bottom w:val="none" w:sz="0" w:space="0" w:color="auto"/>
        <w:right w:val="none" w:sz="0" w:space="0" w:color="auto"/>
      </w:divBdr>
    </w:div>
    <w:div w:id="460391448">
      <w:bodyDiv w:val="1"/>
      <w:marLeft w:val="0"/>
      <w:marRight w:val="0"/>
      <w:marTop w:val="0"/>
      <w:marBottom w:val="0"/>
      <w:divBdr>
        <w:top w:val="none" w:sz="0" w:space="0" w:color="auto"/>
        <w:left w:val="none" w:sz="0" w:space="0" w:color="auto"/>
        <w:bottom w:val="none" w:sz="0" w:space="0" w:color="auto"/>
        <w:right w:val="none" w:sz="0" w:space="0" w:color="auto"/>
      </w:divBdr>
    </w:div>
    <w:div w:id="465512741">
      <w:bodyDiv w:val="1"/>
      <w:marLeft w:val="0"/>
      <w:marRight w:val="0"/>
      <w:marTop w:val="0"/>
      <w:marBottom w:val="0"/>
      <w:divBdr>
        <w:top w:val="none" w:sz="0" w:space="0" w:color="auto"/>
        <w:left w:val="none" w:sz="0" w:space="0" w:color="auto"/>
        <w:bottom w:val="none" w:sz="0" w:space="0" w:color="auto"/>
        <w:right w:val="none" w:sz="0" w:space="0" w:color="auto"/>
      </w:divBdr>
    </w:div>
    <w:div w:id="482039826">
      <w:bodyDiv w:val="1"/>
      <w:marLeft w:val="0"/>
      <w:marRight w:val="0"/>
      <w:marTop w:val="0"/>
      <w:marBottom w:val="0"/>
      <w:divBdr>
        <w:top w:val="none" w:sz="0" w:space="0" w:color="auto"/>
        <w:left w:val="none" w:sz="0" w:space="0" w:color="auto"/>
        <w:bottom w:val="none" w:sz="0" w:space="0" w:color="auto"/>
        <w:right w:val="none" w:sz="0" w:space="0" w:color="auto"/>
      </w:divBdr>
    </w:div>
    <w:div w:id="491140415">
      <w:bodyDiv w:val="1"/>
      <w:marLeft w:val="0"/>
      <w:marRight w:val="0"/>
      <w:marTop w:val="0"/>
      <w:marBottom w:val="0"/>
      <w:divBdr>
        <w:top w:val="none" w:sz="0" w:space="0" w:color="auto"/>
        <w:left w:val="none" w:sz="0" w:space="0" w:color="auto"/>
        <w:bottom w:val="none" w:sz="0" w:space="0" w:color="auto"/>
        <w:right w:val="none" w:sz="0" w:space="0" w:color="auto"/>
      </w:divBdr>
    </w:div>
    <w:div w:id="526142541">
      <w:bodyDiv w:val="1"/>
      <w:marLeft w:val="0"/>
      <w:marRight w:val="0"/>
      <w:marTop w:val="0"/>
      <w:marBottom w:val="0"/>
      <w:divBdr>
        <w:top w:val="none" w:sz="0" w:space="0" w:color="auto"/>
        <w:left w:val="none" w:sz="0" w:space="0" w:color="auto"/>
        <w:bottom w:val="none" w:sz="0" w:space="0" w:color="auto"/>
        <w:right w:val="none" w:sz="0" w:space="0" w:color="auto"/>
      </w:divBdr>
    </w:div>
    <w:div w:id="668484577">
      <w:bodyDiv w:val="1"/>
      <w:marLeft w:val="0"/>
      <w:marRight w:val="0"/>
      <w:marTop w:val="0"/>
      <w:marBottom w:val="0"/>
      <w:divBdr>
        <w:top w:val="none" w:sz="0" w:space="0" w:color="auto"/>
        <w:left w:val="none" w:sz="0" w:space="0" w:color="auto"/>
        <w:bottom w:val="none" w:sz="0" w:space="0" w:color="auto"/>
        <w:right w:val="none" w:sz="0" w:space="0" w:color="auto"/>
      </w:divBdr>
    </w:div>
    <w:div w:id="681516157">
      <w:bodyDiv w:val="1"/>
      <w:marLeft w:val="0"/>
      <w:marRight w:val="0"/>
      <w:marTop w:val="0"/>
      <w:marBottom w:val="0"/>
      <w:divBdr>
        <w:top w:val="none" w:sz="0" w:space="0" w:color="auto"/>
        <w:left w:val="none" w:sz="0" w:space="0" w:color="auto"/>
        <w:bottom w:val="none" w:sz="0" w:space="0" w:color="auto"/>
        <w:right w:val="none" w:sz="0" w:space="0" w:color="auto"/>
      </w:divBdr>
    </w:div>
    <w:div w:id="776675410">
      <w:bodyDiv w:val="1"/>
      <w:marLeft w:val="0"/>
      <w:marRight w:val="0"/>
      <w:marTop w:val="0"/>
      <w:marBottom w:val="0"/>
      <w:divBdr>
        <w:top w:val="none" w:sz="0" w:space="0" w:color="auto"/>
        <w:left w:val="none" w:sz="0" w:space="0" w:color="auto"/>
        <w:bottom w:val="none" w:sz="0" w:space="0" w:color="auto"/>
        <w:right w:val="none" w:sz="0" w:space="0" w:color="auto"/>
      </w:divBdr>
    </w:div>
    <w:div w:id="871919359">
      <w:bodyDiv w:val="1"/>
      <w:marLeft w:val="0"/>
      <w:marRight w:val="0"/>
      <w:marTop w:val="0"/>
      <w:marBottom w:val="0"/>
      <w:divBdr>
        <w:top w:val="none" w:sz="0" w:space="0" w:color="auto"/>
        <w:left w:val="none" w:sz="0" w:space="0" w:color="auto"/>
        <w:bottom w:val="none" w:sz="0" w:space="0" w:color="auto"/>
        <w:right w:val="none" w:sz="0" w:space="0" w:color="auto"/>
      </w:divBdr>
    </w:div>
    <w:div w:id="874780880">
      <w:bodyDiv w:val="1"/>
      <w:marLeft w:val="0"/>
      <w:marRight w:val="0"/>
      <w:marTop w:val="0"/>
      <w:marBottom w:val="0"/>
      <w:divBdr>
        <w:top w:val="none" w:sz="0" w:space="0" w:color="auto"/>
        <w:left w:val="none" w:sz="0" w:space="0" w:color="auto"/>
        <w:bottom w:val="none" w:sz="0" w:space="0" w:color="auto"/>
        <w:right w:val="none" w:sz="0" w:space="0" w:color="auto"/>
      </w:divBdr>
    </w:div>
    <w:div w:id="883253541">
      <w:bodyDiv w:val="1"/>
      <w:marLeft w:val="0"/>
      <w:marRight w:val="0"/>
      <w:marTop w:val="0"/>
      <w:marBottom w:val="0"/>
      <w:divBdr>
        <w:top w:val="none" w:sz="0" w:space="0" w:color="auto"/>
        <w:left w:val="none" w:sz="0" w:space="0" w:color="auto"/>
        <w:bottom w:val="none" w:sz="0" w:space="0" w:color="auto"/>
        <w:right w:val="none" w:sz="0" w:space="0" w:color="auto"/>
      </w:divBdr>
    </w:div>
    <w:div w:id="931620024">
      <w:bodyDiv w:val="1"/>
      <w:marLeft w:val="0"/>
      <w:marRight w:val="0"/>
      <w:marTop w:val="0"/>
      <w:marBottom w:val="0"/>
      <w:divBdr>
        <w:top w:val="none" w:sz="0" w:space="0" w:color="auto"/>
        <w:left w:val="none" w:sz="0" w:space="0" w:color="auto"/>
        <w:bottom w:val="none" w:sz="0" w:space="0" w:color="auto"/>
        <w:right w:val="none" w:sz="0" w:space="0" w:color="auto"/>
      </w:divBdr>
    </w:div>
    <w:div w:id="941307317">
      <w:bodyDiv w:val="1"/>
      <w:marLeft w:val="0"/>
      <w:marRight w:val="0"/>
      <w:marTop w:val="0"/>
      <w:marBottom w:val="0"/>
      <w:divBdr>
        <w:top w:val="none" w:sz="0" w:space="0" w:color="auto"/>
        <w:left w:val="none" w:sz="0" w:space="0" w:color="auto"/>
        <w:bottom w:val="none" w:sz="0" w:space="0" w:color="auto"/>
        <w:right w:val="none" w:sz="0" w:space="0" w:color="auto"/>
      </w:divBdr>
    </w:div>
    <w:div w:id="954557449">
      <w:bodyDiv w:val="1"/>
      <w:marLeft w:val="0"/>
      <w:marRight w:val="0"/>
      <w:marTop w:val="0"/>
      <w:marBottom w:val="0"/>
      <w:divBdr>
        <w:top w:val="none" w:sz="0" w:space="0" w:color="auto"/>
        <w:left w:val="none" w:sz="0" w:space="0" w:color="auto"/>
        <w:bottom w:val="none" w:sz="0" w:space="0" w:color="auto"/>
        <w:right w:val="none" w:sz="0" w:space="0" w:color="auto"/>
      </w:divBdr>
    </w:div>
    <w:div w:id="1053118629">
      <w:bodyDiv w:val="1"/>
      <w:marLeft w:val="0"/>
      <w:marRight w:val="0"/>
      <w:marTop w:val="0"/>
      <w:marBottom w:val="0"/>
      <w:divBdr>
        <w:top w:val="none" w:sz="0" w:space="0" w:color="auto"/>
        <w:left w:val="none" w:sz="0" w:space="0" w:color="auto"/>
        <w:bottom w:val="none" w:sz="0" w:space="0" w:color="auto"/>
        <w:right w:val="none" w:sz="0" w:space="0" w:color="auto"/>
      </w:divBdr>
    </w:div>
    <w:div w:id="1054282316">
      <w:bodyDiv w:val="1"/>
      <w:marLeft w:val="0"/>
      <w:marRight w:val="0"/>
      <w:marTop w:val="0"/>
      <w:marBottom w:val="0"/>
      <w:divBdr>
        <w:top w:val="none" w:sz="0" w:space="0" w:color="auto"/>
        <w:left w:val="none" w:sz="0" w:space="0" w:color="auto"/>
        <w:bottom w:val="none" w:sz="0" w:space="0" w:color="auto"/>
        <w:right w:val="none" w:sz="0" w:space="0" w:color="auto"/>
      </w:divBdr>
    </w:div>
    <w:div w:id="1063064913">
      <w:bodyDiv w:val="1"/>
      <w:marLeft w:val="0"/>
      <w:marRight w:val="0"/>
      <w:marTop w:val="0"/>
      <w:marBottom w:val="0"/>
      <w:divBdr>
        <w:top w:val="none" w:sz="0" w:space="0" w:color="auto"/>
        <w:left w:val="none" w:sz="0" w:space="0" w:color="auto"/>
        <w:bottom w:val="none" w:sz="0" w:space="0" w:color="auto"/>
        <w:right w:val="none" w:sz="0" w:space="0" w:color="auto"/>
      </w:divBdr>
    </w:div>
    <w:div w:id="1095590474">
      <w:bodyDiv w:val="1"/>
      <w:marLeft w:val="0"/>
      <w:marRight w:val="0"/>
      <w:marTop w:val="0"/>
      <w:marBottom w:val="0"/>
      <w:divBdr>
        <w:top w:val="none" w:sz="0" w:space="0" w:color="auto"/>
        <w:left w:val="none" w:sz="0" w:space="0" w:color="auto"/>
        <w:bottom w:val="none" w:sz="0" w:space="0" w:color="auto"/>
        <w:right w:val="none" w:sz="0" w:space="0" w:color="auto"/>
      </w:divBdr>
    </w:div>
    <w:div w:id="1107971660">
      <w:bodyDiv w:val="1"/>
      <w:marLeft w:val="0"/>
      <w:marRight w:val="0"/>
      <w:marTop w:val="0"/>
      <w:marBottom w:val="0"/>
      <w:divBdr>
        <w:top w:val="none" w:sz="0" w:space="0" w:color="auto"/>
        <w:left w:val="none" w:sz="0" w:space="0" w:color="auto"/>
        <w:bottom w:val="none" w:sz="0" w:space="0" w:color="auto"/>
        <w:right w:val="none" w:sz="0" w:space="0" w:color="auto"/>
      </w:divBdr>
    </w:div>
    <w:div w:id="1171604563">
      <w:bodyDiv w:val="1"/>
      <w:marLeft w:val="0"/>
      <w:marRight w:val="0"/>
      <w:marTop w:val="0"/>
      <w:marBottom w:val="0"/>
      <w:divBdr>
        <w:top w:val="none" w:sz="0" w:space="0" w:color="auto"/>
        <w:left w:val="none" w:sz="0" w:space="0" w:color="auto"/>
        <w:bottom w:val="none" w:sz="0" w:space="0" w:color="auto"/>
        <w:right w:val="none" w:sz="0" w:space="0" w:color="auto"/>
      </w:divBdr>
    </w:div>
    <w:div w:id="1231233810">
      <w:bodyDiv w:val="1"/>
      <w:marLeft w:val="0"/>
      <w:marRight w:val="0"/>
      <w:marTop w:val="0"/>
      <w:marBottom w:val="0"/>
      <w:divBdr>
        <w:top w:val="none" w:sz="0" w:space="0" w:color="auto"/>
        <w:left w:val="none" w:sz="0" w:space="0" w:color="auto"/>
        <w:bottom w:val="none" w:sz="0" w:space="0" w:color="auto"/>
        <w:right w:val="none" w:sz="0" w:space="0" w:color="auto"/>
      </w:divBdr>
    </w:div>
    <w:div w:id="1247373922">
      <w:bodyDiv w:val="1"/>
      <w:marLeft w:val="0"/>
      <w:marRight w:val="0"/>
      <w:marTop w:val="0"/>
      <w:marBottom w:val="0"/>
      <w:divBdr>
        <w:top w:val="none" w:sz="0" w:space="0" w:color="auto"/>
        <w:left w:val="none" w:sz="0" w:space="0" w:color="auto"/>
        <w:bottom w:val="none" w:sz="0" w:space="0" w:color="auto"/>
        <w:right w:val="none" w:sz="0" w:space="0" w:color="auto"/>
      </w:divBdr>
    </w:div>
    <w:div w:id="1287468655">
      <w:bodyDiv w:val="1"/>
      <w:marLeft w:val="0"/>
      <w:marRight w:val="0"/>
      <w:marTop w:val="0"/>
      <w:marBottom w:val="0"/>
      <w:divBdr>
        <w:top w:val="none" w:sz="0" w:space="0" w:color="auto"/>
        <w:left w:val="none" w:sz="0" w:space="0" w:color="auto"/>
        <w:bottom w:val="none" w:sz="0" w:space="0" w:color="auto"/>
        <w:right w:val="none" w:sz="0" w:space="0" w:color="auto"/>
      </w:divBdr>
    </w:div>
    <w:div w:id="1366447207">
      <w:bodyDiv w:val="1"/>
      <w:marLeft w:val="0"/>
      <w:marRight w:val="0"/>
      <w:marTop w:val="0"/>
      <w:marBottom w:val="0"/>
      <w:divBdr>
        <w:top w:val="none" w:sz="0" w:space="0" w:color="auto"/>
        <w:left w:val="none" w:sz="0" w:space="0" w:color="auto"/>
        <w:bottom w:val="none" w:sz="0" w:space="0" w:color="auto"/>
        <w:right w:val="none" w:sz="0" w:space="0" w:color="auto"/>
      </w:divBdr>
    </w:div>
    <w:div w:id="1391614869">
      <w:bodyDiv w:val="1"/>
      <w:marLeft w:val="0"/>
      <w:marRight w:val="0"/>
      <w:marTop w:val="0"/>
      <w:marBottom w:val="0"/>
      <w:divBdr>
        <w:top w:val="none" w:sz="0" w:space="0" w:color="auto"/>
        <w:left w:val="none" w:sz="0" w:space="0" w:color="auto"/>
        <w:bottom w:val="none" w:sz="0" w:space="0" w:color="auto"/>
        <w:right w:val="none" w:sz="0" w:space="0" w:color="auto"/>
      </w:divBdr>
    </w:div>
    <w:div w:id="1452631176">
      <w:bodyDiv w:val="1"/>
      <w:marLeft w:val="0"/>
      <w:marRight w:val="0"/>
      <w:marTop w:val="0"/>
      <w:marBottom w:val="0"/>
      <w:divBdr>
        <w:top w:val="none" w:sz="0" w:space="0" w:color="auto"/>
        <w:left w:val="none" w:sz="0" w:space="0" w:color="auto"/>
        <w:bottom w:val="none" w:sz="0" w:space="0" w:color="auto"/>
        <w:right w:val="none" w:sz="0" w:space="0" w:color="auto"/>
      </w:divBdr>
    </w:div>
    <w:div w:id="1491142168">
      <w:bodyDiv w:val="1"/>
      <w:marLeft w:val="0"/>
      <w:marRight w:val="0"/>
      <w:marTop w:val="0"/>
      <w:marBottom w:val="0"/>
      <w:divBdr>
        <w:top w:val="none" w:sz="0" w:space="0" w:color="auto"/>
        <w:left w:val="none" w:sz="0" w:space="0" w:color="auto"/>
        <w:bottom w:val="none" w:sz="0" w:space="0" w:color="auto"/>
        <w:right w:val="none" w:sz="0" w:space="0" w:color="auto"/>
      </w:divBdr>
    </w:div>
    <w:div w:id="1495343054">
      <w:bodyDiv w:val="1"/>
      <w:marLeft w:val="0"/>
      <w:marRight w:val="0"/>
      <w:marTop w:val="0"/>
      <w:marBottom w:val="0"/>
      <w:divBdr>
        <w:top w:val="none" w:sz="0" w:space="0" w:color="auto"/>
        <w:left w:val="none" w:sz="0" w:space="0" w:color="auto"/>
        <w:bottom w:val="none" w:sz="0" w:space="0" w:color="auto"/>
        <w:right w:val="none" w:sz="0" w:space="0" w:color="auto"/>
      </w:divBdr>
    </w:div>
    <w:div w:id="1495562273">
      <w:bodyDiv w:val="1"/>
      <w:marLeft w:val="0"/>
      <w:marRight w:val="0"/>
      <w:marTop w:val="0"/>
      <w:marBottom w:val="0"/>
      <w:divBdr>
        <w:top w:val="none" w:sz="0" w:space="0" w:color="auto"/>
        <w:left w:val="none" w:sz="0" w:space="0" w:color="auto"/>
        <w:bottom w:val="none" w:sz="0" w:space="0" w:color="auto"/>
        <w:right w:val="none" w:sz="0" w:space="0" w:color="auto"/>
      </w:divBdr>
    </w:div>
    <w:div w:id="1600720304">
      <w:bodyDiv w:val="1"/>
      <w:marLeft w:val="0"/>
      <w:marRight w:val="0"/>
      <w:marTop w:val="0"/>
      <w:marBottom w:val="0"/>
      <w:divBdr>
        <w:top w:val="none" w:sz="0" w:space="0" w:color="auto"/>
        <w:left w:val="none" w:sz="0" w:space="0" w:color="auto"/>
        <w:bottom w:val="none" w:sz="0" w:space="0" w:color="auto"/>
        <w:right w:val="none" w:sz="0" w:space="0" w:color="auto"/>
      </w:divBdr>
    </w:div>
    <w:div w:id="1624801117">
      <w:bodyDiv w:val="1"/>
      <w:marLeft w:val="0"/>
      <w:marRight w:val="0"/>
      <w:marTop w:val="0"/>
      <w:marBottom w:val="0"/>
      <w:divBdr>
        <w:top w:val="none" w:sz="0" w:space="0" w:color="auto"/>
        <w:left w:val="none" w:sz="0" w:space="0" w:color="auto"/>
        <w:bottom w:val="none" w:sz="0" w:space="0" w:color="auto"/>
        <w:right w:val="none" w:sz="0" w:space="0" w:color="auto"/>
      </w:divBdr>
    </w:div>
    <w:div w:id="1648709113">
      <w:bodyDiv w:val="1"/>
      <w:marLeft w:val="0"/>
      <w:marRight w:val="0"/>
      <w:marTop w:val="0"/>
      <w:marBottom w:val="0"/>
      <w:divBdr>
        <w:top w:val="none" w:sz="0" w:space="0" w:color="auto"/>
        <w:left w:val="none" w:sz="0" w:space="0" w:color="auto"/>
        <w:bottom w:val="none" w:sz="0" w:space="0" w:color="auto"/>
        <w:right w:val="none" w:sz="0" w:space="0" w:color="auto"/>
      </w:divBdr>
    </w:div>
    <w:div w:id="1724056057">
      <w:bodyDiv w:val="1"/>
      <w:marLeft w:val="0"/>
      <w:marRight w:val="0"/>
      <w:marTop w:val="0"/>
      <w:marBottom w:val="0"/>
      <w:divBdr>
        <w:top w:val="none" w:sz="0" w:space="0" w:color="auto"/>
        <w:left w:val="none" w:sz="0" w:space="0" w:color="auto"/>
        <w:bottom w:val="none" w:sz="0" w:space="0" w:color="auto"/>
        <w:right w:val="none" w:sz="0" w:space="0" w:color="auto"/>
      </w:divBdr>
    </w:div>
    <w:div w:id="1729650003">
      <w:bodyDiv w:val="1"/>
      <w:marLeft w:val="0"/>
      <w:marRight w:val="0"/>
      <w:marTop w:val="0"/>
      <w:marBottom w:val="0"/>
      <w:divBdr>
        <w:top w:val="none" w:sz="0" w:space="0" w:color="auto"/>
        <w:left w:val="none" w:sz="0" w:space="0" w:color="auto"/>
        <w:bottom w:val="none" w:sz="0" w:space="0" w:color="auto"/>
        <w:right w:val="none" w:sz="0" w:space="0" w:color="auto"/>
      </w:divBdr>
    </w:div>
    <w:div w:id="1736858138">
      <w:bodyDiv w:val="1"/>
      <w:marLeft w:val="0"/>
      <w:marRight w:val="0"/>
      <w:marTop w:val="0"/>
      <w:marBottom w:val="0"/>
      <w:divBdr>
        <w:top w:val="none" w:sz="0" w:space="0" w:color="auto"/>
        <w:left w:val="none" w:sz="0" w:space="0" w:color="auto"/>
        <w:bottom w:val="none" w:sz="0" w:space="0" w:color="auto"/>
        <w:right w:val="none" w:sz="0" w:space="0" w:color="auto"/>
      </w:divBdr>
    </w:div>
    <w:div w:id="1741439523">
      <w:bodyDiv w:val="1"/>
      <w:marLeft w:val="0"/>
      <w:marRight w:val="0"/>
      <w:marTop w:val="0"/>
      <w:marBottom w:val="0"/>
      <w:divBdr>
        <w:top w:val="none" w:sz="0" w:space="0" w:color="auto"/>
        <w:left w:val="none" w:sz="0" w:space="0" w:color="auto"/>
        <w:bottom w:val="none" w:sz="0" w:space="0" w:color="auto"/>
        <w:right w:val="none" w:sz="0" w:space="0" w:color="auto"/>
      </w:divBdr>
    </w:div>
    <w:div w:id="1755280371">
      <w:bodyDiv w:val="1"/>
      <w:marLeft w:val="0"/>
      <w:marRight w:val="0"/>
      <w:marTop w:val="0"/>
      <w:marBottom w:val="0"/>
      <w:divBdr>
        <w:top w:val="none" w:sz="0" w:space="0" w:color="auto"/>
        <w:left w:val="none" w:sz="0" w:space="0" w:color="auto"/>
        <w:bottom w:val="none" w:sz="0" w:space="0" w:color="auto"/>
        <w:right w:val="none" w:sz="0" w:space="0" w:color="auto"/>
      </w:divBdr>
    </w:div>
    <w:div w:id="1757290960">
      <w:bodyDiv w:val="1"/>
      <w:marLeft w:val="0"/>
      <w:marRight w:val="0"/>
      <w:marTop w:val="0"/>
      <w:marBottom w:val="0"/>
      <w:divBdr>
        <w:top w:val="none" w:sz="0" w:space="0" w:color="auto"/>
        <w:left w:val="none" w:sz="0" w:space="0" w:color="auto"/>
        <w:bottom w:val="none" w:sz="0" w:space="0" w:color="auto"/>
        <w:right w:val="none" w:sz="0" w:space="0" w:color="auto"/>
      </w:divBdr>
    </w:div>
    <w:div w:id="1791044535">
      <w:bodyDiv w:val="1"/>
      <w:marLeft w:val="0"/>
      <w:marRight w:val="0"/>
      <w:marTop w:val="0"/>
      <w:marBottom w:val="0"/>
      <w:divBdr>
        <w:top w:val="none" w:sz="0" w:space="0" w:color="auto"/>
        <w:left w:val="none" w:sz="0" w:space="0" w:color="auto"/>
        <w:bottom w:val="none" w:sz="0" w:space="0" w:color="auto"/>
        <w:right w:val="none" w:sz="0" w:space="0" w:color="auto"/>
      </w:divBdr>
    </w:div>
    <w:div w:id="1812939512">
      <w:bodyDiv w:val="1"/>
      <w:marLeft w:val="0"/>
      <w:marRight w:val="0"/>
      <w:marTop w:val="0"/>
      <w:marBottom w:val="0"/>
      <w:divBdr>
        <w:top w:val="none" w:sz="0" w:space="0" w:color="auto"/>
        <w:left w:val="none" w:sz="0" w:space="0" w:color="auto"/>
        <w:bottom w:val="none" w:sz="0" w:space="0" w:color="auto"/>
        <w:right w:val="none" w:sz="0" w:space="0" w:color="auto"/>
      </w:divBdr>
    </w:div>
    <w:div w:id="1815444605">
      <w:bodyDiv w:val="1"/>
      <w:marLeft w:val="0"/>
      <w:marRight w:val="0"/>
      <w:marTop w:val="0"/>
      <w:marBottom w:val="0"/>
      <w:divBdr>
        <w:top w:val="none" w:sz="0" w:space="0" w:color="auto"/>
        <w:left w:val="none" w:sz="0" w:space="0" w:color="auto"/>
        <w:bottom w:val="none" w:sz="0" w:space="0" w:color="auto"/>
        <w:right w:val="none" w:sz="0" w:space="0" w:color="auto"/>
      </w:divBdr>
    </w:div>
    <w:div w:id="1821263872">
      <w:bodyDiv w:val="1"/>
      <w:marLeft w:val="0"/>
      <w:marRight w:val="0"/>
      <w:marTop w:val="0"/>
      <w:marBottom w:val="0"/>
      <w:divBdr>
        <w:top w:val="none" w:sz="0" w:space="0" w:color="auto"/>
        <w:left w:val="none" w:sz="0" w:space="0" w:color="auto"/>
        <w:bottom w:val="none" w:sz="0" w:space="0" w:color="auto"/>
        <w:right w:val="none" w:sz="0" w:space="0" w:color="auto"/>
      </w:divBdr>
    </w:div>
    <w:div w:id="1827549207">
      <w:bodyDiv w:val="1"/>
      <w:marLeft w:val="0"/>
      <w:marRight w:val="0"/>
      <w:marTop w:val="0"/>
      <w:marBottom w:val="0"/>
      <w:divBdr>
        <w:top w:val="none" w:sz="0" w:space="0" w:color="auto"/>
        <w:left w:val="none" w:sz="0" w:space="0" w:color="auto"/>
        <w:bottom w:val="none" w:sz="0" w:space="0" w:color="auto"/>
        <w:right w:val="none" w:sz="0" w:space="0" w:color="auto"/>
      </w:divBdr>
    </w:div>
    <w:div w:id="1837960895">
      <w:bodyDiv w:val="1"/>
      <w:marLeft w:val="0"/>
      <w:marRight w:val="0"/>
      <w:marTop w:val="0"/>
      <w:marBottom w:val="0"/>
      <w:divBdr>
        <w:top w:val="none" w:sz="0" w:space="0" w:color="auto"/>
        <w:left w:val="none" w:sz="0" w:space="0" w:color="auto"/>
        <w:bottom w:val="none" w:sz="0" w:space="0" w:color="auto"/>
        <w:right w:val="none" w:sz="0" w:space="0" w:color="auto"/>
      </w:divBdr>
    </w:div>
    <w:div w:id="1888485907">
      <w:bodyDiv w:val="1"/>
      <w:marLeft w:val="0"/>
      <w:marRight w:val="0"/>
      <w:marTop w:val="0"/>
      <w:marBottom w:val="0"/>
      <w:divBdr>
        <w:top w:val="none" w:sz="0" w:space="0" w:color="auto"/>
        <w:left w:val="none" w:sz="0" w:space="0" w:color="auto"/>
        <w:bottom w:val="none" w:sz="0" w:space="0" w:color="auto"/>
        <w:right w:val="none" w:sz="0" w:space="0" w:color="auto"/>
      </w:divBdr>
    </w:div>
    <w:div w:id="1954556579">
      <w:bodyDiv w:val="1"/>
      <w:marLeft w:val="0"/>
      <w:marRight w:val="0"/>
      <w:marTop w:val="0"/>
      <w:marBottom w:val="0"/>
      <w:divBdr>
        <w:top w:val="none" w:sz="0" w:space="0" w:color="auto"/>
        <w:left w:val="none" w:sz="0" w:space="0" w:color="auto"/>
        <w:bottom w:val="none" w:sz="0" w:space="0" w:color="auto"/>
        <w:right w:val="none" w:sz="0" w:space="0" w:color="auto"/>
      </w:divBdr>
    </w:div>
    <w:div w:id="2027366701">
      <w:bodyDiv w:val="1"/>
      <w:marLeft w:val="0"/>
      <w:marRight w:val="0"/>
      <w:marTop w:val="0"/>
      <w:marBottom w:val="0"/>
      <w:divBdr>
        <w:top w:val="none" w:sz="0" w:space="0" w:color="auto"/>
        <w:left w:val="none" w:sz="0" w:space="0" w:color="auto"/>
        <w:bottom w:val="none" w:sz="0" w:space="0" w:color="auto"/>
        <w:right w:val="none" w:sz="0" w:space="0" w:color="auto"/>
      </w:divBdr>
    </w:div>
    <w:div w:id="2082946221">
      <w:bodyDiv w:val="1"/>
      <w:marLeft w:val="0"/>
      <w:marRight w:val="0"/>
      <w:marTop w:val="0"/>
      <w:marBottom w:val="0"/>
      <w:divBdr>
        <w:top w:val="none" w:sz="0" w:space="0" w:color="auto"/>
        <w:left w:val="none" w:sz="0" w:space="0" w:color="auto"/>
        <w:bottom w:val="none" w:sz="0" w:space="0" w:color="auto"/>
        <w:right w:val="none" w:sz="0" w:space="0" w:color="auto"/>
      </w:divBdr>
    </w:div>
    <w:div w:id="209809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arestia@focuspartner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madon@focuspartners.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webcast-eqs.com/register/focusfinancial20230504/en" TargetMode="External"/><Relationship Id="rId4" Type="http://schemas.openxmlformats.org/officeDocument/2006/relationships/styles" Target="styles.xml"/><Relationship Id="rId9" Type="http://schemas.openxmlformats.org/officeDocument/2006/relationships/hyperlink" Target="http://www.focusfinancialpartners.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30010149570843BCEC6A8A10B7B920" ma:contentTypeVersion="16" ma:contentTypeDescription="Create a new document." ma:contentTypeScope="" ma:versionID="1bde62d4632e059153822d4463ed0096">
  <xsd:schema xmlns:xsd="http://www.w3.org/2001/XMLSchema" xmlns:xs="http://www.w3.org/2001/XMLSchema" xmlns:p="http://schemas.microsoft.com/office/2006/metadata/properties" xmlns:ns2="0bfff394-2a6a-4f18-9864-c078c9fab6c2" xmlns:ns3="ea434352-dbaa-4790-a345-084be3873318" targetNamespace="http://schemas.microsoft.com/office/2006/metadata/properties" ma:root="true" ma:fieldsID="c1aa3d0353d2837498d2d8553a9de43f" ns2:_="" ns3:_="">
    <xsd:import namespace="0bfff394-2a6a-4f18-9864-c078c9fab6c2"/>
    <xsd:import namespace="ea434352-dbaa-4790-a345-084be38733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ff394-2a6a-4f18-9864-c078c9fab6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3bcdd8-e327-4060-84f5-9abaecfb7d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434352-dbaa-4790-a345-084be387331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b30c7a-2809-4382-9d7c-cad1b59797d6}" ma:internalName="TaxCatchAll" ma:showField="CatchAllData" ma:web="ea434352-dbaa-4790-a345-084be3873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EEF9F4-84BF-4789-9D0B-6DDA498A42FB}">
  <ds:schemaRefs>
    <ds:schemaRef ds:uri="http://schemas.microsoft.com/sharepoint/v3/contenttype/forms"/>
  </ds:schemaRefs>
</ds:datastoreItem>
</file>

<file path=customXml/itemProps2.xml><?xml version="1.0" encoding="utf-8"?>
<ds:datastoreItem xmlns:ds="http://schemas.openxmlformats.org/officeDocument/2006/customXml" ds:itemID="{45A61E7B-1EF0-4D53-A02C-C1F266BBD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ff394-2a6a-4f18-9864-c078c9fab6c2"/>
    <ds:schemaRef ds:uri="ea434352-dbaa-4790-a345-084be3873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6764</Words>
  <Characters>40966</Characters>
  <Application>Microsoft Office Word</Application>
  <DocSecurity>0</DocSecurity>
  <Lines>341</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Weiner</dc:creator>
  <cp:keywords/>
  <dc:description/>
  <cp:lastModifiedBy>Ross Weiner</cp:lastModifiedBy>
  <cp:revision>7</cp:revision>
  <cp:lastPrinted>2022-01-28T20:40:00Z</cp:lastPrinted>
  <dcterms:created xsi:type="dcterms:W3CDTF">2023-04-27T15:48:00Z</dcterms:created>
  <dcterms:modified xsi:type="dcterms:W3CDTF">2023-05-02T15:35:00Z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0x010100DF30010149570843BCEC6A8A10B7B920</vt:lpwstr>
  </property>
</Properties>
</file>