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5"/>
        <w:gridCol w:w="4395"/>
      </w:tblGrid>
      <w:tr w:rsidR="00C56203" w14:paraId="11EF9D99" w14:textId="77777777">
        <w:trPr>
          <w:cantSplit/>
          <w:trHeight w:hRule="exact" w:val="300"/>
        </w:trPr>
        <w:tc>
          <w:tcPr>
            <w:tcW w:w="5145" w:type="dxa"/>
            <w:tcBorders>
              <w:top w:val="nil"/>
              <w:left w:val="nil"/>
              <w:bottom w:val="nil"/>
              <w:right w:val="nil"/>
            </w:tcBorders>
            <w:tcMar>
              <w:top w:w="0" w:type="dxa"/>
              <w:left w:w="53" w:type="dxa"/>
              <w:bottom w:w="0" w:type="dxa"/>
              <w:right w:w="53" w:type="dxa"/>
            </w:tcMar>
            <w:vAlign w:val="bottom"/>
          </w:tcPr>
          <w:p w14:paraId="43720AE4" w14:textId="77777777" w:rsidR="00C56203" w:rsidRDefault="00CD5102">
            <w:pPr>
              <w:keepNext/>
              <w:spacing w:before="75" w:after="30"/>
            </w:pPr>
            <w:r>
              <w:rPr>
                <w:rFonts w:ascii="Calibri" w:eastAsia="Calibri" w:hAnsi="Calibri" w:cs="Calibri"/>
                <w:color w:val="000000"/>
                <w:sz w:val="22"/>
              </w:rPr>
              <w:t>Investor Contact:</w:t>
            </w:r>
          </w:p>
        </w:tc>
        <w:tc>
          <w:tcPr>
            <w:tcW w:w="4395" w:type="dxa"/>
            <w:tcBorders>
              <w:top w:val="nil"/>
              <w:left w:val="nil"/>
              <w:bottom w:val="nil"/>
              <w:right w:val="nil"/>
            </w:tcBorders>
            <w:tcMar>
              <w:top w:w="0" w:type="dxa"/>
              <w:left w:w="53" w:type="dxa"/>
              <w:bottom w:w="0" w:type="dxa"/>
              <w:right w:w="53" w:type="dxa"/>
            </w:tcMar>
            <w:vAlign w:val="bottom"/>
          </w:tcPr>
          <w:p w14:paraId="0918A7F2" w14:textId="77777777" w:rsidR="00C56203" w:rsidRDefault="00CD5102">
            <w:pPr>
              <w:keepNext/>
              <w:spacing w:before="75" w:after="30"/>
            </w:pPr>
            <w:r>
              <w:rPr>
                <w:rFonts w:ascii="Calibri" w:eastAsia="Calibri" w:hAnsi="Calibri" w:cs="Calibri"/>
                <w:color w:val="000000"/>
                <w:sz w:val="22"/>
              </w:rPr>
              <w:t>Media Contact:</w:t>
            </w:r>
          </w:p>
        </w:tc>
      </w:tr>
      <w:tr w:rsidR="00C56203" w14:paraId="1C117A94" w14:textId="77777777">
        <w:trPr>
          <w:cantSplit/>
          <w:trHeight w:hRule="exact" w:val="300"/>
        </w:trPr>
        <w:tc>
          <w:tcPr>
            <w:tcW w:w="5145" w:type="dxa"/>
            <w:tcBorders>
              <w:top w:val="nil"/>
              <w:left w:val="nil"/>
              <w:bottom w:val="nil"/>
              <w:right w:val="nil"/>
            </w:tcBorders>
            <w:tcMar>
              <w:top w:w="0" w:type="dxa"/>
              <w:left w:w="53" w:type="dxa"/>
              <w:bottom w:w="0" w:type="dxa"/>
              <w:right w:w="53" w:type="dxa"/>
            </w:tcMar>
            <w:vAlign w:val="bottom"/>
          </w:tcPr>
          <w:p w14:paraId="307DB047" w14:textId="77777777" w:rsidR="00C56203" w:rsidRDefault="00CD5102">
            <w:pPr>
              <w:keepNext/>
              <w:spacing w:before="75" w:after="30" w:line="269" w:lineRule="auto"/>
              <w:rPr>
                <w:rFonts w:ascii="Calibri" w:eastAsia="Calibri" w:hAnsi="Calibri" w:cs="Calibri"/>
                <w:sz w:val="22"/>
              </w:rPr>
            </w:pPr>
            <w:r>
              <w:rPr>
                <w:rFonts w:ascii="Calibri" w:eastAsia="Calibri" w:hAnsi="Calibri" w:cs="Calibri"/>
                <w:sz w:val="22"/>
              </w:rPr>
              <w:t>Mark Maico</w:t>
            </w:r>
          </w:p>
        </w:tc>
        <w:tc>
          <w:tcPr>
            <w:tcW w:w="4395" w:type="dxa"/>
            <w:tcBorders>
              <w:top w:val="nil"/>
              <w:left w:val="nil"/>
              <w:bottom w:val="nil"/>
              <w:right w:val="nil"/>
            </w:tcBorders>
            <w:tcMar>
              <w:top w:w="0" w:type="dxa"/>
              <w:left w:w="53" w:type="dxa"/>
              <w:bottom w:w="0" w:type="dxa"/>
              <w:right w:w="53" w:type="dxa"/>
            </w:tcMar>
            <w:vAlign w:val="bottom"/>
          </w:tcPr>
          <w:p w14:paraId="60E06863" w14:textId="77777777" w:rsidR="00C56203" w:rsidRDefault="00CD5102">
            <w:pPr>
              <w:keepNext/>
              <w:spacing w:before="75" w:after="30" w:line="269" w:lineRule="auto"/>
              <w:rPr>
                <w:rFonts w:ascii="Calibri" w:eastAsia="Calibri" w:hAnsi="Calibri" w:cs="Calibri"/>
                <w:sz w:val="22"/>
              </w:rPr>
            </w:pPr>
            <w:r>
              <w:rPr>
                <w:rFonts w:ascii="Calibri" w:eastAsia="Calibri" w:hAnsi="Calibri" w:cs="Calibri"/>
                <w:sz w:val="22"/>
              </w:rPr>
              <w:t>Kevin Wiggins</w:t>
            </w:r>
          </w:p>
        </w:tc>
      </w:tr>
      <w:tr w:rsidR="00C56203" w14:paraId="68EF1A20" w14:textId="77777777">
        <w:trPr>
          <w:cantSplit/>
          <w:trHeight w:hRule="exact" w:val="300"/>
        </w:trPr>
        <w:tc>
          <w:tcPr>
            <w:tcW w:w="5145" w:type="dxa"/>
            <w:tcBorders>
              <w:top w:val="nil"/>
              <w:left w:val="nil"/>
              <w:bottom w:val="nil"/>
              <w:right w:val="nil"/>
            </w:tcBorders>
            <w:tcMar>
              <w:top w:w="0" w:type="dxa"/>
              <w:left w:w="53" w:type="dxa"/>
              <w:bottom w:w="0" w:type="dxa"/>
              <w:right w:w="53" w:type="dxa"/>
            </w:tcMar>
            <w:vAlign w:val="bottom"/>
          </w:tcPr>
          <w:p w14:paraId="659846B9" w14:textId="77777777" w:rsidR="00C56203" w:rsidRDefault="00CD5102">
            <w:pPr>
              <w:keepNext/>
              <w:spacing w:before="75" w:after="30" w:line="269" w:lineRule="auto"/>
              <w:rPr>
                <w:rFonts w:ascii="Times" w:eastAsia="Times" w:hAnsi="Times" w:cs="Times"/>
                <w:color w:val="0000FF"/>
              </w:rPr>
            </w:pPr>
            <w:r>
              <w:rPr>
                <w:rFonts w:ascii="Calibri" w:eastAsia="Calibri" w:hAnsi="Calibri" w:cs="Calibri"/>
                <w:color w:val="0000FF"/>
                <w:sz w:val="22"/>
              </w:rPr>
              <w:t>ir@bauschhealth.com</w:t>
            </w:r>
          </w:p>
        </w:tc>
        <w:tc>
          <w:tcPr>
            <w:tcW w:w="4395" w:type="dxa"/>
            <w:tcBorders>
              <w:top w:val="nil"/>
              <w:left w:val="nil"/>
              <w:bottom w:val="nil"/>
              <w:right w:val="nil"/>
            </w:tcBorders>
            <w:tcMar>
              <w:top w:w="0" w:type="dxa"/>
              <w:left w:w="53" w:type="dxa"/>
              <w:bottom w:w="0" w:type="dxa"/>
              <w:right w:w="53" w:type="dxa"/>
            </w:tcMar>
            <w:vAlign w:val="bottom"/>
          </w:tcPr>
          <w:p w14:paraId="1DDE0193" w14:textId="77777777" w:rsidR="00C56203" w:rsidRDefault="00CD5102">
            <w:pPr>
              <w:keepNext/>
              <w:spacing w:before="75" w:after="30" w:line="269" w:lineRule="auto"/>
              <w:rPr>
                <w:rFonts w:ascii="Times" w:eastAsia="Times" w:hAnsi="Times" w:cs="Times"/>
                <w:color w:val="0000FF"/>
              </w:rPr>
            </w:pPr>
            <w:r>
              <w:rPr>
                <w:rFonts w:ascii="Calibri" w:eastAsia="Calibri" w:hAnsi="Calibri" w:cs="Calibri"/>
                <w:color w:val="0000FF"/>
                <w:sz w:val="22"/>
              </w:rPr>
              <w:t>corporate.communications@bauschhealth.com</w:t>
            </w:r>
          </w:p>
        </w:tc>
      </w:tr>
      <w:tr w:rsidR="00C56203" w14:paraId="4AE4E114" w14:textId="77777777">
        <w:trPr>
          <w:cantSplit/>
          <w:trHeight w:hRule="exact" w:val="300"/>
        </w:trPr>
        <w:tc>
          <w:tcPr>
            <w:tcW w:w="5145" w:type="dxa"/>
            <w:tcBorders>
              <w:top w:val="nil"/>
              <w:left w:val="nil"/>
              <w:bottom w:val="nil"/>
              <w:right w:val="nil"/>
            </w:tcBorders>
            <w:tcMar>
              <w:top w:w="0" w:type="dxa"/>
              <w:left w:w="53" w:type="dxa"/>
              <w:bottom w:w="0" w:type="dxa"/>
              <w:right w:w="53" w:type="dxa"/>
            </w:tcMar>
            <w:vAlign w:val="bottom"/>
          </w:tcPr>
          <w:p w14:paraId="37CA2088" w14:textId="77777777" w:rsidR="00C56203" w:rsidRDefault="00CD5102">
            <w:pPr>
              <w:keepNext/>
              <w:spacing w:before="75" w:after="30"/>
            </w:pPr>
            <w:r>
              <w:rPr>
                <w:rFonts w:ascii="Calibri" w:eastAsia="Calibri" w:hAnsi="Calibri" w:cs="Calibri"/>
                <w:color w:val="000000"/>
                <w:sz w:val="22"/>
              </w:rPr>
              <w:t>(908) 541-2102</w:t>
            </w:r>
          </w:p>
        </w:tc>
        <w:tc>
          <w:tcPr>
            <w:tcW w:w="4395" w:type="dxa"/>
            <w:tcBorders>
              <w:top w:val="nil"/>
              <w:left w:val="nil"/>
              <w:bottom w:val="nil"/>
              <w:right w:val="nil"/>
            </w:tcBorders>
            <w:tcMar>
              <w:top w:w="0" w:type="dxa"/>
              <w:left w:w="53" w:type="dxa"/>
              <w:bottom w:w="0" w:type="dxa"/>
              <w:right w:w="53" w:type="dxa"/>
            </w:tcMar>
            <w:vAlign w:val="bottom"/>
          </w:tcPr>
          <w:p w14:paraId="604ED241" w14:textId="77777777" w:rsidR="00C56203" w:rsidRDefault="00CD5102">
            <w:pPr>
              <w:keepNext/>
              <w:spacing w:before="75" w:after="30" w:line="269" w:lineRule="auto"/>
              <w:rPr>
                <w:rFonts w:ascii="Calibri" w:eastAsia="Calibri" w:hAnsi="Calibri" w:cs="Calibri"/>
                <w:sz w:val="22"/>
              </w:rPr>
            </w:pPr>
            <w:r>
              <w:rPr>
                <w:rFonts w:ascii="Calibri" w:eastAsia="Calibri" w:hAnsi="Calibri" w:cs="Calibri"/>
                <w:sz w:val="22"/>
              </w:rPr>
              <w:t>(908) 541-3785</w:t>
            </w:r>
          </w:p>
        </w:tc>
      </w:tr>
      <w:tr w:rsidR="00C56203" w14:paraId="4EE6B1DA" w14:textId="77777777">
        <w:trPr>
          <w:cantSplit/>
          <w:trHeight w:hRule="exact" w:val="300"/>
        </w:trPr>
        <w:tc>
          <w:tcPr>
            <w:tcW w:w="5145" w:type="dxa"/>
            <w:tcBorders>
              <w:top w:val="nil"/>
              <w:left w:val="nil"/>
              <w:bottom w:val="nil"/>
              <w:right w:val="nil"/>
            </w:tcBorders>
            <w:tcMar>
              <w:top w:w="0" w:type="dxa"/>
              <w:left w:w="53" w:type="dxa"/>
              <w:bottom w:w="0" w:type="dxa"/>
              <w:right w:w="53" w:type="dxa"/>
            </w:tcMar>
            <w:vAlign w:val="bottom"/>
          </w:tcPr>
          <w:p w14:paraId="499B9175" w14:textId="77777777" w:rsidR="00C56203" w:rsidRDefault="00CD5102">
            <w:pPr>
              <w:tabs>
                <w:tab w:val="left" w:pos="2880"/>
              </w:tabs>
              <w:spacing w:before="75" w:after="30"/>
            </w:pPr>
            <w:r>
              <w:rPr>
                <w:rFonts w:ascii="Calibri" w:eastAsia="Calibri" w:hAnsi="Calibri" w:cs="Calibri"/>
                <w:color w:val="000000"/>
                <w:sz w:val="22"/>
              </w:rPr>
              <w:t>(877) 281-6642 (toll free)</w:t>
            </w:r>
            <w:r>
              <w:rPr>
                <w:rFonts w:ascii="Calibri" w:eastAsia="Calibri" w:hAnsi="Calibri" w:cs="Calibri"/>
                <w:color w:val="000000"/>
                <w:sz w:val="22"/>
              </w:rPr>
              <w:tab/>
            </w:r>
          </w:p>
        </w:tc>
        <w:tc>
          <w:tcPr>
            <w:tcW w:w="4395" w:type="dxa"/>
            <w:tcBorders>
              <w:top w:val="nil"/>
              <w:left w:val="nil"/>
              <w:bottom w:val="nil"/>
              <w:right w:val="nil"/>
            </w:tcBorders>
            <w:tcMar>
              <w:top w:w="0" w:type="dxa"/>
              <w:left w:w="0" w:type="dxa"/>
              <w:bottom w:w="0" w:type="dxa"/>
              <w:right w:w="0" w:type="dxa"/>
            </w:tcMar>
            <w:vAlign w:val="bottom"/>
          </w:tcPr>
          <w:p w14:paraId="7028237F" w14:textId="77777777" w:rsidR="00C56203" w:rsidRDefault="00C56203"/>
        </w:tc>
      </w:tr>
    </w:tbl>
    <w:p w14:paraId="0341D5A3" w14:textId="77777777" w:rsidR="00C56203" w:rsidRDefault="00C56203">
      <w:pPr>
        <w:spacing w:line="288" w:lineRule="auto"/>
        <w:jc w:val="center"/>
        <w:rPr>
          <w:rFonts w:ascii="Calibri" w:eastAsia="Calibri" w:hAnsi="Calibri" w:cs="Calibri"/>
          <w:sz w:val="22"/>
        </w:rPr>
      </w:pPr>
      <w:bookmarkStart w:id="0" w:name="Section1"/>
      <w:bookmarkEnd w:id="0"/>
    </w:p>
    <w:p w14:paraId="0FAD6EBD" w14:textId="77777777" w:rsidR="00C56203" w:rsidRDefault="00CD5102">
      <w:pPr>
        <w:spacing w:line="269" w:lineRule="auto"/>
        <w:jc w:val="center"/>
        <w:rPr>
          <w:rFonts w:ascii="Times" w:eastAsia="Times" w:hAnsi="Times" w:cs="Times"/>
        </w:rPr>
      </w:pPr>
      <w:r>
        <w:rPr>
          <w:rFonts w:ascii="Calibri" w:eastAsia="Calibri" w:hAnsi="Calibri" w:cs="Calibri"/>
          <w:b/>
        </w:rPr>
        <w:t xml:space="preserve">BAUSCH HEALTH ANNOUNCES FIRST-QUARTER 2023 RESULTS </w:t>
      </w:r>
    </w:p>
    <w:p w14:paraId="0B7DF5B3" w14:textId="77777777" w:rsidR="00C56203" w:rsidRDefault="00C56203">
      <w:pPr>
        <w:spacing w:line="276" w:lineRule="auto"/>
        <w:rPr>
          <w:rFonts w:ascii="Arial" w:eastAsia="Arial" w:hAnsi="Arial" w:cs="Arial"/>
        </w:rPr>
      </w:pPr>
    </w:p>
    <w:p w14:paraId="7A477E82" w14:textId="77777777" w:rsidR="00C56203" w:rsidRDefault="00CD5102">
      <w:pPr>
        <w:numPr>
          <w:ilvl w:val="0"/>
          <w:numId w:val="13"/>
        </w:numPr>
        <w:spacing w:line="269" w:lineRule="auto"/>
        <w:rPr>
          <w:rFonts w:ascii="Calibri" w:eastAsia="Calibri" w:hAnsi="Calibri" w:cs="Calibri"/>
          <w:b/>
          <w:sz w:val="22"/>
        </w:rPr>
      </w:pPr>
      <w:r>
        <w:rPr>
          <w:rFonts w:ascii="Calibri" w:eastAsia="Calibri" w:hAnsi="Calibri" w:cs="Calibri"/>
          <w:b/>
          <w:sz w:val="22"/>
        </w:rPr>
        <w:t>First-Q</w:t>
      </w:r>
      <w:r>
        <w:rPr>
          <w:rFonts w:ascii="Calibri" w:eastAsia="Calibri" w:hAnsi="Calibri" w:cs="Calibri"/>
          <w:b/>
          <w:sz w:val="22"/>
        </w:rPr>
        <w:t xml:space="preserve">uarter revenues of </w:t>
      </w:r>
      <w:r>
        <w:rPr>
          <w:rFonts w:ascii="Calibri" w:eastAsia="Calibri" w:hAnsi="Calibri" w:cs="Calibri"/>
          <w:b/>
          <w:color w:val="000000"/>
          <w:sz w:val="22"/>
        </w:rPr>
        <w:t>$1.94 billion</w:t>
      </w:r>
      <w:r>
        <w:rPr>
          <w:rFonts w:ascii="Calibri" w:eastAsia="Calibri" w:hAnsi="Calibri" w:cs="Calibri"/>
          <w:b/>
          <w:sz w:val="22"/>
        </w:rPr>
        <w:t xml:space="preserve">, up </w:t>
      </w:r>
      <w:r>
        <w:rPr>
          <w:rFonts w:ascii="Calibri" w:eastAsia="Calibri" w:hAnsi="Calibri" w:cs="Calibri"/>
          <w:b/>
          <w:color w:val="000000"/>
          <w:sz w:val="22"/>
        </w:rPr>
        <w:t>1%</w:t>
      </w:r>
      <w:r>
        <w:rPr>
          <w:rFonts w:ascii="Calibri" w:eastAsia="Calibri" w:hAnsi="Calibri" w:cs="Calibri"/>
          <w:b/>
          <w:sz w:val="22"/>
        </w:rPr>
        <w:t xml:space="preserve"> reported and </w:t>
      </w:r>
      <w:r>
        <w:rPr>
          <w:rFonts w:ascii="Calibri" w:eastAsia="Calibri" w:hAnsi="Calibri" w:cs="Calibri"/>
          <w:b/>
          <w:color w:val="000000"/>
          <w:sz w:val="22"/>
        </w:rPr>
        <w:t>4%</w:t>
      </w:r>
      <w:r>
        <w:rPr>
          <w:rFonts w:ascii="Calibri" w:eastAsia="Calibri" w:hAnsi="Calibri" w:cs="Calibri"/>
          <w:b/>
          <w:sz w:val="22"/>
        </w:rPr>
        <w:t xml:space="preserve"> organic</w:t>
      </w:r>
      <w:r>
        <w:rPr>
          <w:rFonts w:ascii="Calibri" w:eastAsia="Calibri" w:hAnsi="Calibri" w:cs="Calibri"/>
          <w:b/>
          <w:sz w:val="22"/>
          <w:vertAlign w:val="superscript"/>
        </w:rPr>
        <w:t>1</w:t>
      </w:r>
    </w:p>
    <w:p w14:paraId="23CD410E" w14:textId="77777777" w:rsidR="00C56203" w:rsidRDefault="00CD5102">
      <w:pPr>
        <w:numPr>
          <w:ilvl w:val="0"/>
          <w:numId w:val="14"/>
        </w:numPr>
        <w:spacing w:line="269" w:lineRule="auto"/>
        <w:rPr>
          <w:rFonts w:ascii="Calibri" w:eastAsia="Calibri" w:hAnsi="Calibri" w:cs="Calibri"/>
          <w:b/>
          <w:sz w:val="22"/>
        </w:rPr>
      </w:pPr>
      <w:r>
        <w:rPr>
          <w:rFonts w:ascii="Calibri" w:eastAsia="Calibri" w:hAnsi="Calibri" w:cs="Calibri"/>
          <w:b/>
          <w:sz w:val="22"/>
        </w:rPr>
        <w:t xml:space="preserve">Solid revenue growth across core products, led by </w:t>
      </w:r>
      <w:proofErr w:type="spellStart"/>
      <w:r>
        <w:rPr>
          <w:rFonts w:ascii="Calibri" w:eastAsia="Calibri" w:hAnsi="Calibri" w:cs="Calibri"/>
          <w:b/>
          <w:sz w:val="22"/>
        </w:rPr>
        <w:t>Xifaxan</w:t>
      </w:r>
      <w:proofErr w:type="spellEnd"/>
      <w:r>
        <w:rPr>
          <w:rFonts w:ascii="Calibri" w:eastAsia="Calibri" w:hAnsi="Calibri" w:cs="Calibri"/>
          <w:b/>
          <w:sz w:val="22"/>
        </w:rPr>
        <w:t xml:space="preserve"> with 7% reported growth</w:t>
      </w:r>
    </w:p>
    <w:p w14:paraId="14458B6F" w14:textId="77777777" w:rsidR="00C56203" w:rsidRDefault="00CD5102">
      <w:pPr>
        <w:numPr>
          <w:ilvl w:val="0"/>
          <w:numId w:val="15"/>
        </w:numPr>
        <w:spacing w:line="269" w:lineRule="auto"/>
        <w:rPr>
          <w:rFonts w:ascii="Calibri" w:eastAsia="Calibri" w:hAnsi="Calibri" w:cs="Calibri"/>
          <w:b/>
          <w:sz w:val="22"/>
        </w:rPr>
      </w:pPr>
      <w:r>
        <w:rPr>
          <w:rFonts w:ascii="Calibri" w:eastAsia="Calibri" w:hAnsi="Calibri" w:cs="Calibri"/>
          <w:b/>
          <w:sz w:val="22"/>
        </w:rPr>
        <w:t>Mid- and late-stage product pipeline advancing</w:t>
      </w:r>
    </w:p>
    <w:p w14:paraId="4B02D087" w14:textId="77777777" w:rsidR="00C56203" w:rsidRDefault="00CD5102">
      <w:pPr>
        <w:numPr>
          <w:ilvl w:val="0"/>
          <w:numId w:val="16"/>
        </w:numPr>
        <w:spacing w:line="269" w:lineRule="auto"/>
        <w:rPr>
          <w:rFonts w:ascii="Calibri" w:eastAsia="Calibri" w:hAnsi="Calibri" w:cs="Calibri"/>
          <w:b/>
          <w:sz w:val="22"/>
        </w:rPr>
      </w:pPr>
      <w:r>
        <w:rPr>
          <w:rFonts w:ascii="Calibri" w:eastAsia="Calibri" w:hAnsi="Calibri" w:cs="Calibri"/>
          <w:b/>
          <w:sz w:val="22"/>
        </w:rPr>
        <w:t>Bausch Health provides consolidated full-year guidance</w:t>
      </w:r>
      <w:r>
        <w:rPr>
          <w:rFonts w:ascii="Calibri" w:eastAsia="Calibri" w:hAnsi="Calibri" w:cs="Calibri"/>
          <w:b/>
          <w:sz w:val="22"/>
        </w:rPr>
        <w:t>, and Bausch Health (excl. B+L) confirms 2023 guidance</w:t>
      </w:r>
    </w:p>
    <w:p w14:paraId="4606B584" w14:textId="77777777" w:rsidR="00C56203" w:rsidRDefault="00C56203">
      <w:pPr>
        <w:spacing w:line="276" w:lineRule="auto"/>
        <w:rPr>
          <w:rFonts w:ascii="Calibri" w:eastAsia="Calibri" w:hAnsi="Calibri" w:cs="Calibri"/>
          <w:sz w:val="22"/>
        </w:rPr>
      </w:pPr>
    </w:p>
    <w:p w14:paraId="0A6E6711" w14:textId="77777777" w:rsidR="00C56203" w:rsidRDefault="00CD5102">
      <w:pPr>
        <w:spacing w:line="288" w:lineRule="auto"/>
        <w:rPr>
          <w:rFonts w:ascii="Calibri" w:eastAsia="Calibri" w:hAnsi="Calibri" w:cs="Calibri"/>
          <w:sz w:val="22"/>
        </w:rPr>
      </w:pPr>
      <w:r>
        <w:rPr>
          <w:rFonts w:ascii="Calibri" w:eastAsia="Calibri" w:hAnsi="Calibri" w:cs="Calibri"/>
          <w:sz w:val="22"/>
        </w:rPr>
        <w:t>LAVAL, QC, May 4, 2023 – Bausch Health Companies Inc. (NYSE/TSX: BHC) (“Bausch Health” or the “Company” or “we” or “our”) today announced its first-quarter 2023 financial results.</w:t>
      </w:r>
    </w:p>
    <w:p w14:paraId="4874B00C" w14:textId="77777777" w:rsidR="00C56203" w:rsidRDefault="00C56203">
      <w:pPr>
        <w:spacing w:line="288" w:lineRule="auto"/>
        <w:rPr>
          <w:rFonts w:ascii="Calibri" w:eastAsia="Calibri" w:hAnsi="Calibri" w:cs="Calibri"/>
          <w:sz w:val="22"/>
        </w:rPr>
      </w:pPr>
    </w:p>
    <w:p w14:paraId="3F929107" w14:textId="77777777" w:rsidR="00C56203" w:rsidRDefault="00CD5102">
      <w:pPr>
        <w:spacing w:line="269" w:lineRule="auto"/>
        <w:rPr>
          <w:rFonts w:ascii="Calibri" w:eastAsia="Calibri" w:hAnsi="Calibri" w:cs="Calibri"/>
          <w:sz w:val="22"/>
        </w:rPr>
      </w:pPr>
      <w:r>
        <w:rPr>
          <w:rFonts w:ascii="Calibri" w:eastAsia="Calibri" w:hAnsi="Calibri" w:cs="Calibri"/>
          <w:sz w:val="22"/>
        </w:rPr>
        <w:t>“We are encouraged with the top-line improvement in the first quarter, with four out of five segments delivering revenue growth on both a reported revenue and organic basis</w:t>
      </w:r>
      <w:r>
        <w:rPr>
          <w:rFonts w:ascii="Calibri" w:eastAsia="Calibri" w:hAnsi="Calibri" w:cs="Calibri"/>
          <w:sz w:val="22"/>
          <w:vertAlign w:val="superscript"/>
        </w:rPr>
        <w:t>1</w:t>
      </w:r>
      <w:r>
        <w:rPr>
          <w:rFonts w:ascii="Calibri" w:eastAsia="Calibri" w:hAnsi="Calibri" w:cs="Calibri"/>
          <w:sz w:val="22"/>
        </w:rPr>
        <w:t xml:space="preserve"> and are pleased that demand for key products has remained resilient in the current</w:t>
      </w:r>
      <w:r>
        <w:rPr>
          <w:rFonts w:ascii="Calibri" w:eastAsia="Calibri" w:hAnsi="Calibri" w:cs="Calibri"/>
          <w:sz w:val="22"/>
        </w:rPr>
        <w:t xml:space="preserve"> macro environment,” said Thomas J. Appio, Chief Executive Officer, Bausch Health. “We are progressing our mid- and late-stage pipeline, and we look forward to bringing new products to the patients who can benefit from them,” concluded Appio.</w:t>
      </w:r>
    </w:p>
    <w:p w14:paraId="74D29D1F" w14:textId="77777777" w:rsidR="00C56203" w:rsidRDefault="00C56203">
      <w:pPr>
        <w:spacing w:line="288" w:lineRule="auto"/>
        <w:rPr>
          <w:rFonts w:ascii="Calibri" w:eastAsia="Calibri" w:hAnsi="Calibri" w:cs="Calibri"/>
          <w:sz w:val="22"/>
        </w:rPr>
      </w:pPr>
    </w:p>
    <w:p w14:paraId="4EE29776" w14:textId="77777777" w:rsidR="00C56203" w:rsidRDefault="00CD5102">
      <w:pPr>
        <w:spacing w:line="288" w:lineRule="auto"/>
        <w:rPr>
          <w:rFonts w:ascii="Calibri" w:eastAsia="Calibri" w:hAnsi="Calibri" w:cs="Calibri"/>
          <w:sz w:val="22"/>
        </w:rPr>
      </w:pPr>
      <w:r>
        <w:rPr>
          <w:rFonts w:ascii="Calibri" w:eastAsia="Calibri" w:hAnsi="Calibri" w:cs="Calibri"/>
          <w:b/>
          <w:sz w:val="22"/>
        </w:rPr>
        <w:t>Bausch Healt</w:t>
      </w:r>
      <w:r>
        <w:rPr>
          <w:rFonts w:ascii="Calibri" w:eastAsia="Calibri" w:hAnsi="Calibri" w:cs="Calibri"/>
          <w:b/>
          <w:sz w:val="22"/>
        </w:rPr>
        <w:t>h (excl. B+L) Pipeline Update</w:t>
      </w:r>
    </w:p>
    <w:p w14:paraId="65D9649A" w14:textId="77777777" w:rsidR="00C56203" w:rsidRDefault="00CD5102">
      <w:pPr>
        <w:numPr>
          <w:ilvl w:val="0"/>
          <w:numId w:val="17"/>
        </w:numPr>
        <w:spacing w:line="288" w:lineRule="auto"/>
        <w:rPr>
          <w:rFonts w:ascii="Calibri" w:eastAsia="Calibri" w:hAnsi="Calibri" w:cs="Calibri"/>
          <w:sz w:val="22"/>
        </w:rPr>
      </w:pPr>
      <w:proofErr w:type="spellStart"/>
      <w:r>
        <w:rPr>
          <w:rFonts w:ascii="Calibri" w:eastAsia="Calibri" w:hAnsi="Calibri" w:cs="Calibri"/>
          <w:b/>
          <w:sz w:val="22"/>
        </w:rPr>
        <w:t>Amiselimod</w:t>
      </w:r>
      <w:proofErr w:type="spellEnd"/>
      <w:r>
        <w:rPr>
          <w:rFonts w:ascii="Calibri" w:eastAsia="Calibri" w:hAnsi="Calibri" w:cs="Calibri"/>
          <w:b/>
          <w:sz w:val="22"/>
        </w:rPr>
        <w:t>:</w:t>
      </w:r>
      <w:r>
        <w:rPr>
          <w:rFonts w:ascii="Calibri" w:eastAsia="Calibri" w:hAnsi="Calibri" w:cs="Calibri"/>
          <w:sz w:val="22"/>
        </w:rPr>
        <w:t xml:space="preserve"> Phase 2 trial is progressing and expected to be completed in the second half of 2023.</w:t>
      </w:r>
    </w:p>
    <w:p w14:paraId="5FF566DF" w14:textId="77777777" w:rsidR="00C56203" w:rsidRDefault="00CD5102">
      <w:pPr>
        <w:numPr>
          <w:ilvl w:val="0"/>
          <w:numId w:val="18"/>
        </w:numPr>
        <w:spacing w:line="269" w:lineRule="auto"/>
        <w:rPr>
          <w:rFonts w:ascii="Calibri" w:eastAsia="Calibri" w:hAnsi="Calibri" w:cs="Calibri"/>
          <w:sz w:val="22"/>
        </w:rPr>
      </w:pPr>
      <w:r>
        <w:rPr>
          <w:rFonts w:ascii="Calibri" w:eastAsia="Calibri" w:hAnsi="Calibri" w:cs="Calibri"/>
          <w:b/>
          <w:sz w:val="22"/>
        </w:rPr>
        <w:t>RED-C:</w:t>
      </w:r>
      <w:r>
        <w:rPr>
          <w:rFonts w:ascii="Calibri" w:eastAsia="Calibri" w:hAnsi="Calibri" w:cs="Calibri"/>
          <w:sz w:val="22"/>
        </w:rPr>
        <w:t xml:space="preserve"> Investments related to Reduction of Early Decompensation in Cirrhosis (RED-C) program have accelerated. Two global Phase </w:t>
      </w:r>
      <w:r>
        <w:rPr>
          <w:rFonts w:ascii="Calibri" w:eastAsia="Calibri" w:hAnsi="Calibri" w:cs="Calibri"/>
          <w:sz w:val="22"/>
        </w:rPr>
        <w:t>3 studies are currently underway and enrollment is on-track. The Company held scientific advisory meetings with the Medicines Evaluation Board (MEB) in the Netherlands and with Health Canada, and plans to engage with relevant authorities in Japan and China</w:t>
      </w:r>
      <w:r>
        <w:rPr>
          <w:rFonts w:ascii="Calibri" w:eastAsia="Calibri" w:hAnsi="Calibri" w:cs="Calibri"/>
          <w:sz w:val="22"/>
        </w:rPr>
        <w:t xml:space="preserve"> later this year.</w:t>
      </w:r>
    </w:p>
    <w:p w14:paraId="64786DAC" w14:textId="77777777" w:rsidR="00C56203" w:rsidRDefault="00CD5102">
      <w:pPr>
        <w:numPr>
          <w:ilvl w:val="0"/>
          <w:numId w:val="19"/>
        </w:numPr>
        <w:spacing w:line="269" w:lineRule="auto"/>
        <w:rPr>
          <w:rFonts w:ascii="Calibri" w:eastAsia="Calibri" w:hAnsi="Calibri" w:cs="Calibri"/>
          <w:sz w:val="22"/>
        </w:rPr>
      </w:pPr>
      <w:r>
        <w:rPr>
          <w:rFonts w:ascii="Calibri" w:eastAsia="Calibri" w:hAnsi="Calibri" w:cs="Calibri"/>
          <w:b/>
          <w:sz w:val="22"/>
        </w:rPr>
        <w:t>IDP-126:</w:t>
      </w:r>
      <w:r>
        <w:rPr>
          <w:rFonts w:ascii="Calibri" w:eastAsia="Calibri" w:hAnsi="Calibri" w:cs="Calibri"/>
          <w:sz w:val="22"/>
        </w:rPr>
        <w:t xml:space="preserve"> The FDA accepted the Company's new drug application and received an October 20, 2023, PDUFA date. If approved by the FDA, IDP-126 would be a first-in-class treatment with a triple combination of benzoyl peroxide, clindamycin phos</w:t>
      </w:r>
      <w:r>
        <w:rPr>
          <w:rFonts w:ascii="Calibri" w:eastAsia="Calibri" w:hAnsi="Calibri" w:cs="Calibri"/>
          <w:sz w:val="22"/>
        </w:rPr>
        <w:t>phate and adapalene. A submission in Canada is planned for the second quarter of this year.</w:t>
      </w:r>
    </w:p>
    <w:p w14:paraId="7B145891" w14:textId="77777777" w:rsidR="00C56203" w:rsidRDefault="00CD5102">
      <w:pPr>
        <w:numPr>
          <w:ilvl w:val="0"/>
          <w:numId w:val="20"/>
        </w:numPr>
        <w:spacing w:line="269" w:lineRule="auto"/>
        <w:rPr>
          <w:rFonts w:ascii="Calibri" w:eastAsia="Calibri" w:hAnsi="Calibri" w:cs="Calibri"/>
          <w:sz w:val="22"/>
        </w:rPr>
      </w:pPr>
      <w:proofErr w:type="spellStart"/>
      <w:r>
        <w:rPr>
          <w:rFonts w:ascii="Calibri" w:eastAsia="Calibri" w:hAnsi="Calibri" w:cs="Calibri"/>
          <w:b/>
          <w:sz w:val="22"/>
        </w:rPr>
        <w:t>Solta</w:t>
      </w:r>
      <w:proofErr w:type="spellEnd"/>
      <w:r>
        <w:rPr>
          <w:rFonts w:ascii="Calibri" w:eastAsia="Calibri" w:hAnsi="Calibri" w:cs="Calibri"/>
          <w:b/>
          <w:sz w:val="22"/>
        </w:rPr>
        <w:t xml:space="preserve"> Medical:</w:t>
      </w:r>
      <w:r>
        <w:rPr>
          <w:rFonts w:ascii="Calibri" w:eastAsia="Calibri" w:hAnsi="Calibri" w:cs="Calibri"/>
          <w:sz w:val="22"/>
        </w:rPr>
        <w:t xml:space="preserve"> We are planning a regulatory submission for Clear and Brilliant Touch in Europe and Canada in 2024 and for Asia Pacific markets in 2025. FDA submissi</w:t>
      </w:r>
      <w:r>
        <w:rPr>
          <w:rFonts w:ascii="Calibri" w:eastAsia="Calibri" w:hAnsi="Calibri" w:cs="Calibri"/>
          <w:sz w:val="22"/>
        </w:rPr>
        <w:t xml:space="preserve">on is expected for Next Generation </w:t>
      </w:r>
      <w:proofErr w:type="spellStart"/>
      <w:r>
        <w:rPr>
          <w:rFonts w:ascii="Calibri" w:eastAsia="Calibri" w:hAnsi="Calibri" w:cs="Calibri"/>
          <w:sz w:val="22"/>
        </w:rPr>
        <w:t>Fraxel</w:t>
      </w:r>
      <w:proofErr w:type="spellEnd"/>
      <w:r>
        <w:rPr>
          <w:rFonts w:ascii="Calibri" w:eastAsia="Calibri" w:hAnsi="Calibri" w:cs="Calibri"/>
          <w:sz w:val="22"/>
        </w:rPr>
        <w:t xml:space="preserve"> in Q4 2023.</w:t>
      </w:r>
    </w:p>
    <w:p w14:paraId="5696A0E5" w14:textId="77777777" w:rsidR="00C56203" w:rsidRDefault="00C56203">
      <w:pPr>
        <w:spacing w:line="269" w:lineRule="auto"/>
        <w:rPr>
          <w:rFonts w:ascii="Calibri" w:eastAsia="Calibri" w:hAnsi="Calibri" w:cs="Calibri"/>
          <w:sz w:val="22"/>
        </w:rPr>
      </w:pPr>
    </w:p>
    <w:p w14:paraId="6BA75285" w14:textId="77777777" w:rsidR="00C56203" w:rsidRDefault="00CD5102">
      <w:pPr>
        <w:spacing w:line="269" w:lineRule="auto"/>
        <w:rPr>
          <w:rFonts w:ascii="Calibri" w:eastAsia="Calibri" w:hAnsi="Calibri" w:cs="Calibri"/>
          <w:b/>
          <w:sz w:val="22"/>
        </w:rPr>
      </w:pPr>
      <w:r>
        <w:rPr>
          <w:rFonts w:ascii="Calibri" w:eastAsia="Calibri" w:hAnsi="Calibri" w:cs="Calibri"/>
          <w:b/>
          <w:sz w:val="22"/>
        </w:rPr>
        <w:t>First Quarter 2023 Revenue Performance</w:t>
      </w:r>
    </w:p>
    <w:p w14:paraId="0D15B6A6" w14:textId="77777777" w:rsidR="00C56203" w:rsidRDefault="00CD5102">
      <w:pPr>
        <w:spacing w:line="288" w:lineRule="auto"/>
        <w:rPr>
          <w:rFonts w:ascii="Calibri" w:eastAsia="Calibri" w:hAnsi="Calibri" w:cs="Calibri"/>
          <w:sz w:val="22"/>
        </w:rPr>
      </w:pPr>
      <w:r>
        <w:rPr>
          <w:rFonts w:ascii="Calibri" w:eastAsia="Calibri" w:hAnsi="Calibri" w:cs="Calibri"/>
          <w:sz w:val="22"/>
        </w:rPr>
        <w:t xml:space="preserve">Total reported revenues were </w:t>
      </w:r>
      <w:r>
        <w:rPr>
          <w:rFonts w:ascii="Calibri" w:eastAsia="Calibri" w:hAnsi="Calibri" w:cs="Calibri"/>
          <w:color w:val="000000"/>
          <w:sz w:val="22"/>
        </w:rPr>
        <w:t>$1.94 billion</w:t>
      </w:r>
      <w:r>
        <w:rPr>
          <w:rFonts w:ascii="Calibri" w:eastAsia="Calibri" w:hAnsi="Calibri" w:cs="Calibri"/>
          <w:sz w:val="22"/>
        </w:rPr>
        <w:t xml:space="preserve"> for the first quarter of 2023, compared with </w:t>
      </w:r>
      <w:r>
        <w:rPr>
          <w:rFonts w:ascii="Calibri" w:eastAsia="Calibri" w:hAnsi="Calibri" w:cs="Calibri"/>
          <w:color w:val="000000"/>
          <w:sz w:val="22"/>
        </w:rPr>
        <w:t>$1.92 billion</w:t>
      </w:r>
      <w:r>
        <w:rPr>
          <w:rFonts w:ascii="Calibri" w:eastAsia="Calibri" w:hAnsi="Calibri" w:cs="Calibri"/>
          <w:sz w:val="22"/>
        </w:rPr>
        <w:t xml:space="preserve"> in the first quarter of 2022, an increase of </w:t>
      </w:r>
      <w:r>
        <w:rPr>
          <w:rFonts w:ascii="Calibri" w:eastAsia="Calibri" w:hAnsi="Calibri" w:cs="Calibri"/>
          <w:color w:val="000000"/>
          <w:sz w:val="22"/>
        </w:rPr>
        <w:t>$26 million</w:t>
      </w:r>
      <w:r>
        <w:rPr>
          <w:rFonts w:ascii="Calibri" w:eastAsia="Calibri" w:hAnsi="Calibri" w:cs="Calibri"/>
          <w:sz w:val="22"/>
        </w:rPr>
        <w:t>, or</w:t>
      </w:r>
      <w:r>
        <w:rPr>
          <w:rFonts w:ascii="Calibri" w:eastAsia="Calibri" w:hAnsi="Calibri" w:cs="Calibri"/>
          <w:sz w:val="22"/>
        </w:rPr>
        <w:t xml:space="preserve"> </w:t>
      </w:r>
      <w:r>
        <w:rPr>
          <w:rFonts w:ascii="Calibri" w:eastAsia="Calibri" w:hAnsi="Calibri" w:cs="Calibri"/>
          <w:color w:val="000000"/>
          <w:sz w:val="22"/>
        </w:rPr>
        <w:t>1%</w:t>
      </w:r>
      <w:r>
        <w:rPr>
          <w:rFonts w:ascii="Calibri" w:eastAsia="Calibri" w:hAnsi="Calibri" w:cs="Calibri"/>
          <w:sz w:val="22"/>
        </w:rPr>
        <w:t xml:space="preserve">. Excluding the unfavorable impact of foreign exchange of </w:t>
      </w:r>
      <w:r>
        <w:rPr>
          <w:rFonts w:ascii="Calibri" w:eastAsia="Calibri" w:hAnsi="Calibri" w:cs="Calibri"/>
          <w:color w:val="000000"/>
          <w:sz w:val="22"/>
        </w:rPr>
        <w:t>$40 million</w:t>
      </w:r>
      <w:r>
        <w:rPr>
          <w:rFonts w:ascii="Calibri" w:eastAsia="Calibri" w:hAnsi="Calibri" w:cs="Calibri"/>
          <w:sz w:val="22"/>
        </w:rPr>
        <w:t xml:space="preserve"> and the impact of acquisitions, divestitures, and discontinuations of $7 million, revenue increased by </w:t>
      </w:r>
      <w:r>
        <w:rPr>
          <w:rFonts w:ascii="Calibri" w:eastAsia="Calibri" w:hAnsi="Calibri" w:cs="Calibri"/>
          <w:color w:val="000000"/>
          <w:sz w:val="22"/>
        </w:rPr>
        <w:t>4%</w:t>
      </w:r>
      <w:r>
        <w:rPr>
          <w:rFonts w:ascii="Calibri" w:eastAsia="Calibri" w:hAnsi="Calibri" w:cs="Calibri"/>
          <w:sz w:val="22"/>
        </w:rPr>
        <w:t xml:space="preserve"> organically</w:t>
      </w:r>
      <w:r>
        <w:rPr>
          <w:rFonts w:ascii="Calibri" w:eastAsia="Calibri" w:hAnsi="Calibri" w:cs="Calibri"/>
          <w:sz w:val="22"/>
          <w:vertAlign w:val="superscript"/>
        </w:rPr>
        <w:t>1</w:t>
      </w:r>
      <w:r>
        <w:rPr>
          <w:rFonts w:ascii="Calibri" w:eastAsia="Calibri" w:hAnsi="Calibri" w:cs="Calibri"/>
          <w:sz w:val="22"/>
        </w:rPr>
        <w:t xml:space="preserve"> compared with the first quarter of 2022.</w:t>
      </w:r>
    </w:p>
    <w:p w14:paraId="150CBB60" w14:textId="77777777" w:rsidR="00C56203" w:rsidRDefault="00C56203">
      <w:pPr>
        <w:spacing w:line="288" w:lineRule="auto"/>
        <w:rPr>
          <w:rFonts w:ascii="Calibri" w:eastAsia="Calibri" w:hAnsi="Calibri" w:cs="Calibri"/>
          <w:sz w:val="22"/>
        </w:rPr>
      </w:pPr>
    </w:p>
    <w:p w14:paraId="247D06C7" w14:textId="77777777" w:rsidR="00CD5102" w:rsidRDefault="00CD5102">
      <w:pPr>
        <w:spacing w:line="288" w:lineRule="auto"/>
        <w:rPr>
          <w:rFonts w:ascii="Calibri" w:eastAsia="Calibri" w:hAnsi="Calibri" w:cs="Calibri"/>
          <w:sz w:val="22"/>
        </w:rPr>
      </w:pPr>
    </w:p>
    <w:p w14:paraId="6B79BCE8" w14:textId="77777777" w:rsidR="00C56203" w:rsidRDefault="00CD5102">
      <w:pPr>
        <w:spacing w:line="269" w:lineRule="auto"/>
        <w:rPr>
          <w:rFonts w:ascii="Calibri" w:eastAsia="Calibri" w:hAnsi="Calibri" w:cs="Calibri"/>
          <w:b/>
          <w:sz w:val="22"/>
        </w:rPr>
      </w:pPr>
      <w:r>
        <w:rPr>
          <w:rFonts w:ascii="Calibri" w:eastAsia="Calibri" w:hAnsi="Calibri" w:cs="Calibri"/>
          <w:sz w:val="22"/>
        </w:rPr>
        <w:t>_________</w:t>
      </w:r>
      <w:r>
        <w:rPr>
          <w:rFonts w:ascii="Calibri" w:eastAsia="Calibri" w:hAnsi="Calibri" w:cs="Calibri"/>
          <w:sz w:val="22"/>
        </w:rPr>
        <w:t>_____________</w:t>
      </w:r>
      <w:r>
        <w:rPr>
          <w:rFonts w:ascii="Calibri" w:eastAsia="Calibri" w:hAnsi="Calibri" w:cs="Calibri"/>
          <w:sz w:val="22"/>
        </w:rPr>
        <w:t>_____________</w:t>
      </w:r>
    </w:p>
    <w:p w14:paraId="38510E76" w14:textId="77777777" w:rsidR="00C56203" w:rsidRDefault="00CD5102">
      <w:pPr>
        <w:spacing w:line="269" w:lineRule="auto"/>
        <w:ind w:left="180" w:hanging="180"/>
        <w:rPr>
          <w:rFonts w:ascii="Times" w:eastAsia="Times" w:hAnsi="Times" w:cs="Times"/>
          <w:vertAlign w:val="superscript"/>
        </w:rPr>
      </w:pPr>
      <w:r>
        <w:rPr>
          <w:rFonts w:ascii="Calibri" w:eastAsia="Calibri" w:hAnsi="Calibri" w:cs="Calibri"/>
          <w:sz w:val="16"/>
          <w:vertAlign w:val="superscript"/>
        </w:rPr>
        <w:t>1</w:t>
      </w:r>
      <w:r>
        <w:rPr>
          <w:rFonts w:ascii="Calibri" w:eastAsia="Calibri" w:hAnsi="Calibri" w:cs="Calibri"/>
          <w:sz w:val="16"/>
        </w:rPr>
        <w:t xml:space="preserve"> </w:t>
      </w:r>
      <w:r>
        <w:rPr>
          <w:rFonts w:ascii="Calibri" w:eastAsia="Calibri" w:hAnsi="Calibri" w:cs="Calibri"/>
          <w:sz w:val="16"/>
        </w:rPr>
        <w:tab/>
        <w:t xml:space="preserve">This is a non-GAAP measure or a non-GAAP ratio. For further information on non-GAAP measures and non-GAAP ratios, please refer to the “Non-GAAP Information” section of this news release. Please also refer to tables at the end of this </w:t>
      </w:r>
      <w:r>
        <w:rPr>
          <w:rFonts w:ascii="Calibri" w:eastAsia="Calibri" w:hAnsi="Calibri" w:cs="Calibri"/>
          <w:sz w:val="16"/>
        </w:rPr>
        <w:t>news release for a reconciliation of this and other non-GAAP measures to the most directly comparable GAAP measure.</w:t>
      </w:r>
    </w:p>
    <w:p w14:paraId="18A49A37" w14:textId="77777777" w:rsidR="00C56203" w:rsidRDefault="00CD5102">
      <w:pPr>
        <w:spacing w:line="288" w:lineRule="auto"/>
        <w:rPr>
          <w:rFonts w:ascii="Calibri" w:eastAsia="Calibri" w:hAnsi="Calibri" w:cs="Calibri"/>
          <w:b/>
          <w:sz w:val="22"/>
        </w:rPr>
      </w:pPr>
      <w:r>
        <w:rPr>
          <w:rFonts w:ascii="Calibri" w:eastAsia="Calibri" w:hAnsi="Calibri" w:cs="Calibri"/>
          <w:sz w:val="22"/>
        </w:rPr>
        <w:t>Reported revenues by segment were as follows:</w:t>
      </w:r>
    </w:p>
    <w:p w14:paraId="7DBCDF2F" w14:textId="77777777" w:rsidR="00C56203" w:rsidRDefault="00C56203">
      <w:pPr>
        <w:spacing w:line="269" w:lineRule="auto"/>
        <w:rPr>
          <w:rFonts w:ascii="Calibri" w:eastAsia="Calibri" w:hAnsi="Calibri" w:cs="Calibri"/>
          <w:b/>
          <w:sz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75"/>
        <w:gridCol w:w="1020"/>
        <w:gridCol w:w="75"/>
        <w:gridCol w:w="1020"/>
        <w:gridCol w:w="75"/>
        <w:gridCol w:w="915"/>
        <w:gridCol w:w="75"/>
        <w:gridCol w:w="915"/>
        <w:gridCol w:w="75"/>
        <w:gridCol w:w="1125"/>
        <w:gridCol w:w="75"/>
        <w:gridCol w:w="1125"/>
      </w:tblGrid>
      <w:tr w:rsidR="00C56203" w14:paraId="61E3838E" w14:textId="77777777">
        <w:trPr>
          <w:cantSplit/>
          <w:trHeight w:hRule="exact" w:val="585"/>
        </w:trPr>
        <w:tc>
          <w:tcPr>
            <w:tcW w:w="2790" w:type="dxa"/>
            <w:tcBorders>
              <w:top w:val="single" w:sz="8" w:space="0" w:color="000000"/>
              <w:left w:val="single" w:sz="8" w:space="0" w:color="000000"/>
              <w:bottom w:val="nil"/>
              <w:right w:val="nil"/>
            </w:tcBorders>
            <w:tcMar>
              <w:top w:w="0" w:type="dxa"/>
              <w:left w:w="0" w:type="dxa"/>
              <w:bottom w:w="0" w:type="dxa"/>
              <w:right w:w="0" w:type="dxa"/>
            </w:tcMar>
            <w:vAlign w:val="bottom"/>
          </w:tcPr>
          <w:p w14:paraId="51CAF88C" w14:textId="77777777" w:rsidR="00C56203" w:rsidRDefault="00C56203">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14:paraId="72ADF10B" w14:textId="77777777" w:rsidR="00C56203" w:rsidRDefault="00C56203">
            <w:pPr>
              <w:keepNext/>
            </w:pPr>
          </w:p>
        </w:tc>
        <w:tc>
          <w:tcPr>
            <w:tcW w:w="211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16051933" w14:textId="77777777" w:rsidR="00C56203" w:rsidRDefault="00CD5102">
            <w:pPr>
              <w:keepNext/>
              <w:spacing w:before="55" w:after="30"/>
              <w:jc w:val="center"/>
            </w:pPr>
            <w:r>
              <w:rPr>
                <w:rFonts w:ascii="Calibri" w:eastAsia="Calibri" w:hAnsi="Calibri" w:cs="Calibri"/>
                <w:b/>
                <w:color w:val="000000"/>
                <w:sz w:val="20"/>
              </w:rPr>
              <w:t>Three Months Ended March 31,</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5CA48A13" w14:textId="77777777" w:rsidR="00C56203" w:rsidRDefault="00C56203">
            <w:pPr>
              <w:keepNext/>
            </w:pPr>
          </w:p>
        </w:tc>
        <w:tc>
          <w:tcPr>
            <w:tcW w:w="190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2F51DEDC" w14:textId="77777777" w:rsidR="00C56203" w:rsidRDefault="00CD5102">
            <w:pPr>
              <w:keepNext/>
              <w:spacing w:before="55" w:after="30"/>
              <w:jc w:val="center"/>
            </w:pPr>
            <w:r>
              <w:rPr>
                <w:rFonts w:ascii="Calibri" w:eastAsia="Calibri" w:hAnsi="Calibri" w:cs="Calibri"/>
                <w:b/>
                <w:color w:val="000000"/>
                <w:sz w:val="20"/>
              </w:rPr>
              <w:t>Reported Change</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72DF5D3C" w14:textId="77777777" w:rsidR="00C56203" w:rsidRDefault="00C56203">
            <w:pPr>
              <w:keepNext/>
            </w:pPr>
          </w:p>
        </w:tc>
        <w:tc>
          <w:tcPr>
            <w:tcW w:w="1125" w:type="dxa"/>
            <w:vMerge w:val="restart"/>
            <w:tcBorders>
              <w:top w:val="single" w:sz="8" w:space="0" w:color="000000"/>
              <w:left w:val="nil"/>
              <w:bottom w:val="nil"/>
              <w:right w:val="nil"/>
            </w:tcBorders>
            <w:tcMar>
              <w:top w:w="0" w:type="dxa"/>
              <w:left w:w="53" w:type="dxa"/>
              <w:bottom w:w="0" w:type="dxa"/>
              <w:right w:w="53" w:type="dxa"/>
            </w:tcMar>
            <w:vAlign w:val="bottom"/>
          </w:tcPr>
          <w:p w14:paraId="7E08B34A" w14:textId="77777777" w:rsidR="00C56203" w:rsidRDefault="00CD5102">
            <w:pPr>
              <w:keepNext/>
              <w:spacing w:before="55"/>
              <w:jc w:val="center"/>
              <w:rPr>
                <w:rFonts w:ascii="Calibri" w:eastAsia="Calibri" w:hAnsi="Calibri" w:cs="Calibri"/>
                <w:b/>
                <w:sz w:val="20"/>
              </w:rPr>
            </w:pPr>
            <w:r>
              <w:rPr>
                <w:rFonts w:ascii="Calibri" w:eastAsia="Calibri" w:hAnsi="Calibri" w:cs="Calibri"/>
                <w:b/>
                <w:sz w:val="20"/>
              </w:rPr>
              <w:t>Change at Constant Currency</w:t>
            </w:r>
            <w:r>
              <w:rPr>
                <w:rFonts w:ascii="Calibri" w:eastAsia="Calibri" w:hAnsi="Calibri" w:cs="Calibri"/>
                <w:b/>
                <w:sz w:val="20"/>
                <w:vertAlign w:val="superscript"/>
              </w:rPr>
              <w:t>1</w:t>
            </w:r>
          </w:p>
          <w:p w14:paraId="2ED31EB0" w14:textId="77777777" w:rsidR="00C56203" w:rsidRDefault="00CD5102">
            <w:pPr>
              <w:spacing w:after="30"/>
              <w:jc w:val="center"/>
              <w:rPr>
                <w:rFonts w:ascii="Calibri" w:eastAsia="Calibri" w:hAnsi="Calibri" w:cs="Calibri"/>
                <w:b/>
                <w:sz w:val="20"/>
              </w:rPr>
            </w:pPr>
            <w:r>
              <w:rPr>
                <w:rFonts w:ascii="Calibri" w:eastAsia="Calibri" w:hAnsi="Calibri" w:cs="Calibri"/>
                <w:b/>
                <w:sz w:val="20"/>
              </w:rPr>
              <w:t>(Non-GAAP)</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744D02B4" w14:textId="77777777" w:rsidR="00C56203" w:rsidRDefault="00C56203">
            <w:pPr>
              <w:keepNext/>
            </w:pPr>
          </w:p>
        </w:tc>
        <w:tc>
          <w:tcPr>
            <w:tcW w:w="1125" w:type="dxa"/>
            <w:vMerge w:val="restart"/>
            <w:tcBorders>
              <w:top w:val="single" w:sz="8" w:space="0" w:color="000000"/>
              <w:left w:val="nil"/>
              <w:bottom w:val="nil"/>
              <w:right w:val="single" w:sz="8" w:space="0" w:color="000000"/>
            </w:tcBorders>
            <w:tcMar>
              <w:top w:w="0" w:type="dxa"/>
              <w:left w:w="53" w:type="dxa"/>
              <w:bottom w:w="0" w:type="dxa"/>
              <w:right w:w="53" w:type="dxa"/>
            </w:tcMar>
            <w:vAlign w:val="bottom"/>
          </w:tcPr>
          <w:p w14:paraId="496D9925" w14:textId="77777777" w:rsidR="00C56203" w:rsidRDefault="00CD5102">
            <w:pPr>
              <w:keepNext/>
              <w:spacing w:before="55"/>
              <w:jc w:val="center"/>
              <w:rPr>
                <w:rFonts w:ascii="Calibri" w:eastAsia="Calibri" w:hAnsi="Calibri" w:cs="Calibri"/>
                <w:b/>
                <w:sz w:val="20"/>
              </w:rPr>
            </w:pPr>
            <w:r>
              <w:rPr>
                <w:rFonts w:ascii="Calibri" w:eastAsia="Calibri" w:hAnsi="Calibri" w:cs="Calibri"/>
                <w:b/>
                <w:sz w:val="20"/>
              </w:rPr>
              <w:t>Change in Organic Revenue</w:t>
            </w:r>
            <w:r>
              <w:rPr>
                <w:rFonts w:ascii="Calibri" w:eastAsia="Calibri" w:hAnsi="Calibri" w:cs="Calibri"/>
                <w:b/>
                <w:sz w:val="20"/>
                <w:vertAlign w:val="superscript"/>
              </w:rPr>
              <w:t>1</w:t>
            </w:r>
          </w:p>
          <w:p w14:paraId="0C98EDB2" w14:textId="77777777" w:rsidR="00C56203" w:rsidRDefault="00CD5102">
            <w:pPr>
              <w:spacing w:after="30"/>
              <w:jc w:val="center"/>
              <w:rPr>
                <w:rFonts w:ascii="Calibri" w:eastAsia="Calibri" w:hAnsi="Calibri" w:cs="Calibri"/>
                <w:b/>
                <w:sz w:val="20"/>
              </w:rPr>
            </w:pPr>
            <w:r>
              <w:rPr>
                <w:rFonts w:ascii="Calibri" w:eastAsia="Calibri" w:hAnsi="Calibri" w:cs="Calibri"/>
                <w:b/>
                <w:sz w:val="20"/>
              </w:rPr>
              <w:t>(Non-GAAP)</w:t>
            </w:r>
          </w:p>
        </w:tc>
      </w:tr>
      <w:tr w:rsidR="00C56203" w14:paraId="3122B484" w14:textId="77777777">
        <w:trPr>
          <w:cantSplit/>
          <w:trHeight w:hRule="exact" w:val="405"/>
        </w:trPr>
        <w:tc>
          <w:tcPr>
            <w:tcW w:w="2790" w:type="dxa"/>
            <w:tcBorders>
              <w:top w:val="nil"/>
              <w:left w:val="single" w:sz="8" w:space="0" w:color="000000"/>
              <w:bottom w:val="single" w:sz="8" w:space="0" w:color="000000"/>
              <w:right w:val="nil"/>
            </w:tcBorders>
            <w:tcMar>
              <w:top w:w="0" w:type="dxa"/>
              <w:left w:w="53" w:type="dxa"/>
              <w:bottom w:w="0" w:type="dxa"/>
              <w:right w:w="53" w:type="dxa"/>
            </w:tcMar>
            <w:vAlign w:val="bottom"/>
          </w:tcPr>
          <w:p w14:paraId="703AB9C5" w14:textId="77777777" w:rsidR="00C56203" w:rsidRDefault="00CD5102">
            <w:pPr>
              <w:keepNext/>
              <w:spacing w:before="55" w:after="30"/>
            </w:pPr>
            <w:r>
              <w:rPr>
                <w:rFonts w:ascii="Calibri" w:eastAsia="Calibri" w:hAnsi="Calibri" w:cs="Calibri"/>
                <w:i/>
                <w:color w:val="000000"/>
                <w:sz w:val="16"/>
              </w:rPr>
              <w:t>(in millions)</w:t>
            </w:r>
          </w:p>
        </w:tc>
        <w:tc>
          <w:tcPr>
            <w:tcW w:w="75" w:type="dxa"/>
            <w:tcBorders>
              <w:top w:val="nil"/>
              <w:left w:val="nil"/>
              <w:bottom w:val="nil"/>
              <w:right w:val="nil"/>
            </w:tcBorders>
            <w:tcMar>
              <w:top w:w="0" w:type="dxa"/>
              <w:left w:w="0" w:type="dxa"/>
              <w:bottom w:w="0" w:type="dxa"/>
              <w:right w:w="0" w:type="dxa"/>
            </w:tcMar>
            <w:vAlign w:val="bottom"/>
          </w:tcPr>
          <w:p w14:paraId="17F5BCF2" w14:textId="77777777" w:rsidR="00C56203" w:rsidRDefault="00C56203">
            <w:pPr>
              <w:keepNext/>
            </w:pPr>
          </w:p>
        </w:tc>
        <w:tc>
          <w:tcPr>
            <w:tcW w:w="1020" w:type="dxa"/>
            <w:tcBorders>
              <w:top w:val="nil"/>
              <w:left w:val="nil"/>
              <w:bottom w:val="single" w:sz="8" w:space="0" w:color="000000"/>
              <w:right w:val="nil"/>
            </w:tcBorders>
            <w:tcMar>
              <w:top w:w="0" w:type="dxa"/>
              <w:left w:w="53" w:type="dxa"/>
              <w:bottom w:w="0" w:type="dxa"/>
              <w:right w:w="53" w:type="dxa"/>
            </w:tcMar>
            <w:vAlign w:val="bottom"/>
          </w:tcPr>
          <w:p w14:paraId="495E457D" w14:textId="77777777" w:rsidR="00C56203" w:rsidRDefault="00CD5102">
            <w:pPr>
              <w:keepNext/>
              <w:spacing w:before="55" w:after="30"/>
              <w:jc w:val="center"/>
            </w:pPr>
            <w:r>
              <w:rPr>
                <w:rFonts w:ascii="Calibri" w:eastAsia="Calibri" w:hAnsi="Calibri" w:cs="Calibri"/>
                <w:b/>
                <w:color w:val="000000"/>
                <w:sz w:val="20"/>
              </w:rPr>
              <w:t>2023</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409CA161" w14:textId="77777777" w:rsidR="00C56203" w:rsidRDefault="00C56203">
            <w:pPr>
              <w:keepNext/>
            </w:pPr>
          </w:p>
        </w:tc>
        <w:tc>
          <w:tcPr>
            <w:tcW w:w="102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3E7DF54" w14:textId="77777777" w:rsidR="00C56203" w:rsidRDefault="00CD5102">
            <w:pPr>
              <w:keepNext/>
              <w:spacing w:before="55" w:after="30"/>
              <w:jc w:val="center"/>
            </w:pPr>
            <w:r>
              <w:rPr>
                <w:rFonts w:ascii="Calibri" w:eastAsia="Calibri" w:hAnsi="Calibri" w:cs="Calibri"/>
                <w:b/>
                <w:color w:val="000000"/>
                <w:sz w:val="20"/>
              </w:rPr>
              <w:t>2022</w:t>
            </w:r>
          </w:p>
        </w:tc>
        <w:tc>
          <w:tcPr>
            <w:tcW w:w="75" w:type="dxa"/>
            <w:tcBorders>
              <w:top w:val="nil"/>
              <w:left w:val="nil"/>
              <w:bottom w:val="nil"/>
              <w:right w:val="nil"/>
            </w:tcBorders>
            <w:tcMar>
              <w:top w:w="0" w:type="dxa"/>
              <w:left w:w="0" w:type="dxa"/>
              <w:bottom w:w="0" w:type="dxa"/>
              <w:right w:w="0" w:type="dxa"/>
            </w:tcMar>
            <w:vAlign w:val="bottom"/>
          </w:tcPr>
          <w:p w14:paraId="016F723C" w14:textId="77777777" w:rsidR="00C56203" w:rsidRDefault="00C56203">
            <w:pPr>
              <w:keepNext/>
            </w:pPr>
          </w:p>
        </w:tc>
        <w:tc>
          <w:tcPr>
            <w:tcW w:w="915" w:type="dxa"/>
            <w:tcBorders>
              <w:top w:val="nil"/>
              <w:left w:val="nil"/>
              <w:bottom w:val="single" w:sz="8" w:space="0" w:color="000000"/>
              <w:right w:val="nil"/>
            </w:tcBorders>
            <w:tcMar>
              <w:top w:w="0" w:type="dxa"/>
              <w:left w:w="53" w:type="dxa"/>
              <w:bottom w:w="0" w:type="dxa"/>
              <w:right w:w="53" w:type="dxa"/>
            </w:tcMar>
            <w:vAlign w:val="bottom"/>
          </w:tcPr>
          <w:p w14:paraId="2B7E1DAC" w14:textId="77777777" w:rsidR="00C56203" w:rsidRDefault="00CD5102">
            <w:pPr>
              <w:keepNext/>
              <w:spacing w:before="55" w:after="30"/>
              <w:jc w:val="center"/>
            </w:pPr>
            <w:r>
              <w:rPr>
                <w:rFonts w:ascii="Calibri" w:eastAsia="Calibri" w:hAnsi="Calibri" w:cs="Calibri"/>
                <w:b/>
                <w:color w:val="000000"/>
                <w:sz w:val="20"/>
              </w:rPr>
              <w:t>Amount</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204519F7" w14:textId="77777777" w:rsidR="00C56203" w:rsidRDefault="00C56203">
            <w:pPr>
              <w:keepNext/>
            </w:pPr>
          </w:p>
        </w:tc>
        <w:tc>
          <w:tcPr>
            <w:tcW w:w="91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1601ECD7" w14:textId="77777777" w:rsidR="00C56203" w:rsidRDefault="00CD5102">
            <w:pPr>
              <w:keepNext/>
              <w:spacing w:before="55" w:after="30"/>
              <w:jc w:val="center"/>
            </w:pPr>
            <w:r>
              <w:rPr>
                <w:rFonts w:ascii="Calibri" w:eastAsia="Calibri" w:hAnsi="Calibri" w:cs="Calibri"/>
                <w:b/>
                <w:color w:val="000000"/>
                <w:sz w:val="20"/>
              </w:rPr>
              <w:t>Pct.</w:t>
            </w:r>
          </w:p>
        </w:tc>
        <w:tc>
          <w:tcPr>
            <w:tcW w:w="75" w:type="dxa"/>
            <w:tcBorders>
              <w:top w:val="nil"/>
              <w:left w:val="nil"/>
              <w:bottom w:val="nil"/>
              <w:right w:val="nil"/>
            </w:tcBorders>
            <w:tcMar>
              <w:top w:w="0" w:type="dxa"/>
              <w:left w:w="0" w:type="dxa"/>
              <w:bottom w:w="0" w:type="dxa"/>
              <w:right w:w="0" w:type="dxa"/>
            </w:tcMar>
            <w:vAlign w:val="bottom"/>
          </w:tcPr>
          <w:p w14:paraId="62E7B69A" w14:textId="77777777" w:rsidR="00C56203" w:rsidRDefault="00C56203">
            <w:pPr>
              <w:keepNext/>
            </w:pPr>
          </w:p>
        </w:tc>
        <w:tc>
          <w:tcPr>
            <w:tcW w:w="1125" w:type="dxa"/>
            <w:vMerge/>
            <w:tcBorders>
              <w:top w:val="nil"/>
              <w:left w:val="nil"/>
              <w:bottom w:val="single" w:sz="8" w:space="0" w:color="000000"/>
              <w:right w:val="nil"/>
            </w:tcBorders>
          </w:tcPr>
          <w:p w14:paraId="6E5526DE"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53C110FA" w14:textId="77777777" w:rsidR="00C56203" w:rsidRDefault="00C56203">
            <w:pPr>
              <w:keepNext/>
            </w:pPr>
          </w:p>
        </w:tc>
        <w:tc>
          <w:tcPr>
            <w:tcW w:w="1125" w:type="dxa"/>
            <w:vMerge/>
            <w:tcBorders>
              <w:top w:val="nil"/>
              <w:left w:val="nil"/>
              <w:bottom w:val="single" w:sz="8" w:space="0" w:color="000000"/>
              <w:right w:val="single" w:sz="8" w:space="0" w:color="000000"/>
            </w:tcBorders>
          </w:tcPr>
          <w:p w14:paraId="30B52A40" w14:textId="77777777" w:rsidR="00C56203" w:rsidRDefault="00C56203">
            <w:pPr>
              <w:keepNext/>
            </w:pPr>
          </w:p>
        </w:tc>
      </w:tr>
      <w:tr w:rsidR="00C56203" w14:paraId="3A83936D" w14:textId="77777777">
        <w:trPr>
          <w:cantSplit/>
          <w:trHeight w:hRule="exact" w:val="285"/>
        </w:trPr>
        <w:tc>
          <w:tcPr>
            <w:tcW w:w="2790" w:type="dxa"/>
            <w:tcBorders>
              <w:top w:val="single" w:sz="8" w:space="0" w:color="000000"/>
              <w:left w:val="single" w:sz="8" w:space="0" w:color="000000"/>
              <w:bottom w:val="nil"/>
              <w:right w:val="nil"/>
            </w:tcBorders>
            <w:shd w:val="clear" w:color="auto" w:fill="CCEEFF"/>
            <w:tcMar>
              <w:top w:w="0" w:type="dxa"/>
              <w:left w:w="53" w:type="dxa"/>
              <w:bottom w:w="0" w:type="dxa"/>
              <w:right w:w="53" w:type="dxa"/>
            </w:tcMar>
            <w:vAlign w:val="bottom"/>
          </w:tcPr>
          <w:p w14:paraId="1B73E893" w14:textId="77777777" w:rsidR="00C56203" w:rsidRDefault="00CD5102">
            <w:pPr>
              <w:keepNext/>
              <w:spacing w:before="55" w:after="30"/>
            </w:pPr>
            <w:r>
              <w:rPr>
                <w:rFonts w:ascii="Calibri" w:eastAsia="Calibri" w:hAnsi="Calibri" w:cs="Calibri"/>
                <w:b/>
                <w:color w:val="000000"/>
                <w:sz w:val="20"/>
              </w:rPr>
              <w:t>Total Bausch Health Revenues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8AE00DB" w14:textId="77777777" w:rsidR="00C56203" w:rsidRDefault="00C56203">
            <w:pPr>
              <w:keepNext/>
            </w:pPr>
          </w:p>
        </w:tc>
        <w:tc>
          <w:tcPr>
            <w:tcW w:w="1020" w:type="dxa"/>
            <w:tcBorders>
              <w:top w:val="single" w:sz="8" w:space="0" w:color="000000"/>
              <w:left w:val="nil"/>
              <w:bottom w:val="nil"/>
              <w:right w:val="nil"/>
            </w:tcBorders>
            <w:shd w:val="clear" w:color="auto" w:fill="CCEEFF"/>
            <w:tcMar>
              <w:top w:w="0" w:type="dxa"/>
              <w:left w:w="0" w:type="dxa"/>
              <w:bottom w:w="0" w:type="dxa"/>
              <w:right w:w="53" w:type="dxa"/>
            </w:tcMar>
            <w:vAlign w:val="bottom"/>
          </w:tcPr>
          <w:p w14:paraId="5663A6E7" w14:textId="77777777" w:rsidR="00C56203" w:rsidRDefault="00CD5102">
            <w:pPr>
              <w:keepNext/>
              <w:spacing w:before="55" w:after="30"/>
              <w:jc w:val="right"/>
            </w:pPr>
            <w:r>
              <w:rPr>
                <w:rFonts w:ascii="Calibri" w:eastAsia="Calibri" w:hAnsi="Calibri" w:cs="Calibri"/>
                <w:b/>
                <w:color w:val="000000"/>
                <w:sz w:val="20"/>
              </w:rPr>
              <w:t>$1,944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806C17C" w14:textId="77777777" w:rsidR="00C56203" w:rsidRDefault="00C56203">
            <w:pPr>
              <w:keepNext/>
            </w:pPr>
          </w:p>
        </w:tc>
        <w:tc>
          <w:tcPr>
            <w:tcW w:w="1020" w:type="dxa"/>
            <w:tcBorders>
              <w:top w:val="single" w:sz="8" w:space="0" w:color="000000"/>
              <w:left w:val="nil"/>
              <w:bottom w:val="nil"/>
              <w:right w:val="nil"/>
            </w:tcBorders>
            <w:shd w:val="clear" w:color="auto" w:fill="CCEEFF"/>
            <w:tcMar>
              <w:top w:w="0" w:type="dxa"/>
              <w:left w:w="0" w:type="dxa"/>
              <w:bottom w:w="0" w:type="dxa"/>
              <w:right w:w="53" w:type="dxa"/>
            </w:tcMar>
            <w:vAlign w:val="bottom"/>
          </w:tcPr>
          <w:p w14:paraId="46399C85" w14:textId="77777777" w:rsidR="00C56203" w:rsidRDefault="00CD5102">
            <w:pPr>
              <w:keepNext/>
              <w:spacing w:before="55" w:after="30"/>
              <w:jc w:val="right"/>
            </w:pPr>
            <w:r>
              <w:rPr>
                <w:rFonts w:ascii="Calibri" w:eastAsia="Calibri" w:hAnsi="Calibri" w:cs="Calibri"/>
                <w:b/>
                <w:color w:val="000000"/>
                <w:sz w:val="20"/>
              </w:rPr>
              <w:t>$1,918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B36786E" w14:textId="77777777" w:rsidR="00C56203" w:rsidRDefault="00C56203">
            <w:pPr>
              <w:keepNext/>
            </w:pPr>
          </w:p>
        </w:tc>
        <w:tc>
          <w:tcPr>
            <w:tcW w:w="915" w:type="dxa"/>
            <w:tcBorders>
              <w:top w:val="single" w:sz="8" w:space="0" w:color="000000"/>
              <w:left w:val="nil"/>
              <w:bottom w:val="nil"/>
              <w:right w:val="nil"/>
            </w:tcBorders>
            <w:shd w:val="clear" w:color="auto" w:fill="CCEEFF"/>
            <w:tcMar>
              <w:top w:w="0" w:type="dxa"/>
              <w:left w:w="0" w:type="dxa"/>
              <w:bottom w:w="0" w:type="dxa"/>
              <w:right w:w="53" w:type="dxa"/>
            </w:tcMar>
            <w:vAlign w:val="bottom"/>
          </w:tcPr>
          <w:p w14:paraId="63B6CCD4" w14:textId="77777777" w:rsidR="00C56203" w:rsidRDefault="00CD5102">
            <w:pPr>
              <w:keepNext/>
              <w:spacing w:before="55" w:after="30"/>
              <w:jc w:val="right"/>
            </w:pPr>
            <w:r>
              <w:rPr>
                <w:rFonts w:ascii="Calibri" w:eastAsia="Calibri" w:hAnsi="Calibri" w:cs="Calibri"/>
                <w:b/>
                <w:color w:val="000000"/>
                <w:sz w:val="20"/>
              </w:rPr>
              <w:t>$26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6DCDC0B" w14:textId="77777777" w:rsidR="00C56203" w:rsidRDefault="00C56203">
            <w:pPr>
              <w:keepNext/>
            </w:pPr>
          </w:p>
        </w:tc>
        <w:tc>
          <w:tcPr>
            <w:tcW w:w="91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1F29BF1" w14:textId="77777777" w:rsidR="00C56203" w:rsidRDefault="00CD5102">
            <w:pPr>
              <w:keepNext/>
              <w:tabs>
                <w:tab w:val="left" w:pos="1"/>
                <w:tab w:val="left" w:pos="309"/>
              </w:tabs>
              <w:spacing w:before="55" w:after="30"/>
              <w:jc w:val="right"/>
            </w:pPr>
            <w:r>
              <w:rPr>
                <w:rFonts w:ascii="Calibri" w:eastAsia="Calibri" w:hAnsi="Calibri" w:cs="Calibri"/>
                <w:b/>
                <w:color w:val="000000"/>
                <w:sz w:val="20"/>
              </w:rPr>
              <w:tab/>
              <w:t>1%</w:t>
            </w:r>
            <w:r>
              <w:rPr>
                <w:rFonts w:ascii="Calibri" w:eastAsia="Calibri" w:hAnsi="Calibri" w:cs="Calibri"/>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3552F77" w14:textId="77777777" w:rsidR="00C56203" w:rsidRDefault="00C56203">
            <w:pPr>
              <w:keepNext/>
            </w:pPr>
          </w:p>
        </w:tc>
        <w:tc>
          <w:tcPr>
            <w:tcW w:w="112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60AA394" w14:textId="77777777" w:rsidR="00C56203" w:rsidRDefault="00CD5102">
            <w:pPr>
              <w:keepNext/>
              <w:tabs>
                <w:tab w:val="left" w:pos="1"/>
                <w:tab w:val="left" w:pos="309"/>
              </w:tabs>
              <w:spacing w:before="55" w:after="30"/>
              <w:jc w:val="right"/>
            </w:pPr>
            <w:r>
              <w:rPr>
                <w:rFonts w:ascii="Calibri" w:eastAsia="Calibri" w:hAnsi="Calibri" w:cs="Calibri"/>
                <w:b/>
                <w:color w:val="000000"/>
                <w:sz w:val="20"/>
              </w:rPr>
              <w:tab/>
              <w:t>3%</w:t>
            </w:r>
            <w:r>
              <w:rPr>
                <w:rFonts w:ascii="Calibri" w:eastAsia="Calibri" w:hAnsi="Calibri" w:cs="Calibri"/>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13212D9" w14:textId="77777777" w:rsidR="00C56203" w:rsidRDefault="00C56203">
            <w:pPr>
              <w:keepNext/>
            </w:pPr>
          </w:p>
        </w:tc>
        <w:tc>
          <w:tcPr>
            <w:tcW w:w="1125" w:type="dxa"/>
            <w:tcBorders>
              <w:top w:val="single" w:sz="8" w:space="0" w:color="000000"/>
              <w:left w:val="nil"/>
              <w:bottom w:val="nil"/>
              <w:right w:val="single" w:sz="8" w:space="0" w:color="000000"/>
            </w:tcBorders>
            <w:shd w:val="clear" w:color="auto" w:fill="CCEEFF"/>
            <w:tcMar>
              <w:top w:w="0" w:type="dxa"/>
              <w:left w:w="0" w:type="dxa"/>
              <w:bottom w:w="0" w:type="dxa"/>
              <w:right w:w="15" w:type="dxa"/>
            </w:tcMar>
            <w:vAlign w:val="bottom"/>
          </w:tcPr>
          <w:p w14:paraId="6909DD81" w14:textId="77777777" w:rsidR="00C56203" w:rsidRDefault="00CD5102">
            <w:pPr>
              <w:keepNext/>
              <w:tabs>
                <w:tab w:val="left" w:pos="1"/>
                <w:tab w:val="left" w:pos="309"/>
              </w:tabs>
              <w:spacing w:before="55" w:after="30"/>
              <w:jc w:val="right"/>
            </w:pPr>
            <w:r>
              <w:rPr>
                <w:rFonts w:ascii="Calibri" w:eastAsia="Calibri" w:hAnsi="Calibri" w:cs="Calibri"/>
                <w:b/>
                <w:color w:val="000000"/>
                <w:sz w:val="20"/>
              </w:rPr>
              <w:tab/>
              <w:t>4%</w:t>
            </w:r>
            <w:r>
              <w:rPr>
                <w:rFonts w:ascii="Calibri" w:eastAsia="Calibri" w:hAnsi="Calibri" w:cs="Calibri"/>
                <w:b/>
                <w:color w:val="000000"/>
                <w:sz w:val="20"/>
              </w:rPr>
              <w:tab/>
            </w:r>
          </w:p>
        </w:tc>
      </w:tr>
      <w:tr w:rsidR="00C56203" w14:paraId="0799402F" w14:textId="77777777">
        <w:trPr>
          <w:cantSplit/>
          <w:trHeight w:hRule="exact" w:val="120"/>
        </w:trPr>
        <w:tc>
          <w:tcPr>
            <w:tcW w:w="2790" w:type="dxa"/>
            <w:tcBorders>
              <w:top w:val="nil"/>
              <w:left w:val="single" w:sz="8" w:space="0" w:color="000000"/>
              <w:bottom w:val="nil"/>
              <w:right w:val="nil"/>
            </w:tcBorders>
            <w:shd w:val="clear" w:color="auto" w:fill="FFFFFF"/>
            <w:tcMar>
              <w:top w:w="0" w:type="dxa"/>
              <w:left w:w="0" w:type="dxa"/>
              <w:bottom w:w="0" w:type="dxa"/>
              <w:right w:w="0" w:type="dxa"/>
            </w:tcMar>
            <w:vAlign w:val="bottom"/>
          </w:tcPr>
          <w:p w14:paraId="64BB9636"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B7E78C0" w14:textId="77777777" w:rsidR="00C56203" w:rsidRDefault="00C56203">
            <w:pPr>
              <w:keepNext/>
            </w:pPr>
          </w:p>
        </w:tc>
        <w:tc>
          <w:tcPr>
            <w:tcW w:w="1020" w:type="dxa"/>
            <w:tcBorders>
              <w:top w:val="nil"/>
              <w:left w:val="nil"/>
              <w:bottom w:val="nil"/>
              <w:right w:val="nil"/>
            </w:tcBorders>
            <w:shd w:val="clear" w:color="auto" w:fill="FFFFFF"/>
            <w:tcMar>
              <w:top w:w="0" w:type="dxa"/>
              <w:left w:w="0" w:type="dxa"/>
              <w:bottom w:w="0" w:type="dxa"/>
              <w:right w:w="0" w:type="dxa"/>
            </w:tcMar>
            <w:vAlign w:val="bottom"/>
          </w:tcPr>
          <w:p w14:paraId="0DEB1D25"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FC9BB2F" w14:textId="77777777" w:rsidR="00C56203" w:rsidRDefault="00C56203">
            <w:pPr>
              <w:keepNext/>
            </w:pPr>
          </w:p>
        </w:tc>
        <w:tc>
          <w:tcPr>
            <w:tcW w:w="1020" w:type="dxa"/>
            <w:tcBorders>
              <w:top w:val="nil"/>
              <w:left w:val="nil"/>
              <w:bottom w:val="nil"/>
              <w:right w:val="nil"/>
            </w:tcBorders>
            <w:shd w:val="clear" w:color="auto" w:fill="FFFFFF"/>
            <w:tcMar>
              <w:top w:w="0" w:type="dxa"/>
              <w:left w:w="0" w:type="dxa"/>
              <w:bottom w:w="0" w:type="dxa"/>
              <w:right w:w="0" w:type="dxa"/>
            </w:tcMar>
            <w:vAlign w:val="bottom"/>
          </w:tcPr>
          <w:p w14:paraId="491EAA07"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86DB1F9" w14:textId="77777777" w:rsidR="00C56203" w:rsidRDefault="00C56203">
            <w:pPr>
              <w:keepNext/>
            </w:pPr>
          </w:p>
        </w:tc>
        <w:tc>
          <w:tcPr>
            <w:tcW w:w="915" w:type="dxa"/>
            <w:tcBorders>
              <w:top w:val="nil"/>
              <w:left w:val="nil"/>
              <w:bottom w:val="nil"/>
              <w:right w:val="nil"/>
            </w:tcBorders>
            <w:shd w:val="clear" w:color="auto" w:fill="FFFFFF"/>
            <w:tcMar>
              <w:top w:w="0" w:type="dxa"/>
              <w:left w:w="0" w:type="dxa"/>
              <w:bottom w:w="0" w:type="dxa"/>
              <w:right w:w="0" w:type="dxa"/>
            </w:tcMar>
            <w:vAlign w:val="bottom"/>
          </w:tcPr>
          <w:p w14:paraId="635178B8"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7910DD3" w14:textId="77777777" w:rsidR="00C56203" w:rsidRDefault="00C56203">
            <w:pPr>
              <w:keepNext/>
            </w:pPr>
          </w:p>
        </w:tc>
        <w:tc>
          <w:tcPr>
            <w:tcW w:w="915" w:type="dxa"/>
            <w:tcBorders>
              <w:top w:val="nil"/>
              <w:left w:val="nil"/>
              <w:bottom w:val="nil"/>
              <w:right w:val="nil"/>
            </w:tcBorders>
            <w:shd w:val="clear" w:color="auto" w:fill="FFFFFF"/>
            <w:tcMar>
              <w:top w:w="0" w:type="dxa"/>
              <w:left w:w="0" w:type="dxa"/>
              <w:bottom w:w="0" w:type="dxa"/>
              <w:right w:w="0" w:type="dxa"/>
            </w:tcMar>
            <w:vAlign w:val="bottom"/>
          </w:tcPr>
          <w:p w14:paraId="22CC2F78"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E45E3F1" w14:textId="77777777" w:rsidR="00C56203" w:rsidRDefault="00C56203">
            <w:pPr>
              <w:keepNext/>
            </w:pPr>
          </w:p>
        </w:tc>
        <w:tc>
          <w:tcPr>
            <w:tcW w:w="1125" w:type="dxa"/>
            <w:tcBorders>
              <w:top w:val="nil"/>
              <w:left w:val="nil"/>
              <w:bottom w:val="nil"/>
              <w:right w:val="nil"/>
            </w:tcBorders>
            <w:shd w:val="clear" w:color="auto" w:fill="FFFFFF"/>
            <w:tcMar>
              <w:top w:w="0" w:type="dxa"/>
              <w:left w:w="0" w:type="dxa"/>
              <w:bottom w:w="0" w:type="dxa"/>
              <w:right w:w="0" w:type="dxa"/>
            </w:tcMar>
            <w:vAlign w:val="bottom"/>
          </w:tcPr>
          <w:p w14:paraId="2A4643C2"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4A22D96" w14:textId="77777777" w:rsidR="00C56203" w:rsidRDefault="00C56203">
            <w:pPr>
              <w:keepNext/>
            </w:pPr>
          </w:p>
        </w:tc>
        <w:tc>
          <w:tcPr>
            <w:tcW w:w="1125" w:type="dxa"/>
            <w:tcBorders>
              <w:top w:val="nil"/>
              <w:left w:val="nil"/>
              <w:bottom w:val="nil"/>
              <w:right w:val="single" w:sz="8" w:space="0" w:color="000000"/>
            </w:tcBorders>
            <w:shd w:val="clear" w:color="auto" w:fill="FFFFFF"/>
            <w:tcMar>
              <w:top w:w="0" w:type="dxa"/>
              <w:left w:w="0" w:type="dxa"/>
              <w:bottom w:w="0" w:type="dxa"/>
              <w:right w:w="0" w:type="dxa"/>
            </w:tcMar>
            <w:vAlign w:val="bottom"/>
          </w:tcPr>
          <w:p w14:paraId="3CBBB19A" w14:textId="77777777" w:rsidR="00C56203" w:rsidRDefault="00C56203">
            <w:pPr>
              <w:keepNext/>
            </w:pPr>
          </w:p>
        </w:tc>
      </w:tr>
      <w:tr w:rsidR="00C56203" w14:paraId="1A81D3FF" w14:textId="77777777">
        <w:trPr>
          <w:cantSplit/>
          <w:trHeight w:hRule="exact" w:val="285"/>
        </w:trPr>
        <w:tc>
          <w:tcPr>
            <w:tcW w:w="2790" w:type="dxa"/>
            <w:tcBorders>
              <w:top w:val="nil"/>
              <w:left w:val="single" w:sz="8" w:space="0" w:color="000000"/>
              <w:bottom w:val="nil"/>
              <w:right w:val="nil"/>
            </w:tcBorders>
            <w:shd w:val="clear" w:color="auto" w:fill="CCEEFF"/>
            <w:tcMar>
              <w:top w:w="0" w:type="dxa"/>
              <w:left w:w="53" w:type="dxa"/>
              <w:bottom w:w="0" w:type="dxa"/>
              <w:right w:w="53" w:type="dxa"/>
            </w:tcMar>
            <w:vAlign w:val="bottom"/>
          </w:tcPr>
          <w:p w14:paraId="1D3FF962" w14:textId="77777777" w:rsidR="00C56203" w:rsidRDefault="00CD5102">
            <w:pPr>
              <w:keepNext/>
              <w:spacing w:before="75" w:after="30"/>
            </w:pPr>
            <w:r>
              <w:rPr>
                <w:rFonts w:ascii="Calibri" w:eastAsia="Calibri" w:hAnsi="Calibri" w:cs="Calibri"/>
                <w:b/>
                <w:color w:val="000000"/>
                <w:sz w:val="20"/>
              </w:rPr>
              <w:t>Bausch Health (excl. B+L)</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A4EE1D2" w14:textId="77777777" w:rsidR="00C56203" w:rsidRDefault="00C56203">
            <w:pPr>
              <w:keepNext/>
            </w:pPr>
          </w:p>
        </w:tc>
        <w:tc>
          <w:tcPr>
            <w:tcW w:w="1020" w:type="dxa"/>
            <w:tcBorders>
              <w:top w:val="nil"/>
              <w:left w:val="nil"/>
              <w:bottom w:val="nil"/>
              <w:right w:val="nil"/>
            </w:tcBorders>
            <w:shd w:val="clear" w:color="auto" w:fill="CCEEFF"/>
            <w:tcMar>
              <w:top w:w="0" w:type="dxa"/>
              <w:left w:w="0" w:type="dxa"/>
              <w:bottom w:w="0" w:type="dxa"/>
              <w:right w:w="53" w:type="dxa"/>
            </w:tcMar>
            <w:vAlign w:val="bottom"/>
          </w:tcPr>
          <w:p w14:paraId="7F39F81F" w14:textId="77777777" w:rsidR="00C56203" w:rsidRDefault="00CD5102">
            <w:pPr>
              <w:keepNext/>
              <w:spacing w:before="75" w:after="30"/>
              <w:jc w:val="right"/>
            </w:pPr>
            <w:r>
              <w:rPr>
                <w:rFonts w:ascii="Calibri" w:eastAsia="Calibri" w:hAnsi="Calibri" w:cs="Calibri"/>
                <w:b/>
                <w:color w:val="000000"/>
                <w:sz w:val="20"/>
              </w:rPr>
              <w:t>$1,013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DF0BE5C" w14:textId="77777777" w:rsidR="00C56203" w:rsidRDefault="00C56203">
            <w:pPr>
              <w:keepNext/>
            </w:pPr>
          </w:p>
        </w:tc>
        <w:tc>
          <w:tcPr>
            <w:tcW w:w="1020" w:type="dxa"/>
            <w:tcBorders>
              <w:top w:val="nil"/>
              <w:left w:val="nil"/>
              <w:bottom w:val="nil"/>
              <w:right w:val="nil"/>
            </w:tcBorders>
            <w:shd w:val="clear" w:color="auto" w:fill="CCEEFF"/>
            <w:tcMar>
              <w:top w:w="0" w:type="dxa"/>
              <w:left w:w="0" w:type="dxa"/>
              <w:bottom w:w="0" w:type="dxa"/>
              <w:right w:w="53" w:type="dxa"/>
            </w:tcMar>
            <w:vAlign w:val="bottom"/>
          </w:tcPr>
          <w:p w14:paraId="47C3CE6D" w14:textId="77777777" w:rsidR="00C56203" w:rsidRDefault="00CD5102">
            <w:pPr>
              <w:keepNext/>
              <w:spacing w:before="75" w:after="30"/>
              <w:jc w:val="right"/>
            </w:pPr>
            <w:r>
              <w:rPr>
                <w:rFonts w:ascii="Calibri" w:eastAsia="Calibri" w:hAnsi="Calibri" w:cs="Calibri"/>
                <w:b/>
                <w:color w:val="000000"/>
                <w:sz w:val="20"/>
              </w:rPr>
              <w:t>$1,029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DD300F1" w14:textId="77777777" w:rsidR="00C56203" w:rsidRDefault="00C56203">
            <w:pPr>
              <w:keepNext/>
            </w:pPr>
          </w:p>
        </w:tc>
        <w:tc>
          <w:tcPr>
            <w:tcW w:w="915" w:type="dxa"/>
            <w:tcBorders>
              <w:top w:val="nil"/>
              <w:left w:val="nil"/>
              <w:bottom w:val="nil"/>
              <w:right w:val="nil"/>
            </w:tcBorders>
            <w:shd w:val="clear" w:color="auto" w:fill="CCEEFF"/>
            <w:tcMar>
              <w:top w:w="0" w:type="dxa"/>
              <w:left w:w="0" w:type="dxa"/>
              <w:bottom w:w="0" w:type="dxa"/>
              <w:right w:w="53" w:type="dxa"/>
            </w:tcMar>
            <w:vAlign w:val="bottom"/>
          </w:tcPr>
          <w:p w14:paraId="62D7F31E" w14:textId="77777777" w:rsidR="00C56203" w:rsidRDefault="00CD5102">
            <w:pPr>
              <w:keepNext/>
              <w:spacing w:before="75" w:after="30"/>
              <w:jc w:val="right"/>
            </w:pPr>
            <w:r>
              <w:rPr>
                <w:rFonts w:ascii="Calibri" w:eastAsia="Calibri" w:hAnsi="Calibri" w:cs="Calibri"/>
                <w:b/>
                <w:color w:val="000000"/>
                <w:sz w:val="20"/>
              </w:rPr>
              <w:t>($16)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196B060" w14:textId="77777777" w:rsidR="00C56203" w:rsidRDefault="00C56203">
            <w:pPr>
              <w:keepNext/>
            </w:pPr>
          </w:p>
        </w:tc>
        <w:tc>
          <w:tcPr>
            <w:tcW w:w="915" w:type="dxa"/>
            <w:tcBorders>
              <w:top w:val="nil"/>
              <w:left w:val="nil"/>
              <w:bottom w:val="nil"/>
              <w:right w:val="nil"/>
            </w:tcBorders>
            <w:shd w:val="clear" w:color="auto" w:fill="CCEEFF"/>
            <w:tcMar>
              <w:top w:w="0" w:type="dxa"/>
              <w:left w:w="0" w:type="dxa"/>
              <w:bottom w:w="0" w:type="dxa"/>
              <w:right w:w="15" w:type="dxa"/>
            </w:tcMar>
            <w:vAlign w:val="bottom"/>
          </w:tcPr>
          <w:p w14:paraId="5CF90A9F" w14:textId="77777777" w:rsidR="00C56203" w:rsidRDefault="00CD5102">
            <w:pPr>
              <w:keepNext/>
              <w:tabs>
                <w:tab w:val="left" w:pos="1"/>
              </w:tabs>
              <w:spacing w:before="75" w:after="30"/>
              <w:jc w:val="right"/>
            </w:pPr>
            <w:r>
              <w:rPr>
                <w:rFonts w:ascii="Calibri" w:eastAsia="Calibri" w:hAnsi="Calibri" w:cs="Calibri"/>
                <w:b/>
                <w:color w:val="000000"/>
                <w:sz w:val="20"/>
              </w:rPr>
              <w:tab/>
              <w:t>(2%)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91954FF" w14:textId="77777777" w:rsidR="00C56203" w:rsidRDefault="00C56203">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3BDE8F4E" w14:textId="77777777" w:rsidR="00C56203" w:rsidRDefault="00CD5102">
            <w:pPr>
              <w:keepNext/>
              <w:tabs>
                <w:tab w:val="left" w:pos="1"/>
              </w:tabs>
              <w:spacing w:before="75" w:after="30"/>
              <w:jc w:val="right"/>
            </w:pPr>
            <w:r>
              <w:rPr>
                <w:rFonts w:ascii="Calibri" w:eastAsia="Calibri" w:hAnsi="Calibri" w:cs="Calibri"/>
                <w:b/>
                <w:color w:val="000000"/>
                <w:sz w:val="20"/>
              </w:rPr>
              <w:tab/>
              <w:t>(1%)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42C86EA" w14:textId="77777777" w:rsidR="00C56203" w:rsidRDefault="00C56203">
            <w:pPr>
              <w:keepNext/>
            </w:pPr>
          </w:p>
        </w:tc>
        <w:tc>
          <w:tcPr>
            <w:tcW w:w="1125" w:type="dxa"/>
            <w:tcBorders>
              <w:top w:val="nil"/>
              <w:left w:val="nil"/>
              <w:bottom w:val="nil"/>
              <w:right w:val="single" w:sz="8" w:space="0" w:color="000000"/>
            </w:tcBorders>
            <w:shd w:val="clear" w:color="auto" w:fill="CCEEFF"/>
            <w:tcMar>
              <w:top w:w="0" w:type="dxa"/>
              <w:left w:w="0" w:type="dxa"/>
              <w:bottom w:w="0" w:type="dxa"/>
              <w:right w:w="15" w:type="dxa"/>
            </w:tcMar>
            <w:vAlign w:val="bottom"/>
          </w:tcPr>
          <w:p w14:paraId="1B40A836" w14:textId="77777777" w:rsidR="00C56203" w:rsidRDefault="00CD5102">
            <w:pPr>
              <w:keepNext/>
              <w:tabs>
                <w:tab w:val="left" w:pos="1"/>
                <w:tab w:val="left" w:pos="389"/>
              </w:tabs>
              <w:spacing w:before="75" w:after="30"/>
              <w:jc w:val="right"/>
            </w:pPr>
            <w:r>
              <w:rPr>
                <w:rFonts w:ascii="Calibri" w:eastAsia="Calibri" w:hAnsi="Calibri" w:cs="Calibri"/>
                <w:b/>
                <w:color w:val="000000"/>
                <w:sz w:val="20"/>
              </w:rPr>
              <w:tab/>
              <w:t>—%</w:t>
            </w:r>
            <w:r>
              <w:rPr>
                <w:rFonts w:ascii="Calibri" w:eastAsia="Calibri" w:hAnsi="Calibri" w:cs="Calibri"/>
                <w:b/>
                <w:color w:val="000000"/>
                <w:sz w:val="20"/>
              </w:rPr>
              <w:tab/>
            </w:r>
          </w:p>
        </w:tc>
      </w:tr>
      <w:tr w:rsidR="00C56203" w14:paraId="6795453E" w14:textId="77777777">
        <w:trPr>
          <w:cantSplit/>
          <w:trHeight w:hRule="exact" w:val="285"/>
        </w:trPr>
        <w:tc>
          <w:tcPr>
            <w:tcW w:w="2790" w:type="dxa"/>
            <w:tcBorders>
              <w:top w:val="nil"/>
              <w:left w:val="single" w:sz="8" w:space="0" w:color="000000"/>
              <w:bottom w:val="nil"/>
              <w:right w:val="nil"/>
            </w:tcBorders>
            <w:shd w:val="clear" w:color="auto" w:fill="FFFFFF"/>
            <w:tcMar>
              <w:top w:w="0" w:type="dxa"/>
              <w:left w:w="53" w:type="dxa"/>
              <w:bottom w:w="0" w:type="dxa"/>
              <w:right w:w="53" w:type="dxa"/>
            </w:tcMar>
            <w:vAlign w:val="bottom"/>
          </w:tcPr>
          <w:p w14:paraId="01AE8FD8" w14:textId="77777777" w:rsidR="00C56203" w:rsidRDefault="00CD5102">
            <w:pPr>
              <w:keepNext/>
              <w:spacing w:before="75" w:after="30"/>
              <w:ind w:left="120"/>
            </w:pPr>
            <w:r>
              <w:rPr>
                <w:rFonts w:ascii="Calibri" w:eastAsia="Calibri" w:hAnsi="Calibri" w:cs="Calibri"/>
                <w:color w:val="000000"/>
                <w:sz w:val="20"/>
              </w:rPr>
              <w:t>Salix segment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0D0F968" w14:textId="77777777" w:rsidR="00C56203" w:rsidRDefault="00C56203">
            <w:pPr>
              <w:keepNext/>
            </w:pPr>
          </w:p>
        </w:tc>
        <w:tc>
          <w:tcPr>
            <w:tcW w:w="1020" w:type="dxa"/>
            <w:tcBorders>
              <w:top w:val="nil"/>
              <w:left w:val="nil"/>
              <w:bottom w:val="nil"/>
              <w:right w:val="nil"/>
            </w:tcBorders>
            <w:shd w:val="clear" w:color="auto" w:fill="FFFFFF"/>
            <w:tcMar>
              <w:top w:w="0" w:type="dxa"/>
              <w:left w:w="0" w:type="dxa"/>
              <w:bottom w:w="0" w:type="dxa"/>
              <w:right w:w="53" w:type="dxa"/>
            </w:tcMar>
            <w:vAlign w:val="bottom"/>
          </w:tcPr>
          <w:p w14:paraId="0BFCDD82" w14:textId="77777777" w:rsidR="00C56203" w:rsidRDefault="00CD5102">
            <w:pPr>
              <w:keepNext/>
              <w:spacing w:before="75" w:after="30"/>
              <w:jc w:val="right"/>
            </w:pPr>
            <w:r>
              <w:rPr>
                <w:rFonts w:ascii="Calibri" w:eastAsia="Calibri" w:hAnsi="Calibri" w:cs="Calibri"/>
                <w:color w:val="000000"/>
                <w:sz w:val="20"/>
              </w:rPr>
              <w:t>$496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ECA7CB8" w14:textId="77777777" w:rsidR="00C56203" w:rsidRDefault="00C56203">
            <w:pPr>
              <w:keepNext/>
            </w:pPr>
          </w:p>
        </w:tc>
        <w:tc>
          <w:tcPr>
            <w:tcW w:w="1020" w:type="dxa"/>
            <w:tcBorders>
              <w:top w:val="nil"/>
              <w:left w:val="nil"/>
              <w:bottom w:val="nil"/>
              <w:right w:val="nil"/>
            </w:tcBorders>
            <w:shd w:val="clear" w:color="auto" w:fill="FFFFFF"/>
            <w:tcMar>
              <w:top w:w="0" w:type="dxa"/>
              <w:left w:w="0" w:type="dxa"/>
              <w:bottom w:w="0" w:type="dxa"/>
              <w:right w:w="53" w:type="dxa"/>
            </w:tcMar>
            <w:vAlign w:val="bottom"/>
          </w:tcPr>
          <w:p w14:paraId="391F9D66" w14:textId="77777777" w:rsidR="00C56203" w:rsidRDefault="00CD5102">
            <w:pPr>
              <w:keepNext/>
              <w:spacing w:before="75" w:after="30"/>
              <w:jc w:val="right"/>
            </w:pPr>
            <w:r>
              <w:rPr>
                <w:rFonts w:ascii="Calibri" w:eastAsia="Calibri" w:hAnsi="Calibri" w:cs="Calibri"/>
                <w:color w:val="000000"/>
                <w:sz w:val="20"/>
              </w:rPr>
              <w:t>$464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CE623F4" w14:textId="77777777" w:rsidR="00C56203" w:rsidRDefault="00C56203">
            <w:pPr>
              <w:keepNext/>
            </w:pPr>
          </w:p>
        </w:tc>
        <w:tc>
          <w:tcPr>
            <w:tcW w:w="915" w:type="dxa"/>
            <w:tcBorders>
              <w:top w:val="nil"/>
              <w:left w:val="nil"/>
              <w:bottom w:val="nil"/>
              <w:right w:val="nil"/>
            </w:tcBorders>
            <w:shd w:val="clear" w:color="auto" w:fill="FFFFFF"/>
            <w:tcMar>
              <w:top w:w="0" w:type="dxa"/>
              <w:left w:w="0" w:type="dxa"/>
              <w:bottom w:w="0" w:type="dxa"/>
              <w:right w:w="53" w:type="dxa"/>
            </w:tcMar>
            <w:vAlign w:val="bottom"/>
          </w:tcPr>
          <w:p w14:paraId="73FE0F92" w14:textId="77777777" w:rsidR="00C56203" w:rsidRDefault="00CD5102">
            <w:pPr>
              <w:keepNext/>
              <w:spacing w:before="75" w:after="30"/>
              <w:jc w:val="right"/>
            </w:pPr>
            <w:r>
              <w:rPr>
                <w:rFonts w:ascii="Calibri" w:eastAsia="Calibri" w:hAnsi="Calibri" w:cs="Calibri"/>
                <w:color w:val="000000"/>
                <w:sz w:val="20"/>
              </w:rPr>
              <w:t>$32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4A83C43" w14:textId="77777777" w:rsidR="00C56203" w:rsidRDefault="00C56203">
            <w:pPr>
              <w:keepNext/>
            </w:pPr>
          </w:p>
        </w:tc>
        <w:tc>
          <w:tcPr>
            <w:tcW w:w="915" w:type="dxa"/>
            <w:tcBorders>
              <w:top w:val="nil"/>
              <w:left w:val="nil"/>
              <w:bottom w:val="nil"/>
              <w:right w:val="nil"/>
            </w:tcBorders>
            <w:shd w:val="clear" w:color="auto" w:fill="FFFFFF"/>
            <w:tcMar>
              <w:top w:w="0" w:type="dxa"/>
              <w:left w:w="0" w:type="dxa"/>
              <w:bottom w:w="0" w:type="dxa"/>
              <w:right w:w="15" w:type="dxa"/>
            </w:tcMar>
            <w:vAlign w:val="bottom"/>
          </w:tcPr>
          <w:p w14:paraId="751CC9A7" w14:textId="77777777" w:rsidR="00C56203" w:rsidRDefault="00CD5102">
            <w:pPr>
              <w:keepNext/>
              <w:tabs>
                <w:tab w:val="left" w:pos="1"/>
                <w:tab w:val="left" w:pos="309"/>
              </w:tabs>
              <w:spacing w:before="75" w:after="30"/>
              <w:jc w:val="right"/>
            </w:pPr>
            <w:r>
              <w:rPr>
                <w:rFonts w:ascii="Calibri" w:eastAsia="Calibri" w:hAnsi="Calibri" w:cs="Calibri"/>
                <w:color w:val="000000"/>
                <w:sz w:val="20"/>
              </w:rPr>
              <w:tab/>
              <w:t>7%</w:t>
            </w:r>
            <w:r>
              <w:rPr>
                <w:rFonts w:ascii="Calibri" w:eastAsia="Calibri" w:hAnsi="Calibri" w:cs="Calibri"/>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C70FA7C" w14:textId="77777777" w:rsidR="00C56203" w:rsidRDefault="00C56203">
            <w:pPr>
              <w:keepNext/>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454659C3" w14:textId="77777777" w:rsidR="00C56203" w:rsidRDefault="00CD5102">
            <w:pPr>
              <w:keepNext/>
              <w:tabs>
                <w:tab w:val="left" w:pos="1"/>
                <w:tab w:val="left" w:pos="309"/>
              </w:tabs>
              <w:spacing w:before="75" w:after="30"/>
              <w:jc w:val="right"/>
            </w:pPr>
            <w:r>
              <w:rPr>
                <w:rFonts w:ascii="Calibri" w:eastAsia="Calibri" w:hAnsi="Calibri" w:cs="Calibri"/>
                <w:color w:val="000000"/>
                <w:sz w:val="20"/>
              </w:rPr>
              <w:tab/>
              <w:t>7%</w:t>
            </w:r>
            <w:r>
              <w:rPr>
                <w:rFonts w:ascii="Calibri" w:eastAsia="Calibri" w:hAnsi="Calibri" w:cs="Calibri"/>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6EE6B47" w14:textId="77777777" w:rsidR="00C56203" w:rsidRDefault="00C56203">
            <w:pPr>
              <w:keepNext/>
            </w:pPr>
          </w:p>
        </w:tc>
        <w:tc>
          <w:tcPr>
            <w:tcW w:w="1125" w:type="dxa"/>
            <w:tcBorders>
              <w:top w:val="nil"/>
              <w:left w:val="nil"/>
              <w:bottom w:val="nil"/>
              <w:right w:val="single" w:sz="8" w:space="0" w:color="000000"/>
            </w:tcBorders>
            <w:shd w:val="clear" w:color="auto" w:fill="FFFFFF"/>
            <w:tcMar>
              <w:top w:w="0" w:type="dxa"/>
              <w:left w:w="0" w:type="dxa"/>
              <w:bottom w:w="0" w:type="dxa"/>
              <w:right w:w="15" w:type="dxa"/>
            </w:tcMar>
            <w:vAlign w:val="bottom"/>
          </w:tcPr>
          <w:p w14:paraId="739649AC" w14:textId="77777777" w:rsidR="00C56203" w:rsidRDefault="00CD5102">
            <w:pPr>
              <w:keepNext/>
              <w:tabs>
                <w:tab w:val="left" w:pos="1"/>
                <w:tab w:val="left" w:pos="309"/>
              </w:tabs>
              <w:spacing w:before="75" w:after="30"/>
              <w:jc w:val="right"/>
            </w:pPr>
            <w:r>
              <w:rPr>
                <w:rFonts w:ascii="Calibri" w:eastAsia="Calibri" w:hAnsi="Calibri" w:cs="Calibri"/>
                <w:color w:val="000000"/>
                <w:sz w:val="20"/>
              </w:rPr>
              <w:tab/>
              <w:t>7%</w:t>
            </w:r>
            <w:r>
              <w:rPr>
                <w:rFonts w:ascii="Calibri" w:eastAsia="Calibri" w:hAnsi="Calibri" w:cs="Calibri"/>
                <w:color w:val="000000"/>
                <w:sz w:val="20"/>
              </w:rPr>
              <w:tab/>
            </w:r>
          </w:p>
        </w:tc>
      </w:tr>
      <w:tr w:rsidR="00C56203" w14:paraId="3C629DBA" w14:textId="77777777">
        <w:trPr>
          <w:cantSplit/>
          <w:trHeight w:hRule="exact" w:val="285"/>
        </w:trPr>
        <w:tc>
          <w:tcPr>
            <w:tcW w:w="2790" w:type="dxa"/>
            <w:tcBorders>
              <w:top w:val="nil"/>
              <w:left w:val="single" w:sz="8" w:space="0" w:color="000000"/>
              <w:bottom w:val="nil"/>
              <w:right w:val="nil"/>
            </w:tcBorders>
            <w:shd w:val="clear" w:color="auto" w:fill="CCEEFF"/>
            <w:tcMar>
              <w:top w:w="0" w:type="dxa"/>
              <w:left w:w="53" w:type="dxa"/>
              <w:bottom w:w="0" w:type="dxa"/>
              <w:right w:w="53" w:type="dxa"/>
            </w:tcMar>
            <w:vAlign w:val="bottom"/>
          </w:tcPr>
          <w:p w14:paraId="648E3BCE" w14:textId="77777777" w:rsidR="00C56203" w:rsidRDefault="00CD5102">
            <w:pPr>
              <w:keepNext/>
              <w:spacing w:before="75" w:after="30"/>
              <w:ind w:left="120"/>
            </w:pPr>
            <w:r>
              <w:rPr>
                <w:rFonts w:ascii="Calibri" w:eastAsia="Calibri" w:hAnsi="Calibri" w:cs="Calibri"/>
                <w:color w:val="000000"/>
                <w:sz w:val="20"/>
              </w:rPr>
              <w:t>International segment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F993756" w14:textId="77777777" w:rsidR="00C56203" w:rsidRDefault="00C56203">
            <w:pPr>
              <w:keepNext/>
            </w:pPr>
          </w:p>
        </w:tc>
        <w:tc>
          <w:tcPr>
            <w:tcW w:w="1020" w:type="dxa"/>
            <w:tcBorders>
              <w:top w:val="nil"/>
              <w:left w:val="nil"/>
              <w:bottom w:val="nil"/>
              <w:right w:val="nil"/>
            </w:tcBorders>
            <w:shd w:val="clear" w:color="auto" w:fill="CCEEFF"/>
            <w:tcMar>
              <w:top w:w="0" w:type="dxa"/>
              <w:left w:w="0" w:type="dxa"/>
              <w:bottom w:w="0" w:type="dxa"/>
              <w:right w:w="53" w:type="dxa"/>
            </w:tcMar>
            <w:vAlign w:val="bottom"/>
          </w:tcPr>
          <w:p w14:paraId="73ECAE7D" w14:textId="77777777" w:rsidR="00C56203" w:rsidRDefault="00CD5102">
            <w:pPr>
              <w:keepNext/>
              <w:spacing w:before="75" w:after="30"/>
              <w:jc w:val="right"/>
            </w:pPr>
            <w:r>
              <w:rPr>
                <w:rFonts w:ascii="Calibri" w:eastAsia="Calibri" w:hAnsi="Calibri" w:cs="Calibri"/>
                <w:color w:val="000000"/>
                <w:sz w:val="20"/>
              </w:rPr>
              <w:t>$247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9EEDFDA" w14:textId="77777777" w:rsidR="00C56203" w:rsidRDefault="00C56203">
            <w:pPr>
              <w:keepNext/>
            </w:pPr>
          </w:p>
        </w:tc>
        <w:tc>
          <w:tcPr>
            <w:tcW w:w="1020" w:type="dxa"/>
            <w:tcBorders>
              <w:top w:val="nil"/>
              <w:left w:val="nil"/>
              <w:bottom w:val="nil"/>
              <w:right w:val="nil"/>
            </w:tcBorders>
            <w:shd w:val="clear" w:color="auto" w:fill="CCEEFF"/>
            <w:tcMar>
              <w:top w:w="0" w:type="dxa"/>
              <w:left w:w="0" w:type="dxa"/>
              <w:bottom w:w="0" w:type="dxa"/>
              <w:right w:w="53" w:type="dxa"/>
            </w:tcMar>
            <w:vAlign w:val="bottom"/>
          </w:tcPr>
          <w:p w14:paraId="3C0EA482" w14:textId="77777777" w:rsidR="00C56203" w:rsidRDefault="00CD5102">
            <w:pPr>
              <w:keepNext/>
              <w:spacing w:before="75" w:after="30"/>
              <w:jc w:val="right"/>
            </w:pPr>
            <w:r>
              <w:rPr>
                <w:rFonts w:ascii="Calibri" w:eastAsia="Calibri" w:hAnsi="Calibri" w:cs="Calibri"/>
                <w:color w:val="000000"/>
                <w:sz w:val="20"/>
              </w:rPr>
              <w:t>$244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8C9E1CD" w14:textId="77777777" w:rsidR="00C56203" w:rsidRDefault="00C56203">
            <w:pPr>
              <w:keepNext/>
            </w:pPr>
          </w:p>
        </w:tc>
        <w:tc>
          <w:tcPr>
            <w:tcW w:w="915" w:type="dxa"/>
            <w:tcBorders>
              <w:top w:val="nil"/>
              <w:left w:val="nil"/>
              <w:bottom w:val="nil"/>
              <w:right w:val="nil"/>
            </w:tcBorders>
            <w:shd w:val="clear" w:color="auto" w:fill="CCEEFF"/>
            <w:tcMar>
              <w:top w:w="0" w:type="dxa"/>
              <w:left w:w="0" w:type="dxa"/>
              <w:bottom w:w="0" w:type="dxa"/>
              <w:right w:w="53" w:type="dxa"/>
            </w:tcMar>
            <w:vAlign w:val="bottom"/>
          </w:tcPr>
          <w:p w14:paraId="13E82F65" w14:textId="77777777" w:rsidR="00C56203" w:rsidRDefault="00CD5102">
            <w:pPr>
              <w:keepNext/>
              <w:spacing w:before="75" w:after="30"/>
              <w:jc w:val="right"/>
            </w:pPr>
            <w:r>
              <w:rPr>
                <w:rFonts w:ascii="Calibri" w:eastAsia="Calibri" w:hAnsi="Calibri" w:cs="Calibri"/>
                <w:color w:val="000000"/>
                <w:sz w:val="20"/>
              </w:rPr>
              <w:t>$3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D6EF8D4" w14:textId="77777777" w:rsidR="00C56203" w:rsidRDefault="00C56203">
            <w:pPr>
              <w:keepNext/>
            </w:pPr>
          </w:p>
        </w:tc>
        <w:tc>
          <w:tcPr>
            <w:tcW w:w="915" w:type="dxa"/>
            <w:tcBorders>
              <w:top w:val="nil"/>
              <w:left w:val="nil"/>
              <w:bottom w:val="nil"/>
              <w:right w:val="nil"/>
            </w:tcBorders>
            <w:shd w:val="clear" w:color="auto" w:fill="CCEEFF"/>
            <w:tcMar>
              <w:top w:w="0" w:type="dxa"/>
              <w:left w:w="0" w:type="dxa"/>
              <w:bottom w:w="0" w:type="dxa"/>
              <w:right w:w="15" w:type="dxa"/>
            </w:tcMar>
            <w:vAlign w:val="bottom"/>
          </w:tcPr>
          <w:p w14:paraId="354CAD44" w14:textId="77777777" w:rsidR="00C56203" w:rsidRDefault="00CD5102">
            <w:pPr>
              <w:keepNext/>
              <w:tabs>
                <w:tab w:val="left" w:pos="1"/>
                <w:tab w:val="left" w:pos="309"/>
              </w:tabs>
              <w:spacing w:before="75" w:after="30"/>
              <w:jc w:val="right"/>
            </w:pPr>
            <w:r>
              <w:rPr>
                <w:rFonts w:ascii="Calibri" w:eastAsia="Calibri" w:hAnsi="Calibri" w:cs="Calibri"/>
                <w:color w:val="000000"/>
                <w:sz w:val="20"/>
              </w:rPr>
              <w:tab/>
              <w:t>1%</w:t>
            </w:r>
            <w:r>
              <w:rPr>
                <w:rFonts w:ascii="Calibri" w:eastAsia="Calibri" w:hAnsi="Calibri" w:cs="Calibri"/>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99FD1C8" w14:textId="77777777" w:rsidR="00C56203" w:rsidRDefault="00C56203">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633FDBD1" w14:textId="77777777" w:rsidR="00C56203" w:rsidRDefault="00CD5102">
            <w:pPr>
              <w:keepNext/>
              <w:tabs>
                <w:tab w:val="left" w:pos="1"/>
                <w:tab w:val="left" w:pos="309"/>
              </w:tabs>
              <w:spacing w:before="75" w:after="30"/>
              <w:jc w:val="right"/>
            </w:pPr>
            <w:r>
              <w:rPr>
                <w:rFonts w:ascii="Calibri" w:eastAsia="Calibri" w:hAnsi="Calibri" w:cs="Calibri"/>
                <w:color w:val="000000"/>
                <w:sz w:val="20"/>
              </w:rPr>
              <w:tab/>
              <w:t>4%</w:t>
            </w:r>
            <w:r>
              <w:rPr>
                <w:rFonts w:ascii="Calibri" w:eastAsia="Calibri" w:hAnsi="Calibri" w:cs="Calibri"/>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3E0CBED" w14:textId="77777777" w:rsidR="00C56203" w:rsidRDefault="00C56203">
            <w:pPr>
              <w:keepNext/>
            </w:pPr>
          </w:p>
        </w:tc>
        <w:tc>
          <w:tcPr>
            <w:tcW w:w="1125" w:type="dxa"/>
            <w:tcBorders>
              <w:top w:val="nil"/>
              <w:left w:val="nil"/>
              <w:bottom w:val="nil"/>
              <w:right w:val="single" w:sz="8" w:space="0" w:color="000000"/>
            </w:tcBorders>
            <w:shd w:val="clear" w:color="auto" w:fill="CCEEFF"/>
            <w:tcMar>
              <w:top w:w="0" w:type="dxa"/>
              <w:left w:w="0" w:type="dxa"/>
              <w:bottom w:w="0" w:type="dxa"/>
              <w:right w:w="15" w:type="dxa"/>
            </w:tcMar>
            <w:vAlign w:val="bottom"/>
          </w:tcPr>
          <w:p w14:paraId="01FC0543" w14:textId="77777777" w:rsidR="00C56203" w:rsidRDefault="00CD5102">
            <w:pPr>
              <w:keepNext/>
              <w:tabs>
                <w:tab w:val="left" w:pos="1"/>
                <w:tab w:val="left" w:pos="309"/>
              </w:tabs>
              <w:spacing w:before="75" w:after="30"/>
              <w:jc w:val="right"/>
            </w:pPr>
            <w:r>
              <w:rPr>
                <w:rFonts w:ascii="Calibri" w:eastAsia="Calibri" w:hAnsi="Calibri" w:cs="Calibri"/>
                <w:color w:val="000000"/>
                <w:sz w:val="20"/>
              </w:rPr>
              <w:tab/>
              <w:t>5%</w:t>
            </w:r>
            <w:r>
              <w:rPr>
                <w:rFonts w:ascii="Calibri" w:eastAsia="Calibri" w:hAnsi="Calibri" w:cs="Calibri"/>
                <w:color w:val="000000"/>
                <w:sz w:val="20"/>
              </w:rPr>
              <w:tab/>
            </w:r>
          </w:p>
        </w:tc>
      </w:tr>
      <w:tr w:rsidR="00C56203" w14:paraId="66FEEE60" w14:textId="77777777">
        <w:trPr>
          <w:cantSplit/>
          <w:trHeight w:hRule="exact" w:val="285"/>
        </w:trPr>
        <w:tc>
          <w:tcPr>
            <w:tcW w:w="2790" w:type="dxa"/>
            <w:tcBorders>
              <w:top w:val="nil"/>
              <w:left w:val="single" w:sz="8" w:space="0" w:color="000000"/>
              <w:bottom w:val="nil"/>
              <w:right w:val="nil"/>
            </w:tcBorders>
            <w:shd w:val="clear" w:color="auto" w:fill="FFFFFF"/>
            <w:tcMar>
              <w:top w:w="0" w:type="dxa"/>
              <w:left w:w="53" w:type="dxa"/>
              <w:bottom w:w="0" w:type="dxa"/>
              <w:right w:w="53" w:type="dxa"/>
            </w:tcMar>
            <w:vAlign w:val="bottom"/>
          </w:tcPr>
          <w:p w14:paraId="2E49BFDE" w14:textId="77777777" w:rsidR="00C56203" w:rsidRDefault="00CD5102">
            <w:pPr>
              <w:keepNext/>
              <w:spacing w:before="75" w:after="30"/>
              <w:ind w:left="120"/>
            </w:pPr>
            <w:proofErr w:type="spellStart"/>
            <w:r>
              <w:rPr>
                <w:rFonts w:ascii="Calibri" w:eastAsia="Calibri" w:hAnsi="Calibri" w:cs="Calibri"/>
                <w:color w:val="000000"/>
                <w:sz w:val="20"/>
              </w:rPr>
              <w:t>Solta</w:t>
            </w:r>
            <w:proofErr w:type="spellEnd"/>
            <w:r>
              <w:rPr>
                <w:rFonts w:ascii="Calibri" w:eastAsia="Calibri" w:hAnsi="Calibri" w:cs="Calibri"/>
                <w:color w:val="000000"/>
                <w:sz w:val="20"/>
              </w:rPr>
              <w:t xml:space="preserve"> Medical segment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E526337" w14:textId="77777777" w:rsidR="00C56203" w:rsidRDefault="00C56203">
            <w:pPr>
              <w:keepNext/>
            </w:pPr>
          </w:p>
        </w:tc>
        <w:tc>
          <w:tcPr>
            <w:tcW w:w="1020" w:type="dxa"/>
            <w:tcBorders>
              <w:top w:val="nil"/>
              <w:left w:val="nil"/>
              <w:bottom w:val="nil"/>
              <w:right w:val="nil"/>
            </w:tcBorders>
            <w:shd w:val="clear" w:color="auto" w:fill="FFFFFF"/>
            <w:tcMar>
              <w:top w:w="0" w:type="dxa"/>
              <w:left w:w="0" w:type="dxa"/>
              <w:bottom w:w="0" w:type="dxa"/>
              <w:right w:w="53" w:type="dxa"/>
            </w:tcMar>
            <w:vAlign w:val="bottom"/>
          </w:tcPr>
          <w:p w14:paraId="19B51E55" w14:textId="77777777" w:rsidR="00C56203" w:rsidRDefault="00CD5102">
            <w:pPr>
              <w:keepNext/>
              <w:spacing w:before="75" w:after="30"/>
              <w:jc w:val="right"/>
            </w:pPr>
            <w:r>
              <w:rPr>
                <w:rFonts w:ascii="Calibri" w:eastAsia="Calibri" w:hAnsi="Calibri" w:cs="Calibri"/>
                <w:color w:val="000000"/>
                <w:sz w:val="20"/>
              </w:rPr>
              <w:t>$73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4596531" w14:textId="77777777" w:rsidR="00C56203" w:rsidRDefault="00C56203">
            <w:pPr>
              <w:keepNext/>
            </w:pPr>
          </w:p>
        </w:tc>
        <w:tc>
          <w:tcPr>
            <w:tcW w:w="1020" w:type="dxa"/>
            <w:tcBorders>
              <w:top w:val="nil"/>
              <w:left w:val="nil"/>
              <w:bottom w:val="nil"/>
              <w:right w:val="nil"/>
            </w:tcBorders>
            <w:shd w:val="clear" w:color="auto" w:fill="FFFFFF"/>
            <w:tcMar>
              <w:top w:w="0" w:type="dxa"/>
              <w:left w:w="0" w:type="dxa"/>
              <w:bottom w:w="0" w:type="dxa"/>
              <w:right w:w="53" w:type="dxa"/>
            </w:tcMar>
            <w:vAlign w:val="bottom"/>
          </w:tcPr>
          <w:p w14:paraId="048BD921" w14:textId="77777777" w:rsidR="00C56203" w:rsidRDefault="00CD5102">
            <w:pPr>
              <w:keepNext/>
              <w:spacing w:before="75" w:after="30"/>
              <w:jc w:val="right"/>
            </w:pPr>
            <w:r>
              <w:rPr>
                <w:rFonts w:ascii="Calibri" w:eastAsia="Calibri" w:hAnsi="Calibri" w:cs="Calibri"/>
                <w:color w:val="000000"/>
                <w:sz w:val="20"/>
              </w:rPr>
              <w:t>$72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4156FAE" w14:textId="77777777" w:rsidR="00C56203" w:rsidRDefault="00C56203">
            <w:pPr>
              <w:keepNext/>
            </w:pPr>
          </w:p>
        </w:tc>
        <w:tc>
          <w:tcPr>
            <w:tcW w:w="915" w:type="dxa"/>
            <w:tcBorders>
              <w:top w:val="nil"/>
              <w:left w:val="nil"/>
              <w:bottom w:val="nil"/>
              <w:right w:val="nil"/>
            </w:tcBorders>
            <w:shd w:val="clear" w:color="auto" w:fill="FFFFFF"/>
            <w:tcMar>
              <w:top w:w="0" w:type="dxa"/>
              <w:left w:w="0" w:type="dxa"/>
              <w:bottom w:w="0" w:type="dxa"/>
              <w:right w:w="53" w:type="dxa"/>
            </w:tcMar>
            <w:vAlign w:val="bottom"/>
          </w:tcPr>
          <w:p w14:paraId="456A0B86" w14:textId="77777777" w:rsidR="00C56203" w:rsidRDefault="00CD5102">
            <w:pPr>
              <w:keepNext/>
              <w:spacing w:before="75" w:after="30"/>
              <w:jc w:val="right"/>
            </w:pPr>
            <w:r>
              <w:rPr>
                <w:rFonts w:ascii="Calibri" w:eastAsia="Calibri" w:hAnsi="Calibri" w:cs="Calibri"/>
                <w:color w:val="000000"/>
                <w:sz w:val="20"/>
              </w:rPr>
              <w:t>$1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048FF0E" w14:textId="77777777" w:rsidR="00C56203" w:rsidRDefault="00C56203">
            <w:pPr>
              <w:keepNext/>
            </w:pPr>
          </w:p>
        </w:tc>
        <w:tc>
          <w:tcPr>
            <w:tcW w:w="915" w:type="dxa"/>
            <w:tcBorders>
              <w:top w:val="nil"/>
              <w:left w:val="nil"/>
              <w:bottom w:val="nil"/>
              <w:right w:val="nil"/>
            </w:tcBorders>
            <w:shd w:val="clear" w:color="auto" w:fill="FFFFFF"/>
            <w:tcMar>
              <w:top w:w="0" w:type="dxa"/>
              <w:left w:w="0" w:type="dxa"/>
              <w:bottom w:w="0" w:type="dxa"/>
              <w:right w:w="15" w:type="dxa"/>
            </w:tcMar>
            <w:vAlign w:val="bottom"/>
          </w:tcPr>
          <w:p w14:paraId="5B6D7ABA" w14:textId="77777777" w:rsidR="00C56203" w:rsidRDefault="00CD5102">
            <w:pPr>
              <w:keepNext/>
              <w:tabs>
                <w:tab w:val="left" w:pos="1"/>
                <w:tab w:val="left" w:pos="309"/>
              </w:tabs>
              <w:spacing w:before="75" w:after="30"/>
              <w:jc w:val="right"/>
            </w:pPr>
            <w:r>
              <w:rPr>
                <w:rFonts w:ascii="Calibri" w:eastAsia="Calibri" w:hAnsi="Calibri" w:cs="Calibri"/>
                <w:color w:val="000000"/>
                <w:sz w:val="20"/>
              </w:rPr>
              <w:tab/>
              <w:t>1%</w:t>
            </w:r>
            <w:r>
              <w:rPr>
                <w:rFonts w:ascii="Calibri" w:eastAsia="Calibri" w:hAnsi="Calibri" w:cs="Calibri"/>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20A05B8" w14:textId="77777777" w:rsidR="00C56203" w:rsidRDefault="00C56203">
            <w:pPr>
              <w:keepNext/>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258A16A6" w14:textId="77777777" w:rsidR="00C56203" w:rsidRDefault="00CD5102">
            <w:pPr>
              <w:keepNext/>
              <w:tabs>
                <w:tab w:val="left" w:pos="1"/>
                <w:tab w:val="left" w:pos="309"/>
              </w:tabs>
              <w:spacing w:before="75" w:after="30"/>
              <w:jc w:val="right"/>
            </w:pPr>
            <w:r>
              <w:rPr>
                <w:rFonts w:ascii="Calibri" w:eastAsia="Calibri" w:hAnsi="Calibri" w:cs="Calibri"/>
                <w:color w:val="000000"/>
                <w:sz w:val="20"/>
              </w:rPr>
              <w:tab/>
              <w:t>6%</w:t>
            </w:r>
            <w:r>
              <w:rPr>
                <w:rFonts w:ascii="Calibri" w:eastAsia="Calibri" w:hAnsi="Calibri" w:cs="Calibri"/>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D9397A0" w14:textId="77777777" w:rsidR="00C56203" w:rsidRDefault="00C56203">
            <w:pPr>
              <w:keepNext/>
            </w:pPr>
          </w:p>
        </w:tc>
        <w:tc>
          <w:tcPr>
            <w:tcW w:w="1125" w:type="dxa"/>
            <w:tcBorders>
              <w:top w:val="nil"/>
              <w:left w:val="nil"/>
              <w:bottom w:val="nil"/>
              <w:right w:val="single" w:sz="8" w:space="0" w:color="000000"/>
            </w:tcBorders>
            <w:shd w:val="clear" w:color="auto" w:fill="FFFFFF"/>
            <w:tcMar>
              <w:top w:w="0" w:type="dxa"/>
              <w:left w:w="0" w:type="dxa"/>
              <w:bottom w:w="0" w:type="dxa"/>
              <w:right w:w="15" w:type="dxa"/>
            </w:tcMar>
            <w:vAlign w:val="bottom"/>
          </w:tcPr>
          <w:p w14:paraId="622CAD3D" w14:textId="77777777" w:rsidR="00C56203" w:rsidRDefault="00CD5102">
            <w:pPr>
              <w:keepNext/>
              <w:tabs>
                <w:tab w:val="left" w:pos="1"/>
                <w:tab w:val="left" w:pos="309"/>
              </w:tabs>
              <w:spacing w:before="75" w:after="30"/>
              <w:jc w:val="right"/>
            </w:pPr>
            <w:r>
              <w:rPr>
                <w:rFonts w:ascii="Calibri" w:eastAsia="Calibri" w:hAnsi="Calibri" w:cs="Calibri"/>
                <w:color w:val="000000"/>
                <w:sz w:val="20"/>
              </w:rPr>
              <w:tab/>
              <w:t>6%</w:t>
            </w:r>
            <w:r>
              <w:rPr>
                <w:rFonts w:ascii="Calibri" w:eastAsia="Calibri" w:hAnsi="Calibri" w:cs="Calibri"/>
                <w:color w:val="000000"/>
                <w:sz w:val="20"/>
              </w:rPr>
              <w:tab/>
            </w:r>
          </w:p>
        </w:tc>
      </w:tr>
      <w:tr w:rsidR="00C56203" w14:paraId="61D1BA02" w14:textId="77777777">
        <w:trPr>
          <w:cantSplit/>
          <w:trHeight w:hRule="exact" w:val="285"/>
        </w:trPr>
        <w:tc>
          <w:tcPr>
            <w:tcW w:w="2790" w:type="dxa"/>
            <w:tcBorders>
              <w:top w:val="nil"/>
              <w:left w:val="single" w:sz="8" w:space="0" w:color="000000"/>
              <w:bottom w:val="nil"/>
              <w:right w:val="nil"/>
            </w:tcBorders>
            <w:shd w:val="clear" w:color="auto" w:fill="CCEEFF"/>
            <w:tcMar>
              <w:top w:w="0" w:type="dxa"/>
              <w:left w:w="53" w:type="dxa"/>
              <w:bottom w:w="0" w:type="dxa"/>
              <w:right w:w="53" w:type="dxa"/>
            </w:tcMar>
            <w:vAlign w:val="bottom"/>
          </w:tcPr>
          <w:p w14:paraId="5D0BC452" w14:textId="77777777" w:rsidR="00C56203" w:rsidRDefault="00CD5102">
            <w:pPr>
              <w:keepNext/>
              <w:spacing w:before="75" w:after="30"/>
              <w:ind w:left="120"/>
            </w:pPr>
            <w:r>
              <w:rPr>
                <w:rFonts w:ascii="Calibri" w:eastAsia="Calibri" w:hAnsi="Calibri" w:cs="Calibri"/>
                <w:color w:val="000000"/>
                <w:sz w:val="20"/>
              </w:rPr>
              <w:t>Diversified segment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77769C3" w14:textId="77777777" w:rsidR="00C56203" w:rsidRDefault="00C56203">
            <w:pPr>
              <w:keepNext/>
            </w:pPr>
          </w:p>
        </w:tc>
        <w:tc>
          <w:tcPr>
            <w:tcW w:w="1020" w:type="dxa"/>
            <w:tcBorders>
              <w:top w:val="nil"/>
              <w:left w:val="nil"/>
              <w:bottom w:val="nil"/>
              <w:right w:val="nil"/>
            </w:tcBorders>
            <w:shd w:val="clear" w:color="auto" w:fill="CCEEFF"/>
            <w:tcMar>
              <w:top w:w="0" w:type="dxa"/>
              <w:left w:w="0" w:type="dxa"/>
              <w:bottom w:w="0" w:type="dxa"/>
              <w:right w:w="53" w:type="dxa"/>
            </w:tcMar>
            <w:vAlign w:val="bottom"/>
          </w:tcPr>
          <w:p w14:paraId="2B212DDD" w14:textId="77777777" w:rsidR="00C56203" w:rsidRDefault="00CD5102">
            <w:pPr>
              <w:keepNext/>
              <w:spacing w:before="75" w:after="30"/>
              <w:jc w:val="right"/>
            </w:pPr>
            <w:r>
              <w:rPr>
                <w:rFonts w:ascii="Calibri" w:eastAsia="Calibri" w:hAnsi="Calibri" w:cs="Calibri"/>
                <w:color w:val="000000"/>
                <w:sz w:val="20"/>
              </w:rPr>
              <w:t>$197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2E950D3" w14:textId="77777777" w:rsidR="00C56203" w:rsidRDefault="00C56203">
            <w:pPr>
              <w:keepNext/>
            </w:pPr>
          </w:p>
        </w:tc>
        <w:tc>
          <w:tcPr>
            <w:tcW w:w="1020" w:type="dxa"/>
            <w:tcBorders>
              <w:top w:val="nil"/>
              <w:left w:val="nil"/>
              <w:bottom w:val="nil"/>
              <w:right w:val="nil"/>
            </w:tcBorders>
            <w:shd w:val="clear" w:color="auto" w:fill="CCEEFF"/>
            <w:tcMar>
              <w:top w:w="0" w:type="dxa"/>
              <w:left w:w="0" w:type="dxa"/>
              <w:bottom w:w="0" w:type="dxa"/>
              <w:right w:w="53" w:type="dxa"/>
            </w:tcMar>
            <w:vAlign w:val="bottom"/>
          </w:tcPr>
          <w:p w14:paraId="3BCE8AD1" w14:textId="77777777" w:rsidR="00C56203" w:rsidRDefault="00CD5102">
            <w:pPr>
              <w:keepNext/>
              <w:spacing w:before="75" w:after="30"/>
              <w:jc w:val="right"/>
            </w:pPr>
            <w:r>
              <w:rPr>
                <w:rFonts w:ascii="Calibri" w:eastAsia="Calibri" w:hAnsi="Calibri" w:cs="Calibri"/>
                <w:color w:val="000000"/>
                <w:sz w:val="20"/>
              </w:rPr>
              <w:t>$249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DB0376F" w14:textId="77777777" w:rsidR="00C56203" w:rsidRDefault="00C56203">
            <w:pPr>
              <w:keepNext/>
            </w:pPr>
          </w:p>
        </w:tc>
        <w:tc>
          <w:tcPr>
            <w:tcW w:w="915" w:type="dxa"/>
            <w:tcBorders>
              <w:top w:val="nil"/>
              <w:left w:val="nil"/>
              <w:bottom w:val="nil"/>
              <w:right w:val="nil"/>
            </w:tcBorders>
            <w:shd w:val="clear" w:color="auto" w:fill="CCEEFF"/>
            <w:tcMar>
              <w:top w:w="0" w:type="dxa"/>
              <w:left w:w="0" w:type="dxa"/>
              <w:bottom w:w="0" w:type="dxa"/>
              <w:right w:w="53" w:type="dxa"/>
            </w:tcMar>
            <w:vAlign w:val="bottom"/>
          </w:tcPr>
          <w:p w14:paraId="6C4B9069" w14:textId="77777777" w:rsidR="00C56203" w:rsidRDefault="00CD5102">
            <w:pPr>
              <w:keepNext/>
              <w:spacing w:before="75" w:after="30"/>
              <w:jc w:val="right"/>
            </w:pPr>
            <w:r>
              <w:rPr>
                <w:rFonts w:ascii="Calibri" w:eastAsia="Calibri" w:hAnsi="Calibri" w:cs="Calibri"/>
                <w:color w:val="000000"/>
                <w:sz w:val="20"/>
              </w:rPr>
              <w:t>($52)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9F00C59" w14:textId="77777777" w:rsidR="00C56203" w:rsidRDefault="00C56203">
            <w:pPr>
              <w:keepNext/>
            </w:pPr>
          </w:p>
        </w:tc>
        <w:tc>
          <w:tcPr>
            <w:tcW w:w="915" w:type="dxa"/>
            <w:tcBorders>
              <w:top w:val="nil"/>
              <w:left w:val="nil"/>
              <w:bottom w:val="nil"/>
              <w:right w:val="nil"/>
            </w:tcBorders>
            <w:shd w:val="clear" w:color="auto" w:fill="CCEEFF"/>
            <w:tcMar>
              <w:top w:w="0" w:type="dxa"/>
              <w:left w:w="0" w:type="dxa"/>
              <w:bottom w:w="0" w:type="dxa"/>
              <w:right w:w="15" w:type="dxa"/>
            </w:tcMar>
            <w:vAlign w:val="bottom"/>
          </w:tcPr>
          <w:p w14:paraId="79168413" w14:textId="77777777" w:rsidR="00C56203" w:rsidRDefault="00CD5102">
            <w:pPr>
              <w:keepNext/>
              <w:tabs>
                <w:tab w:val="left" w:pos="1"/>
                <w:tab w:val="left" w:pos="471"/>
              </w:tabs>
              <w:spacing w:before="75" w:after="30"/>
              <w:jc w:val="right"/>
            </w:pPr>
            <w:r>
              <w:rPr>
                <w:rFonts w:ascii="Calibri" w:eastAsia="Calibri" w:hAnsi="Calibri" w:cs="Calibri"/>
                <w:color w:val="000000"/>
                <w:sz w:val="20"/>
              </w:rPr>
              <w:tab/>
              <w:t>(21%)</w:t>
            </w:r>
            <w:r>
              <w:rPr>
                <w:rFonts w:ascii="Calibri" w:eastAsia="Calibri" w:hAnsi="Calibri" w:cs="Calibri"/>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FD5D39F" w14:textId="77777777" w:rsidR="00C56203" w:rsidRDefault="00C56203">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79246B60" w14:textId="77777777" w:rsidR="00C56203" w:rsidRDefault="00CD5102">
            <w:pPr>
              <w:keepNext/>
              <w:tabs>
                <w:tab w:val="left" w:pos="1"/>
                <w:tab w:val="left" w:pos="471"/>
              </w:tabs>
              <w:spacing w:before="75" w:after="30"/>
              <w:jc w:val="right"/>
            </w:pPr>
            <w:r>
              <w:rPr>
                <w:rFonts w:ascii="Calibri" w:eastAsia="Calibri" w:hAnsi="Calibri" w:cs="Calibri"/>
                <w:color w:val="000000"/>
                <w:sz w:val="20"/>
              </w:rPr>
              <w:tab/>
              <w:t>(21%)</w:t>
            </w:r>
            <w:r>
              <w:rPr>
                <w:rFonts w:ascii="Calibri" w:eastAsia="Calibri" w:hAnsi="Calibri" w:cs="Calibri"/>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5384262" w14:textId="77777777" w:rsidR="00C56203" w:rsidRDefault="00C56203">
            <w:pPr>
              <w:keepNext/>
            </w:pPr>
          </w:p>
        </w:tc>
        <w:tc>
          <w:tcPr>
            <w:tcW w:w="1125" w:type="dxa"/>
            <w:tcBorders>
              <w:top w:val="nil"/>
              <w:left w:val="nil"/>
              <w:bottom w:val="nil"/>
              <w:right w:val="single" w:sz="8" w:space="0" w:color="000000"/>
            </w:tcBorders>
            <w:shd w:val="clear" w:color="auto" w:fill="CCEEFF"/>
            <w:tcMar>
              <w:top w:w="0" w:type="dxa"/>
              <w:left w:w="0" w:type="dxa"/>
              <w:bottom w:w="0" w:type="dxa"/>
              <w:right w:w="15" w:type="dxa"/>
            </w:tcMar>
            <w:vAlign w:val="bottom"/>
          </w:tcPr>
          <w:p w14:paraId="5A574A7E" w14:textId="77777777" w:rsidR="00C56203" w:rsidRDefault="00CD5102">
            <w:pPr>
              <w:keepNext/>
              <w:tabs>
                <w:tab w:val="left" w:pos="1"/>
                <w:tab w:val="left" w:pos="471"/>
              </w:tabs>
              <w:spacing w:before="75" w:after="30"/>
              <w:jc w:val="right"/>
            </w:pPr>
            <w:r>
              <w:rPr>
                <w:rFonts w:ascii="Calibri" w:eastAsia="Calibri" w:hAnsi="Calibri" w:cs="Calibri"/>
                <w:color w:val="000000"/>
                <w:sz w:val="20"/>
              </w:rPr>
              <w:tab/>
              <w:t>(21%)</w:t>
            </w:r>
            <w:r>
              <w:rPr>
                <w:rFonts w:ascii="Calibri" w:eastAsia="Calibri" w:hAnsi="Calibri" w:cs="Calibri"/>
                <w:color w:val="000000"/>
                <w:sz w:val="20"/>
              </w:rPr>
              <w:tab/>
            </w:r>
          </w:p>
        </w:tc>
      </w:tr>
      <w:tr w:rsidR="00C56203" w14:paraId="2725329A" w14:textId="77777777">
        <w:trPr>
          <w:cantSplit/>
          <w:trHeight w:hRule="exact" w:val="285"/>
        </w:trPr>
        <w:tc>
          <w:tcPr>
            <w:tcW w:w="2790" w:type="dxa"/>
            <w:tcBorders>
              <w:top w:val="nil"/>
              <w:left w:val="single" w:sz="8" w:space="0" w:color="000000"/>
              <w:bottom w:val="single" w:sz="8" w:space="0" w:color="000000"/>
              <w:right w:val="nil"/>
            </w:tcBorders>
            <w:shd w:val="clear" w:color="auto" w:fill="FFFFFF"/>
            <w:tcMar>
              <w:top w:w="0" w:type="dxa"/>
              <w:left w:w="53" w:type="dxa"/>
              <w:bottom w:w="0" w:type="dxa"/>
              <w:right w:w="53" w:type="dxa"/>
            </w:tcMar>
            <w:vAlign w:val="bottom"/>
          </w:tcPr>
          <w:p w14:paraId="45D9D0B1" w14:textId="77777777" w:rsidR="00C56203" w:rsidRDefault="00CD5102">
            <w:pPr>
              <w:spacing w:before="75" w:after="30"/>
            </w:pPr>
            <w:r>
              <w:rPr>
                <w:rFonts w:ascii="Calibri" w:eastAsia="Calibri" w:hAnsi="Calibri" w:cs="Calibri"/>
                <w:b/>
                <w:color w:val="000000"/>
                <w:sz w:val="20"/>
              </w:rPr>
              <w:t>Bausch + Lomb segment</w:t>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5027FAB4" w14:textId="77777777" w:rsidR="00C56203" w:rsidRDefault="00C56203"/>
        </w:tc>
        <w:tc>
          <w:tcPr>
            <w:tcW w:w="1020" w:type="dxa"/>
            <w:tcBorders>
              <w:top w:val="nil"/>
              <w:left w:val="nil"/>
              <w:bottom w:val="single" w:sz="8" w:space="0" w:color="000000"/>
              <w:right w:val="nil"/>
            </w:tcBorders>
            <w:shd w:val="clear" w:color="auto" w:fill="FFFFFF"/>
            <w:tcMar>
              <w:top w:w="0" w:type="dxa"/>
              <w:left w:w="0" w:type="dxa"/>
              <w:bottom w:w="0" w:type="dxa"/>
              <w:right w:w="53" w:type="dxa"/>
            </w:tcMar>
            <w:vAlign w:val="bottom"/>
          </w:tcPr>
          <w:p w14:paraId="28C9B484" w14:textId="77777777" w:rsidR="00C56203" w:rsidRDefault="00CD5102">
            <w:pPr>
              <w:spacing w:before="75" w:after="30"/>
              <w:jc w:val="right"/>
            </w:pPr>
            <w:r>
              <w:rPr>
                <w:rFonts w:ascii="Calibri" w:eastAsia="Calibri" w:hAnsi="Calibri" w:cs="Calibri"/>
                <w:b/>
                <w:color w:val="000000"/>
                <w:sz w:val="20"/>
              </w:rPr>
              <w:t>$931</w:t>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5D1EFFB9" w14:textId="77777777" w:rsidR="00C56203" w:rsidRDefault="00C56203"/>
        </w:tc>
        <w:tc>
          <w:tcPr>
            <w:tcW w:w="1020" w:type="dxa"/>
            <w:tcBorders>
              <w:top w:val="nil"/>
              <w:left w:val="nil"/>
              <w:bottom w:val="single" w:sz="8" w:space="0" w:color="000000"/>
              <w:right w:val="nil"/>
            </w:tcBorders>
            <w:shd w:val="clear" w:color="auto" w:fill="FFFFFF"/>
            <w:tcMar>
              <w:top w:w="0" w:type="dxa"/>
              <w:left w:w="0" w:type="dxa"/>
              <w:bottom w:w="0" w:type="dxa"/>
              <w:right w:w="53" w:type="dxa"/>
            </w:tcMar>
            <w:vAlign w:val="bottom"/>
          </w:tcPr>
          <w:p w14:paraId="094538E6" w14:textId="77777777" w:rsidR="00C56203" w:rsidRDefault="00CD5102">
            <w:pPr>
              <w:spacing w:before="75" w:after="30"/>
              <w:jc w:val="right"/>
            </w:pPr>
            <w:r>
              <w:rPr>
                <w:rFonts w:ascii="Calibri" w:eastAsia="Calibri" w:hAnsi="Calibri" w:cs="Calibri"/>
                <w:b/>
                <w:color w:val="000000"/>
                <w:sz w:val="20"/>
              </w:rPr>
              <w:t>$889</w:t>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3FA4771E" w14:textId="77777777" w:rsidR="00C56203" w:rsidRDefault="00C56203"/>
        </w:tc>
        <w:tc>
          <w:tcPr>
            <w:tcW w:w="915" w:type="dxa"/>
            <w:tcBorders>
              <w:top w:val="nil"/>
              <w:left w:val="nil"/>
              <w:bottom w:val="single" w:sz="8" w:space="0" w:color="000000"/>
              <w:right w:val="nil"/>
            </w:tcBorders>
            <w:shd w:val="clear" w:color="auto" w:fill="FFFFFF"/>
            <w:tcMar>
              <w:top w:w="0" w:type="dxa"/>
              <w:left w:w="0" w:type="dxa"/>
              <w:bottom w:w="0" w:type="dxa"/>
              <w:right w:w="53" w:type="dxa"/>
            </w:tcMar>
            <w:vAlign w:val="bottom"/>
          </w:tcPr>
          <w:p w14:paraId="237A9025" w14:textId="77777777" w:rsidR="00C56203" w:rsidRDefault="00CD5102">
            <w:pPr>
              <w:spacing w:before="75" w:after="30"/>
              <w:jc w:val="right"/>
            </w:pPr>
            <w:r>
              <w:rPr>
                <w:rFonts w:ascii="Calibri" w:eastAsia="Calibri" w:hAnsi="Calibri" w:cs="Calibri"/>
                <w:b/>
                <w:color w:val="000000"/>
                <w:sz w:val="20"/>
              </w:rPr>
              <w:t>$42</w:t>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2FF8918A" w14:textId="77777777" w:rsidR="00C56203" w:rsidRDefault="00C56203"/>
        </w:tc>
        <w:tc>
          <w:tcPr>
            <w:tcW w:w="91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DF43A84" w14:textId="77777777" w:rsidR="00C56203" w:rsidRDefault="00CD5102">
            <w:pPr>
              <w:tabs>
                <w:tab w:val="left" w:pos="1"/>
                <w:tab w:val="left" w:pos="309"/>
              </w:tabs>
              <w:spacing w:before="75" w:after="30"/>
              <w:jc w:val="right"/>
            </w:pPr>
            <w:r>
              <w:rPr>
                <w:rFonts w:ascii="Calibri" w:eastAsia="Calibri" w:hAnsi="Calibri" w:cs="Calibri"/>
                <w:b/>
                <w:color w:val="000000"/>
                <w:sz w:val="20"/>
              </w:rPr>
              <w:tab/>
              <w:t>5%</w:t>
            </w:r>
            <w:r>
              <w:rPr>
                <w:rFonts w:ascii="Calibri" w:eastAsia="Calibri" w:hAnsi="Calibri" w:cs="Calibri"/>
                <w:b/>
                <w:color w:val="000000"/>
                <w:sz w:val="20"/>
              </w:rPr>
              <w:tab/>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4D75BC8F" w14:textId="77777777" w:rsidR="00C56203" w:rsidRDefault="00C56203"/>
        </w:tc>
        <w:tc>
          <w:tcPr>
            <w:tcW w:w="112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8CF954A" w14:textId="77777777" w:rsidR="00C56203" w:rsidRDefault="00CD5102">
            <w:pPr>
              <w:tabs>
                <w:tab w:val="left" w:pos="1"/>
                <w:tab w:val="left" w:pos="309"/>
              </w:tabs>
              <w:spacing w:before="75" w:after="30"/>
              <w:jc w:val="right"/>
            </w:pPr>
            <w:r>
              <w:rPr>
                <w:rFonts w:ascii="Calibri" w:eastAsia="Calibri" w:hAnsi="Calibri" w:cs="Calibri"/>
                <w:b/>
                <w:color w:val="000000"/>
                <w:sz w:val="20"/>
              </w:rPr>
              <w:tab/>
              <w:t>8%</w:t>
            </w:r>
            <w:r>
              <w:rPr>
                <w:rFonts w:ascii="Calibri" w:eastAsia="Calibri" w:hAnsi="Calibri" w:cs="Calibri"/>
                <w:b/>
                <w:color w:val="000000"/>
                <w:sz w:val="20"/>
              </w:rPr>
              <w:tab/>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0E9EFB79" w14:textId="77777777" w:rsidR="00C56203" w:rsidRDefault="00C56203"/>
        </w:tc>
        <w:tc>
          <w:tcPr>
            <w:tcW w:w="1125" w:type="dxa"/>
            <w:tcBorders>
              <w:top w:val="nil"/>
              <w:left w:val="nil"/>
              <w:bottom w:val="single" w:sz="8" w:space="0" w:color="000000"/>
              <w:right w:val="single" w:sz="8" w:space="0" w:color="000000"/>
            </w:tcBorders>
            <w:shd w:val="clear" w:color="auto" w:fill="FFFFFF"/>
            <w:tcMar>
              <w:top w:w="0" w:type="dxa"/>
              <w:left w:w="0" w:type="dxa"/>
              <w:bottom w:w="0" w:type="dxa"/>
              <w:right w:w="15" w:type="dxa"/>
            </w:tcMar>
            <w:vAlign w:val="bottom"/>
          </w:tcPr>
          <w:p w14:paraId="0421FE4B" w14:textId="77777777" w:rsidR="00C56203" w:rsidRDefault="00CD5102">
            <w:pPr>
              <w:tabs>
                <w:tab w:val="left" w:pos="1"/>
                <w:tab w:val="left" w:pos="309"/>
              </w:tabs>
              <w:spacing w:before="75" w:after="30"/>
              <w:jc w:val="right"/>
            </w:pPr>
            <w:r>
              <w:rPr>
                <w:rFonts w:ascii="Calibri" w:eastAsia="Calibri" w:hAnsi="Calibri" w:cs="Calibri"/>
                <w:b/>
                <w:color w:val="000000"/>
                <w:sz w:val="20"/>
              </w:rPr>
              <w:tab/>
              <w:t>8%</w:t>
            </w:r>
            <w:r>
              <w:rPr>
                <w:rFonts w:ascii="Calibri" w:eastAsia="Calibri" w:hAnsi="Calibri" w:cs="Calibri"/>
                <w:b/>
                <w:color w:val="000000"/>
                <w:sz w:val="20"/>
              </w:rPr>
              <w:tab/>
            </w:r>
          </w:p>
        </w:tc>
      </w:tr>
    </w:tbl>
    <w:p w14:paraId="59130FFE" w14:textId="77777777" w:rsidR="00C56203" w:rsidRDefault="00C56203">
      <w:pPr>
        <w:spacing w:line="269" w:lineRule="auto"/>
        <w:rPr>
          <w:rFonts w:ascii="Calibri" w:eastAsia="Calibri" w:hAnsi="Calibri" w:cs="Calibri"/>
          <w:sz w:val="22"/>
        </w:rPr>
      </w:pPr>
    </w:p>
    <w:p w14:paraId="4B595924" w14:textId="77777777" w:rsidR="00C56203" w:rsidRDefault="00CD5102">
      <w:pPr>
        <w:spacing w:line="269" w:lineRule="auto"/>
        <w:rPr>
          <w:rFonts w:ascii="Calibri" w:eastAsia="Calibri" w:hAnsi="Calibri" w:cs="Calibri"/>
          <w:b/>
          <w:sz w:val="22"/>
        </w:rPr>
      </w:pPr>
      <w:r>
        <w:rPr>
          <w:rFonts w:ascii="Calibri" w:eastAsia="Calibri" w:hAnsi="Calibri" w:cs="Calibri"/>
          <w:b/>
          <w:sz w:val="22"/>
        </w:rPr>
        <w:t>Salix Segment</w:t>
      </w:r>
    </w:p>
    <w:p w14:paraId="3DBD9A10" w14:textId="77777777" w:rsidR="00C56203" w:rsidRDefault="00CD5102">
      <w:pPr>
        <w:spacing w:line="288" w:lineRule="auto"/>
        <w:rPr>
          <w:rFonts w:ascii="Calibri" w:eastAsia="Calibri" w:hAnsi="Calibri" w:cs="Calibri"/>
          <w:color w:val="000000"/>
          <w:sz w:val="22"/>
          <w:shd w:val="clear" w:color="auto" w:fill="FFFF00"/>
        </w:rPr>
      </w:pPr>
      <w:r>
        <w:rPr>
          <w:rFonts w:ascii="Calibri" w:eastAsia="Calibri" w:hAnsi="Calibri" w:cs="Calibri"/>
          <w:sz w:val="22"/>
        </w:rPr>
        <w:t>Salix segment reported and organic</w:t>
      </w:r>
      <w:r>
        <w:rPr>
          <w:rFonts w:ascii="Calibri" w:eastAsia="Calibri" w:hAnsi="Calibri" w:cs="Calibri"/>
          <w:sz w:val="22"/>
          <w:vertAlign w:val="superscript"/>
        </w:rPr>
        <w:t>1</w:t>
      </w:r>
      <w:r>
        <w:rPr>
          <w:rFonts w:ascii="Calibri" w:eastAsia="Calibri" w:hAnsi="Calibri" w:cs="Calibri"/>
          <w:sz w:val="22"/>
        </w:rPr>
        <w:t xml:space="preserve"> revenues were </w:t>
      </w:r>
      <w:r>
        <w:rPr>
          <w:rFonts w:ascii="Calibri" w:eastAsia="Calibri" w:hAnsi="Calibri" w:cs="Calibri"/>
          <w:color w:val="000000"/>
          <w:sz w:val="22"/>
        </w:rPr>
        <w:t>$496 million</w:t>
      </w:r>
      <w:r>
        <w:rPr>
          <w:rFonts w:ascii="Calibri" w:eastAsia="Calibri" w:hAnsi="Calibri" w:cs="Calibri"/>
          <w:sz w:val="22"/>
        </w:rPr>
        <w:t xml:space="preserve"> for the first quarter of 2023, compared with </w:t>
      </w:r>
      <w:r>
        <w:rPr>
          <w:rFonts w:ascii="Calibri" w:eastAsia="Calibri" w:hAnsi="Calibri" w:cs="Calibri"/>
          <w:color w:val="000000"/>
          <w:sz w:val="22"/>
        </w:rPr>
        <w:t>$464 million</w:t>
      </w:r>
      <w:r>
        <w:rPr>
          <w:rFonts w:ascii="Calibri" w:eastAsia="Calibri" w:hAnsi="Calibri" w:cs="Calibri"/>
          <w:sz w:val="22"/>
        </w:rPr>
        <w:t xml:space="preserve"> for the first quarter o</w:t>
      </w:r>
      <w:r>
        <w:rPr>
          <w:rFonts w:ascii="Calibri" w:eastAsia="Calibri" w:hAnsi="Calibri" w:cs="Calibri"/>
          <w:sz w:val="22"/>
        </w:rPr>
        <w:t xml:space="preserve">f 2022, an increase of </w:t>
      </w:r>
      <w:r>
        <w:rPr>
          <w:rFonts w:ascii="Calibri" w:eastAsia="Calibri" w:hAnsi="Calibri" w:cs="Calibri"/>
          <w:color w:val="000000"/>
          <w:sz w:val="22"/>
        </w:rPr>
        <w:t>$32 million</w:t>
      </w:r>
      <w:r>
        <w:rPr>
          <w:rFonts w:ascii="Calibri" w:eastAsia="Calibri" w:hAnsi="Calibri" w:cs="Calibri"/>
          <w:sz w:val="22"/>
        </w:rPr>
        <w:t xml:space="preserve">, or </w:t>
      </w:r>
      <w:r>
        <w:rPr>
          <w:rFonts w:ascii="Calibri" w:eastAsia="Calibri" w:hAnsi="Calibri" w:cs="Calibri"/>
          <w:color w:val="000000"/>
          <w:sz w:val="22"/>
        </w:rPr>
        <w:t>7%</w:t>
      </w:r>
      <w:r>
        <w:rPr>
          <w:rFonts w:ascii="Calibri" w:eastAsia="Calibri" w:hAnsi="Calibri" w:cs="Calibri"/>
          <w:sz w:val="22"/>
        </w:rPr>
        <w:t xml:space="preserve">. Sales growth was driven by </w:t>
      </w:r>
      <w:proofErr w:type="spellStart"/>
      <w:r>
        <w:rPr>
          <w:rFonts w:ascii="Calibri" w:eastAsia="Calibri" w:hAnsi="Calibri" w:cs="Calibri"/>
          <w:sz w:val="22"/>
        </w:rPr>
        <w:t>Xifaxan</w:t>
      </w:r>
      <w:proofErr w:type="spellEnd"/>
      <w:r>
        <w:rPr>
          <w:rFonts w:ascii="Calibri" w:eastAsia="Calibri" w:hAnsi="Calibri" w:cs="Calibri"/>
          <w:sz w:val="22"/>
        </w:rPr>
        <w:t xml:space="preserve">®, </w:t>
      </w:r>
      <w:proofErr w:type="spellStart"/>
      <w:r>
        <w:rPr>
          <w:rFonts w:ascii="Calibri" w:eastAsia="Calibri" w:hAnsi="Calibri" w:cs="Calibri"/>
          <w:sz w:val="22"/>
        </w:rPr>
        <w:t>Relistor</w:t>
      </w:r>
      <w:proofErr w:type="spellEnd"/>
      <w:r>
        <w:rPr>
          <w:rFonts w:ascii="Calibri" w:eastAsia="Calibri" w:hAnsi="Calibri" w:cs="Calibri"/>
          <w:sz w:val="22"/>
        </w:rPr>
        <w:t xml:space="preserve">®, and </w:t>
      </w:r>
      <w:proofErr w:type="spellStart"/>
      <w:r>
        <w:rPr>
          <w:rFonts w:ascii="Calibri" w:eastAsia="Calibri" w:hAnsi="Calibri" w:cs="Calibri"/>
          <w:sz w:val="22"/>
        </w:rPr>
        <w:t>Trulance</w:t>
      </w:r>
      <w:proofErr w:type="spellEnd"/>
      <w:r>
        <w:rPr>
          <w:rFonts w:ascii="Calibri" w:eastAsia="Calibri" w:hAnsi="Calibri" w:cs="Calibri"/>
          <w:sz w:val="22"/>
        </w:rPr>
        <w:t>®.</w:t>
      </w:r>
    </w:p>
    <w:p w14:paraId="2DCC2571" w14:textId="77777777" w:rsidR="00C56203" w:rsidRDefault="00C56203">
      <w:pPr>
        <w:spacing w:line="288" w:lineRule="auto"/>
        <w:rPr>
          <w:rFonts w:ascii="Calibri" w:eastAsia="Calibri" w:hAnsi="Calibri" w:cs="Calibri"/>
          <w:sz w:val="22"/>
        </w:rPr>
      </w:pPr>
    </w:p>
    <w:p w14:paraId="0BC51A6C" w14:textId="77777777" w:rsidR="00C56203" w:rsidRDefault="00CD5102">
      <w:pPr>
        <w:spacing w:line="288" w:lineRule="auto"/>
        <w:rPr>
          <w:rFonts w:ascii="Calibri" w:eastAsia="Calibri" w:hAnsi="Calibri" w:cs="Calibri"/>
          <w:b/>
          <w:sz w:val="22"/>
        </w:rPr>
      </w:pPr>
      <w:r>
        <w:rPr>
          <w:rFonts w:ascii="Calibri" w:eastAsia="Calibri" w:hAnsi="Calibri" w:cs="Calibri"/>
          <w:b/>
          <w:sz w:val="22"/>
        </w:rPr>
        <w:t>International Segment</w:t>
      </w:r>
    </w:p>
    <w:p w14:paraId="239367D2" w14:textId="77777777" w:rsidR="00C56203" w:rsidRDefault="00CD5102">
      <w:pPr>
        <w:spacing w:line="288" w:lineRule="auto"/>
        <w:rPr>
          <w:rFonts w:ascii="Calibri" w:eastAsia="Calibri" w:hAnsi="Calibri" w:cs="Calibri"/>
          <w:sz w:val="22"/>
        </w:rPr>
      </w:pPr>
      <w:r>
        <w:rPr>
          <w:rFonts w:ascii="Calibri" w:eastAsia="Calibri" w:hAnsi="Calibri" w:cs="Calibri"/>
          <w:sz w:val="22"/>
        </w:rPr>
        <w:t xml:space="preserve">International segment reported revenues were </w:t>
      </w:r>
      <w:r>
        <w:rPr>
          <w:rFonts w:ascii="Calibri" w:eastAsia="Calibri" w:hAnsi="Calibri" w:cs="Calibri"/>
          <w:color w:val="000000"/>
          <w:sz w:val="22"/>
        </w:rPr>
        <w:t>$247 million</w:t>
      </w:r>
      <w:r>
        <w:rPr>
          <w:rFonts w:ascii="Calibri" w:eastAsia="Calibri" w:hAnsi="Calibri" w:cs="Calibri"/>
          <w:sz w:val="22"/>
        </w:rPr>
        <w:t xml:space="preserve"> for the first quarter of 2023, compared with </w:t>
      </w:r>
      <w:r>
        <w:rPr>
          <w:rFonts w:ascii="Calibri" w:eastAsia="Calibri" w:hAnsi="Calibri" w:cs="Calibri"/>
          <w:color w:val="000000"/>
          <w:sz w:val="22"/>
        </w:rPr>
        <w:t>$244 million</w:t>
      </w:r>
      <w:r>
        <w:rPr>
          <w:rFonts w:ascii="Calibri" w:eastAsia="Calibri" w:hAnsi="Calibri" w:cs="Calibri"/>
          <w:sz w:val="22"/>
        </w:rPr>
        <w:t xml:space="preserve"> for the fir</w:t>
      </w:r>
      <w:r>
        <w:rPr>
          <w:rFonts w:ascii="Calibri" w:eastAsia="Calibri" w:hAnsi="Calibri" w:cs="Calibri"/>
          <w:sz w:val="22"/>
        </w:rPr>
        <w:t xml:space="preserve">st quarter of 2022, an increase of </w:t>
      </w:r>
      <w:r>
        <w:rPr>
          <w:rFonts w:ascii="Calibri" w:eastAsia="Calibri" w:hAnsi="Calibri" w:cs="Calibri"/>
          <w:color w:val="000000"/>
          <w:sz w:val="22"/>
        </w:rPr>
        <w:t>$3 million</w:t>
      </w:r>
      <w:r>
        <w:rPr>
          <w:rFonts w:ascii="Calibri" w:eastAsia="Calibri" w:hAnsi="Calibri" w:cs="Calibri"/>
          <w:sz w:val="22"/>
        </w:rPr>
        <w:t xml:space="preserve">, or </w:t>
      </w:r>
      <w:r>
        <w:rPr>
          <w:rFonts w:ascii="Calibri" w:eastAsia="Calibri" w:hAnsi="Calibri" w:cs="Calibri"/>
          <w:color w:val="000000"/>
          <w:sz w:val="22"/>
        </w:rPr>
        <w:t>1%</w:t>
      </w:r>
      <w:r>
        <w:rPr>
          <w:rFonts w:ascii="Calibri" w:eastAsia="Calibri" w:hAnsi="Calibri" w:cs="Calibri"/>
          <w:sz w:val="22"/>
        </w:rPr>
        <w:t xml:space="preserve">. Excluding the unfavorable impact of foreign exchange of </w:t>
      </w:r>
      <w:r>
        <w:rPr>
          <w:rFonts w:ascii="Calibri" w:eastAsia="Calibri" w:hAnsi="Calibri" w:cs="Calibri"/>
          <w:color w:val="000000"/>
          <w:sz w:val="22"/>
        </w:rPr>
        <w:t>$6 million</w:t>
      </w:r>
      <w:r>
        <w:rPr>
          <w:rFonts w:ascii="Calibri" w:eastAsia="Calibri" w:hAnsi="Calibri" w:cs="Calibri"/>
          <w:sz w:val="22"/>
        </w:rPr>
        <w:t xml:space="preserve"> and the impact of divestitures and discontinuations of </w:t>
      </w:r>
      <w:r>
        <w:rPr>
          <w:rFonts w:ascii="Calibri" w:eastAsia="Calibri" w:hAnsi="Calibri" w:cs="Calibri"/>
          <w:color w:val="000000"/>
          <w:sz w:val="22"/>
        </w:rPr>
        <w:t>$3 million</w:t>
      </w:r>
      <w:r>
        <w:rPr>
          <w:rFonts w:ascii="Calibri" w:eastAsia="Calibri" w:hAnsi="Calibri" w:cs="Calibri"/>
          <w:sz w:val="22"/>
        </w:rPr>
        <w:t>, segment revenues increased organically</w:t>
      </w:r>
      <w:r>
        <w:rPr>
          <w:rFonts w:ascii="Calibri" w:eastAsia="Calibri" w:hAnsi="Calibri" w:cs="Calibri"/>
          <w:sz w:val="22"/>
          <w:vertAlign w:val="superscript"/>
        </w:rPr>
        <w:t>1</w:t>
      </w:r>
      <w:r>
        <w:rPr>
          <w:rFonts w:ascii="Calibri" w:eastAsia="Calibri" w:hAnsi="Calibri" w:cs="Calibri"/>
          <w:sz w:val="22"/>
        </w:rPr>
        <w:t xml:space="preserve"> by </w:t>
      </w:r>
      <w:r>
        <w:rPr>
          <w:rFonts w:ascii="Calibri" w:eastAsia="Calibri" w:hAnsi="Calibri" w:cs="Calibri"/>
          <w:color w:val="000000"/>
          <w:sz w:val="22"/>
        </w:rPr>
        <w:t>5%</w:t>
      </w:r>
      <w:r>
        <w:rPr>
          <w:rFonts w:ascii="Calibri" w:eastAsia="Calibri" w:hAnsi="Calibri" w:cs="Calibri"/>
          <w:sz w:val="22"/>
        </w:rPr>
        <w:t xml:space="preserve"> compared with the </w:t>
      </w:r>
      <w:r>
        <w:rPr>
          <w:rFonts w:ascii="Calibri" w:eastAsia="Calibri" w:hAnsi="Calibri" w:cs="Calibri"/>
          <w:sz w:val="22"/>
        </w:rPr>
        <w:t>first quarter of 2022, led by organic growth in Canada and Europe.</w:t>
      </w:r>
    </w:p>
    <w:p w14:paraId="69029ACF" w14:textId="77777777" w:rsidR="00C56203" w:rsidRDefault="00C56203">
      <w:pPr>
        <w:spacing w:line="288" w:lineRule="auto"/>
        <w:rPr>
          <w:rFonts w:ascii="Calibri" w:eastAsia="Calibri" w:hAnsi="Calibri" w:cs="Calibri"/>
          <w:sz w:val="22"/>
        </w:rPr>
      </w:pPr>
    </w:p>
    <w:p w14:paraId="23F9E7E5" w14:textId="77777777" w:rsidR="00C56203" w:rsidRDefault="00CD5102">
      <w:pPr>
        <w:spacing w:line="288" w:lineRule="auto"/>
        <w:rPr>
          <w:rFonts w:ascii="Calibri" w:eastAsia="Calibri" w:hAnsi="Calibri" w:cs="Calibri"/>
          <w:b/>
          <w:sz w:val="22"/>
        </w:rPr>
      </w:pPr>
      <w:proofErr w:type="spellStart"/>
      <w:r>
        <w:rPr>
          <w:rFonts w:ascii="Calibri" w:eastAsia="Calibri" w:hAnsi="Calibri" w:cs="Calibri"/>
          <w:b/>
          <w:sz w:val="22"/>
        </w:rPr>
        <w:t>Solta</w:t>
      </w:r>
      <w:proofErr w:type="spellEnd"/>
      <w:r>
        <w:rPr>
          <w:rFonts w:ascii="Calibri" w:eastAsia="Calibri" w:hAnsi="Calibri" w:cs="Calibri"/>
          <w:b/>
          <w:sz w:val="22"/>
        </w:rPr>
        <w:t xml:space="preserve"> Medical Segment</w:t>
      </w:r>
    </w:p>
    <w:p w14:paraId="4541F6DC" w14:textId="77777777" w:rsidR="00C56203" w:rsidRDefault="00CD5102">
      <w:pPr>
        <w:spacing w:line="288" w:lineRule="auto"/>
        <w:rPr>
          <w:rFonts w:ascii="Calibri" w:eastAsia="Calibri" w:hAnsi="Calibri" w:cs="Calibri"/>
          <w:sz w:val="22"/>
        </w:rPr>
      </w:pPr>
      <w:proofErr w:type="spellStart"/>
      <w:r>
        <w:rPr>
          <w:rFonts w:ascii="Calibri" w:eastAsia="Calibri" w:hAnsi="Calibri" w:cs="Calibri"/>
          <w:sz w:val="22"/>
        </w:rPr>
        <w:t>Solta</w:t>
      </w:r>
      <w:proofErr w:type="spellEnd"/>
      <w:r>
        <w:rPr>
          <w:rFonts w:ascii="Calibri" w:eastAsia="Calibri" w:hAnsi="Calibri" w:cs="Calibri"/>
          <w:sz w:val="22"/>
        </w:rPr>
        <w:t xml:space="preserve"> Medical segment reported revenues were </w:t>
      </w:r>
      <w:r>
        <w:rPr>
          <w:rFonts w:ascii="Calibri" w:eastAsia="Calibri" w:hAnsi="Calibri" w:cs="Calibri"/>
          <w:color w:val="000000"/>
          <w:sz w:val="22"/>
        </w:rPr>
        <w:t>$73 million</w:t>
      </w:r>
      <w:r>
        <w:rPr>
          <w:rFonts w:ascii="Calibri" w:eastAsia="Calibri" w:hAnsi="Calibri" w:cs="Calibri"/>
          <w:sz w:val="22"/>
        </w:rPr>
        <w:t xml:space="preserve"> for the first quarter of 2023, compared with </w:t>
      </w:r>
      <w:r>
        <w:rPr>
          <w:rFonts w:ascii="Calibri" w:eastAsia="Calibri" w:hAnsi="Calibri" w:cs="Calibri"/>
          <w:color w:val="000000"/>
          <w:sz w:val="22"/>
        </w:rPr>
        <w:t>$72 million</w:t>
      </w:r>
      <w:r>
        <w:rPr>
          <w:rFonts w:ascii="Calibri" w:eastAsia="Calibri" w:hAnsi="Calibri" w:cs="Calibri"/>
          <w:sz w:val="22"/>
        </w:rPr>
        <w:t xml:space="preserve"> in the first quarter of 2022, an increase of </w:t>
      </w:r>
      <w:r>
        <w:rPr>
          <w:rFonts w:ascii="Calibri" w:eastAsia="Calibri" w:hAnsi="Calibri" w:cs="Calibri"/>
          <w:color w:val="000000"/>
          <w:sz w:val="22"/>
        </w:rPr>
        <w:t>$1 mill</w:t>
      </w:r>
      <w:r>
        <w:rPr>
          <w:rFonts w:ascii="Calibri" w:eastAsia="Calibri" w:hAnsi="Calibri" w:cs="Calibri"/>
          <w:color w:val="000000"/>
          <w:sz w:val="22"/>
        </w:rPr>
        <w:t>ion</w:t>
      </w:r>
      <w:r>
        <w:rPr>
          <w:rFonts w:ascii="Calibri" w:eastAsia="Calibri" w:hAnsi="Calibri" w:cs="Calibri"/>
          <w:sz w:val="22"/>
        </w:rPr>
        <w:t xml:space="preserve">, or </w:t>
      </w:r>
      <w:r>
        <w:rPr>
          <w:rFonts w:ascii="Calibri" w:eastAsia="Calibri" w:hAnsi="Calibri" w:cs="Calibri"/>
          <w:color w:val="000000"/>
          <w:sz w:val="22"/>
        </w:rPr>
        <w:t>1%</w:t>
      </w:r>
      <w:r>
        <w:rPr>
          <w:rFonts w:ascii="Calibri" w:eastAsia="Calibri" w:hAnsi="Calibri" w:cs="Calibri"/>
          <w:sz w:val="22"/>
        </w:rPr>
        <w:t xml:space="preserve">. Excluding the unfavorable impact of foreign exchange of </w:t>
      </w:r>
      <w:r>
        <w:rPr>
          <w:rFonts w:ascii="Calibri" w:eastAsia="Calibri" w:hAnsi="Calibri" w:cs="Calibri"/>
          <w:color w:val="000000"/>
          <w:sz w:val="22"/>
        </w:rPr>
        <w:t>$3 million</w:t>
      </w:r>
      <w:r>
        <w:rPr>
          <w:rFonts w:ascii="Calibri" w:eastAsia="Calibri" w:hAnsi="Calibri" w:cs="Calibri"/>
          <w:sz w:val="22"/>
        </w:rPr>
        <w:t>, segment revenues increased organically</w:t>
      </w:r>
      <w:r>
        <w:rPr>
          <w:rFonts w:ascii="Calibri" w:eastAsia="Calibri" w:hAnsi="Calibri" w:cs="Calibri"/>
          <w:sz w:val="22"/>
          <w:vertAlign w:val="superscript"/>
        </w:rPr>
        <w:t>1</w:t>
      </w:r>
      <w:r>
        <w:rPr>
          <w:rFonts w:ascii="Calibri" w:eastAsia="Calibri" w:hAnsi="Calibri" w:cs="Calibri"/>
          <w:sz w:val="22"/>
        </w:rPr>
        <w:t xml:space="preserve"> by </w:t>
      </w:r>
      <w:r>
        <w:rPr>
          <w:rFonts w:ascii="Calibri" w:eastAsia="Calibri" w:hAnsi="Calibri" w:cs="Calibri"/>
          <w:color w:val="000000"/>
          <w:sz w:val="22"/>
        </w:rPr>
        <w:t>6%</w:t>
      </w:r>
      <w:r>
        <w:rPr>
          <w:rFonts w:ascii="Calibri" w:eastAsia="Calibri" w:hAnsi="Calibri" w:cs="Calibri"/>
          <w:sz w:val="22"/>
        </w:rPr>
        <w:t xml:space="preserve"> compared with the first quarter of 2022.</w:t>
      </w:r>
    </w:p>
    <w:p w14:paraId="0EA83862" w14:textId="77777777" w:rsidR="00C56203" w:rsidRDefault="00C56203">
      <w:pPr>
        <w:spacing w:line="288" w:lineRule="auto"/>
        <w:rPr>
          <w:rFonts w:ascii="Calibri" w:eastAsia="Calibri" w:hAnsi="Calibri" w:cs="Calibri"/>
          <w:sz w:val="22"/>
        </w:rPr>
      </w:pPr>
    </w:p>
    <w:p w14:paraId="6687AEA3" w14:textId="77777777" w:rsidR="00C56203" w:rsidRDefault="00CD5102">
      <w:pPr>
        <w:spacing w:line="288" w:lineRule="auto"/>
        <w:rPr>
          <w:rFonts w:ascii="Calibri" w:eastAsia="Calibri" w:hAnsi="Calibri" w:cs="Calibri"/>
          <w:b/>
          <w:sz w:val="22"/>
        </w:rPr>
      </w:pPr>
      <w:r>
        <w:rPr>
          <w:rFonts w:ascii="Calibri" w:eastAsia="Calibri" w:hAnsi="Calibri" w:cs="Calibri"/>
          <w:b/>
          <w:sz w:val="22"/>
        </w:rPr>
        <w:t>Diversified Segment</w:t>
      </w:r>
    </w:p>
    <w:p w14:paraId="7E439567" w14:textId="77777777" w:rsidR="00C56203" w:rsidRDefault="00CD5102">
      <w:pPr>
        <w:spacing w:line="288" w:lineRule="auto"/>
        <w:rPr>
          <w:rFonts w:ascii="Calibri" w:eastAsia="Calibri" w:hAnsi="Calibri" w:cs="Calibri"/>
          <w:color w:val="000000"/>
          <w:sz w:val="22"/>
          <w:shd w:val="clear" w:color="auto" w:fill="FFFF00"/>
        </w:rPr>
      </w:pPr>
      <w:r>
        <w:rPr>
          <w:rFonts w:ascii="Calibri" w:eastAsia="Calibri" w:hAnsi="Calibri" w:cs="Calibri"/>
          <w:sz w:val="22"/>
        </w:rPr>
        <w:t>Diversified segment reported and organic</w:t>
      </w:r>
      <w:r>
        <w:rPr>
          <w:rFonts w:ascii="Calibri" w:eastAsia="Calibri" w:hAnsi="Calibri" w:cs="Calibri"/>
          <w:sz w:val="22"/>
          <w:vertAlign w:val="superscript"/>
        </w:rPr>
        <w:t xml:space="preserve">1 </w:t>
      </w:r>
      <w:r>
        <w:rPr>
          <w:rFonts w:ascii="Calibri" w:eastAsia="Calibri" w:hAnsi="Calibri" w:cs="Calibri"/>
          <w:sz w:val="22"/>
        </w:rPr>
        <w:t xml:space="preserve">revenues were </w:t>
      </w:r>
      <w:r>
        <w:rPr>
          <w:rFonts w:ascii="Calibri" w:eastAsia="Calibri" w:hAnsi="Calibri" w:cs="Calibri"/>
          <w:color w:val="000000"/>
          <w:sz w:val="22"/>
        </w:rPr>
        <w:t>$197 million</w:t>
      </w:r>
      <w:r>
        <w:rPr>
          <w:rFonts w:ascii="Calibri" w:eastAsia="Calibri" w:hAnsi="Calibri" w:cs="Calibri"/>
          <w:sz w:val="22"/>
        </w:rPr>
        <w:t xml:space="preserve"> for the first quarter of 2023, compared with </w:t>
      </w:r>
      <w:r>
        <w:rPr>
          <w:rFonts w:ascii="Calibri" w:eastAsia="Calibri" w:hAnsi="Calibri" w:cs="Calibri"/>
          <w:color w:val="000000"/>
          <w:sz w:val="22"/>
        </w:rPr>
        <w:t>$249 million</w:t>
      </w:r>
      <w:r>
        <w:rPr>
          <w:rFonts w:ascii="Calibri" w:eastAsia="Calibri" w:hAnsi="Calibri" w:cs="Calibri"/>
          <w:sz w:val="22"/>
        </w:rPr>
        <w:t xml:space="preserve"> for the first quarter of 2022, a decrease of </w:t>
      </w:r>
      <w:r>
        <w:rPr>
          <w:rFonts w:ascii="Calibri" w:eastAsia="Calibri" w:hAnsi="Calibri" w:cs="Calibri"/>
          <w:color w:val="000000"/>
          <w:sz w:val="22"/>
        </w:rPr>
        <w:t>$52 million</w:t>
      </w:r>
      <w:r>
        <w:rPr>
          <w:rFonts w:ascii="Calibri" w:eastAsia="Calibri" w:hAnsi="Calibri" w:cs="Calibri"/>
          <w:sz w:val="22"/>
        </w:rPr>
        <w:t xml:space="preserve">, or </w:t>
      </w:r>
      <w:r>
        <w:rPr>
          <w:rFonts w:ascii="Calibri" w:eastAsia="Calibri" w:hAnsi="Calibri" w:cs="Calibri"/>
          <w:color w:val="000000"/>
          <w:sz w:val="22"/>
        </w:rPr>
        <w:t>21%</w:t>
      </w:r>
      <w:r>
        <w:rPr>
          <w:rFonts w:ascii="Calibri" w:eastAsia="Calibri" w:hAnsi="Calibri" w:cs="Calibri"/>
          <w:sz w:val="22"/>
        </w:rPr>
        <w:t>, primarily attributable to decreases in sales across Neurology, Generics and Dermatology, partially offset by an increase in sales i</w:t>
      </w:r>
      <w:r>
        <w:rPr>
          <w:rFonts w:ascii="Calibri" w:eastAsia="Calibri" w:hAnsi="Calibri" w:cs="Calibri"/>
          <w:sz w:val="22"/>
        </w:rPr>
        <w:t>n Dentistry.</w:t>
      </w:r>
    </w:p>
    <w:p w14:paraId="01C789BB" w14:textId="77777777" w:rsidR="00C56203" w:rsidRDefault="00C56203">
      <w:pPr>
        <w:spacing w:line="288" w:lineRule="auto"/>
        <w:rPr>
          <w:rFonts w:ascii="Calibri" w:eastAsia="Calibri" w:hAnsi="Calibri" w:cs="Calibri"/>
          <w:b/>
          <w:sz w:val="22"/>
        </w:rPr>
      </w:pPr>
    </w:p>
    <w:p w14:paraId="5EFB8168" w14:textId="77777777" w:rsidR="00C56203" w:rsidRDefault="00CD5102">
      <w:pPr>
        <w:spacing w:line="288" w:lineRule="auto"/>
        <w:rPr>
          <w:rFonts w:ascii="Calibri" w:eastAsia="Calibri" w:hAnsi="Calibri" w:cs="Calibri"/>
          <w:b/>
          <w:sz w:val="22"/>
        </w:rPr>
      </w:pPr>
      <w:r>
        <w:rPr>
          <w:rFonts w:ascii="Calibri" w:eastAsia="Calibri" w:hAnsi="Calibri" w:cs="Calibri"/>
          <w:b/>
          <w:sz w:val="22"/>
        </w:rPr>
        <w:t>Bausch + Lomb Segment</w:t>
      </w:r>
    </w:p>
    <w:p w14:paraId="71A04EA5" w14:textId="77777777" w:rsidR="00C56203" w:rsidRDefault="00CD5102">
      <w:pPr>
        <w:spacing w:line="288" w:lineRule="auto"/>
        <w:rPr>
          <w:rFonts w:ascii="Calibri" w:eastAsia="Calibri" w:hAnsi="Calibri" w:cs="Calibri"/>
          <w:sz w:val="22"/>
        </w:rPr>
      </w:pPr>
      <w:r>
        <w:rPr>
          <w:rFonts w:ascii="Calibri" w:eastAsia="Calibri" w:hAnsi="Calibri" w:cs="Calibri"/>
          <w:sz w:val="22"/>
        </w:rPr>
        <w:t xml:space="preserve">Bausch + Lomb segment reported revenues were </w:t>
      </w:r>
      <w:r>
        <w:rPr>
          <w:rFonts w:ascii="Calibri" w:eastAsia="Calibri" w:hAnsi="Calibri" w:cs="Calibri"/>
          <w:color w:val="000000"/>
          <w:sz w:val="22"/>
        </w:rPr>
        <w:t>$931 million</w:t>
      </w:r>
      <w:r>
        <w:rPr>
          <w:rFonts w:ascii="Calibri" w:eastAsia="Calibri" w:hAnsi="Calibri" w:cs="Calibri"/>
          <w:sz w:val="22"/>
        </w:rPr>
        <w:t xml:space="preserve"> for the first quarter of 2023, compared with </w:t>
      </w:r>
      <w:r>
        <w:rPr>
          <w:rFonts w:ascii="Calibri" w:eastAsia="Calibri" w:hAnsi="Calibri" w:cs="Calibri"/>
          <w:color w:val="000000"/>
          <w:sz w:val="22"/>
        </w:rPr>
        <w:t>$889 million</w:t>
      </w:r>
      <w:r>
        <w:rPr>
          <w:rFonts w:ascii="Calibri" w:eastAsia="Calibri" w:hAnsi="Calibri" w:cs="Calibri"/>
          <w:sz w:val="22"/>
        </w:rPr>
        <w:t xml:space="preserve"> for the first quarter of 2022, an increase of </w:t>
      </w:r>
      <w:r>
        <w:rPr>
          <w:rFonts w:ascii="Calibri" w:eastAsia="Calibri" w:hAnsi="Calibri" w:cs="Calibri"/>
          <w:color w:val="000000"/>
          <w:sz w:val="22"/>
        </w:rPr>
        <w:t>$42 million</w:t>
      </w:r>
      <w:r>
        <w:rPr>
          <w:rFonts w:ascii="Calibri" w:eastAsia="Calibri" w:hAnsi="Calibri" w:cs="Calibri"/>
          <w:sz w:val="22"/>
        </w:rPr>
        <w:t xml:space="preserve">, or </w:t>
      </w:r>
      <w:r>
        <w:rPr>
          <w:rFonts w:ascii="Calibri" w:eastAsia="Calibri" w:hAnsi="Calibri" w:cs="Calibri"/>
          <w:color w:val="000000"/>
          <w:sz w:val="22"/>
        </w:rPr>
        <w:t>5%</w:t>
      </w:r>
      <w:r>
        <w:rPr>
          <w:rFonts w:ascii="Calibri" w:eastAsia="Calibri" w:hAnsi="Calibri" w:cs="Calibri"/>
          <w:sz w:val="22"/>
        </w:rPr>
        <w:t>.</w:t>
      </w:r>
      <w:r>
        <w:rPr>
          <w:rFonts w:ascii="Calibri" w:eastAsia="Calibri" w:hAnsi="Calibri" w:cs="Calibri"/>
          <w:color w:val="FF0000"/>
          <w:sz w:val="22"/>
        </w:rPr>
        <w:t xml:space="preserve"> </w:t>
      </w:r>
      <w:r>
        <w:rPr>
          <w:rFonts w:ascii="Calibri" w:eastAsia="Calibri" w:hAnsi="Calibri" w:cs="Calibri"/>
          <w:sz w:val="22"/>
        </w:rPr>
        <w:t xml:space="preserve">Excluding the unfavorable impact of foreign exchange of </w:t>
      </w:r>
      <w:r>
        <w:rPr>
          <w:rFonts w:ascii="Calibri" w:eastAsia="Calibri" w:hAnsi="Calibri" w:cs="Calibri"/>
          <w:color w:val="000000"/>
          <w:sz w:val="22"/>
        </w:rPr>
        <w:t>$31 million</w:t>
      </w:r>
      <w:r>
        <w:rPr>
          <w:rFonts w:ascii="Calibri" w:eastAsia="Calibri" w:hAnsi="Calibri" w:cs="Calibri"/>
          <w:sz w:val="22"/>
        </w:rPr>
        <w:t xml:space="preserve">, the impact of acquisitions of </w:t>
      </w:r>
      <w:r>
        <w:rPr>
          <w:rFonts w:ascii="Calibri" w:eastAsia="Calibri" w:hAnsi="Calibri" w:cs="Calibri"/>
          <w:color w:val="000000"/>
          <w:sz w:val="22"/>
        </w:rPr>
        <w:t>$2 million</w:t>
      </w:r>
      <w:r>
        <w:rPr>
          <w:rFonts w:ascii="Calibri" w:eastAsia="Calibri" w:hAnsi="Calibri" w:cs="Calibri"/>
          <w:sz w:val="22"/>
        </w:rPr>
        <w:t xml:space="preserve"> and the impact of divestitures and discontinuations of </w:t>
      </w:r>
      <w:r>
        <w:rPr>
          <w:rFonts w:ascii="Calibri" w:eastAsia="Calibri" w:hAnsi="Calibri" w:cs="Calibri"/>
          <w:color w:val="000000"/>
          <w:sz w:val="22"/>
        </w:rPr>
        <w:t>$2 million</w:t>
      </w:r>
      <w:r>
        <w:rPr>
          <w:rFonts w:ascii="Calibri" w:eastAsia="Calibri" w:hAnsi="Calibri" w:cs="Calibri"/>
          <w:sz w:val="22"/>
        </w:rPr>
        <w:t>, the Bausch + Lomb segment revenue increased organically</w:t>
      </w:r>
      <w:r>
        <w:rPr>
          <w:rFonts w:ascii="Calibri" w:eastAsia="Calibri" w:hAnsi="Calibri" w:cs="Calibri"/>
          <w:sz w:val="22"/>
          <w:vertAlign w:val="superscript"/>
        </w:rPr>
        <w:t>1</w:t>
      </w:r>
      <w:r>
        <w:rPr>
          <w:rFonts w:ascii="Calibri" w:eastAsia="Calibri" w:hAnsi="Calibri" w:cs="Calibri"/>
          <w:sz w:val="22"/>
        </w:rPr>
        <w:t xml:space="preserve"> by </w:t>
      </w:r>
      <w:r>
        <w:rPr>
          <w:rFonts w:ascii="Calibri" w:eastAsia="Calibri" w:hAnsi="Calibri" w:cs="Calibri"/>
          <w:color w:val="000000"/>
          <w:sz w:val="22"/>
        </w:rPr>
        <w:t>8%</w:t>
      </w:r>
      <w:r>
        <w:rPr>
          <w:rFonts w:ascii="Calibri" w:eastAsia="Calibri" w:hAnsi="Calibri" w:cs="Calibri"/>
          <w:sz w:val="22"/>
        </w:rPr>
        <w:t>, compared with t</w:t>
      </w:r>
      <w:r>
        <w:rPr>
          <w:rFonts w:ascii="Calibri" w:eastAsia="Calibri" w:hAnsi="Calibri" w:cs="Calibri"/>
          <w:sz w:val="22"/>
        </w:rPr>
        <w:t>he first quarter of 2022, driven by increases across all business units.</w:t>
      </w:r>
    </w:p>
    <w:p w14:paraId="2DF5F4F2" w14:textId="77777777" w:rsidR="00C56203" w:rsidRDefault="00C56203">
      <w:pPr>
        <w:spacing w:line="288" w:lineRule="auto"/>
        <w:rPr>
          <w:rFonts w:ascii="Calibri" w:eastAsia="Calibri" w:hAnsi="Calibri" w:cs="Calibri"/>
          <w:sz w:val="22"/>
        </w:rPr>
      </w:pPr>
    </w:p>
    <w:p w14:paraId="4FC2BC0F" w14:textId="77777777" w:rsidR="00C56203" w:rsidRDefault="00CD5102">
      <w:pPr>
        <w:spacing w:line="288" w:lineRule="auto"/>
        <w:rPr>
          <w:rFonts w:ascii="Calibri" w:eastAsia="Calibri" w:hAnsi="Calibri" w:cs="Calibri"/>
          <w:b/>
          <w:sz w:val="22"/>
        </w:rPr>
      </w:pPr>
      <w:r>
        <w:rPr>
          <w:rFonts w:ascii="Calibri" w:eastAsia="Calibri" w:hAnsi="Calibri" w:cs="Calibri"/>
          <w:b/>
          <w:sz w:val="22"/>
        </w:rPr>
        <w:t>Consolidated Operating Income</w:t>
      </w:r>
    </w:p>
    <w:p w14:paraId="7CB5649C" w14:textId="77777777" w:rsidR="00C56203" w:rsidRDefault="00CD5102">
      <w:pPr>
        <w:spacing w:line="269" w:lineRule="auto"/>
        <w:rPr>
          <w:rFonts w:ascii="Calibri" w:eastAsia="Calibri" w:hAnsi="Calibri" w:cs="Calibri"/>
          <w:sz w:val="22"/>
        </w:rPr>
      </w:pPr>
      <w:r>
        <w:rPr>
          <w:rFonts w:ascii="Calibri" w:eastAsia="Calibri" w:hAnsi="Calibri" w:cs="Calibri"/>
          <w:sz w:val="22"/>
        </w:rPr>
        <w:t xml:space="preserve">Consolidated operating income was </w:t>
      </w:r>
      <w:r>
        <w:rPr>
          <w:rFonts w:ascii="Calibri" w:eastAsia="Calibri" w:hAnsi="Calibri" w:cs="Calibri"/>
          <w:color w:val="000000"/>
          <w:sz w:val="22"/>
        </w:rPr>
        <w:t>$175 million</w:t>
      </w:r>
      <w:r>
        <w:rPr>
          <w:rFonts w:ascii="Calibri" w:eastAsia="Calibri" w:hAnsi="Calibri" w:cs="Calibri"/>
          <w:sz w:val="22"/>
        </w:rPr>
        <w:t xml:space="preserve"> for the first quarter of 2023, compared with operating income of </w:t>
      </w:r>
      <w:r>
        <w:rPr>
          <w:rFonts w:ascii="Calibri" w:eastAsia="Calibri" w:hAnsi="Calibri" w:cs="Calibri"/>
          <w:color w:val="000000"/>
          <w:sz w:val="22"/>
        </w:rPr>
        <w:t>$285 million</w:t>
      </w:r>
      <w:r>
        <w:rPr>
          <w:rFonts w:ascii="Calibri" w:eastAsia="Calibri" w:hAnsi="Calibri" w:cs="Calibri"/>
          <w:sz w:val="22"/>
        </w:rPr>
        <w:t xml:space="preserve"> for the first</w:t>
      </w:r>
      <w:r>
        <w:rPr>
          <w:rFonts w:ascii="Calibri" w:eastAsia="Calibri" w:hAnsi="Calibri" w:cs="Calibri"/>
          <w:sz w:val="22"/>
        </w:rPr>
        <w:t xml:space="preserve"> quarter of 2022, </w:t>
      </w:r>
      <w:r>
        <w:rPr>
          <w:rFonts w:ascii="Calibri" w:eastAsia="Calibri" w:hAnsi="Calibri" w:cs="Calibri"/>
          <w:color w:val="000000"/>
          <w:sz w:val="22"/>
        </w:rPr>
        <w:t>a decrease</w:t>
      </w:r>
      <w:r>
        <w:rPr>
          <w:rFonts w:ascii="Calibri" w:eastAsia="Calibri" w:hAnsi="Calibri" w:cs="Calibri"/>
          <w:sz w:val="22"/>
        </w:rPr>
        <w:t xml:space="preserve"> of </w:t>
      </w:r>
      <w:r>
        <w:rPr>
          <w:rFonts w:ascii="Calibri" w:eastAsia="Calibri" w:hAnsi="Calibri" w:cs="Calibri"/>
          <w:color w:val="000000"/>
          <w:sz w:val="22"/>
        </w:rPr>
        <w:t>$110 million</w:t>
      </w:r>
      <w:r>
        <w:rPr>
          <w:rFonts w:ascii="Calibri" w:eastAsia="Calibri" w:hAnsi="Calibri" w:cs="Calibri"/>
          <w:sz w:val="22"/>
        </w:rPr>
        <w:t>. The change is primarily due to higher SG&amp;A expenses, reflecting investments in selling and marketing, and R&amp;D, as well as non-cash charges associated with adjustments to the fair value of acquisition related co</w:t>
      </w:r>
      <w:r>
        <w:rPr>
          <w:rFonts w:ascii="Calibri" w:eastAsia="Calibri" w:hAnsi="Calibri" w:cs="Calibri"/>
          <w:sz w:val="22"/>
        </w:rPr>
        <w:t>ntingent consideration, offset by lower amortization of intangibles.</w:t>
      </w:r>
    </w:p>
    <w:p w14:paraId="55E1BAB8" w14:textId="77777777" w:rsidR="00C56203" w:rsidRDefault="00C56203">
      <w:pPr>
        <w:spacing w:line="288" w:lineRule="auto"/>
        <w:rPr>
          <w:rFonts w:ascii="Calibri" w:eastAsia="Calibri" w:hAnsi="Calibri" w:cs="Calibri"/>
          <w:sz w:val="22"/>
        </w:rPr>
      </w:pPr>
    </w:p>
    <w:p w14:paraId="4FC4FD09" w14:textId="77777777" w:rsidR="00C56203" w:rsidRDefault="00CD5102">
      <w:pPr>
        <w:spacing w:line="288" w:lineRule="auto"/>
        <w:rPr>
          <w:rFonts w:ascii="Calibri" w:eastAsia="Calibri" w:hAnsi="Calibri" w:cs="Calibri"/>
          <w:sz w:val="22"/>
        </w:rPr>
      </w:pPr>
      <w:r>
        <w:rPr>
          <w:rFonts w:ascii="Calibri" w:eastAsia="Calibri" w:hAnsi="Calibri" w:cs="Calibri"/>
          <w:b/>
          <w:sz w:val="22"/>
        </w:rPr>
        <w:t>Net Loss Attributable to Bausch Health</w:t>
      </w:r>
    </w:p>
    <w:p w14:paraId="532C1417" w14:textId="77777777" w:rsidR="00C56203" w:rsidRDefault="00CD5102">
      <w:pPr>
        <w:spacing w:line="269" w:lineRule="auto"/>
        <w:rPr>
          <w:rFonts w:ascii="Calibri" w:eastAsia="Calibri" w:hAnsi="Calibri" w:cs="Calibri"/>
          <w:sz w:val="22"/>
        </w:rPr>
      </w:pPr>
      <w:r>
        <w:rPr>
          <w:rFonts w:ascii="Calibri" w:eastAsia="Calibri" w:hAnsi="Calibri" w:cs="Calibri"/>
          <w:sz w:val="22"/>
        </w:rPr>
        <w:t xml:space="preserve">Net loss attributable to Bausch Health for the first quarter of 2023 was </w:t>
      </w:r>
      <w:r>
        <w:rPr>
          <w:rFonts w:ascii="Calibri" w:eastAsia="Calibri" w:hAnsi="Calibri" w:cs="Calibri"/>
          <w:color w:val="000000"/>
          <w:sz w:val="22"/>
        </w:rPr>
        <w:t>$201 million</w:t>
      </w:r>
      <w:r>
        <w:rPr>
          <w:rFonts w:ascii="Calibri" w:eastAsia="Calibri" w:hAnsi="Calibri" w:cs="Calibri"/>
          <w:sz w:val="22"/>
        </w:rPr>
        <w:t xml:space="preserve">, compared with a net loss of </w:t>
      </w:r>
      <w:r>
        <w:rPr>
          <w:rFonts w:ascii="Calibri" w:eastAsia="Calibri" w:hAnsi="Calibri" w:cs="Calibri"/>
          <w:color w:val="000000"/>
          <w:sz w:val="22"/>
        </w:rPr>
        <w:t>$69 million</w:t>
      </w:r>
      <w:r>
        <w:rPr>
          <w:rFonts w:ascii="Calibri" w:eastAsia="Calibri" w:hAnsi="Calibri" w:cs="Calibri"/>
          <w:sz w:val="22"/>
        </w:rPr>
        <w:t xml:space="preserve"> for the first quarte</w:t>
      </w:r>
      <w:r>
        <w:rPr>
          <w:rFonts w:ascii="Calibri" w:eastAsia="Calibri" w:hAnsi="Calibri" w:cs="Calibri"/>
          <w:sz w:val="22"/>
        </w:rPr>
        <w:t xml:space="preserve">r of 2022, an unfavorable change of $132 million. This was primarily due to the increase in loss before income taxes of </w:t>
      </w:r>
      <w:r>
        <w:rPr>
          <w:rFonts w:ascii="Calibri" w:eastAsia="Calibri" w:hAnsi="Calibri" w:cs="Calibri"/>
          <w:color w:val="000000"/>
          <w:sz w:val="22"/>
        </w:rPr>
        <w:t>$54 million</w:t>
      </w:r>
      <w:r>
        <w:rPr>
          <w:rFonts w:ascii="Calibri" w:eastAsia="Calibri" w:hAnsi="Calibri" w:cs="Calibri"/>
          <w:sz w:val="22"/>
        </w:rPr>
        <w:t xml:space="preserve">, and an </w:t>
      </w:r>
      <w:r>
        <w:rPr>
          <w:rFonts w:ascii="Calibri" w:eastAsia="Calibri" w:hAnsi="Calibri" w:cs="Calibri"/>
          <w:color w:val="000000"/>
          <w:sz w:val="22"/>
        </w:rPr>
        <w:t>unfavorable</w:t>
      </w:r>
      <w:r>
        <w:rPr>
          <w:rFonts w:ascii="Calibri" w:eastAsia="Calibri" w:hAnsi="Calibri" w:cs="Calibri"/>
          <w:sz w:val="22"/>
        </w:rPr>
        <w:t xml:space="preserve"> change in income taxes of </w:t>
      </w:r>
      <w:r>
        <w:rPr>
          <w:rFonts w:ascii="Calibri" w:eastAsia="Calibri" w:hAnsi="Calibri" w:cs="Calibri"/>
          <w:color w:val="000000"/>
          <w:sz w:val="22"/>
        </w:rPr>
        <w:t>$89 million</w:t>
      </w:r>
      <w:r>
        <w:rPr>
          <w:rFonts w:ascii="Calibri" w:eastAsia="Calibri" w:hAnsi="Calibri" w:cs="Calibri"/>
          <w:sz w:val="22"/>
        </w:rPr>
        <w:t xml:space="preserve">. </w:t>
      </w:r>
    </w:p>
    <w:p w14:paraId="5D0B9DAE" w14:textId="77777777" w:rsidR="00C56203" w:rsidRDefault="00C56203">
      <w:pPr>
        <w:spacing w:line="288" w:lineRule="auto"/>
        <w:rPr>
          <w:rFonts w:ascii="Calibri" w:eastAsia="Calibri" w:hAnsi="Calibri" w:cs="Calibri"/>
          <w:sz w:val="22"/>
        </w:rPr>
      </w:pPr>
    </w:p>
    <w:p w14:paraId="21AD088F" w14:textId="77777777" w:rsidR="00C56203" w:rsidRDefault="00CD5102">
      <w:pPr>
        <w:spacing w:line="288" w:lineRule="auto"/>
        <w:rPr>
          <w:rFonts w:ascii="Calibri" w:eastAsia="Calibri" w:hAnsi="Calibri" w:cs="Calibri"/>
          <w:sz w:val="22"/>
        </w:rPr>
      </w:pPr>
      <w:r>
        <w:rPr>
          <w:rFonts w:ascii="Calibri" w:eastAsia="Calibri" w:hAnsi="Calibri" w:cs="Calibri"/>
          <w:sz w:val="22"/>
        </w:rPr>
        <w:t>Adjusted net income attributable to Bausch Health (non-GAAP)</w:t>
      </w:r>
      <w:r>
        <w:rPr>
          <w:rFonts w:ascii="Calibri" w:eastAsia="Calibri" w:hAnsi="Calibri" w:cs="Calibri"/>
          <w:sz w:val="22"/>
          <w:vertAlign w:val="superscript"/>
        </w:rPr>
        <w:t>1</w:t>
      </w:r>
      <w:r>
        <w:rPr>
          <w:rFonts w:ascii="Calibri" w:eastAsia="Calibri" w:hAnsi="Calibri" w:cs="Calibri"/>
          <w:sz w:val="22"/>
        </w:rPr>
        <w:t xml:space="preserve"> f</w:t>
      </w:r>
      <w:r>
        <w:rPr>
          <w:rFonts w:ascii="Calibri" w:eastAsia="Calibri" w:hAnsi="Calibri" w:cs="Calibri"/>
          <w:sz w:val="22"/>
        </w:rPr>
        <w:t xml:space="preserve">or the first quarter of 2023 was </w:t>
      </w:r>
      <w:r>
        <w:rPr>
          <w:rFonts w:ascii="Calibri" w:eastAsia="Calibri" w:hAnsi="Calibri" w:cs="Calibri"/>
          <w:color w:val="000000"/>
          <w:sz w:val="22"/>
        </w:rPr>
        <w:t>$191 million</w:t>
      </w:r>
      <w:r>
        <w:rPr>
          <w:rFonts w:ascii="Calibri" w:eastAsia="Calibri" w:hAnsi="Calibri" w:cs="Calibri"/>
          <w:sz w:val="22"/>
        </w:rPr>
        <w:t xml:space="preserve">, compared with </w:t>
      </w:r>
      <w:r>
        <w:rPr>
          <w:rFonts w:ascii="Calibri" w:eastAsia="Calibri" w:hAnsi="Calibri" w:cs="Calibri"/>
          <w:color w:val="000000"/>
          <w:sz w:val="22"/>
        </w:rPr>
        <w:t>$263 million</w:t>
      </w:r>
      <w:r>
        <w:rPr>
          <w:rFonts w:ascii="Calibri" w:eastAsia="Calibri" w:hAnsi="Calibri" w:cs="Calibri"/>
          <w:sz w:val="22"/>
        </w:rPr>
        <w:t xml:space="preserve"> for the first quarter of 2022, a decrease of $72 million primarily due to higher operating expenses and foreign exchange headwinds.</w:t>
      </w:r>
    </w:p>
    <w:p w14:paraId="062E2274" w14:textId="77777777" w:rsidR="00C56203" w:rsidRDefault="00C56203">
      <w:pPr>
        <w:spacing w:line="288" w:lineRule="auto"/>
        <w:rPr>
          <w:rFonts w:ascii="Calibri" w:eastAsia="Calibri" w:hAnsi="Calibri" w:cs="Calibri"/>
          <w:sz w:val="22"/>
        </w:rPr>
      </w:pPr>
    </w:p>
    <w:p w14:paraId="32EC8113" w14:textId="77777777" w:rsidR="00C56203" w:rsidRDefault="00CD5102">
      <w:pPr>
        <w:spacing w:line="276" w:lineRule="auto"/>
        <w:rPr>
          <w:rFonts w:ascii="Calibri" w:eastAsia="Calibri" w:hAnsi="Calibri" w:cs="Calibri"/>
          <w:sz w:val="22"/>
        </w:rPr>
      </w:pPr>
      <w:r>
        <w:rPr>
          <w:rFonts w:ascii="Calibri" w:eastAsia="Calibri" w:hAnsi="Calibri" w:cs="Calibri"/>
          <w:b/>
          <w:sz w:val="22"/>
        </w:rPr>
        <w:t>Loss Per Share Attributable to Bausch Health</w:t>
      </w:r>
    </w:p>
    <w:p w14:paraId="362093F0" w14:textId="77777777" w:rsidR="00C56203" w:rsidRDefault="00CD5102">
      <w:pPr>
        <w:spacing w:line="269" w:lineRule="auto"/>
        <w:rPr>
          <w:rFonts w:ascii="Calibri" w:eastAsia="Calibri" w:hAnsi="Calibri" w:cs="Calibri"/>
          <w:sz w:val="22"/>
        </w:rPr>
      </w:pPr>
      <w:r>
        <w:rPr>
          <w:rFonts w:ascii="Calibri" w:eastAsia="Calibri" w:hAnsi="Calibri" w:cs="Calibri"/>
          <w:sz w:val="22"/>
        </w:rPr>
        <w:t>GAAP</w:t>
      </w:r>
      <w:r>
        <w:rPr>
          <w:rFonts w:ascii="Calibri" w:eastAsia="Calibri" w:hAnsi="Calibri" w:cs="Calibri"/>
          <w:sz w:val="22"/>
        </w:rPr>
        <w:t xml:space="preserve"> Loss Per Share attributable to Bausch Health for the first quarter of 2023 was </w:t>
      </w:r>
      <w:r>
        <w:rPr>
          <w:rFonts w:ascii="Calibri" w:eastAsia="Calibri" w:hAnsi="Calibri" w:cs="Calibri"/>
          <w:color w:val="000000"/>
          <w:sz w:val="22"/>
        </w:rPr>
        <w:t>$(0.55)</w:t>
      </w:r>
      <w:r>
        <w:rPr>
          <w:rFonts w:ascii="Calibri" w:eastAsia="Calibri" w:hAnsi="Calibri" w:cs="Calibri"/>
          <w:sz w:val="22"/>
        </w:rPr>
        <w:t xml:space="preserve">, compared with </w:t>
      </w:r>
      <w:r>
        <w:rPr>
          <w:rFonts w:ascii="Calibri" w:eastAsia="Calibri" w:hAnsi="Calibri" w:cs="Calibri"/>
          <w:color w:val="000000"/>
          <w:sz w:val="22"/>
        </w:rPr>
        <w:t>$(0.19)</w:t>
      </w:r>
      <w:r>
        <w:rPr>
          <w:rFonts w:ascii="Calibri" w:eastAsia="Calibri" w:hAnsi="Calibri" w:cs="Calibri"/>
          <w:sz w:val="22"/>
        </w:rPr>
        <w:t xml:space="preserve"> for the first quarter of 2022.</w:t>
      </w:r>
    </w:p>
    <w:p w14:paraId="1AD83675" w14:textId="77777777" w:rsidR="00C56203" w:rsidRDefault="00C56203">
      <w:pPr>
        <w:spacing w:line="288" w:lineRule="auto"/>
        <w:rPr>
          <w:rFonts w:ascii="Calibri" w:eastAsia="Calibri" w:hAnsi="Calibri" w:cs="Calibri"/>
          <w:sz w:val="22"/>
        </w:rPr>
      </w:pPr>
    </w:p>
    <w:p w14:paraId="73ADD8EE" w14:textId="77777777" w:rsidR="00C56203" w:rsidRDefault="00CD5102">
      <w:pPr>
        <w:spacing w:line="288" w:lineRule="auto"/>
        <w:rPr>
          <w:rFonts w:ascii="Calibri" w:eastAsia="Calibri" w:hAnsi="Calibri" w:cs="Calibri"/>
          <w:sz w:val="22"/>
        </w:rPr>
      </w:pPr>
      <w:r>
        <w:rPr>
          <w:rFonts w:ascii="Calibri" w:eastAsia="Calibri" w:hAnsi="Calibri" w:cs="Calibri"/>
          <w:b/>
          <w:sz w:val="22"/>
        </w:rPr>
        <w:t>Adjusted EBITDA</w:t>
      </w:r>
      <w:r>
        <w:rPr>
          <w:rFonts w:ascii="Calibri" w:eastAsia="Calibri" w:hAnsi="Calibri" w:cs="Calibri"/>
          <w:sz w:val="22"/>
        </w:rPr>
        <w:t xml:space="preserve"> </w:t>
      </w:r>
      <w:r>
        <w:rPr>
          <w:rFonts w:ascii="Calibri" w:eastAsia="Calibri" w:hAnsi="Calibri" w:cs="Calibri"/>
          <w:b/>
          <w:sz w:val="22"/>
        </w:rPr>
        <w:t>Attributable to Bausch Health (non-GAAP)</w:t>
      </w:r>
      <w:r>
        <w:rPr>
          <w:rFonts w:ascii="Calibri" w:eastAsia="Calibri" w:hAnsi="Calibri" w:cs="Calibri"/>
          <w:b/>
          <w:sz w:val="22"/>
          <w:vertAlign w:val="superscript"/>
        </w:rPr>
        <w:t xml:space="preserve">1 </w:t>
      </w:r>
    </w:p>
    <w:p w14:paraId="6F6805AA" w14:textId="77777777" w:rsidR="00C56203" w:rsidRDefault="00CD5102">
      <w:pPr>
        <w:spacing w:line="288" w:lineRule="auto"/>
        <w:rPr>
          <w:rFonts w:ascii="Calibri" w:eastAsia="Calibri" w:hAnsi="Calibri" w:cs="Calibri"/>
          <w:sz w:val="22"/>
        </w:rPr>
      </w:pPr>
      <w:r>
        <w:rPr>
          <w:rFonts w:ascii="Calibri" w:eastAsia="Calibri" w:hAnsi="Calibri" w:cs="Calibri"/>
          <w:sz w:val="22"/>
        </w:rPr>
        <w:t xml:space="preserve">Adjusted EBITDA attributable to Bausch Health </w:t>
      </w:r>
      <w:r>
        <w:rPr>
          <w:rFonts w:ascii="Calibri" w:eastAsia="Calibri" w:hAnsi="Calibri" w:cs="Calibri"/>
          <w:sz w:val="22"/>
        </w:rPr>
        <w:t>(non-GAAP</w:t>
      </w:r>
      <w:r>
        <w:rPr>
          <w:rFonts w:ascii="Calibri" w:eastAsia="Calibri" w:hAnsi="Calibri" w:cs="Calibri"/>
          <w:i/>
          <w:sz w:val="22"/>
        </w:rPr>
        <w:t>)</w:t>
      </w:r>
      <w:r>
        <w:rPr>
          <w:rFonts w:ascii="Calibri" w:eastAsia="Calibri" w:hAnsi="Calibri" w:cs="Calibri"/>
          <w:sz w:val="22"/>
          <w:vertAlign w:val="superscript"/>
        </w:rPr>
        <w:t>1</w:t>
      </w:r>
      <w:r>
        <w:rPr>
          <w:rFonts w:ascii="Calibri" w:eastAsia="Calibri" w:hAnsi="Calibri" w:cs="Calibri"/>
          <w:sz w:val="22"/>
        </w:rPr>
        <w:t xml:space="preserve"> was </w:t>
      </w:r>
      <w:r>
        <w:rPr>
          <w:rFonts w:ascii="Calibri" w:eastAsia="Calibri" w:hAnsi="Calibri" w:cs="Calibri"/>
          <w:color w:val="000000"/>
          <w:sz w:val="22"/>
        </w:rPr>
        <w:t>$588 million</w:t>
      </w:r>
      <w:r>
        <w:rPr>
          <w:rFonts w:ascii="Calibri" w:eastAsia="Calibri" w:hAnsi="Calibri" w:cs="Calibri"/>
          <w:sz w:val="22"/>
        </w:rPr>
        <w:t xml:space="preserve"> for the first quarter of 2023, as compared to </w:t>
      </w:r>
      <w:r>
        <w:rPr>
          <w:rFonts w:ascii="Calibri" w:eastAsia="Calibri" w:hAnsi="Calibri" w:cs="Calibri"/>
          <w:color w:val="000000"/>
          <w:sz w:val="22"/>
        </w:rPr>
        <w:t>$732 million</w:t>
      </w:r>
      <w:r>
        <w:rPr>
          <w:rFonts w:ascii="Calibri" w:eastAsia="Calibri" w:hAnsi="Calibri" w:cs="Calibri"/>
          <w:sz w:val="22"/>
        </w:rPr>
        <w:t xml:space="preserve"> for the first quarter of 2022, a decrease of $144 million. </w:t>
      </w:r>
    </w:p>
    <w:p w14:paraId="04AE377C" w14:textId="77777777" w:rsidR="00C56203" w:rsidRDefault="00C56203">
      <w:pPr>
        <w:spacing w:line="288" w:lineRule="auto"/>
        <w:rPr>
          <w:rFonts w:ascii="Calibri" w:eastAsia="Calibri" w:hAnsi="Calibri" w:cs="Calibri"/>
          <w:sz w:val="22"/>
        </w:rPr>
      </w:pPr>
    </w:p>
    <w:p w14:paraId="2A9332BE" w14:textId="77777777" w:rsidR="00C56203" w:rsidRDefault="00CD5102">
      <w:pPr>
        <w:spacing w:line="288" w:lineRule="auto"/>
        <w:rPr>
          <w:rFonts w:ascii="Calibri" w:eastAsia="Calibri" w:hAnsi="Calibri" w:cs="Calibri"/>
          <w:sz w:val="22"/>
        </w:rPr>
      </w:pPr>
      <w:r>
        <w:rPr>
          <w:rFonts w:ascii="Calibri" w:eastAsia="Calibri" w:hAnsi="Calibri" w:cs="Calibri"/>
          <w:b/>
          <w:sz w:val="22"/>
        </w:rPr>
        <w:t>Cash Provided by (Used in) Operating Activities</w:t>
      </w:r>
    </w:p>
    <w:p w14:paraId="6C0E5A51" w14:textId="77777777" w:rsidR="00C56203" w:rsidRDefault="00CD5102">
      <w:pPr>
        <w:spacing w:line="269" w:lineRule="auto"/>
        <w:rPr>
          <w:rFonts w:ascii="Calibri" w:eastAsia="Calibri" w:hAnsi="Calibri" w:cs="Calibri"/>
          <w:sz w:val="22"/>
        </w:rPr>
      </w:pPr>
      <w:r>
        <w:rPr>
          <w:rFonts w:ascii="Calibri" w:eastAsia="Calibri" w:hAnsi="Calibri" w:cs="Calibri"/>
          <w:sz w:val="22"/>
        </w:rPr>
        <w:t xml:space="preserve">The company generated </w:t>
      </w:r>
      <w:r>
        <w:rPr>
          <w:rFonts w:ascii="Calibri" w:eastAsia="Calibri" w:hAnsi="Calibri" w:cs="Calibri"/>
          <w:color w:val="000000"/>
          <w:sz w:val="22"/>
        </w:rPr>
        <w:t>$154 million</w:t>
      </w:r>
      <w:r>
        <w:rPr>
          <w:rFonts w:ascii="Calibri" w:eastAsia="Calibri" w:hAnsi="Calibri" w:cs="Calibri"/>
          <w:sz w:val="22"/>
        </w:rPr>
        <w:t xml:space="preserve"> of cash in the first qua</w:t>
      </w:r>
      <w:r>
        <w:rPr>
          <w:rFonts w:ascii="Calibri" w:eastAsia="Calibri" w:hAnsi="Calibri" w:cs="Calibri"/>
          <w:sz w:val="22"/>
        </w:rPr>
        <w:t xml:space="preserve">rter of 2023 compared with using </w:t>
      </w:r>
      <w:r>
        <w:rPr>
          <w:rFonts w:ascii="Calibri" w:eastAsia="Calibri" w:hAnsi="Calibri" w:cs="Calibri"/>
          <w:color w:val="000000"/>
          <w:sz w:val="22"/>
        </w:rPr>
        <w:t>$63 million</w:t>
      </w:r>
      <w:r>
        <w:rPr>
          <w:rFonts w:ascii="Calibri" w:eastAsia="Calibri" w:hAnsi="Calibri" w:cs="Calibri"/>
          <w:sz w:val="22"/>
        </w:rPr>
        <w:t xml:space="preserve"> of cash in the first quarter of 2022. The increase in cash flow from operations is primarily attributable to: </w:t>
      </w:r>
      <w:r>
        <w:rPr>
          <w:rFonts w:ascii="Calibri" w:eastAsia="Calibri" w:hAnsi="Calibri" w:cs="Calibri"/>
          <w:color w:val="000000"/>
          <w:sz w:val="22"/>
        </w:rPr>
        <w:t>(</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a decrease in payments of accrued legal settlements related to the </w:t>
      </w:r>
      <w:proofErr w:type="spellStart"/>
      <w:r>
        <w:rPr>
          <w:rFonts w:ascii="Calibri" w:eastAsia="Calibri" w:hAnsi="Calibri" w:cs="Calibri"/>
          <w:color w:val="000000"/>
          <w:sz w:val="22"/>
        </w:rPr>
        <w:t>Glumetza</w:t>
      </w:r>
      <w:proofErr w:type="spellEnd"/>
      <w:r>
        <w:rPr>
          <w:rFonts w:ascii="Calibri" w:eastAsia="Calibri" w:hAnsi="Calibri" w:cs="Calibri"/>
          <w:color w:val="000000"/>
          <w:sz w:val="22"/>
        </w:rPr>
        <w:t xml:space="preserve"> Antitrust Litigation </w:t>
      </w:r>
      <w:r>
        <w:rPr>
          <w:rFonts w:ascii="Calibri" w:eastAsia="Calibri" w:hAnsi="Calibri" w:cs="Calibri"/>
          <w:color w:val="000000"/>
          <w:sz w:val="22"/>
        </w:rPr>
        <w:t>in first quarter 2022 and (ii) a portion of cash interest payments being classified as Cash Flows from Financing activities as a result of the accounting treatment required for the Company’s New Secured Notes issued in September 2022, partially offset by (</w:t>
      </w:r>
      <w:r>
        <w:rPr>
          <w:rFonts w:ascii="Calibri" w:eastAsia="Calibri" w:hAnsi="Calibri" w:cs="Calibri"/>
          <w:color w:val="000000"/>
          <w:sz w:val="22"/>
        </w:rPr>
        <w:t>iii) changes in business performance.</w:t>
      </w:r>
    </w:p>
    <w:p w14:paraId="7DABD793" w14:textId="77777777" w:rsidR="00C56203" w:rsidRDefault="00C56203">
      <w:pPr>
        <w:spacing w:line="288" w:lineRule="auto"/>
        <w:rPr>
          <w:rFonts w:ascii="Calibri" w:eastAsia="Calibri" w:hAnsi="Calibri" w:cs="Calibri"/>
          <w:color w:val="000000"/>
          <w:sz w:val="22"/>
        </w:rPr>
      </w:pPr>
    </w:p>
    <w:p w14:paraId="447A0FDF" w14:textId="77777777" w:rsidR="00C56203" w:rsidRDefault="00CD5102">
      <w:pPr>
        <w:spacing w:line="288" w:lineRule="auto"/>
        <w:rPr>
          <w:rFonts w:ascii="Calibri" w:eastAsia="Calibri" w:hAnsi="Calibri" w:cs="Calibri"/>
          <w:sz w:val="22"/>
        </w:rPr>
      </w:pPr>
      <w:r>
        <w:rPr>
          <w:rFonts w:ascii="Calibri" w:eastAsia="Calibri" w:hAnsi="Calibri" w:cs="Calibri"/>
          <w:b/>
          <w:sz w:val="22"/>
        </w:rPr>
        <w:t>Balance Sheet Highlights as of March 31, 2023:</w:t>
      </w:r>
    </w:p>
    <w:p w14:paraId="19BFC664" w14:textId="77777777" w:rsidR="00C56203" w:rsidRDefault="00CD5102">
      <w:pPr>
        <w:numPr>
          <w:ilvl w:val="0"/>
          <w:numId w:val="21"/>
        </w:numPr>
        <w:spacing w:line="288" w:lineRule="auto"/>
        <w:rPr>
          <w:rFonts w:ascii="Calibri" w:eastAsia="Calibri" w:hAnsi="Calibri" w:cs="Calibri"/>
          <w:sz w:val="22"/>
        </w:rPr>
      </w:pPr>
      <w:r>
        <w:rPr>
          <w:rFonts w:ascii="Calibri" w:eastAsia="Calibri" w:hAnsi="Calibri" w:cs="Calibri"/>
          <w:sz w:val="22"/>
        </w:rPr>
        <w:t xml:space="preserve">Cash and cash equivalents were </w:t>
      </w:r>
      <w:r>
        <w:rPr>
          <w:rFonts w:ascii="Calibri" w:eastAsia="Calibri" w:hAnsi="Calibri" w:cs="Calibri"/>
          <w:color w:val="000000"/>
          <w:sz w:val="22"/>
        </w:rPr>
        <w:t>$531</w:t>
      </w:r>
      <w:r>
        <w:rPr>
          <w:rFonts w:ascii="Calibri" w:eastAsia="Calibri" w:hAnsi="Calibri" w:cs="Calibri"/>
          <w:sz w:val="22"/>
        </w:rPr>
        <w:t xml:space="preserve"> million.</w:t>
      </w:r>
    </w:p>
    <w:p w14:paraId="6D2A9EC7" w14:textId="77777777" w:rsidR="00C56203" w:rsidRDefault="00CD5102">
      <w:pPr>
        <w:numPr>
          <w:ilvl w:val="0"/>
          <w:numId w:val="22"/>
        </w:numPr>
        <w:spacing w:line="288" w:lineRule="auto"/>
        <w:rPr>
          <w:rFonts w:ascii="Calibri" w:eastAsia="Calibri" w:hAnsi="Calibri" w:cs="Calibri"/>
          <w:sz w:val="22"/>
        </w:rPr>
      </w:pPr>
      <w:r>
        <w:rPr>
          <w:rFonts w:ascii="Calibri" w:eastAsia="Calibri" w:hAnsi="Calibri" w:cs="Calibri"/>
          <w:sz w:val="22"/>
        </w:rPr>
        <w:t xml:space="preserve">Bausch Health (excl. B+L) had availability under its 2027 revolving credit facility of approximately $557 million and Bausch </w:t>
      </w:r>
      <w:r>
        <w:rPr>
          <w:rFonts w:ascii="Calibri" w:eastAsia="Calibri" w:hAnsi="Calibri" w:cs="Calibri"/>
          <w:sz w:val="22"/>
        </w:rPr>
        <w:t>+ Lomb had availability of approximately $376 million under its revolving credit facility.</w:t>
      </w:r>
    </w:p>
    <w:p w14:paraId="171A17D4" w14:textId="77777777" w:rsidR="00C56203" w:rsidRDefault="00C56203">
      <w:pPr>
        <w:spacing w:line="288" w:lineRule="auto"/>
        <w:rPr>
          <w:rFonts w:ascii="Calibri" w:eastAsia="Calibri" w:hAnsi="Calibri" w:cs="Calibri"/>
          <w:sz w:val="22"/>
        </w:rPr>
      </w:pPr>
    </w:p>
    <w:p w14:paraId="5F10EA45" w14:textId="77777777" w:rsidR="00C56203" w:rsidRDefault="00CD5102">
      <w:pPr>
        <w:spacing w:line="288" w:lineRule="auto"/>
        <w:rPr>
          <w:rFonts w:ascii="Calibri" w:eastAsia="Calibri" w:hAnsi="Calibri" w:cs="Calibri"/>
          <w:sz w:val="22"/>
        </w:rPr>
      </w:pPr>
      <w:r>
        <w:rPr>
          <w:rFonts w:ascii="Calibri" w:eastAsia="Calibri" w:hAnsi="Calibri" w:cs="Calibri"/>
          <w:b/>
          <w:sz w:val="22"/>
        </w:rPr>
        <w:t xml:space="preserve">2023 Financial Outlook </w:t>
      </w:r>
    </w:p>
    <w:p w14:paraId="26F83322" w14:textId="77777777" w:rsidR="00C56203" w:rsidRDefault="00CD5102">
      <w:pPr>
        <w:spacing w:line="288" w:lineRule="auto"/>
        <w:rPr>
          <w:rFonts w:ascii="Calibri" w:eastAsia="Calibri" w:hAnsi="Calibri" w:cs="Calibri"/>
          <w:sz w:val="22"/>
        </w:rPr>
      </w:pPr>
      <w:r>
        <w:rPr>
          <w:rFonts w:ascii="Calibri" w:eastAsia="Calibri" w:hAnsi="Calibri" w:cs="Calibri"/>
          <w:sz w:val="22"/>
        </w:rPr>
        <w:t>The Company confirmed its full year guidance for Bausch Health (excl. B+L) and is providing full year consolidated guidance as follows:</w:t>
      </w:r>
    </w:p>
    <w:p w14:paraId="1ACE5F91" w14:textId="77777777" w:rsidR="00C56203" w:rsidRDefault="00CD5102">
      <w:pPr>
        <w:numPr>
          <w:ilvl w:val="0"/>
          <w:numId w:val="23"/>
        </w:numPr>
        <w:spacing w:line="288" w:lineRule="auto"/>
        <w:rPr>
          <w:rFonts w:ascii="Calibri" w:eastAsia="Calibri" w:hAnsi="Calibri" w:cs="Calibri"/>
          <w:sz w:val="22"/>
        </w:rPr>
      </w:pPr>
      <w:r>
        <w:rPr>
          <w:rFonts w:ascii="Calibri" w:eastAsia="Calibri" w:hAnsi="Calibri" w:cs="Calibri"/>
          <w:sz w:val="22"/>
        </w:rPr>
        <w:t>Full</w:t>
      </w:r>
      <w:r>
        <w:rPr>
          <w:rFonts w:ascii="Calibri" w:eastAsia="Calibri" w:hAnsi="Calibri" w:cs="Calibri"/>
          <w:sz w:val="22"/>
        </w:rPr>
        <w:t xml:space="preserve"> year revenue range of $8.35 - $8.55 billion</w:t>
      </w:r>
    </w:p>
    <w:p w14:paraId="7A350AB3" w14:textId="77777777" w:rsidR="00C56203" w:rsidRDefault="00CD5102">
      <w:pPr>
        <w:numPr>
          <w:ilvl w:val="0"/>
          <w:numId w:val="24"/>
        </w:numPr>
        <w:spacing w:line="288" w:lineRule="auto"/>
        <w:rPr>
          <w:rFonts w:ascii="Calibri" w:eastAsia="Calibri" w:hAnsi="Calibri" w:cs="Calibri"/>
          <w:sz w:val="22"/>
        </w:rPr>
      </w:pPr>
      <w:r>
        <w:rPr>
          <w:rFonts w:ascii="Calibri" w:eastAsia="Calibri" w:hAnsi="Calibri" w:cs="Calibri"/>
          <w:sz w:val="22"/>
        </w:rPr>
        <w:t>Full year Adjusted EBITDA (non-GAAP)</w:t>
      </w:r>
      <w:r>
        <w:rPr>
          <w:rFonts w:ascii="Calibri" w:eastAsia="Calibri" w:hAnsi="Calibri" w:cs="Calibri"/>
          <w:sz w:val="22"/>
          <w:vertAlign w:val="superscript"/>
        </w:rPr>
        <w:t>1</w:t>
      </w:r>
      <w:r>
        <w:rPr>
          <w:rFonts w:ascii="Calibri" w:eastAsia="Calibri" w:hAnsi="Calibri" w:cs="Calibri"/>
          <w:sz w:val="22"/>
        </w:rPr>
        <w:t xml:space="preserve"> range of $3.00 - $3.15 billion</w:t>
      </w:r>
    </w:p>
    <w:p w14:paraId="5FE86ABD" w14:textId="77777777" w:rsidR="00C56203" w:rsidRDefault="00C56203">
      <w:pPr>
        <w:spacing w:line="269" w:lineRule="auto"/>
        <w:rPr>
          <w:rFonts w:ascii="Calibri" w:eastAsia="Calibri" w:hAnsi="Calibri" w:cs="Calibri"/>
          <w:sz w:val="22"/>
        </w:rPr>
      </w:pPr>
    </w:p>
    <w:p w14:paraId="7253BC49" w14:textId="77777777" w:rsidR="00C56203" w:rsidRDefault="00CD5102">
      <w:pPr>
        <w:spacing w:line="269" w:lineRule="auto"/>
        <w:rPr>
          <w:rFonts w:ascii="Calibri" w:eastAsia="Calibri" w:hAnsi="Calibri" w:cs="Calibri"/>
          <w:sz w:val="22"/>
        </w:rPr>
      </w:pPr>
      <w:r>
        <w:rPr>
          <w:rFonts w:ascii="Calibri" w:eastAsia="Calibri" w:hAnsi="Calibri" w:cs="Calibri"/>
          <w:sz w:val="22"/>
        </w:rPr>
        <w:t xml:space="preserve">Other than with respect to GAAP revenues, the Company only provides guidance on a non-GAAP basis. The Company does not provide a </w:t>
      </w:r>
      <w:r>
        <w:rPr>
          <w:rFonts w:ascii="Calibri" w:eastAsia="Calibri" w:hAnsi="Calibri" w:cs="Calibri"/>
          <w:sz w:val="22"/>
        </w:rPr>
        <w:t>reconciliation of forward-looking Adjusted EBITDA (non-GAAP)</w:t>
      </w:r>
      <w:r>
        <w:rPr>
          <w:rFonts w:ascii="Calibri" w:eastAsia="Calibri" w:hAnsi="Calibri" w:cs="Calibri"/>
          <w:sz w:val="22"/>
          <w:vertAlign w:val="superscript"/>
        </w:rPr>
        <w:t>1</w:t>
      </w:r>
      <w:r>
        <w:rPr>
          <w:rFonts w:ascii="Calibri" w:eastAsia="Calibri" w:hAnsi="Calibri" w:cs="Calibri"/>
          <w:sz w:val="22"/>
        </w:rPr>
        <w:t xml:space="preserve"> to GAAP net income (loss), due to the inherent difficulty in forecasting and quantifying certain amounts that are necessary for such reconciliation. Because deductions (such as restructuring, ga</w:t>
      </w:r>
      <w:r>
        <w:rPr>
          <w:rFonts w:ascii="Calibri" w:eastAsia="Calibri" w:hAnsi="Calibri" w:cs="Calibri"/>
          <w:sz w:val="22"/>
        </w:rPr>
        <w:t>in or loss on extinguishment of debt and litigation and other matters) used to calculate projected net income (loss) vary dramatically based on actual events, the Company is not able to forecast on a GAAP basis with reasonable certainty all deductions need</w:t>
      </w:r>
      <w:r>
        <w:rPr>
          <w:rFonts w:ascii="Calibri" w:eastAsia="Calibri" w:hAnsi="Calibri" w:cs="Calibri"/>
          <w:sz w:val="22"/>
        </w:rPr>
        <w:t>ed in order to provide a GAAP calculation of projected net income (loss) at this time. The amount of these deductions may be material and, therefore, could result in projected GAAP net income (loss) being materially less than projected Adjusted EBITDA (non</w:t>
      </w:r>
      <w:r>
        <w:rPr>
          <w:rFonts w:ascii="Calibri" w:eastAsia="Calibri" w:hAnsi="Calibri" w:cs="Calibri"/>
          <w:sz w:val="22"/>
        </w:rPr>
        <w:t>-GAAP)</w:t>
      </w:r>
      <w:r>
        <w:rPr>
          <w:rFonts w:ascii="Calibri" w:eastAsia="Calibri" w:hAnsi="Calibri" w:cs="Calibri"/>
          <w:sz w:val="22"/>
          <w:vertAlign w:val="superscript"/>
        </w:rPr>
        <w:t>1</w:t>
      </w:r>
      <w:r>
        <w:rPr>
          <w:rFonts w:ascii="Calibri" w:eastAsia="Calibri" w:hAnsi="Calibri" w:cs="Calibri"/>
          <w:sz w:val="22"/>
        </w:rPr>
        <w:t xml:space="preserve">. These statements represent forward-looking information and may represent a financial outlook, and actual results may vary. Please see the risks and assumptions referred to in the Forward-looking Statements section of this news </w:t>
      </w:r>
      <w:r>
        <w:rPr>
          <w:rFonts w:ascii="Calibri" w:eastAsia="Calibri" w:hAnsi="Calibri" w:cs="Calibri"/>
          <w:sz w:val="22"/>
        </w:rPr>
        <w:lastRenderedPageBreak/>
        <w:t>release. The guidanc</w:t>
      </w:r>
      <w:r>
        <w:rPr>
          <w:rFonts w:ascii="Calibri" w:eastAsia="Calibri" w:hAnsi="Calibri" w:cs="Calibri"/>
          <w:sz w:val="22"/>
        </w:rPr>
        <w:t>e in this news release is only effective as of the date it is given, and will not be updated or affirmed unless and until the Company publicly announces updated or affirmed guidance.</w:t>
      </w:r>
    </w:p>
    <w:p w14:paraId="116B1E61" w14:textId="77777777" w:rsidR="00C56203" w:rsidRDefault="00CD5102">
      <w:pPr>
        <w:keepNext/>
        <w:keepLines/>
        <w:pageBreakBefore/>
        <w:widowControl w:val="0"/>
        <w:spacing w:after="100" w:line="276" w:lineRule="auto"/>
        <w:jc w:val="both"/>
        <w:rPr>
          <w:rFonts w:ascii="Calibri" w:eastAsia="Calibri" w:hAnsi="Calibri" w:cs="Calibri"/>
          <w:b/>
          <w:color w:val="0000FF"/>
          <w:sz w:val="22"/>
          <w:vertAlign w:val="superscript"/>
        </w:rPr>
      </w:pPr>
      <w:r>
        <w:rPr>
          <w:rFonts w:ascii="Calibri" w:eastAsia="Calibri" w:hAnsi="Calibri" w:cs="Calibri"/>
          <w:b/>
          <w:sz w:val="22"/>
        </w:rPr>
        <w:lastRenderedPageBreak/>
        <w:t>Conference Call Details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5"/>
        <w:gridCol w:w="6315"/>
      </w:tblGrid>
      <w:tr w:rsidR="00C56203" w14:paraId="5202E4E0" w14:textId="77777777">
        <w:trPr>
          <w:cantSplit/>
          <w:trHeight w:hRule="exact" w:val="300"/>
        </w:trPr>
        <w:tc>
          <w:tcPr>
            <w:tcW w:w="3045" w:type="dxa"/>
            <w:tcBorders>
              <w:top w:val="nil"/>
              <w:left w:val="nil"/>
              <w:bottom w:val="nil"/>
              <w:right w:val="nil"/>
            </w:tcBorders>
            <w:tcMar>
              <w:top w:w="0" w:type="dxa"/>
              <w:left w:w="53" w:type="dxa"/>
              <w:bottom w:w="0" w:type="dxa"/>
              <w:right w:w="53" w:type="dxa"/>
            </w:tcMar>
            <w:vAlign w:val="center"/>
          </w:tcPr>
          <w:p w14:paraId="55792B68" w14:textId="77777777" w:rsidR="00C56203" w:rsidRDefault="00CD5102">
            <w:pPr>
              <w:keepNext/>
              <w:ind w:left="120"/>
            </w:pPr>
            <w:r>
              <w:rPr>
                <w:rFonts w:ascii="Calibri" w:eastAsia="Calibri" w:hAnsi="Calibri" w:cs="Calibri"/>
                <w:color w:val="000000"/>
                <w:sz w:val="22"/>
              </w:rPr>
              <w:t>Date:</w:t>
            </w:r>
          </w:p>
        </w:tc>
        <w:tc>
          <w:tcPr>
            <w:tcW w:w="6315" w:type="dxa"/>
            <w:tcBorders>
              <w:top w:val="nil"/>
              <w:left w:val="nil"/>
              <w:bottom w:val="nil"/>
              <w:right w:val="nil"/>
            </w:tcBorders>
            <w:tcMar>
              <w:top w:w="0" w:type="dxa"/>
              <w:left w:w="53" w:type="dxa"/>
              <w:bottom w:w="0" w:type="dxa"/>
              <w:right w:w="53" w:type="dxa"/>
            </w:tcMar>
            <w:vAlign w:val="center"/>
          </w:tcPr>
          <w:p w14:paraId="24830927" w14:textId="77777777" w:rsidR="00C56203" w:rsidRDefault="00CD5102">
            <w:pPr>
              <w:keepNext/>
              <w:spacing w:line="269" w:lineRule="auto"/>
              <w:rPr>
                <w:rFonts w:ascii="Calibri" w:eastAsia="Calibri" w:hAnsi="Calibri" w:cs="Calibri"/>
                <w:sz w:val="22"/>
              </w:rPr>
            </w:pPr>
            <w:r>
              <w:rPr>
                <w:rFonts w:ascii="Calibri" w:eastAsia="Calibri" w:hAnsi="Calibri" w:cs="Calibri"/>
                <w:sz w:val="22"/>
              </w:rPr>
              <w:t>Thursday, May 4, 2023</w:t>
            </w:r>
          </w:p>
        </w:tc>
      </w:tr>
      <w:tr w:rsidR="00C56203" w14:paraId="51B7CD92" w14:textId="77777777">
        <w:trPr>
          <w:cantSplit/>
          <w:trHeight w:hRule="exact" w:val="300"/>
        </w:trPr>
        <w:tc>
          <w:tcPr>
            <w:tcW w:w="3045" w:type="dxa"/>
            <w:tcBorders>
              <w:top w:val="nil"/>
              <w:left w:val="nil"/>
              <w:bottom w:val="nil"/>
              <w:right w:val="nil"/>
            </w:tcBorders>
            <w:tcMar>
              <w:top w:w="0" w:type="dxa"/>
              <w:left w:w="0" w:type="dxa"/>
              <w:bottom w:w="0" w:type="dxa"/>
              <w:right w:w="0" w:type="dxa"/>
            </w:tcMar>
            <w:vAlign w:val="bottom"/>
          </w:tcPr>
          <w:p w14:paraId="541338B2" w14:textId="77777777" w:rsidR="00C56203" w:rsidRDefault="00C56203">
            <w:pPr>
              <w:keepNext/>
            </w:pPr>
          </w:p>
        </w:tc>
        <w:tc>
          <w:tcPr>
            <w:tcW w:w="6315" w:type="dxa"/>
            <w:tcBorders>
              <w:top w:val="nil"/>
              <w:left w:val="nil"/>
              <w:bottom w:val="nil"/>
              <w:right w:val="nil"/>
            </w:tcBorders>
            <w:tcMar>
              <w:top w:w="0" w:type="dxa"/>
              <w:left w:w="0" w:type="dxa"/>
              <w:bottom w:w="0" w:type="dxa"/>
              <w:right w:w="0" w:type="dxa"/>
            </w:tcMar>
            <w:vAlign w:val="bottom"/>
          </w:tcPr>
          <w:p w14:paraId="0072DDE8" w14:textId="77777777" w:rsidR="00C56203" w:rsidRDefault="00C56203">
            <w:pPr>
              <w:keepNext/>
            </w:pPr>
          </w:p>
        </w:tc>
      </w:tr>
      <w:tr w:rsidR="00C56203" w14:paraId="2AF2EE47" w14:textId="77777777">
        <w:trPr>
          <w:cantSplit/>
          <w:trHeight w:hRule="exact" w:val="300"/>
        </w:trPr>
        <w:tc>
          <w:tcPr>
            <w:tcW w:w="3045" w:type="dxa"/>
            <w:tcBorders>
              <w:top w:val="nil"/>
              <w:left w:val="nil"/>
              <w:bottom w:val="nil"/>
              <w:right w:val="nil"/>
            </w:tcBorders>
            <w:tcMar>
              <w:top w:w="0" w:type="dxa"/>
              <w:left w:w="53" w:type="dxa"/>
              <w:bottom w:w="0" w:type="dxa"/>
              <w:right w:w="53" w:type="dxa"/>
            </w:tcMar>
            <w:vAlign w:val="center"/>
          </w:tcPr>
          <w:p w14:paraId="13562E0A" w14:textId="77777777" w:rsidR="00C56203" w:rsidRDefault="00CD5102">
            <w:pPr>
              <w:keepNext/>
              <w:ind w:left="120"/>
            </w:pPr>
            <w:r>
              <w:rPr>
                <w:rFonts w:ascii="Calibri" w:eastAsia="Calibri" w:hAnsi="Calibri" w:cs="Calibri"/>
                <w:color w:val="000000"/>
                <w:sz w:val="22"/>
              </w:rPr>
              <w:t>Time:</w:t>
            </w:r>
          </w:p>
        </w:tc>
        <w:tc>
          <w:tcPr>
            <w:tcW w:w="6315" w:type="dxa"/>
            <w:tcBorders>
              <w:top w:val="nil"/>
              <w:left w:val="nil"/>
              <w:bottom w:val="nil"/>
              <w:right w:val="nil"/>
            </w:tcBorders>
            <w:tcMar>
              <w:top w:w="0" w:type="dxa"/>
              <w:left w:w="53" w:type="dxa"/>
              <w:bottom w:w="0" w:type="dxa"/>
              <w:right w:w="53" w:type="dxa"/>
            </w:tcMar>
            <w:vAlign w:val="center"/>
          </w:tcPr>
          <w:p w14:paraId="6C30E5F6" w14:textId="77777777" w:rsidR="00C56203" w:rsidRDefault="00CD5102">
            <w:pPr>
              <w:keepNext/>
            </w:pPr>
            <w:r>
              <w:rPr>
                <w:rFonts w:ascii="Calibri" w:eastAsia="Calibri" w:hAnsi="Calibri" w:cs="Calibri"/>
                <w:color w:val="000000"/>
                <w:sz w:val="22"/>
              </w:rPr>
              <w:t xml:space="preserve">8:00 </w:t>
            </w:r>
            <w:r>
              <w:rPr>
                <w:rFonts w:ascii="Calibri" w:eastAsia="Calibri" w:hAnsi="Calibri" w:cs="Calibri"/>
                <w:color w:val="000000"/>
                <w:sz w:val="22"/>
              </w:rPr>
              <w:t>a.m. ET</w:t>
            </w:r>
          </w:p>
        </w:tc>
      </w:tr>
      <w:tr w:rsidR="00C56203" w14:paraId="5D298D0F" w14:textId="77777777">
        <w:trPr>
          <w:cantSplit/>
          <w:trHeight w:hRule="exact" w:val="300"/>
        </w:trPr>
        <w:tc>
          <w:tcPr>
            <w:tcW w:w="3045" w:type="dxa"/>
            <w:tcBorders>
              <w:top w:val="nil"/>
              <w:left w:val="nil"/>
              <w:bottom w:val="nil"/>
              <w:right w:val="nil"/>
            </w:tcBorders>
            <w:tcMar>
              <w:top w:w="0" w:type="dxa"/>
              <w:left w:w="0" w:type="dxa"/>
              <w:bottom w:w="0" w:type="dxa"/>
              <w:right w:w="0" w:type="dxa"/>
            </w:tcMar>
            <w:vAlign w:val="bottom"/>
          </w:tcPr>
          <w:p w14:paraId="44ABE073" w14:textId="77777777" w:rsidR="00C56203" w:rsidRDefault="00C56203">
            <w:pPr>
              <w:keepNext/>
            </w:pPr>
          </w:p>
        </w:tc>
        <w:tc>
          <w:tcPr>
            <w:tcW w:w="6315" w:type="dxa"/>
            <w:tcBorders>
              <w:top w:val="nil"/>
              <w:left w:val="nil"/>
              <w:bottom w:val="nil"/>
              <w:right w:val="nil"/>
            </w:tcBorders>
            <w:tcMar>
              <w:top w:w="0" w:type="dxa"/>
              <w:left w:w="0" w:type="dxa"/>
              <w:bottom w:w="0" w:type="dxa"/>
              <w:right w:w="0" w:type="dxa"/>
            </w:tcMar>
            <w:vAlign w:val="bottom"/>
          </w:tcPr>
          <w:p w14:paraId="10CE80A2" w14:textId="77777777" w:rsidR="00C56203" w:rsidRDefault="00C56203">
            <w:pPr>
              <w:keepNext/>
            </w:pPr>
          </w:p>
        </w:tc>
      </w:tr>
      <w:tr w:rsidR="00C56203" w14:paraId="0B5091F0" w14:textId="77777777">
        <w:trPr>
          <w:cantSplit/>
          <w:trHeight w:hRule="exact" w:val="300"/>
        </w:trPr>
        <w:tc>
          <w:tcPr>
            <w:tcW w:w="3045" w:type="dxa"/>
            <w:tcBorders>
              <w:top w:val="nil"/>
              <w:left w:val="nil"/>
              <w:bottom w:val="nil"/>
              <w:right w:val="nil"/>
            </w:tcBorders>
            <w:tcMar>
              <w:top w:w="0" w:type="dxa"/>
              <w:left w:w="53" w:type="dxa"/>
              <w:bottom w:w="0" w:type="dxa"/>
              <w:right w:w="53" w:type="dxa"/>
            </w:tcMar>
            <w:vAlign w:val="center"/>
          </w:tcPr>
          <w:p w14:paraId="1E1559DC" w14:textId="77777777" w:rsidR="00C56203" w:rsidRDefault="00CD5102">
            <w:pPr>
              <w:keepNext/>
              <w:ind w:left="120"/>
            </w:pPr>
            <w:r>
              <w:rPr>
                <w:rFonts w:ascii="Calibri" w:eastAsia="Calibri" w:hAnsi="Calibri" w:cs="Calibri"/>
                <w:color w:val="000000"/>
                <w:sz w:val="22"/>
              </w:rPr>
              <w:t xml:space="preserve">Webcast: </w:t>
            </w:r>
          </w:p>
        </w:tc>
        <w:tc>
          <w:tcPr>
            <w:tcW w:w="6315" w:type="dxa"/>
            <w:tcBorders>
              <w:top w:val="nil"/>
              <w:left w:val="nil"/>
              <w:bottom w:val="nil"/>
              <w:right w:val="nil"/>
            </w:tcBorders>
            <w:tcMar>
              <w:top w:w="0" w:type="dxa"/>
              <w:left w:w="53" w:type="dxa"/>
              <w:bottom w:w="0" w:type="dxa"/>
              <w:right w:w="53" w:type="dxa"/>
            </w:tcMar>
            <w:vAlign w:val="center"/>
          </w:tcPr>
          <w:p w14:paraId="3425057E" w14:textId="77777777" w:rsidR="00C56203" w:rsidRDefault="00CD5102">
            <w:pPr>
              <w:keepNext/>
            </w:pPr>
            <w:r>
              <w:rPr>
                <w:rFonts w:ascii="Calibri" w:eastAsia="Calibri" w:hAnsi="Calibri" w:cs="Calibri"/>
                <w:color w:val="0000FF"/>
                <w:sz w:val="22"/>
                <w:u w:val="single"/>
              </w:rPr>
              <w:t>http://ir.bauschhealth.com/events-and-presentations</w:t>
            </w:r>
          </w:p>
        </w:tc>
      </w:tr>
      <w:tr w:rsidR="00C56203" w14:paraId="282BE111" w14:textId="77777777">
        <w:trPr>
          <w:cantSplit/>
          <w:trHeight w:hRule="exact" w:val="345"/>
        </w:trPr>
        <w:tc>
          <w:tcPr>
            <w:tcW w:w="3045" w:type="dxa"/>
            <w:tcBorders>
              <w:top w:val="nil"/>
              <w:left w:val="nil"/>
              <w:bottom w:val="nil"/>
              <w:right w:val="nil"/>
            </w:tcBorders>
            <w:tcMar>
              <w:top w:w="0" w:type="dxa"/>
              <w:left w:w="0" w:type="dxa"/>
              <w:bottom w:w="0" w:type="dxa"/>
              <w:right w:w="0" w:type="dxa"/>
            </w:tcMar>
            <w:vAlign w:val="bottom"/>
          </w:tcPr>
          <w:p w14:paraId="2CFB4B87" w14:textId="77777777" w:rsidR="00C56203" w:rsidRDefault="00C56203"/>
        </w:tc>
        <w:tc>
          <w:tcPr>
            <w:tcW w:w="6315" w:type="dxa"/>
            <w:tcBorders>
              <w:top w:val="nil"/>
              <w:left w:val="nil"/>
              <w:bottom w:val="nil"/>
              <w:right w:val="nil"/>
            </w:tcBorders>
            <w:tcMar>
              <w:top w:w="0" w:type="dxa"/>
              <w:left w:w="0" w:type="dxa"/>
              <w:bottom w:w="0" w:type="dxa"/>
              <w:right w:w="0" w:type="dxa"/>
            </w:tcMar>
            <w:vAlign w:val="bottom"/>
          </w:tcPr>
          <w:p w14:paraId="3F8D3B61" w14:textId="77777777" w:rsidR="00C56203" w:rsidRDefault="00C56203"/>
        </w:tc>
      </w:tr>
    </w:tbl>
    <w:p w14:paraId="36660113" w14:textId="77777777" w:rsidR="00C56203" w:rsidRDefault="00CD5102">
      <w:pPr>
        <w:spacing w:line="269" w:lineRule="auto"/>
      </w:pPr>
      <w:r>
        <w:rPr>
          <w:rFonts w:ascii="Calibri" w:eastAsia="Calibri" w:hAnsi="Calibri" w:cs="Calibri"/>
          <w:sz w:val="22"/>
        </w:rPr>
        <w:t>A replay of the conference call will be available on the investor relations website.</w:t>
      </w:r>
    </w:p>
    <w:p w14:paraId="0243FCB7" w14:textId="77777777" w:rsidR="00C56203" w:rsidRDefault="00C56203">
      <w:pPr>
        <w:spacing w:line="276" w:lineRule="auto"/>
        <w:rPr>
          <w:rFonts w:ascii="Arial" w:eastAsia="Arial" w:hAnsi="Arial" w:cs="Arial"/>
        </w:rPr>
      </w:pPr>
    </w:p>
    <w:p w14:paraId="05429E8C" w14:textId="77777777" w:rsidR="00C56203" w:rsidRDefault="00CD5102">
      <w:pPr>
        <w:spacing w:after="120" w:line="269" w:lineRule="auto"/>
        <w:rPr>
          <w:rFonts w:ascii="Calibri" w:eastAsia="Calibri" w:hAnsi="Calibri" w:cs="Calibri"/>
          <w:b/>
          <w:sz w:val="22"/>
        </w:rPr>
      </w:pPr>
      <w:r>
        <w:rPr>
          <w:rFonts w:ascii="Calibri" w:eastAsia="Calibri" w:hAnsi="Calibri" w:cs="Calibri"/>
          <w:b/>
          <w:sz w:val="22"/>
        </w:rPr>
        <w:t>About Bausch Health</w:t>
      </w:r>
    </w:p>
    <w:p w14:paraId="67C91ED3" w14:textId="77777777" w:rsidR="00C56203" w:rsidRDefault="00CD5102">
      <w:pPr>
        <w:spacing w:line="269" w:lineRule="auto"/>
      </w:pPr>
      <w:r>
        <w:rPr>
          <w:rFonts w:ascii="Calibri" w:eastAsia="Calibri" w:hAnsi="Calibri" w:cs="Calibri"/>
          <w:sz w:val="22"/>
        </w:rPr>
        <w:t>Bausch Health Companies Inc. (NYSE/TSX: BHC) is a global diversified pharmaceutical company whose mission is to improve people’s lives with our healthcare products. We develop, manufacture and market a range of products primarily in gastroenterology, hepat</w:t>
      </w:r>
      <w:r>
        <w:rPr>
          <w:rFonts w:ascii="Calibri" w:eastAsia="Calibri" w:hAnsi="Calibri" w:cs="Calibri"/>
          <w:sz w:val="22"/>
        </w:rPr>
        <w:t>ology, neurology, dermatology, international pharmaceuticals and eye health, through our controlling ownership interest in Bausch + Lomb Corporation. With our leading durable brands, we are delivering on our commitments as we build an innovative company de</w:t>
      </w:r>
      <w:r>
        <w:rPr>
          <w:rFonts w:ascii="Calibri" w:eastAsia="Calibri" w:hAnsi="Calibri" w:cs="Calibri"/>
          <w:sz w:val="22"/>
        </w:rPr>
        <w:t xml:space="preserve">dicated to advancing global health. For more information, visit </w:t>
      </w:r>
      <w:r>
        <w:rPr>
          <w:rFonts w:ascii="Calibri" w:eastAsia="Calibri" w:hAnsi="Calibri" w:cs="Calibri"/>
          <w:color w:val="0000FF"/>
          <w:u w:val="single"/>
        </w:rPr>
        <w:t>www.bauschhealth.com</w:t>
      </w:r>
      <w:r>
        <w:rPr>
          <w:rFonts w:ascii="Calibri" w:eastAsia="Calibri" w:hAnsi="Calibri" w:cs="Calibri"/>
          <w:sz w:val="22"/>
        </w:rPr>
        <w:t xml:space="preserve"> and connect with us on </w:t>
      </w:r>
      <w:r>
        <w:rPr>
          <w:rFonts w:ascii="Calibri" w:eastAsia="Calibri" w:hAnsi="Calibri" w:cs="Calibri"/>
          <w:color w:val="0000FF"/>
          <w:u w:val="single"/>
        </w:rPr>
        <w:t>Twitter</w:t>
      </w:r>
      <w:r>
        <w:rPr>
          <w:rFonts w:ascii="Calibri" w:eastAsia="Calibri" w:hAnsi="Calibri" w:cs="Calibri"/>
          <w:sz w:val="22"/>
        </w:rPr>
        <w:t xml:space="preserve"> and </w:t>
      </w:r>
      <w:r>
        <w:rPr>
          <w:rFonts w:ascii="Calibri" w:eastAsia="Calibri" w:hAnsi="Calibri" w:cs="Calibri"/>
          <w:color w:val="0000FF"/>
          <w:u w:val="single"/>
        </w:rPr>
        <w:t>LinkedIn</w:t>
      </w:r>
      <w:r>
        <w:rPr>
          <w:rFonts w:ascii="Calibri" w:eastAsia="Calibri" w:hAnsi="Calibri" w:cs="Calibri"/>
          <w:sz w:val="22"/>
        </w:rPr>
        <w:t>.</w:t>
      </w:r>
    </w:p>
    <w:p w14:paraId="29B07DCE" w14:textId="77777777" w:rsidR="00C56203" w:rsidRDefault="00C56203">
      <w:pPr>
        <w:spacing w:line="269" w:lineRule="auto"/>
        <w:rPr>
          <w:rFonts w:ascii="Calibri" w:eastAsia="Calibri" w:hAnsi="Calibri" w:cs="Calibri"/>
          <w:sz w:val="22"/>
        </w:rPr>
      </w:pPr>
    </w:p>
    <w:p w14:paraId="72D7075F" w14:textId="77777777" w:rsidR="00C56203" w:rsidRDefault="00CD5102">
      <w:pPr>
        <w:spacing w:after="120" w:line="288" w:lineRule="auto"/>
        <w:rPr>
          <w:rFonts w:ascii="Calibri" w:eastAsia="Calibri" w:hAnsi="Calibri" w:cs="Calibri"/>
          <w:b/>
          <w:sz w:val="22"/>
        </w:rPr>
      </w:pPr>
      <w:r>
        <w:rPr>
          <w:rFonts w:ascii="Calibri" w:eastAsia="Calibri" w:hAnsi="Calibri" w:cs="Calibri"/>
          <w:b/>
          <w:sz w:val="22"/>
        </w:rPr>
        <w:t>Forward-looking Statements</w:t>
      </w:r>
    </w:p>
    <w:p w14:paraId="3E42C8EA" w14:textId="77777777" w:rsidR="00C56203" w:rsidRDefault="00CD5102">
      <w:pPr>
        <w:spacing w:after="120" w:line="288" w:lineRule="auto"/>
        <w:rPr>
          <w:rFonts w:ascii="Calibri" w:eastAsia="Calibri" w:hAnsi="Calibri" w:cs="Calibri"/>
          <w:b/>
          <w:sz w:val="22"/>
        </w:rPr>
      </w:pPr>
      <w:r>
        <w:rPr>
          <w:rFonts w:ascii="Calibri" w:eastAsia="Calibri" w:hAnsi="Calibri" w:cs="Calibri"/>
          <w:sz w:val="22"/>
        </w:rPr>
        <w:t>This news release contains forward-looking information and statements, within the meaning of appli</w:t>
      </w:r>
      <w:r>
        <w:rPr>
          <w:rFonts w:ascii="Calibri" w:eastAsia="Calibri" w:hAnsi="Calibri" w:cs="Calibri"/>
          <w:sz w:val="22"/>
        </w:rPr>
        <w:t xml:space="preserve">cable securities laws (collectively, “forward-looking statements”), including, but not limited to, statements relating to the Company’s: future prospects and performance, financial guidance, proposed plan to separate its eye health business, including the </w:t>
      </w:r>
      <w:r>
        <w:rPr>
          <w:rFonts w:ascii="Calibri" w:eastAsia="Calibri" w:hAnsi="Calibri" w:cs="Calibri"/>
          <w:sz w:val="22"/>
        </w:rPr>
        <w:t>timing thereof, the timing of regulatory processes with respect to the product pipeline, management of its balance sheet, generation of cash, ability to launch and commercialize new products, ability to enforce and defend its XIFAXAN® intellectual property</w:t>
      </w:r>
      <w:r>
        <w:rPr>
          <w:rFonts w:ascii="Calibri" w:eastAsia="Calibri" w:hAnsi="Calibri" w:cs="Calibri"/>
          <w:sz w:val="22"/>
        </w:rPr>
        <w:t xml:space="preserve"> rights, and other corporate and strategic transactions. Forward-looking statements may generally be identified by the use of the words “anticipates,” “hopes,” “expects,” “intends,” “plans,” “should,” “could,” “would,” “may,” “believes,” “estimates,” “pote</w:t>
      </w:r>
      <w:r>
        <w:rPr>
          <w:rFonts w:ascii="Calibri" w:eastAsia="Calibri" w:hAnsi="Calibri" w:cs="Calibri"/>
          <w:sz w:val="22"/>
        </w:rPr>
        <w:t>ntial,” “target,” or “continue” and positive and negative variations or similar expressions, and phrases or statements that certain actions, events or results may, could, should or will be achieved, received or taken, or will occur or result, and similar s</w:t>
      </w:r>
      <w:r>
        <w:rPr>
          <w:rFonts w:ascii="Calibri" w:eastAsia="Calibri" w:hAnsi="Calibri" w:cs="Calibri"/>
          <w:sz w:val="22"/>
        </w:rPr>
        <w:t>uch expressions also identify forward-looking information. These forward-looking statements, including the Company’s 2023 financial outlook and full-year guidance, are based upon the current expectations and beliefs of management and are provided for the p</w:t>
      </w:r>
      <w:r>
        <w:rPr>
          <w:rFonts w:ascii="Calibri" w:eastAsia="Calibri" w:hAnsi="Calibri" w:cs="Calibri"/>
          <w:sz w:val="22"/>
        </w:rPr>
        <w:t xml:space="preserve">urpose of providing additional information about such expectations and beliefs, and readers are cautioned that these statements may not be appropriate for other purposes. These forward-looking statements are subject to certain risks and uncertainties that </w:t>
      </w:r>
      <w:r>
        <w:rPr>
          <w:rFonts w:ascii="Calibri" w:eastAsia="Calibri" w:hAnsi="Calibri" w:cs="Calibri"/>
          <w:sz w:val="22"/>
        </w:rPr>
        <w:t>could cause actual results to differ materially from those described in these forward-looking statements. These risks and uncertainties include, but are not limited to, the risks and uncertainties discussed in the Company’s most recent annual and quarterly</w:t>
      </w:r>
      <w:r>
        <w:rPr>
          <w:rFonts w:ascii="Calibri" w:eastAsia="Calibri" w:hAnsi="Calibri" w:cs="Calibri"/>
          <w:sz w:val="22"/>
        </w:rPr>
        <w:t xml:space="preserve"> reports and detailed from time to time in the Company’s other filings with the U.S. Securities and Exchange Commission and the Canadian Securities Administrators, which risks and uncertainties are incorporated herein by reference. They also include, but a</w:t>
      </w:r>
      <w:r>
        <w:rPr>
          <w:rFonts w:ascii="Calibri" w:eastAsia="Calibri" w:hAnsi="Calibri" w:cs="Calibri"/>
          <w:sz w:val="22"/>
        </w:rPr>
        <w:t>re not limited to, risks and uncertainties relating to the Company’s proposed plan to separate its eye health business from the remainder of Bausch Health. In particular, the Company can offer no assurance that any spinoff transaction will occur at all, or</w:t>
      </w:r>
      <w:r>
        <w:rPr>
          <w:rFonts w:ascii="Calibri" w:eastAsia="Calibri" w:hAnsi="Calibri" w:cs="Calibri"/>
          <w:sz w:val="22"/>
        </w:rPr>
        <w:t xml:space="preserve"> that any spinoff or other separation transaction will occur on the terms and timelines anticipated by the Company. They also include risks and uncertainties related to the uncertainty of commercial success for new and existing products; challenges to pate</w:t>
      </w:r>
      <w:r>
        <w:rPr>
          <w:rFonts w:ascii="Calibri" w:eastAsia="Calibri" w:hAnsi="Calibri" w:cs="Calibri"/>
          <w:sz w:val="22"/>
        </w:rPr>
        <w:t xml:space="preserve">nts; challenges to the Company’s ability to enforce and defend against challenges to its patents; the impact of patent expirations and the ability of the company to successfully execute strategic plans. They also include risks and uncertainties related to </w:t>
      </w:r>
      <w:r>
        <w:rPr>
          <w:rFonts w:ascii="Calibri" w:eastAsia="Calibri" w:hAnsi="Calibri" w:cs="Calibri"/>
          <w:sz w:val="22"/>
        </w:rPr>
        <w:t xml:space="preserve">the challenges the Company </w:t>
      </w:r>
      <w:r>
        <w:rPr>
          <w:rFonts w:ascii="Calibri" w:eastAsia="Calibri" w:hAnsi="Calibri" w:cs="Calibri"/>
          <w:sz w:val="22"/>
        </w:rPr>
        <w:lastRenderedPageBreak/>
        <w:t>faces as a result of the closing of the initial public offering of</w:t>
      </w:r>
      <w:r>
        <w:rPr>
          <w:rFonts w:ascii="Calibri" w:eastAsia="Calibri" w:hAnsi="Calibri" w:cs="Calibri"/>
        </w:rPr>
        <w:t xml:space="preserve">  </w:t>
      </w:r>
      <w:r>
        <w:rPr>
          <w:rFonts w:ascii="Calibri" w:eastAsia="Calibri" w:hAnsi="Calibri" w:cs="Calibri"/>
          <w:sz w:val="22"/>
        </w:rPr>
        <w:t xml:space="preserve">Bausch + Lomb (the "B+L IPO"), including the transitional services being provided by and to the Bausch + Lomb entity, any potential actual or perceived conflict </w:t>
      </w:r>
      <w:r>
        <w:rPr>
          <w:rFonts w:ascii="Calibri" w:eastAsia="Calibri" w:hAnsi="Calibri" w:cs="Calibri"/>
          <w:sz w:val="22"/>
        </w:rPr>
        <w:t>of interest of some of our directors and officers because of their equity ownership in Bausch + Lomb and/or because they also serve as directors or officers of Bausch + Lomb and our ability to timely consolidate the financial results of the Bausch + Lomb b</w:t>
      </w:r>
      <w:r>
        <w:rPr>
          <w:rFonts w:ascii="Calibri" w:eastAsia="Calibri" w:hAnsi="Calibri" w:cs="Calibri"/>
          <w:sz w:val="22"/>
        </w:rPr>
        <w:t>usiness. They also include, but are not limited to, risks and uncertainties caused by or relating to the COVID-19 pandemic, the fear of that pandemic, the availability and effectiveness of vaccines for COVID-19, (including current or future variants and su</w:t>
      </w:r>
      <w:r>
        <w:rPr>
          <w:rFonts w:ascii="Calibri" w:eastAsia="Calibri" w:hAnsi="Calibri" w:cs="Calibri"/>
          <w:sz w:val="22"/>
        </w:rPr>
        <w:t>bvariants), COVID-19 vaccine immunization rates, the emergence of variant and subvariant strains of COVID-19, and the potential effects of that pandemic, the severity, duration and future impact of which are highly uncertain and cannot be predicted, and wh</w:t>
      </w:r>
      <w:r>
        <w:rPr>
          <w:rFonts w:ascii="Calibri" w:eastAsia="Calibri" w:hAnsi="Calibri" w:cs="Calibri"/>
          <w:sz w:val="22"/>
        </w:rPr>
        <w:t>ich may have a material adverse impact on the Company. They also include economic factors, such as interest rate, inflation rate and currency exchange rate fluctuations; and competition, including technological advances, new products and patents attained b</w:t>
      </w:r>
      <w:r>
        <w:rPr>
          <w:rFonts w:ascii="Calibri" w:eastAsia="Calibri" w:hAnsi="Calibri" w:cs="Calibri"/>
          <w:sz w:val="22"/>
        </w:rPr>
        <w:t>y competitors.</w:t>
      </w:r>
    </w:p>
    <w:p w14:paraId="23228729" w14:textId="77777777" w:rsidR="00C56203" w:rsidRDefault="00CD5102">
      <w:pPr>
        <w:spacing w:line="276" w:lineRule="auto"/>
      </w:pPr>
      <w:r>
        <w:rPr>
          <w:rFonts w:ascii="Calibri" w:eastAsia="Calibri" w:hAnsi="Calibri" w:cs="Calibri"/>
          <w:sz w:val="22"/>
        </w:rPr>
        <w:t>Additional information regarding certain of these material factors and assumptions may be found in the Company’s filings described above. The Company believes that the material factors and assumptions reflected in these forward-looking statements are reaso</w:t>
      </w:r>
      <w:r>
        <w:rPr>
          <w:rFonts w:ascii="Calibri" w:eastAsia="Calibri" w:hAnsi="Calibri" w:cs="Calibri"/>
          <w:sz w:val="22"/>
        </w:rPr>
        <w:t>nable in the circumstances, but readers are cautioned not to place undue reliance on any of these forward-looking statements. These forward-looking statements speak only as of the date hereof. Bausch Health undertakes no obligation to update any of these f</w:t>
      </w:r>
      <w:r>
        <w:rPr>
          <w:rFonts w:ascii="Calibri" w:eastAsia="Calibri" w:hAnsi="Calibri" w:cs="Calibri"/>
          <w:sz w:val="22"/>
        </w:rPr>
        <w:t xml:space="preserve">orward-looking statements to reflect events or circumstances after the date of this news release or to reflect actual outcomes, unless required by law. </w:t>
      </w:r>
    </w:p>
    <w:p w14:paraId="7EA7F4AD" w14:textId="77777777" w:rsidR="00C56203" w:rsidRDefault="00C56203">
      <w:pPr>
        <w:spacing w:line="288" w:lineRule="auto"/>
        <w:rPr>
          <w:rFonts w:ascii="Calibri" w:eastAsia="Calibri" w:hAnsi="Calibri" w:cs="Calibri"/>
          <w:sz w:val="22"/>
        </w:rPr>
      </w:pPr>
    </w:p>
    <w:p w14:paraId="0C628750" w14:textId="77777777" w:rsidR="00C56203" w:rsidRDefault="00CD5102">
      <w:pPr>
        <w:spacing w:after="120" w:line="288" w:lineRule="auto"/>
        <w:rPr>
          <w:rFonts w:ascii="Calibri" w:eastAsia="Calibri" w:hAnsi="Calibri" w:cs="Calibri"/>
          <w:b/>
          <w:sz w:val="22"/>
        </w:rPr>
      </w:pPr>
      <w:r>
        <w:rPr>
          <w:rFonts w:ascii="Calibri" w:eastAsia="Calibri" w:hAnsi="Calibri" w:cs="Calibri"/>
          <w:b/>
          <w:sz w:val="22"/>
        </w:rPr>
        <w:t>Non-GAAP Information</w:t>
      </w:r>
    </w:p>
    <w:p w14:paraId="3AEDC248" w14:textId="77777777" w:rsidR="00C56203" w:rsidRDefault="00CD5102">
      <w:pPr>
        <w:spacing w:line="288" w:lineRule="auto"/>
      </w:pPr>
      <w:r>
        <w:rPr>
          <w:rFonts w:ascii="Calibri" w:eastAsia="Calibri" w:hAnsi="Calibri" w:cs="Calibri"/>
          <w:sz w:val="22"/>
        </w:rPr>
        <w:t>To supplement the financial measures prepared in accordance with U.S. generally a</w:t>
      </w:r>
      <w:r>
        <w:rPr>
          <w:rFonts w:ascii="Calibri" w:eastAsia="Calibri" w:hAnsi="Calibri" w:cs="Calibri"/>
          <w:sz w:val="22"/>
        </w:rPr>
        <w:t>ccepted accounting principles (GAAP), the Company uses certain non-GAAP financial measures and non-GAAP ratios to provide supplemental information to readers. Management uses these non-GAAP measures and ratios as key metrics in the evaluation of the Compan</w:t>
      </w:r>
      <w:r>
        <w:rPr>
          <w:rFonts w:ascii="Calibri" w:eastAsia="Calibri" w:hAnsi="Calibri" w:cs="Calibri"/>
          <w:sz w:val="22"/>
        </w:rPr>
        <w:t>y’s performance and the consolidated financial results and, in part, in the determination of cash bonuses for its executive officers. The Company believes these non-GAAP measures and ratios are useful to investors in their assessment of our operating perfo</w:t>
      </w:r>
      <w:r>
        <w:rPr>
          <w:rFonts w:ascii="Calibri" w:eastAsia="Calibri" w:hAnsi="Calibri" w:cs="Calibri"/>
          <w:sz w:val="22"/>
        </w:rPr>
        <w:t>rmance and the valuation of the Company. In addition, these non-GAAP measures and ratios address questions the Company routinely receives from analysts and investors, and in order to assure that all investors have access to similar data, the Company has de</w:t>
      </w:r>
      <w:r>
        <w:rPr>
          <w:rFonts w:ascii="Calibri" w:eastAsia="Calibri" w:hAnsi="Calibri" w:cs="Calibri"/>
          <w:sz w:val="22"/>
        </w:rPr>
        <w:t>termined that it is appropriate to make this data available to all investors.</w:t>
      </w:r>
    </w:p>
    <w:p w14:paraId="4E43232A" w14:textId="77777777" w:rsidR="00C56203" w:rsidRDefault="00CD5102">
      <w:pPr>
        <w:spacing w:before="120" w:line="288" w:lineRule="auto"/>
      </w:pPr>
      <w:r>
        <w:rPr>
          <w:rFonts w:ascii="Calibri" w:eastAsia="Calibri" w:hAnsi="Calibri" w:cs="Calibri"/>
          <w:sz w:val="22"/>
        </w:rPr>
        <w:t>However, these measures and ratios are not prepared in accordance with GAAP nor do they have any standardized meaning under GAAP. In addition, other companies may use similarly t</w:t>
      </w:r>
      <w:r>
        <w:rPr>
          <w:rFonts w:ascii="Calibri" w:eastAsia="Calibri" w:hAnsi="Calibri" w:cs="Calibri"/>
          <w:sz w:val="22"/>
        </w:rPr>
        <w:t>itled non-GAAP financial measures and ratios that are calculated differently from the way we calculate such measures and ratios. Accordingly, our non-GAAP financial measures and ratios may not be comparable to such similarly titled non-GAAP financial measu</w:t>
      </w:r>
      <w:r>
        <w:rPr>
          <w:rFonts w:ascii="Calibri" w:eastAsia="Calibri" w:hAnsi="Calibri" w:cs="Calibri"/>
          <w:sz w:val="22"/>
        </w:rPr>
        <w:t>res and ratios used by other companies. We caution investors not to place undue reliance on such non-GAAP measures and ratios, but instead to consider them with the most directly comparable GAAP measures and ratios. Non-GAAP financial measures and ratios h</w:t>
      </w:r>
      <w:r>
        <w:rPr>
          <w:rFonts w:ascii="Calibri" w:eastAsia="Calibri" w:hAnsi="Calibri" w:cs="Calibri"/>
          <w:sz w:val="22"/>
        </w:rPr>
        <w:t>ave limitations as analytical tools and should not be considered in isolation. They should be considered as a supplement to, not a substitute for, or superior to, the corresponding measures calculated in accordance with GAAP.</w:t>
      </w:r>
    </w:p>
    <w:p w14:paraId="00A8E864" w14:textId="77777777" w:rsidR="00C56203" w:rsidRDefault="00CD5102">
      <w:pPr>
        <w:spacing w:before="120" w:line="288" w:lineRule="auto"/>
      </w:pPr>
      <w:r>
        <w:rPr>
          <w:rFonts w:ascii="Calibri" w:eastAsia="Calibri" w:hAnsi="Calibri" w:cs="Calibri"/>
          <w:sz w:val="22"/>
        </w:rPr>
        <w:t xml:space="preserve">The </w:t>
      </w:r>
      <w:r>
        <w:rPr>
          <w:rFonts w:ascii="Calibri" w:eastAsia="Calibri" w:hAnsi="Calibri" w:cs="Calibri"/>
          <w:sz w:val="22"/>
        </w:rPr>
        <w:t>reconciliations of these historic non-GAAP financial measures and ratios to the most directly comparable financial measures and ratios calculated and presented in accordance with GAAP are shown in the tables below. However, as indicated above, for guidance</w:t>
      </w:r>
      <w:r>
        <w:rPr>
          <w:rFonts w:ascii="Calibri" w:eastAsia="Calibri" w:hAnsi="Calibri" w:cs="Calibri"/>
          <w:sz w:val="22"/>
        </w:rPr>
        <w:t xml:space="preserve"> purposes, the Company does not provide reconciliations of projected Adjusted EBITDA attributable to Bausch Health Companies Inc. (non-GAAP) to projected GAAP Net income (loss), due to the inherent difficulty in forecasting and quantifying certain amounts </w:t>
      </w:r>
      <w:r>
        <w:rPr>
          <w:rFonts w:ascii="Calibri" w:eastAsia="Calibri" w:hAnsi="Calibri" w:cs="Calibri"/>
          <w:sz w:val="22"/>
        </w:rPr>
        <w:t>that are necessary for such reconciliations.</w:t>
      </w:r>
    </w:p>
    <w:p w14:paraId="6AE7E78B" w14:textId="77777777" w:rsidR="00C56203" w:rsidRDefault="00CD5102">
      <w:pPr>
        <w:spacing w:before="120" w:after="120" w:line="288" w:lineRule="auto"/>
        <w:rPr>
          <w:rFonts w:ascii="Calibri" w:eastAsia="Calibri" w:hAnsi="Calibri" w:cs="Calibri"/>
          <w:b/>
          <w:i/>
          <w:sz w:val="22"/>
        </w:rPr>
      </w:pPr>
      <w:r>
        <w:rPr>
          <w:rFonts w:ascii="Calibri" w:eastAsia="Calibri" w:hAnsi="Calibri" w:cs="Calibri"/>
          <w:b/>
          <w:i/>
          <w:sz w:val="22"/>
        </w:rPr>
        <w:lastRenderedPageBreak/>
        <w:t>Specific Non-GAAP Measures</w:t>
      </w:r>
      <w:r>
        <w:rPr>
          <w:rFonts w:ascii="Calibri" w:eastAsia="Calibri" w:hAnsi="Calibri" w:cs="Calibri"/>
          <w:b/>
          <w:sz w:val="22"/>
        </w:rPr>
        <w:t xml:space="preserve"> </w:t>
      </w:r>
    </w:p>
    <w:p w14:paraId="5DAAA792" w14:textId="77777777" w:rsidR="00C56203" w:rsidRDefault="00CD5102">
      <w:pPr>
        <w:keepNext/>
        <w:spacing w:line="288" w:lineRule="auto"/>
      </w:pPr>
      <w:r>
        <w:rPr>
          <w:rFonts w:ascii="Calibri" w:eastAsia="Calibri" w:hAnsi="Calibri" w:cs="Calibri"/>
          <w:color w:val="000000"/>
          <w:sz w:val="22"/>
          <w:u w:val="single"/>
        </w:rPr>
        <w:t>Adjusted EBITDA (non-GAAP) and Adjusted EBITDA attributable to Bausch Health (non-GAAP)</w:t>
      </w:r>
    </w:p>
    <w:p w14:paraId="76EB7CF4" w14:textId="77777777" w:rsidR="00C56203" w:rsidRDefault="00C56203">
      <w:pPr>
        <w:spacing w:line="276" w:lineRule="auto"/>
        <w:rPr>
          <w:rFonts w:ascii="Arial" w:eastAsia="Arial" w:hAnsi="Arial" w:cs="Arial"/>
        </w:rPr>
      </w:pPr>
    </w:p>
    <w:p w14:paraId="43259294" w14:textId="77777777" w:rsidR="00C56203" w:rsidRDefault="00CD5102">
      <w:pPr>
        <w:spacing w:line="288" w:lineRule="auto"/>
      </w:pPr>
      <w:r>
        <w:rPr>
          <w:rFonts w:ascii="Calibri" w:eastAsia="Calibri" w:hAnsi="Calibri" w:cs="Calibri"/>
          <w:sz w:val="22"/>
        </w:rPr>
        <w:t>Adjusted EBITDA (non-GAAP) is Net income (loss) (its most directly comparable GAAP financial m</w:t>
      </w:r>
      <w:r>
        <w:rPr>
          <w:rFonts w:ascii="Calibri" w:eastAsia="Calibri" w:hAnsi="Calibri" w:cs="Calibri"/>
          <w:sz w:val="22"/>
        </w:rPr>
        <w:t>easure) adjusted for interest expense, net, (Benefit from) provision for income taxes, depreciation and amortization and certain other items described below. Adjusted EBITDA attributable to Bausch Health (non-GAAP) is Adjusted EBITDA (non-GAAP) further adj</w:t>
      </w:r>
      <w:r>
        <w:rPr>
          <w:rFonts w:ascii="Calibri" w:eastAsia="Calibri" w:hAnsi="Calibri" w:cs="Calibri"/>
          <w:sz w:val="22"/>
        </w:rPr>
        <w:t>usted to exclude the Adjusted EBITDA attributable to noncontrolling interest (non-GAAP) as defined below.</w:t>
      </w:r>
    </w:p>
    <w:p w14:paraId="13750E03" w14:textId="77777777" w:rsidR="00C56203" w:rsidRDefault="00CD5102">
      <w:pPr>
        <w:spacing w:before="120" w:line="276" w:lineRule="auto"/>
      </w:pPr>
      <w:r>
        <w:rPr>
          <w:rFonts w:ascii="Calibri" w:eastAsia="Calibri" w:hAnsi="Calibri" w:cs="Calibri"/>
          <w:sz w:val="22"/>
        </w:rPr>
        <w:t>Management believes that Adjusted EBITDA (non-GAAP) and Adjusted EBITDA attributable to Bausch Health (non-GAAP), along with the GAAP measures used by</w:t>
      </w:r>
      <w:r>
        <w:rPr>
          <w:rFonts w:ascii="Calibri" w:eastAsia="Calibri" w:hAnsi="Calibri" w:cs="Calibri"/>
          <w:sz w:val="22"/>
        </w:rPr>
        <w:t xml:space="preserve"> management, most appropriately reflect how the Company measures the business internally and sets operational goals and incentives. In particular, the Company believes that these metrics focus management of the Company’s underlying operational results and </w:t>
      </w:r>
      <w:r>
        <w:rPr>
          <w:rFonts w:ascii="Calibri" w:eastAsia="Calibri" w:hAnsi="Calibri" w:cs="Calibri"/>
          <w:sz w:val="22"/>
        </w:rPr>
        <w:t>business performance. As a result, the Company uses these metrics to assess the financial performance of the Company and to forecast future results as part of its guidance. Management believes these metrics are a useful measure to evaluate current performa</w:t>
      </w:r>
      <w:r>
        <w:rPr>
          <w:rFonts w:ascii="Calibri" w:eastAsia="Calibri" w:hAnsi="Calibri" w:cs="Calibri"/>
          <w:sz w:val="22"/>
        </w:rPr>
        <w:t>nce. These metrics are intended to show our unleveraged, pre-tax operating results and therefore reflects our financial performance based on operational factors. In addition, cash bonuses for the Company’s executive officers and other key employees are bas</w:t>
      </w:r>
      <w:r>
        <w:rPr>
          <w:rFonts w:ascii="Calibri" w:eastAsia="Calibri" w:hAnsi="Calibri" w:cs="Calibri"/>
          <w:sz w:val="22"/>
        </w:rPr>
        <w:t>ed, in part, on the achievement of certain Adjusted EBITDA (non-GAAP) targets.</w:t>
      </w:r>
    </w:p>
    <w:p w14:paraId="0CA73F31" w14:textId="77777777" w:rsidR="00C56203" w:rsidRDefault="00CD5102">
      <w:pPr>
        <w:spacing w:before="120" w:line="276" w:lineRule="auto"/>
      </w:pPr>
      <w:r>
        <w:rPr>
          <w:rFonts w:ascii="Calibri" w:eastAsia="Calibri" w:hAnsi="Calibri" w:cs="Calibri"/>
          <w:sz w:val="22"/>
        </w:rPr>
        <w:t>Adjusted EBITDA (non-GAAP) is Net income (loss) (its most directly comparable GAAP financial measure) adjusted for interest expense, net, (Benefit from) provision for income tax</w:t>
      </w:r>
      <w:r>
        <w:rPr>
          <w:rFonts w:ascii="Calibri" w:eastAsia="Calibri" w:hAnsi="Calibri" w:cs="Calibri"/>
          <w:sz w:val="22"/>
        </w:rPr>
        <w:t>es, depreciation and amortization and the following items:</w:t>
      </w:r>
    </w:p>
    <w:p w14:paraId="072FF3D3" w14:textId="77777777" w:rsidR="00C56203" w:rsidRDefault="00CD5102">
      <w:pPr>
        <w:numPr>
          <w:ilvl w:val="0"/>
          <w:numId w:val="25"/>
        </w:numPr>
        <w:spacing w:line="288" w:lineRule="auto"/>
        <w:rPr>
          <w:rFonts w:ascii="Arial" w:eastAsia="Arial" w:hAnsi="Arial" w:cs="Arial"/>
        </w:rPr>
      </w:pPr>
      <w:r>
        <w:rPr>
          <w:rFonts w:ascii="Calibri" w:eastAsia="Calibri" w:hAnsi="Calibri" w:cs="Calibri"/>
          <w:color w:val="000000"/>
          <w:sz w:val="22"/>
          <w:u w:val="single"/>
        </w:rPr>
        <w:t>Asset impairments, including loss on assets held for sale</w:t>
      </w:r>
      <w:r>
        <w:rPr>
          <w:rFonts w:ascii="Calibri" w:eastAsia="Calibri" w:hAnsi="Calibri" w:cs="Calibri"/>
          <w:sz w:val="22"/>
        </w:rPr>
        <w:t>: The Company has excluded the impact of impairments of finite-lived and indefinite-lived intangible assets, as well as impairments of asset</w:t>
      </w:r>
      <w:r>
        <w:rPr>
          <w:rFonts w:ascii="Calibri" w:eastAsia="Calibri" w:hAnsi="Calibri" w:cs="Calibri"/>
          <w:sz w:val="22"/>
        </w:rPr>
        <w:t xml:space="preserve">s held for sale, as such amounts are inconsistent in amount and frequency and are significantly impacted by the timing and/or size of acquisitions and divestitures. The Company believes that the adjustments of these items correlate with the sustainability </w:t>
      </w:r>
      <w:r>
        <w:rPr>
          <w:rFonts w:ascii="Calibri" w:eastAsia="Calibri" w:hAnsi="Calibri" w:cs="Calibri"/>
          <w:sz w:val="22"/>
        </w:rPr>
        <w:t>of the Company’s operating performance. Although the Company excludes impairments of intangible assets and assets held for sale from measuring the performance of the Company and the business, the Company believes that it is important for investors to under</w:t>
      </w:r>
      <w:r>
        <w:rPr>
          <w:rFonts w:ascii="Calibri" w:eastAsia="Calibri" w:hAnsi="Calibri" w:cs="Calibri"/>
          <w:sz w:val="22"/>
        </w:rPr>
        <w:t>stand that intangible assets contribute to revenue generation.</w:t>
      </w:r>
    </w:p>
    <w:p w14:paraId="55A9A1E5" w14:textId="77777777" w:rsidR="00C56203" w:rsidRDefault="00CD5102">
      <w:pPr>
        <w:numPr>
          <w:ilvl w:val="0"/>
          <w:numId w:val="26"/>
        </w:numPr>
        <w:spacing w:line="288" w:lineRule="auto"/>
        <w:rPr>
          <w:rFonts w:ascii="Arial" w:eastAsia="Arial" w:hAnsi="Arial" w:cs="Arial"/>
        </w:rPr>
      </w:pPr>
      <w:r>
        <w:rPr>
          <w:rFonts w:ascii="Calibri" w:eastAsia="Calibri" w:hAnsi="Calibri" w:cs="Calibri"/>
          <w:color w:val="000000"/>
          <w:sz w:val="22"/>
          <w:u w:val="single"/>
        </w:rPr>
        <w:t>Goodwill impairments:</w:t>
      </w:r>
      <w:r>
        <w:rPr>
          <w:rFonts w:ascii="Calibri" w:eastAsia="Calibri" w:hAnsi="Calibri" w:cs="Calibri"/>
          <w:sz w:val="22"/>
        </w:rPr>
        <w:t xml:space="preserve"> The Company excludes the impact of goodwill impairments. When the Company has made acquisitions where the consideration paid was in excess of the fair value of the net ass</w:t>
      </w:r>
      <w:r>
        <w:rPr>
          <w:rFonts w:ascii="Calibri" w:eastAsia="Calibri" w:hAnsi="Calibri" w:cs="Calibri"/>
          <w:sz w:val="22"/>
        </w:rPr>
        <w:t>ets acquired, the remaining purchase price is recorded as goodwill. For assets that we developed ourselves, no goodwill is recorded. Goodwill is not amortized but is tested for impairment. The amount of goodwill impairment is measured as the excess of a re</w:t>
      </w:r>
      <w:r>
        <w:rPr>
          <w:rFonts w:ascii="Calibri" w:eastAsia="Calibri" w:hAnsi="Calibri" w:cs="Calibri"/>
          <w:sz w:val="22"/>
        </w:rPr>
        <w:t>porting unit’s carrying value over its fair value. Management excludes these charges in measuring the performance of the Company and the business.</w:t>
      </w:r>
    </w:p>
    <w:p w14:paraId="67B4A987" w14:textId="77777777" w:rsidR="00C56203" w:rsidRDefault="00CD5102">
      <w:pPr>
        <w:numPr>
          <w:ilvl w:val="0"/>
          <w:numId w:val="27"/>
        </w:numPr>
        <w:spacing w:line="288" w:lineRule="auto"/>
        <w:rPr>
          <w:rFonts w:ascii="Arial" w:eastAsia="Arial" w:hAnsi="Arial" w:cs="Arial"/>
        </w:rPr>
      </w:pPr>
      <w:r>
        <w:rPr>
          <w:rFonts w:ascii="Calibri" w:eastAsia="Calibri" w:hAnsi="Calibri" w:cs="Calibri"/>
          <w:color w:val="000000"/>
          <w:sz w:val="22"/>
          <w:u w:val="single"/>
        </w:rPr>
        <w:t>Restructuring, integration and transformation costs</w:t>
      </w:r>
      <w:r>
        <w:rPr>
          <w:rFonts w:ascii="Calibri" w:eastAsia="Calibri" w:hAnsi="Calibri" w:cs="Calibri"/>
          <w:sz w:val="22"/>
        </w:rPr>
        <w:t>: The Company has incurred restructuring costs as it imple</w:t>
      </w:r>
      <w:r>
        <w:rPr>
          <w:rFonts w:ascii="Calibri" w:eastAsia="Calibri" w:hAnsi="Calibri" w:cs="Calibri"/>
          <w:sz w:val="22"/>
        </w:rPr>
        <w:t>mented certain strategies, which involved, among other things, improvements to its infrastructure and operations, internal reorganizations and impacts from the divestiture of assets and businesses. With regard to infrastructure and operational improvements</w:t>
      </w:r>
      <w:r>
        <w:rPr>
          <w:rFonts w:ascii="Calibri" w:eastAsia="Calibri" w:hAnsi="Calibri" w:cs="Calibri"/>
          <w:sz w:val="22"/>
        </w:rPr>
        <w:t xml:space="preserve"> which the Company has taken to improve efficiencies in the businesses and facilities, these tend to be costs intended to right size the business or organization that fluctuate significantly between periods in amount, size and timing, depending on the impr</w:t>
      </w:r>
      <w:r>
        <w:rPr>
          <w:rFonts w:ascii="Calibri" w:eastAsia="Calibri" w:hAnsi="Calibri" w:cs="Calibri"/>
          <w:sz w:val="22"/>
        </w:rPr>
        <w:t>ovement project, reorganization or transaction. Additionally, with the recent completion of the B+L IPO, as the Company prepares for post-Separation operations, the Company is launching certain transformation initiatives that will result in certain changes</w:t>
      </w:r>
      <w:r>
        <w:rPr>
          <w:rFonts w:ascii="Calibri" w:eastAsia="Calibri" w:hAnsi="Calibri" w:cs="Calibri"/>
          <w:sz w:val="22"/>
        </w:rPr>
        <w:t xml:space="preserve"> to and investment in its organizational structure and operations. These transformation initiatives arise outside of the ordinary course of continuing operations and, as is </w:t>
      </w:r>
      <w:r>
        <w:rPr>
          <w:rFonts w:ascii="Calibri" w:eastAsia="Calibri" w:hAnsi="Calibri" w:cs="Calibri"/>
          <w:sz w:val="22"/>
        </w:rPr>
        <w:lastRenderedPageBreak/>
        <w:t>the case with the Company’s restructuring efforts, costs associated with these tran</w:t>
      </w:r>
      <w:r>
        <w:rPr>
          <w:rFonts w:ascii="Calibri" w:eastAsia="Calibri" w:hAnsi="Calibri" w:cs="Calibri"/>
          <w:sz w:val="22"/>
        </w:rPr>
        <w:t>sformation initiatives are expected to fluctuate between periods in amount, size and timing. These out-of-the-ordinary-course charges include third-party advisory costs, as well as certain severance-related costs (including the severance costs associated w</w:t>
      </w:r>
      <w:r>
        <w:rPr>
          <w:rFonts w:ascii="Calibri" w:eastAsia="Calibri" w:hAnsi="Calibri" w:cs="Calibri"/>
          <w:sz w:val="22"/>
        </w:rPr>
        <w:t>ith the departure of Bausch + Lomb’s current CEO). Investors should understand that the outcome of these transformation initiatives may result in future restructuring actions and certain of these charges could recur. The Company believes that the adjustmen</w:t>
      </w:r>
      <w:r>
        <w:rPr>
          <w:rFonts w:ascii="Calibri" w:eastAsia="Calibri" w:hAnsi="Calibri" w:cs="Calibri"/>
          <w:sz w:val="22"/>
        </w:rPr>
        <w:t>ts of these items provide supplemental information with regard to the sustainability of the Company’s operating performance, allow for a comparison of the financial results to historical operations and forward-looking guidance and, as a result, provide use</w:t>
      </w:r>
      <w:r>
        <w:rPr>
          <w:rFonts w:ascii="Calibri" w:eastAsia="Calibri" w:hAnsi="Calibri" w:cs="Calibri"/>
          <w:sz w:val="22"/>
        </w:rPr>
        <w:t>ful supplemental information to investors.</w:t>
      </w:r>
    </w:p>
    <w:p w14:paraId="18D889FF" w14:textId="77777777" w:rsidR="00C56203" w:rsidRDefault="00CD5102">
      <w:pPr>
        <w:numPr>
          <w:ilvl w:val="0"/>
          <w:numId w:val="28"/>
        </w:numPr>
        <w:spacing w:line="288" w:lineRule="auto"/>
        <w:rPr>
          <w:rFonts w:ascii="Arial" w:eastAsia="Arial" w:hAnsi="Arial" w:cs="Arial"/>
        </w:rPr>
      </w:pPr>
      <w:r>
        <w:rPr>
          <w:rFonts w:ascii="Calibri" w:eastAsia="Calibri" w:hAnsi="Calibri" w:cs="Calibri"/>
          <w:color w:val="000000"/>
          <w:sz w:val="22"/>
          <w:u w:val="single"/>
        </w:rPr>
        <w:t>Acquisition-related costs and adjustments excluding amortization of intangible assets</w:t>
      </w:r>
      <w:r>
        <w:rPr>
          <w:rFonts w:ascii="Calibri" w:eastAsia="Calibri" w:hAnsi="Calibri" w:cs="Calibri"/>
          <w:sz w:val="22"/>
        </w:rPr>
        <w:t>: The Company has excluded the impact of acquisition-related contingent consideration non-cash adjustments due to the inherent u</w:t>
      </w:r>
      <w:r>
        <w:rPr>
          <w:rFonts w:ascii="Calibri" w:eastAsia="Calibri" w:hAnsi="Calibri" w:cs="Calibri"/>
          <w:sz w:val="22"/>
        </w:rPr>
        <w:t>ncertainty and volatility associated with such amounts based on changes in assumptions with respect to fair value estimates, and the amount and frequency of such adjustments are not consistent and are significantly impacted by the timing and size of the Co</w:t>
      </w:r>
      <w:r>
        <w:rPr>
          <w:rFonts w:ascii="Calibri" w:eastAsia="Calibri" w:hAnsi="Calibri" w:cs="Calibri"/>
          <w:sz w:val="22"/>
        </w:rPr>
        <w:t xml:space="preserve">mpany’s acquisitions, as well as the nature of the agreed-upon consideration. In addition, the Company excludes the impact of acquisition-related costs and fair value inventory step-up resulting from acquisitions as the amounts and frequency of such costs </w:t>
      </w:r>
      <w:r>
        <w:rPr>
          <w:rFonts w:ascii="Calibri" w:eastAsia="Calibri" w:hAnsi="Calibri" w:cs="Calibri"/>
          <w:sz w:val="22"/>
        </w:rPr>
        <w:t>and adjustments are not consistent and are impacted by the timing and size of its acquisitions. There were no acquisition-related costs or fair value inventory step-up for the periods presented.</w:t>
      </w:r>
    </w:p>
    <w:p w14:paraId="4632A8F8" w14:textId="77777777" w:rsidR="00C56203" w:rsidRDefault="00CD5102">
      <w:pPr>
        <w:numPr>
          <w:ilvl w:val="0"/>
          <w:numId w:val="29"/>
        </w:numPr>
        <w:spacing w:line="288" w:lineRule="auto"/>
        <w:rPr>
          <w:rFonts w:ascii="Arial" w:eastAsia="Arial" w:hAnsi="Arial" w:cs="Arial"/>
        </w:rPr>
      </w:pPr>
      <w:r>
        <w:rPr>
          <w:rFonts w:ascii="Calibri" w:eastAsia="Calibri" w:hAnsi="Calibri" w:cs="Calibri"/>
          <w:color w:val="000000"/>
          <w:sz w:val="22"/>
          <w:u w:val="single"/>
        </w:rPr>
        <w:t>Gain (loss) on extinguishment of debt</w:t>
      </w:r>
      <w:r>
        <w:rPr>
          <w:rFonts w:ascii="Calibri" w:eastAsia="Calibri" w:hAnsi="Calibri" w:cs="Calibri"/>
          <w:sz w:val="22"/>
        </w:rPr>
        <w:t>: The Company has exclud</w:t>
      </w:r>
      <w:r>
        <w:rPr>
          <w:rFonts w:ascii="Calibri" w:eastAsia="Calibri" w:hAnsi="Calibri" w:cs="Calibri"/>
          <w:sz w:val="22"/>
        </w:rPr>
        <w:t>ed gain (loss) on extinguishment of debt as this represents a gain or loss from refinancing our existing debt and is not a reflection of our operations for the period. Further, the amount and frequency of such amounts are not consistent and are significant</w:t>
      </w:r>
      <w:r>
        <w:rPr>
          <w:rFonts w:ascii="Calibri" w:eastAsia="Calibri" w:hAnsi="Calibri" w:cs="Calibri"/>
          <w:sz w:val="22"/>
        </w:rPr>
        <w:t>ly impacted by the timing and size of debt financing transactions and other factors in the debt market out of management’s control.</w:t>
      </w:r>
    </w:p>
    <w:p w14:paraId="208907D0" w14:textId="77777777" w:rsidR="00C56203" w:rsidRDefault="00CD5102">
      <w:pPr>
        <w:numPr>
          <w:ilvl w:val="0"/>
          <w:numId w:val="30"/>
        </w:numPr>
        <w:spacing w:line="288" w:lineRule="auto"/>
        <w:rPr>
          <w:rFonts w:ascii="Arial" w:eastAsia="Arial" w:hAnsi="Arial" w:cs="Arial"/>
        </w:rPr>
      </w:pPr>
      <w:r>
        <w:rPr>
          <w:rFonts w:ascii="Calibri" w:eastAsia="Calibri" w:hAnsi="Calibri" w:cs="Calibri"/>
          <w:color w:val="000000"/>
          <w:sz w:val="22"/>
          <w:u w:val="single"/>
        </w:rPr>
        <w:t>Share-based compensation</w:t>
      </w:r>
      <w:r>
        <w:rPr>
          <w:rFonts w:ascii="Calibri" w:eastAsia="Calibri" w:hAnsi="Calibri" w:cs="Calibri"/>
          <w:sz w:val="22"/>
        </w:rPr>
        <w:t>: The Company has excluded costs relating to share-based compensation. The Company believes that the</w:t>
      </w:r>
      <w:r>
        <w:rPr>
          <w:rFonts w:ascii="Calibri" w:eastAsia="Calibri" w:hAnsi="Calibri" w:cs="Calibri"/>
          <w:sz w:val="22"/>
        </w:rPr>
        <w:t xml:space="preserve"> exclusion of share-based compensation expense assists investors in the comparisons of operating results to peer companies. Share-based compensation expense can vary significantly based on the timing, size and nature of awards granted.</w:t>
      </w:r>
    </w:p>
    <w:p w14:paraId="43FD889C" w14:textId="77777777" w:rsidR="00C56203" w:rsidRDefault="00CD5102">
      <w:pPr>
        <w:numPr>
          <w:ilvl w:val="0"/>
          <w:numId w:val="31"/>
        </w:numPr>
        <w:spacing w:line="288" w:lineRule="auto"/>
        <w:rPr>
          <w:rFonts w:ascii="Arial" w:eastAsia="Arial" w:hAnsi="Arial" w:cs="Arial"/>
        </w:rPr>
      </w:pPr>
      <w:r>
        <w:rPr>
          <w:rFonts w:ascii="Calibri" w:eastAsia="Calibri" w:hAnsi="Calibri" w:cs="Calibri"/>
          <w:color w:val="000000"/>
          <w:sz w:val="22"/>
          <w:u w:val="single"/>
        </w:rPr>
        <w:t>Separation and IPO c</w:t>
      </w:r>
      <w:r>
        <w:rPr>
          <w:rFonts w:ascii="Calibri" w:eastAsia="Calibri" w:hAnsi="Calibri" w:cs="Calibri"/>
          <w:color w:val="000000"/>
          <w:sz w:val="22"/>
          <w:u w:val="single"/>
        </w:rPr>
        <w:t>osts and separation-related and IPO-related costs:</w:t>
      </w:r>
      <w:r>
        <w:rPr>
          <w:rFonts w:ascii="Calibri" w:eastAsia="Calibri" w:hAnsi="Calibri" w:cs="Calibri"/>
          <w:sz w:val="22"/>
        </w:rPr>
        <w:t xml:space="preserve"> The Company has excluded certain costs incurred in connection with activities taken to: (</w:t>
      </w:r>
      <w:proofErr w:type="spellStart"/>
      <w:r>
        <w:rPr>
          <w:rFonts w:ascii="Calibri" w:eastAsia="Calibri" w:hAnsi="Calibri" w:cs="Calibri"/>
          <w:sz w:val="22"/>
        </w:rPr>
        <w:t>i</w:t>
      </w:r>
      <w:proofErr w:type="spellEnd"/>
      <w:r>
        <w:rPr>
          <w:rFonts w:ascii="Calibri" w:eastAsia="Calibri" w:hAnsi="Calibri" w:cs="Calibri"/>
          <w:sz w:val="22"/>
        </w:rPr>
        <w:t xml:space="preserve">) separate the eye-health and the </w:t>
      </w:r>
      <w:proofErr w:type="spellStart"/>
      <w:r>
        <w:rPr>
          <w:rFonts w:ascii="Calibri" w:eastAsia="Calibri" w:hAnsi="Calibri" w:cs="Calibri"/>
          <w:sz w:val="22"/>
        </w:rPr>
        <w:t>Solta</w:t>
      </w:r>
      <w:proofErr w:type="spellEnd"/>
      <w:r>
        <w:rPr>
          <w:rFonts w:ascii="Calibri" w:eastAsia="Calibri" w:hAnsi="Calibri" w:cs="Calibri"/>
          <w:sz w:val="22"/>
        </w:rPr>
        <w:t xml:space="preserve"> aesthetic medical device businesses from the remainder of the Company and (</w:t>
      </w:r>
      <w:r>
        <w:rPr>
          <w:rFonts w:ascii="Calibri" w:eastAsia="Calibri" w:hAnsi="Calibri" w:cs="Calibri"/>
          <w:sz w:val="22"/>
        </w:rPr>
        <w:t xml:space="preserve">ii) register the eye-health and the </w:t>
      </w:r>
      <w:proofErr w:type="spellStart"/>
      <w:r>
        <w:rPr>
          <w:rFonts w:ascii="Calibri" w:eastAsia="Calibri" w:hAnsi="Calibri" w:cs="Calibri"/>
          <w:sz w:val="22"/>
        </w:rPr>
        <w:t>Solta</w:t>
      </w:r>
      <w:proofErr w:type="spellEnd"/>
      <w:r>
        <w:rPr>
          <w:rFonts w:ascii="Calibri" w:eastAsia="Calibri" w:hAnsi="Calibri" w:cs="Calibri"/>
          <w:sz w:val="22"/>
        </w:rPr>
        <w:t xml:space="preserve"> aesthetic medical device businesses as independent publicly traded entities. Separation and IPO costs are incremental costs directly related to effectuating the separation of the eye-health business and the initial</w:t>
      </w:r>
      <w:r>
        <w:rPr>
          <w:rFonts w:ascii="Calibri" w:eastAsia="Calibri" w:hAnsi="Calibri" w:cs="Calibri"/>
          <w:sz w:val="22"/>
        </w:rPr>
        <w:t xml:space="preserve"> public offering (“IPO”) of the </w:t>
      </w:r>
      <w:proofErr w:type="spellStart"/>
      <w:r>
        <w:rPr>
          <w:rFonts w:ascii="Calibri" w:eastAsia="Calibri" w:hAnsi="Calibri" w:cs="Calibri"/>
          <w:sz w:val="22"/>
        </w:rPr>
        <w:t>Solta</w:t>
      </w:r>
      <w:proofErr w:type="spellEnd"/>
      <w:r>
        <w:rPr>
          <w:rFonts w:ascii="Calibri" w:eastAsia="Calibri" w:hAnsi="Calibri" w:cs="Calibri"/>
          <w:sz w:val="22"/>
        </w:rPr>
        <w:t xml:space="preserve"> aesthetic medical device business (the “</w:t>
      </w:r>
      <w:proofErr w:type="spellStart"/>
      <w:r>
        <w:rPr>
          <w:rFonts w:ascii="Calibri" w:eastAsia="Calibri" w:hAnsi="Calibri" w:cs="Calibri"/>
          <w:sz w:val="22"/>
        </w:rPr>
        <w:t>Solta</w:t>
      </w:r>
      <w:proofErr w:type="spellEnd"/>
      <w:r>
        <w:rPr>
          <w:rFonts w:ascii="Calibri" w:eastAsia="Calibri" w:hAnsi="Calibri" w:cs="Calibri"/>
          <w:sz w:val="22"/>
        </w:rPr>
        <w:t xml:space="preserve"> IPO”), which has now been suspended, and include, but are not limited to, legal, audit and advisory fees, talent acquisition costs and costs associated with establishing a </w:t>
      </w:r>
      <w:r>
        <w:rPr>
          <w:rFonts w:ascii="Calibri" w:eastAsia="Calibri" w:hAnsi="Calibri" w:cs="Calibri"/>
          <w:sz w:val="22"/>
        </w:rPr>
        <w:t xml:space="preserve">new board of directors and related board committees. Separation-related and IPO-related costs are incremental costs indirectly related to the separation of the eye-health business and the </w:t>
      </w:r>
      <w:proofErr w:type="spellStart"/>
      <w:r>
        <w:rPr>
          <w:rFonts w:ascii="Calibri" w:eastAsia="Calibri" w:hAnsi="Calibri" w:cs="Calibri"/>
          <w:sz w:val="22"/>
        </w:rPr>
        <w:t>Solta</w:t>
      </w:r>
      <w:proofErr w:type="spellEnd"/>
      <w:r>
        <w:rPr>
          <w:rFonts w:ascii="Calibri" w:eastAsia="Calibri" w:hAnsi="Calibri" w:cs="Calibri"/>
          <w:sz w:val="22"/>
        </w:rPr>
        <w:t xml:space="preserve"> IPO and include, but are not limited to, IT infrastructure and</w:t>
      </w:r>
      <w:r>
        <w:rPr>
          <w:rFonts w:ascii="Calibri" w:eastAsia="Calibri" w:hAnsi="Calibri" w:cs="Calibri"/>
          <w:sz w:val="22"/>
        </w:rPr>
        <w:t xml:space="preserve"> software licensing costs, rebranding costs and costs associated with facility relocation and/or modification. As these costs arise from events outside of the ordinary course of continuing operations, the Company believes that the adjustments of these item</w:t>
      </w:r>
      <w:r>
        <w:rPr>
          <w:rFonts w:ascii="Calibri" w:eastAsia="Calibri" w:hAnsi="Calibri" w:cs="Calibri"/>
          <w:sz w:val="22"/>
        </w:rPr>
        <w:t>s provide supplemental information with regard to the sustainability of the Company’s operating performance, allow for a comparison of the financial results to historical operations and forward-looking guidance and, as a result, provide useful supplemental</w:t>
      </w:r>
      <w:r>
        <w:rPr>
          <w:rFonts w:ascii="Calibri" w:eastAsia="Calibri" w:hAnsi="Calibri" w:cs="Calibri"/>
          <w:sz w:val="22"/>
        </w:rPr>
        <w:t xml:space="preserve"> information to investors.</w:t>
      </w:r>
    </w:p>
    <w:p w14:paraId="706E9E89" w14:textId="77777777" w:rsidR="00C56203" w:rsidRDefault="00CD5102">
      <w:pPr>
        <w:numPr>
          <w:ilvl w:val="0"/>
          <w:numId w:val="32"/>
        </w:numPr>
        <w:spacing w:line="288" w:lineRule="auto"/>
        <w:rPr>
          <w:rFonts w:ascii="Arial" w:eastAsia="Arial" w:hAnsi="Arial" w:cs="Arial"/>
        </w:rPr>
      </w:pPr>
      <w:r>
        <w:rPr>
          <w:rFonts w:ascii="Calibri" w:eastAsia="Calibri" w:hAnsi="Calibri" w:cs="Calibri"/>
          <w:color w:val="000000"/>
          <w:sz w:val="22"/>
          <w:u w:val="single"/>
        </w:rPr>
        <w:lastRenderedPageBreak/>
        <w:t>Other Non-GAAP adjustments</w:t>
      </w:r>
      <w:r>
        <w:rPr>
          <w:rFonts w:ascii="Calibri" w:eastAsia="Calibri" w:hAnsi="Calibri" w:cs="Calibri"/>
          <w:sz w:val="22"/>
        </w:rPr>
        <w:t>: The Company has excluded certain other amounts, including legal and other professional fees incurred in connection with legal and governmental proceedings, investigations and information requests regar</w:t>
      </w:r>
      <w:r>
        <w:rPr>
          <w:rFonts w:ascii="Calibri" w:eastAsia="Calibri" w:hAnsi="Calibri" w:cs="Calibri"/>
          <w:sz w:val="22"/>
        </w:rPr>
        <w:t>ding certain of our legacy distribution, marketing, pricing, disclosure and accounting practices, litigation and other matters, and net (gain) loss on sale of assets. Given the unique nature of the matters relating to these costs, the Company believes thes</w:t>
      </w:r>
      <w:r>
        <w:rPr>
          <w:rFonts w:ascii="Calibri" w:eastAsia="Calibri" w:hAnsi="Calibri" w:cs="Calibri"/>
          <w:sz w:val="22"/>
        </w:rPr>
        <w:t>e items are not normal operating expenses. For example, legal settlements and judgments vary significantly, in their nature, size and frequency, and, due to this volatility, the Company believes the costs associated with legal settlements and judgments are</w:t>
      </w:r>
      <w:r>
        <w:rPr>
          <w:rFonts w:ascii="Calibri" w:eastAsia="Calibri" w:hAnsi="Calibri" w:cs="Calibri"/>
          <w:sz w:val="22"/>
        </w:rPr>
        <w:t xml:space="preserve"> not normal operating expenses. In addition, as opposed to more ordinary course matters, the Company considers that each of the recent proceedings, investigations and information requests, given their nature and frequency, are outside of the ordinary cours</w:t>
      </w:r>
      <w:r>
        <w:rPr>
          <w:rFonts w:ascii="Calibri" w:eastAsia="Calibri" w:hAnsi="Calibri" w:cs="Calibri"/>
          <w:sz w:val="22"/>
        </w:rPr>
        <w:t>e and relate to unique circumstances. The Company has also excluded IT infrastructure investments that are the result of other, non-comparable events to measure operating performance. These events arise outside of the ordinary course of continuing operatio</w:t>
      </w:r>
      <w:r>
        <w:rPr>
          <w:rFonts w:ascii="Calibri" w:eastAsia="Calibri" w:hAnsi="Calibri" w:cs="Calibri"/>
          <w:sz w:val="22"/>
        </w:rPr>
        <w:t>ns. The Company has also excluded certain other costs, including settlement costs associated with the conversion of a portion of the Company’s defined benefit plan in Ireland to a defined contribution plan. The Company excluded these costs as this event is</w:t>
      </w:r>
      <w:r>
        <w:rPr>
          <w:rFonts w:ascii="Calibri" w:eastAsia="Calibri" w:hAnsi="Calibri" w:cs="Calibri"/>
          <w:sz w:val="22"/>
        </w:rPr>
        <w:t xml:space="preserve"> outside of the ordinary course of continuing operations and is infrequent in nature. The Company believes that the exclusion of such out-of-the-ordinary-course amounts provides supplemental information to assist in the comparison of the financial results </w:t>
      </w:r>
      <w:r>
        <w:rPr>
          <w:rFonts w:ascii="Calibri" w:eastAsia="Calibri" w:hAnsi="Calibri" w:cs="Calibri"/>
          <w:sz w:val="22"/>
        </w:rPr>
        <w:t xml:space="preserve">of the Company from period to period and, therefore, provides useful supplemental information to investors. However, investors should understand that many of these costs could recur and that companies in our industry often face litigation. </w:t>
      </w:r>
    </w:p>
    <w:p w14:paraId="5EC4F41D" w14:textId="77777777" w:rsidR="00C56203" w:rsidRDefault="00C56203">
      <w:pPr>
        <w:spacing w:line="276" w:lineRule="auto"/>
        <w:rPr>
          <w:rFonts w:ascii="Arial" w:eastAsia="Arial" w:hAnsi="Arial" w:cs="Arial"/>
        </w:rPr>
      </w:pPr>
    </w:p>
    <w:p w14:paraId="44D5F099" w14:textId="77777777" w:rsidR="00C56203" w:rsidRDefault="00CD5102">
      <w:pPr>
        <w:spacing w:line="276" w:lineRule="auto"/>
      </w:pPr>
      <w:r>
        <w:rPr>
          <w:rFonts w:ascii="Calibri" w:eastAsia="Calibri" w:hAnsi="Calibri" w:cs="Calibri"/>
          <w:sz w:val="22"/>
        </w:rPr>
        <w:t>Adjusted EBITD</w:t>
      </w:r>
      <w:r>
        <w:rPr>
          <w:rFonts w:ascii="Calibri" w:eastAsia="Calibri" w:hAnsi="Calibri" w:cs="Calibri"/>
          <w:sz w:val="22"/>
        </w:rPr>
        <w:t>A attributable to Bausch Health (non-GAAP) is Adjusted EBITDA (non-GAAP) further adjusted to exclude the Adjusted EBITDA attributable to noncontrolling interest (non-GAAP). Adjusted EBITDA attributable to noncontrolling interest (non-GAAP) is Net income at</w:t>
      </w:r>
      <w:r>
        <w:rPr>
          <w:rFonts w:ascii="Calibri" w:eastAsia="Calibri" w:hAnsi="Calibri" w:cs="Calibri"/>
          <w:sz w:val="22"/>
        </w:rPr>
        <w:t>tributable to noncontrolling interest (its most directly comparable GAAP financial measure) adjusted for the portion of the adjustments described above attributable to noncontrolling interest.</w:t>
      </w:r>
    </w:p>
    <w:p w14:paraId="5E7C0548" w14:textId="77777777" w:rsidR="00C56203" w:rsidRDefault="00C56203">
      <w:pPr>
        <w:spacing w:line="276" w:lineRule="auto"/>
        <w:rPr>
          <w:rFonts w:ascii="Arial" w:eastAsia="Arial" w:hAnsi="Arial" w:cs="Arial"/>
        </w:rPr>
      </w:pPr>
    </w:p>
    <w:p w14:paraId="56E383FB" w14:textId="77777777" w:rsidR="00C56203" w:rsidRDefault="00CD5102">
      <w:pPr>
        <w:spacing w:line="288" w:lineRule="auto"/>
      </w:pPr>
      <w:r>
        <w:rPr>
          <w:rFonts w:ascii="Calibri" w:eastAsia="Calibri" w:hAnsi="Calibri" w:cs="Calibri"/>
          <w:color w:val="000000"/>
          <w:sz w:val="22"/>
          <w:u w:val="single"/>
        </w:rPr>
        <w:t xml:space="preserve">Adjusted Net Income (non-GAAP) and Adjusted Net Income </w:t>
      </w:r>
      <w:r>
        <w:rPr>
          <w:rFonts w:ascii="Calibri" w:eastAsia="Calibri" w:hAnsi="Calibri" w:cs="Calibri"/>
          <w:color w:val="000000"/>
          <w:sz w:val="22"/>
          <w:u w:val="single"/>
        </w:rPr>
        <w:t>attributable to Bausch Health</w:t>
      </w:r>
    </w:p>
    <w:p w14:paraId="714B1271" w14:textId="77777777" w:rsidR="00C56203" w:rsidRDefault="00CD5102">
      <w:pPr>
        <w:spacing w:line="288" w:lineRule="auto"/>
      </w:pPr>
      <w:r>
        <w:rPr>
          <w:rFonts w:ascii="Calibri" w:eastAsia="Calibri" w:hAnsi="Calibri" w:cs="Calibri"/>
          <w:sz w:val="22"/>
        </w:rPr>
        <w:t xml:space="preserve">Adjusted net income (non-GAAP) is Net income (its most directly comparable GAAP financial measure), adjusted for asset impairments, including loss on assets held for sale, goodwill impairments, restructuring, </w:t>
      </w:r>
      <w:r>
        <w:rPr>
          <w:rFonts w:ascii="Calibri" w:eastAsia="Calibri" w:hAnsi="Calibri" w:cs="Calibri"/>
          <w:sz w:val="22"/>
        </w:rPr>
        <w:t>integration and transformation costs, acquisition-related costs and adjustments excluding amortization of intangible assets, gain (loss) on extinguishment of debt, share-based compensation, separation and IPO costs and separation-related and IPO-related co</w:t>
      </w:r>
      <w:r>
        <w:rPr>
          <w:rFonts w:ascii="Calibri" w:eastAsia="Calibri" w:hAnsi="Calibri" w:cs="Calibri"/>
          <w:sz w:val="22"/>
        </w:rPr>
        <w:t>sts and other non-GAAP adjustments as these adjustments are described above, and amortization of intangible assets as described below:</w:t>
      </w:r>
    </w:p>
    <w:p w14:paraId="680F6638" w14:textId="77777777" w:rsidR="00C56203" w:rsidRDefault="00C56203">
      <w:pPr>
        <w:spacing w:line="276" w:lineRule="auto"/>
        <w:rPr>
          <w:rFonts w:ascii="Arial" w:eastAsia="Arial" w:hAnsi="Arial" w:cs="Arial"/>
        </w:rPr>
      </w:pPr>
    </w:p>
    <w:p w14:paraId="31D16536" w14:textId="77777777" w:rsidR="00C56203" w:rsidRDefault="00CD5102">
      <w:pPr>
        <w:numPr>
          <w:ilvl w:val="0"/>
          <w:numId w:val="33"/>
        </w:numPr>
        <w:spacing w:line="288" w:lineRule="auto"/>
        <w:rPr>
          <w:rFonts w:ascii="Arial" w:eastAsia="Arial" w:hAnsi="Arial" w:cs="Arial"/>
        </w:rPr>
      </w:pPr>
      <w:r>
        <w:rPr>
          <w:rFonts w:ascii="Calibri" w:eastAsia="Calibri" w:hAnsi="Calibri" w:cs="Calibri"/>
          <w:color w:val="000000"/>
          <w:sz w:val="22"/>
          <w:u w:val="single"/>
        </w:rPr>
        <w:t>Amortization of intangible assets</w:t>
      </w:r>
      <w:r>
        <w:rPr>
          <w:rFonts w:ascii="Calibri" w:eastAsia="Calibri" w:hAnsi="Calibri" w:cs="Calibri"/>
          <w:sz w:val="22"/>
        </w:rPr>
        <w:t>: The Company has excluded the impact of amortization of intangible assets, as such amo</w:t>
      </w:r>
      <w:r>
        <w:rPr>
          <w:rFonts w:ascii="Calibri" w:eastAsia="Calibri" w:hAnsi="Calibri" w:cs="Calibri"/>
          <w:sz w:val="22"/>
        </w:rPr>
        <w:t>unts are inconsistent in amount and frequency and are significantly impacted by the timing and/or size of acquisitions. The Company believes that the adjustments of these items correlate with the sustainability of the Company’s operating performance. Altho</w:t>
      </w:r>
      <w:r>
        <w:rPr>
          <w:rFonts w:ascii="Calibri" w:eastAsia="Calibri" w:hAnsi="Calibri" w:cs="Calibri"/>
          <w:sz w:val="22"/>
        </w:rPr>
        <w:t>ugh the Company excludes the amortization of intangible assets from its non-GAAP expenses, the Company believes that it is important for investors to understand that such intangible assets contribute to revenue generation. Amortization of intangible assets</w:t>
      </w:r>
      <w:r>
        <w:rPr>
          <w:rFonts w:ascii="Calibri" w:eastAsia="Calibri" w:hAnsi="Calibri" w:cs="Calibri"/>
          <w:sz w:val="22"/>
        </w:rPr>
        <w:t xml:space="preserve"> that relate to past acquisitions will recur in future periods until such intangible assets have been fully amortized. Any future acquisitions may result in the amortization of additional intangible assets.</w:t>
      </w:r>
    </w:p>
    <w:p w14:paraId="49248D8D" w14:textId="77777777" w:rsidR="00C56203" w:rsidRDefault="00C56203">
      <w:pPr>
        <w:spacing w:line="276" w:lineRule="auto"/>
        <w:rPr>
          <w:rFonts w:ascii="Arial" w:eastAsia="Arial" w:hAnsi="Arial" w:cs="Arial"/>
        </w:rPr>
      </w:pPr>
    </w:p>
    <w:p w14:paraId="1A573843" w14:textId="77777777" w:rsidR="00C56203" w:rsidRDefault="00CD5102">
      <w:pPr>
        <w:spacing w:line="288" w:lineRule="auto"/>
      </w:pPr>
      <w:r>
        <w:rPr>
          <w:rFonts w:ascii="Calibri" w:eastAsia="Calibri" w:hAnsi="Calibri" w:cs="Calibri"/>
          <w:sz w:val="22"/>
        </w:rPr>
        <w:t>Adjusted net income attributable to Bausch Healt</w:t>
      </w:r>
      <w:r>
        <w:rPr>
          <w:rFonts w:ascii="Calibri" w:eastAsia="Calibri" w:hAnsi="Calibri" w:cs="Calibri"/>
          <w:sz w:val="22"/>
        </w:rPr>
        <w:t xml:space="preserve">h (non-GAAP) is Adjusted net income (non-GAAP) further adjusted to exclude the Adjusted net income attributable to noncontrolling interest (non-GAAP). Adjusted </w:t>
      </w:r>
      <w:r>
        <w:rPr>
          <w:rFonts w:ascii="Calibri" w:eastAsia="Calibri" w:hAnsi="Calibri" w:cs="Calibri"/>
          <w:sz w:val="22"/>
        </w:rPr>
        <w:lastRenderedPageBreak/>
        <w:t>net income attributable to noncontrolling interest (non-GAAP) is Net income attributable to nonc</w:t>
      </w:r>
      <w:r>
        <w:rPr>
          <w:rFonts w:ascii="Calibri" w:eastAsia="Calibri" w:hAnsi="Calibri" w:cs="Calibri"/>
          <w:sz w:val="22"/>
        </w:rPr>
        <w:t>ontrolling interest (its most directly comparable GAAP financial measure) adjusted for the portion of the adjustments described above attributable to noncontrolling interest.</w:t>
      </w:r>
    </w:p>
    <w:p w14:paraId="1F16143F" w14:textId="77777777" w:rsidR="00C56203" w:rsidRDefault="00CD5102">
      <w:pPr>
        <w:spacing w:before="120" w:line="288" w:lineRule="auto"/>
      </w:pPr>
      <w:r>
        <w:rPr>
          <w:rFonts w:ascii="Calibri" w:eastAsia="Calibri" w:hAnsi="Calibri" w:cs="Calibri"/>
          <w:sz w:val="22"/>
        </w:rPr>
        <w:t>Historically, management has used Adjusted net income (loss) (non-GAAP) for strat</w:t>
      </w:r>
      <w:r>
        <w:rPr>
          <w:rFonts w:ascii="Calibri" w:eastAsia="Calibri" w:hAnsi="Calibri" w:cs="Calibri"/>
          <w:sz w:val="22"/>
        </w:rPr>
        <w:t>egic decision making, forecasting future results and evaluating current performance. This non-GAAP measure excludes the impact of certain items (as described above) that may obscure trends in the Company’s underlying performance. By disclosing this non-GAA</w:t>
      </w:r>
      <w:r>
        <w:rPr>
          <w:rFonts w:ascii="Calibri" w:eastAsia="Calibri" w:hAnsi="Calibri" w:cs="Calibri"/>
          <w:sz w:val="22"/>
        </w:rPr>
        <w:t>P measure, it is management’s intention to provide investors with a meaningful, supplemental comparison of the Company’s operating results and trends for the periods presented. Management believes that this measure is also useful to investors as such measu</w:t>
      </w:r>
      <w:r>
        <w:rPr>
          <w:rFonts w:ascii="Calibri" w:eastAsia="Calibri" w:hAnsi="Calibri" w:cs="Calibri"/>
          <w:sz w:val="22"/>
        </w:rPr>
        <w:t>re allows investors to evaluate the Company’s performance using the same tools that management uses to evaluate past performance and prospects for future performance. Accordingly, the Company believes that Adjusted net income (non-GAAP) is useful to invest</w:t>
      </w:r>
      <w:r>
        <w:rPr>
          <w:rFonts w:ascii="Calibri" w:eastAsia="Calibri" w:hAnsi="Calibri" w:cs="Calibri"/>
          <w:sz w:val="22"/>
        </w:rPr>
        <w:t>ors in their assessment of the Company’s operating performance. It is also noted that, in recent periods, our GAAP Net income (loss) was significantly lower than our Adjusted net income (non-GAAP). Commencing in 2017, management of the Company identified a</w:t>
      </w:r>
      <w:r>
        <w:rPr>
          <w:rFonts w:ascii="Calibri" w:eastAsia="Calibri" w:hAnsi="Calibri" w:cs="Calibri"/>
          <w:sz w:val="22"/>
        </w:rPr>
        <w:t>nd began using certain new primary financial performance measures to assess the Company’s financial performance. In addition, subsequent to the Bausch + Lomb IPO, the Company began presenting Adjusted net income (non-GAAP) attributable to Bausch Health Com</w:t>
      </w:r>
      <w:r>
        <w:rPr>
          <w:rFonts w:ascii="Calibri" w:eastAsia="Calibri" w:hAnsi="Calibri" w:cs="Calibri"/>
          <w:sz w:val="22"/>
        </w:rPr>
        <w:t>panies Inc. as it may be useful to investors in their assessment of the Company and its performance.</w:t>
      </w:r>
    </w:p>
    <w:p w14:paraId="2D136751" w14:textId="77777777" w:rsidR="00C56203" w:rsidRDefault="00C56203">
      <w:pPr>
        <w:spacing w:line="276" w:lineRule="auto"/>
        <w:rPr>
          <w:rFonts w:ascii="Arial" w:eastAsia="Arial" w:hAnsi="Arial" w:cs="Arial"/>
        </w:rPr>
      </w:pPr>
    </w:p>
    <w:p w14:paraId="5C6F4B44" w14:textId="77777777" w:rsidR="00C56203" w:rsidRDefault="00CD5102">
      <w:pPr>
        <w:spacing w:line="276" w:lineRule="auto"/>
      </w:pPr>
      <w:r>
        <w:rPr>
          <w:rFonts w:ascii="Calibri" w:eastAsia="Calibri" w:hAnsi="Calibri" w:cs="Calibri"/>
          <w:color w:val="000000"/>
          <w:sz w:val="22"/>
          <w:u w:val="single"/>
        </w:rPr>
        <w:t>Organic Revenue (non-GAAP) and Change in Organic Revenue (non-GAAP)</w:t>
      </w:r>
    </w:p>
    <w:p w14:paraId="34A75C6D" w14:textId="77777777" w:rsidR="00C56203" w:rsidRDefault="00C56203">
      <w:pPr>
        <w:spacing w:line="276" w:lineRule="auto"/>
        <w:rPr>
          <w:rFonts w:ascii="Arial" w:eastAsia="Arial" w:hAnsi="Arial" w:cs="Arial"/>
        </w:rPr>
      </w:pPr>
    </w:p>
    <w:p w14:paraId="13918A95" w14:textId="77777777" w:rsidR="00C56203" w:rsidRDefault="00CD5102">
      <w:pPr>
        <w:spacing w:line="288" w:lineRule="auto"/>
      </w:pPr>
      <w:r>
        <w:rPr>
          <w:rFonts w:ascii="Calibri" w:eastAsia="Calibri" w:hAnsi="Calibri" w:cs="Calibri"/>
          <w:sz w:val="22"/>
        </w:rPr>
        <w:t>Organic revenue (non-GAAP) and Change in organic revenue (non-GAAP), are defined as G</w:t>
      </w:r>
      <w:r>
        <w:rPr>
          <w:rFonts w:ascii="Calibri" w:eastAsia="Calibri" w:hAnsi="Calibri" w:cs="Calibri"/>
          <w:sz w:val="22"/>
        </w:rPr>
        <w:t>AAP Revenue and change in GAAP Revenue (the most directly comparable GAAP financial measures), adjusted for changes in foreign currency exchange rates (if applicable) and excluding the impact of recent acquisitions, divestitures and discontinuations, as de</w:t>
      </w:r>
      <w:r>
        <w:rPr>
          <w:rFonts w:ascii="Calibri" w:eastAsia="Calibri" w:hAnsi="Calibri" w:cs="Calibri"/>
          <w:sz w:val="22"/>
        </w:rPr>
        <w:t>fined below. Organic revenue (non-GAAP) is impacted by changes in product volumes and price. The price component is made up of two key drivers: (</w:t>
      </w:r>
      <w:proofErr w:type="spellStart"/>
      <w:r>
        <w:rPr>
          <w:rFonts w:ascii="Calibri" w:eastAsia="Calibri" w:hAnsi="Calibri" w:cs="Calibri"/>
          <w:sz w:val="22"/>
        </w:rPr>
        <w:t>i</w:t>
      </w:r>
      <w:proofErr w:type="spellEnd"/>
      <w:r>
        <w:rPr>
          <w:rFonts w:ascii="Calibri" w:eastAsia="Calibri" w:hAnsi="Calibri" w:cs="Calibri"/>
          <w:sz w:val="22"/>
        </w:rPr>
        <w:t>) changes in product gross selling price and (ii) changes in sales deductions. The Company uses organic revenu</w:t>
      </w:r>
      <w:r>
        <w:rPr>
          <w:rFonts w:ascii="Calibri" w:eastAsia="Calibri" w:hAnsi="Calibri" w:cs="Calibri"/>
          <w:sz w:val="22"/>
        </w:rPr>
        <w:t>e (non-GAAP) and change in organic revenue (non-GAAP) to assess performance of its reportable segments, and the Company in total. The Company believes that providing these non-GAAP measures is useful to investors as they provide a supplemental period-to-pe</w:t>
      </w:r>
      <w:r>
        <w:rPr>
          <w:rFonts w:ascii="Calibri" w:eastAsia="Calibri" w:hAnsi="Calibri" w:cs="Calibri"/>
          <w:sz w:val="22"/>
        </w:rPr>
        <w:t>riod comparison.</w:t>
      </w:r>
    </w:p>
    <w:p w14:paraId="517E2675" w14:textId="77777777" w:rsidR="00C56203" w:rsidRDefault="00CD5102">
      <w:pPr>
        <w:spacing w:before="120" w:line="288" w:lineRule="auto"/>
      </w:pPr>
      <w:r>
        <w:rPr>
          <w:rFonts w:ascii="Calibri" w:eastAsia="Calibri" w:hAnsi="Calibri" w:cs="Calibri"/>
          <w:sz w:val="22"/>
        </w:rPr>
        <w:t>The adjustments to GAAP Revenue to determine Organic Revenue (non-GAAP) and Changes in Organic Revenue (non-GAAP) are as follows:</w:t>
      </w:r>
    </w:p>
    <w:p w14:paraId="6F963669" w14:textId="77777777" w:rsidR="00C56203" w:rsidRDefault="00C56203">
      <w:pPr>
        <w:spacing w:line="276" w:lineRule="auto"/>
        <w:rPr>
          <w:rFonts w:ascii="Arial" w:eastAsia="Arial" w:hAnsi="Arial" w:cs="Arial"/>
        </w:rPr>
      </w:pPr>
    </w:p>
    <w:p w14:paraId="70B2472A" w14:textId="77777777" w:rsidR="00C56203" w:rsidRDefault="00CD5102">
      <w:pPr>
        <w:numPr>
          <w:ilvl w:val="0"/>
          <w:numId w:val="34"/>
        </w:numPr>
        <w:spacing w:line="288" w:lineRule="auto"/>
        <w:rPr>
          <w:rFonts w:ascii="Arial" w:eastAsia="Arial" w:hAnsi="Arial" w:cs="Arial"/>
        </w:rPr>
      </w:pPr>
      <w:r>
        <w:rPr>
          <w:rFonts w:ascii="Calibri" w:eastAsia="Calibri" w:hAnsi="Calibri" w:cs="Calibri"/>
          <w:color w:val="000000"/>
          <w:sz w:val="22"/>
          <w:u w:val="single"/>
        </w:rPr>
        <w:t>Foreign currency exchange rates:</w:t>
      </w:r>
      <w:r>
        <w:rPr>
          <w:rFonts w:ascii="Calibri" w:eastAsia="Calibri" w:hAnsi="Calibri" w:cs="Calibri"/>
          <w:sz w:val="22"/>
        </w:rPr>
        <w:t xml:space="preserve"> Although changes in foreign currency exchange rates are part of our busines</w:t>
      </w:r>
      <w:r>
        <w:rPr>
          <w:rFonts w:ascii="Calibri" w:eastAsia="Calibri" w:hAnsi="Calibri" w:cs="Calibri"/>
          <w:sz w:val="22"/>
        </w:rPr>
        <w:t xml:space="preserve">s, they are not within management’s control. Changes in foreign currency exchange rates, however, can mask positive or negative trends in the business. The impact of changes in foreign currency exchange rates is determined as the difference in the current </w:t>
      </w:r>
      <w:r>
        <w:rPr>
          <w:rFonts w:ascii="Calibri" w:eastAsia="Calibri" w:hAnsi="Calibri" w:cs="Calibri"/>
          <w:sz w:val="22"/>
        </w:rPr>
        <w:t>period reported revenues at their current period currency exchange rates and the current period reported revenues revalued using the monthly average currency exchange rates during the comparable prior period.</w:t>
      </w:r>
    </w:p>
    <w:p w14:paraId="0260FB31" w14:textId="77777777" w:rsidR="00C56203" w:rsidRDefault="00CD5102">
      <w:pPr>
        <w:numPr>
          <w:ilvl w:val="0"/>
          <w:numId w:val="35"/>
        </w:numPr>
        <w:spacing w:line="288" w:lineRule="auto"/>
        <w:rPr>
          <w:rFonts w:ascii="Arial" w:eastAsia="Arial" w:hAnsi="Arial" w:cs="Arial"/>
        </w:rPr>
      </w:pPr>
      <w:r>
        <w:rPr>
          <w:rFonts w:ascii="Calibri" w:eastAsia="Calibri" w:hAnsi="Calibri" w:cs="Calibri"/>
          <w:color w:val="000000"/>
          <w:sz w:val="22"/>
          <w:u w:val="single"/>
        </w:rPr>
        <w:t>Acquisitions, divestitures and discontinuations</w:t>
      </w:r>
      <w:r>
        <w:rPr>
          <w:rFonts w:ascii="Calibri" w:eastAsia="Calibri" w:hAnsi="Calibri" w:cs="Calibri"/>
          <w:color w:val="000000"/>
          <w:sz w:val="22"/>
          <w:u w:val="single"/>
        </w:rPr>
        <w:t>:</w:t>
      </w:r>
      <w:r>
        <w:rPr>
          <w:rFonts w:ascii="Calibri" w:eastAsia="Calibri" w:hAnsi="Calibri" w:cs="Calibri"/>
          <w:sz w:val="22"/>
        </w:rPr>
        <w:t xml:space="preserve"> In order to present period-over-period organic revenue (non-GAAP) growth/change on a comparable basis, revenues associated with acquisitions, divestitures and discontinuations are adjusted to include only revenues from those businesses and assets owned d</w:t>
      </w:r>
      <w:r>
        <w:rPr>
          <w:rFonts w:ascii="Calibri" w:eastAsia="Calibri" w:hAnsi="Calibri" w:cs="Calibri"/>
          <w:sz w:val="22"/>
        </w:rPr>
        <w:t>uring both periods. Accordingly, organic revenue and organic growth/change exclude from the current period, revenues attributable to each acquisition for twelve months subsequent to the day of acquisition, as there are no revenues from those businesses and</w:t>
      </w:r>
      <w:r>
        <w:rPr>
          <w:rFonts w:ascii="Calibri" w:eastAsia="Calibri" w:hAnsi="Calibri" w:cs="Calibri"/>
          <w:sz w:val="22"/>
        </w:rPr>
        <w:t xml:space="preserve"> assets included in the comparable prior period. Organic revenue and change in organic revenue exclude from the prior period, all revenues attributable to each divestiture and discontinuance during the </w:t>
      </w:r>
      <w:r>
        <w:rPr>
          <w:rFonts w:ascii="Calibri" w:eastAsia="Calibri" w:hAnsi="Calibri" w:cs="Calibri"/>
          <w:sz w:val="22"/>
        </w:rPr>
        <w:lastRenderedPageBreak/>
        <w:t>twelve months prior to the day of divestiture or disco</w:t>
      </w:r>
      <w:r>
        <w:rPr>
          <w:rFonts w:ascii="Calibri" w:eastAsia="Calibri" w:hAnsi="Calibri" w:cs="Calibri"/>
          <w:sz w:val="22"/>
        </w:rPr>
        <w:t>ntinuance, as there are no revenues from those businesses and assets included in the comparable current period.</w:t>
      </w:r>
    </w:p>
    <w:p w14:paraId="5D912DB0" w14:textId="77777777" w:rsidR="00C56203" w:rsidRDefault="00C56203">
      <w:pPr>
        <w:spacing w:line="276" w:lineRule="auto"/>
        <w:rPr>
          <w:rFonts w:ascii="Arial" w:eastAsia="Arial" w:hAnsi="Arial" w:cs="Arial"/>
        </w:rPr>
      </w:pPr>
    </w:p>
    <w:p w14:paraId="25929D32" w14:textId="77777777" w:rsidR="00C56203" w:rsidRDefault="00CD5102">
      <w:pPr>
        <w:spacing w:line="288" w:lineRule="auto"/>
      </w:pPr>
      <w:r>
        <w:rPr>
          <w:rFonts w:ascii="Calibri" w:eastAsia="Calibri" w:hAnsi="Calibri" w:cs="Calibri"/>
          <w:color w:val="000000"/>
          <w:sz w:val="22"/>
          <w:u w:val="single"/>
        </w:rPr>
        <w:t>Constant Currency</w:t>
      </w:r>
    </w:p>
    <w:p w14:paraId="04A552FF" w14:textId="77777777" w:rsidR="00C56203" w:rsidRDefault="00CD5102">
      <w:pPr>
        <w:spacing w:line="288" w:lineRule="auto"/>
      </w:pPr>
      <w:r>
        <w:rPr>
          <w:rFonts w:ascii="Calibri" w:eastAsia="Calibri" w:hAnsi="Calibri" w:cs="Calibri"/>
          <w:sz w:val="22"/>
        </w:rPr>
        <w:t>Changes in the relative values of non-U.S. currencies to the U.S. dollar may affect the Company’s financial results and finan</w:t>
      </w:r>
      <w:r>
        <w:rPr>
          <w:rFonts w:ascii="Calibri" w:eastAsia="Calibri" w:hAnsi="Calibri" w:cs="Calibri"/>
          <w:sz w:val="22"/>
        </w:rPr>
        <w:t>cial position. To assist investors in evaluating the Company’s performance, we have adjusted for the effects of changes in foreign currencies. The impact of changes in foreign currency exchange rates is determined by comparing the current period reported r</w:t>
      </w:r>
      <w:r>
        <w:rPr>
          <w:rFonts w:ascii="Calibri" w:eastAsia="Calibri" w:hAnsi="Calibri" w:cs="Calibri"/>
          <w:sz w:val="22"/>
        </w:rPr>
        <w:t>evenues at their current period currency exchange rates and the current period reported revenues revalued using the monthly average currency exchange rates during the comparable prior period.</w:t>
      </w:r>
    </w:p>
    <w:p w14:paraId="556DAD38" w14:textId="77777777" w:rsidR="00C56203" w:rsidRDefault="00C56203">
      <w:pPr>
        <w:spacing w:line="276" w:lineRule="auto"/>
        <w:rPr>
          <w:rFonts w:ascii="Arial" w:eastAsia="Arial" w:hAnsi="Arial" w:cs="Arial"/>
        </w:rPr>
      </w:pPr>
    </w:p>
    <w:p w14:paraId="6B9B1A1A" w14:textId="77777777" w:rsidR="00C56203" w:rsidRDefault="00CD5102">
      <w:pPr>
        <w:spacing w:line="288" w:lineRule="auto"/>
      </w:pPr>
      <w:r>
        <w:rPr>
          <w:rFonts w:ascii="Calibri" w:eastAsia="Calibri" w:hAnsi="Calibri" w:cs="Calibri"/>
          <w:sz w:val="22"/>
        </w:rPr>
        <w:t>Please also see the reconciliation tables below for further inf</w:t>
      </w:r>
      <w:r>
        <w:rPr>
          <w:rFonts w:ascii="Calibri" w:eastAsia="Calibri" w:hAnsi="Calibri" w:cs="Calibri"/>
          <w:sz w:val="22"/>
        </w:rPr>
        <w:t>ormation as to how these non-GAAP measures and ratios are calculated for the periods presented.</w:t>
      </w:r>
    </w:p>
    <w:p w14:paraId="384552B4" w14:textId="77777777" w:rsidR="00C56203" w:rsidRDefault="00C56203">
      <w:pPr>
        <w:widowControl w:val="0"/>
        <w:spacing w:line="288" w:lineRule="auto"/>
        <w:rPr>
          <w:rFonts w:ascii="Calibri" w:eastAsia="Calibri" w:hAnsi="Calibri" w:cs="Calibri"/>
          <w:sz w:val="22"/>
        </w:rPr>
      </w:pPr>
    </w:p>
    <w:p w14:paraId="56829596" w14:textId="77777777" w:rsidR="00C56203" w:rsidRDefault="00CD5102">
      <w:pPr>
        <w:widowControl w:val="0"/>
        <w:spacing w:line="288" w:lineRule="auto"/>
        <w:rPr>
          <w:rFonts w:ascii="Calibri" w:eastAsia="Calibri" w:hAnsi="Calibri" w:cs="Calibri"/>
          <w:b/>
          <w:color w:val="000000"/>
          <w:sz w:val="22"/>
          <w:u w:val="single"/>
        </w:rPr>
      </w:pPr>
      <w:r>
        <w:rPr>
          <w:rFonts w:ascii="Calibri" w:eastAsia="Calibri" w:hAnsi="Calibri" w:cs="Calibri"/>
          <w:b/>
          <w:sz w:val="22"/>
        </w:rPr>
        <w:t>FINANCIAL TABLES FOLLOW</w:t>
      </w:r>
    </w:p>
    <w:p w14:paraId="6AB17F4B" w14:textId="77777777" w:rsidR="00C56203" w:rsidRDefault="00C56203">
      <w:pPr>
        <w:widowControl w:val="0"/>
        <w:spacing w:line="288" w:lineRule="auto"/>
        <w:sectPr w:rsidR="00C56203">
          <w:headerReference w:type="default" r:id="rId7"/>
          <w:footerReference w:type="default" r:id="rId8"/>
          <w:headerReference w:type="first" r:id="rId9"/>
          <w:footerReference w:type="first" r:id="rId10"/>
          <w:type w:val="continuous"/>
          <w:pgSz w:w="12240" w:h="15840"/>
          <w:pgMar w:top="1440" w:right="1260" w:bottom="1368" w:left="1440" w:header="270" w:footer="540" w:gutter="0"/>
          <w:cols w:space="708"/>
          <w:titlePg/>
          <w:docGrid w:linePitch="360"/>
        </w:sectPr>
      </w:pPr>
    </w:p>
    <w:p w14:paraId="366D5E5A" w14:textId="77777777" w:rsidR="00C56203" w:rsidRDefault="00CD5102">
      <w:pPr>
        <w:spacing w:line="288" w:lineRule="auto"/>
        <w:jc w:val="center"/>
        <w:rPr>
          <w:sz w:val="20"/>
        </w:rPr>
      </w:pPr>
      <w:bookmarkStart w:id="1" w:name="Section2"/>
      <w:bookmarkEnd w:id="1"/>
      <w:r>
        <w:rPr>
          <w:sz w:val="20"/>
        </w:rPr>
        <w:lastRenderedPageBreak/>
        <w:t xml:space="preserve">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6"/>
        <w:gridCol w:w="75"/>
        <w:gridCol w:w="1134"/>
        <w:gridCol w:w="126"/>
        <w:gridCol w:w="1134"/>
      </w:tblGrid>
      <w:tr w:rsidR="00C56203" w14:paraId="2458DF27" w14:textId="77777777">
        <w:trPr>
          <w:cantSplit/>
          <w:trHeight w:hRule="exact" w:val="285"/>
          <w:jc w:val="center"/>
        </w:trPr>
        <w:tc>
          <w:tcPr>
            <w:tcW w:w="7305" w:type="dxa"/>
            <w:tcBorders>
              <w:top w:val="nil"/>
              <w:left w:val="nil"/>
              <w:bottom w:val="nil"/>
              <w:right w:val="nil"/>
            </w:tcBorders>
            <w:tcMar>
              <w:top w:w="0" w:type="dxa"/>
              <w:left w:w="53" w:type="dxa"/>
              <w:bottom w:w="0" w:type="dxa"/>
              <w:right w:w="53" w:type="dxa"/>
            </w:tcMar>
            <w:vAlign w:val="bottom"/>
          </w:tcPr>
          <w:p w14:paraId="1CC97113" w14:textId="77777777" w:rsidR="00C56203" w:rsidRDefault="00CD5102">
            <w:pPr>
              <w:keepNext/>
              <w:spacing w:before="75" w:after="30"/>
            </w:pPr>
            <w:r>
              <w:rPr>
                <w:b/>
                <w:color w:val="000000"/>
                <w:sz w:val="18"/>
              </w:rPr>
              <w:t>Bausch Health Companies Inc.</w:t>
            </w:r>
          </w:p>
        </w:tc>
        <w:tc>
          <w:tcPr>
            <w:tcW w:w="75" w:type="dxa"/>
            <w:tcBorders>
              <w:top w:val="nil"/>
              <w:left w:val="nil"/>
              <w:bottom w:val="nil"/>
              <w:right w:val="nil"/>
            </w:tcBorders>
            <w:tcMar>
              <w:top w:w="0" w:type="dxa"/>
              <w:left w:w="0" w:type="dxa"/>
              <w:bottom w:w="0" w:type="dxa"/>
              <w:right w:w="0" w:type="dxa"/>
            </w:tcMar>
            <w:vAlign w:val="bottom"/>
          </w:tcPr>
          <w:p w14:paraId="7703993A" w14:textId="77777777" w:rsidR="00C56203" w:rsidRDefault="00C56203">
            <w:pPr>
              <w:keepNext/>
            </w:pPr>
          </w:p>
        </w:tc>
        <w:tc>
          <w:tcPr>
            <w:tcW w:w="1140" w:type="dxa"/>
            <w:tcBorders>
              <w:top w:val="nil"/>
              <w:left w:val="nil"/>
              <w:bottom w:val="nil"/>
              <w:right w:val="nil"/>
            </w:tcBorders>
            <w:tcMar>
              <w:top w:w="0" w:type="dxa"/>
              <w:left w:w="0" w:type="dxa"/>
              <w:bottom w:w="0" w:type="dxa"/>
              <w:right w:w="0" w:type="dxa"/>
            </w:tcMar>
            <w:vAlign w:val="bottom"/>
          </w:tcPr>
          <w:p w14:paraId="601A302B"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67B6C340" w14:textId="77777777" w:rsidR="00C56203" w:rsidRDefault="00C56203">
            <w:pPr>
              <w:keepNext/>
            </w:pPr>
          </w:p>
        </w:tc>
        <w:tc>
          <w:tcPr>
            <w:tcW w:w="1140" w:type="dxa"/>
            <w:tcBorders>
              <w:top w:val="nil"/>
              <w:left w:val="nil"/>
              <w:bottom w:val="nil"/>
              <w:right w:val="nil"/>
            </w:tcBorders>
            <w:tcMar>
              <w:top w:w="0" w:type="dxa"/>
              <w:left w:w="0" w:type="dxa"/>
              <w:bottom w:w="0" w:type="dxa"/>
              <w:right w:w="53" w:type="dxa"/>
            </w:tcMar>
            <w:vAlign w:val="bottom"/>
          </w:tcPr>
          <w:p w14:paraId="696D6216" w14:textId="77777777" w:rsidR="00C56203" w:rsidRDefault="00CD5102">
            <w:pPr>
              <w:keepNext/>
              <w:spacing w:before="75" w:after="30"/>
              <w:jc w:val="right"/>
            </w:pPr>
            <w:r>
              <w:rPr>
                <w:b/>
                <w:color w:val="000000"/>
                <w:sz w:val="18"/>
              </w:rPr>
              <w:t xml:space="preserve"> Table 1 </w:t>
            </w:r>
          </w:p>
        </w:tc>
      </w:tr>
      <w:tr w:rsidR="00C56203" w14:paraId="19FADDE2" w14:textId="77777777">
        <w:trPr>
          <w:cantSplit/>
          <w:trHeight w:hRule="exact" w:val="285"/>
          <w:jc w:val="center"/>
        </w:trPr>
        <w:tc>
          <w:tcPr>
            <w:tcW w:w="7305" w:type="dxa"/>
            <w:tcBorders>
              <w:top w:val="nil"/>
              <w:left w:val="nil"/>
              <w:bottom w:val="nil"/>
              <w:right w:val="nil"/>
            </w:tcBorders>
            <w:tcMar>
              <w:top w:w="0" w:type="dxa"/>
              <w:left w:w="53" w:type="dxa"/>
              <w:bottom w:w="0" w:type="dxa"/>
              <w:right w:w="53" w:type="dxa"/>
            </w:tcMar>
            <w:vAlign w:val="bottom"/>
          </w:tcPr>
          <w:p w14:paraId="0075A9FF" w14:textId="77777777" w:rsidR="00C56203" w:rsidRDefault="00CD5102">
            <w:pPr>
              <w:keepNext/>
              <w:spacing w:before="75" w:after="30"/>
            </w:pPr>
            <w:r>
              <w:rPr>
                <w:b/>
                <w:color w:val="000000"/>
                <w:sz w:val="18"/>
              </w:rPr>
              <w:t>Condensed Consolidated Statements of Operations</w:t>
            </w:r>
          </w:p>
        </w:tc>
        <w:tc>
          <w:tcPr>
            <w:tcW w:w="75" w:type="dxa"/>
            <w:tcBorders>
              <w:top w:val="nil"/>
              <w:left w:val="nil"/>
              <w:bottom w:val="nil"/>
              <w:right w:val="nil"/>
            </w:tcBorders>
            <w:tcMar>
              <w:top w:w="0" w:type="dxa"/>
              <w:left w:w="0" w:type="dxa"/>
              <w:bottom w:w="0" w:type="dxa"/>
              <w:right w:w="0" w:type="dxa"/>
            </w:tcMar>
            <w:vAlign w:val="bottom"/>
          </w:tcPr>
          <w:p w14:paraId="3D075269" w14:textId="77777777" w:rsidR="00C56203" w:rsidRDefault="00C56203">
            <w:pPr>
              <w:keepNext/>
            </w:pPr>
          </w:p>
        </w:tc>
        <w:tc>
          <w:tcPr>
            <w:tcW w:w="1140" w:type="dxa"/>
            <w:tcBorders>
              <w:top w:val="nil"/>
              <w:left w:val="nil"/>
              <w:bottom w:val="nil"/>
              <w:right w:val="nil"/>
            </w:tcBorders>
            <w:tcMar>
              <w:top w:w="0" w:type="dxa"/>
              <w:left w:w="0" w:type="dxa"/>
              <w:bottom w:w="0" w:type="dxa"/>
              <w:right w:w="0" w:type="dxa"/>
            </w:tcMar>
            <w:vAlign w:val="bottom"/>
          </w:tcPr>
          <w:p w14:paraId="5CF15784"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31B7524C" w14:textId="77777777" w:rsidR="00C56203" w:rsidRDefault="00C56203">
            <w:pPr>
              <w:keepNext/>
            </w:pPr>
          </w:p>
        </w:tc>
        <w:tc>
          <w:tcPr>
            <w:tcW w:w="1140" w:type="dxa"/>
            <w:tcBorders>
              <w:top w:val="nil"/>
              <w:left w:val="nil"/>
              <w:bottom w:val="nil"/>
              <w:right w:val="nil"/>
            </w:tcBorders>
            <w:tcMar>
              <w:top w:w="0" w:type="dxa"/>
              <w:left w:w="0" w:type="dxa"/>
              <w:bottom w:w="0" w:type="dxa"/>
              <w:right w:w="0" w:type="dxa"/>
            </w:tcMar>
            <w:vAlign w:val="bottom"/>
          </w:tcPr>
          <w:p w14:paraId="60DD044D" w14:textId="77777777" w:rsidR="00C56203" w:rsidRDefault="00C56203">
            <w:pPr>
              <w:keepNext/>
            </w:pPr>
          </w:p>
        </w:tc>
      </w:tr>
      <w:tr w:rsidR="00C56203" w14:paraId="554BE811" w14:textId="77777777">
        <w:trPr>
          <w:cantSplit/>
          <w:trHeight w:hRule="exact" w:val="285"/>
          <w:jc w:val="center"/>
        </w:trPr>
        <w:tc>
          <w:tcPr>
            <w:tcW w:w="7305" w:type="dxa"/>
            <w:tcBorders>
              <w:top w:val="nil"/>
              <w:left w:val="nil"/>
              <w:bottom w:val="nil"/>
              <w:right w:val="nil"/>
            </w:tcBorders>
            <w:tcMar>
              <w:top w:w="0" w:type="dxa"/>
              <w:left w:w="53" w:type="dxa"/>
              <w:bottom w:w="0" w:type="dxa"/>
              <w:right w:w="53" w:type="dxa"/>
            </w:tcMar>
            <w:vAlign w:val="bottom"/>
          </w:tcPr>
          <w:p w14:paraId="481EEDC2" w14:textId="77777777" w:rsidR="00C56203" w:rsidRDefault="00CD5102">
            <w:pPr>
              <w:keepNext/>
              <w:spacing w:before="75" w:after="30"/>
            </w:pPr>
            <w:r>
              <w:rPr>
                <w:b/>
                <w:color w:val="000000"/>
                <w:sz w:val="18"/>
              </w:rPr>
              <w:t>For the Three Months Ended March 31, 2023 and 2022</w:t>
            </w:r>
          </w:p>
        </w:tc>
        <w:tc>
          <w:tcPr>
            <w:tcW w:w="75" w:type="dxa"/>
            <w:tcBorders>
              <w:top w:val="nil"/>
              <w:left w:val="nil"/>
              <w:bottom w:val="nil"/>
              <w:right w:val="nil"/>
            </w:tcBorders>
            <w:tcMar>
              <w:top w:w="0" w:type="dxa"/>
              <w:left w:w="0" w:type="dxa"/>
              <w:bottom w:w="0" w:type="dxa"/>
              <w:right w:w="0" w:type="dxa"/>
            </w:tcMar>
            <w:vAlign w:val="bottom"/>
          </w:tcPr>
          <w:p w14:paraId="65941054" w14:textId="77777777" w:rsidR="00C56203" w:rsidRDefault="00C56203">
            <w:pPr>
              <w:keepNext/>
            </w:pPr>
          </w:p>
        </w:tc>
        <w:tc>
          <w:tcPr>
            <w:tcW w:w="1140" w:type="dxa"/>
            <w:tcBorders>
              <w:top w:val="nil"/>
              <w:left w:val="nil"/>
              <w:bottom w:val="nil"/>
              <w:right w:val="nil"/>
            </w:tcBorders>
            <w:tcMar>
              <w:top w:w="0" w:type="dxa"/>
              <w:left w:w="0" w:type="dxa"/>
              <w:bottom w:w="0" w:type="dxa"/>
              <w:right w:w="0" w:type="dxa"/>
            </w:tcMar>
            <w:vAlign w:val="bottom"/>
          </w:tcPr>
          <w:p w14:paraId="7C435315"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3DD75466" w14:textId="77777777" w:rsidR="00C56203" w:rsidRDefault="00C56203">
            <w:pPr>
              <w:keepNext/>
            </w:pPr>
          </w:p>
        </w:tc>
        <w:tc>
          <w:tcPr>
            <w:tcW w:w="1140" w:type="dxa"/>
            <w:tcBorders>
              <w:top w:val="nil"/>
              <w:left w:val="nil"/>
              <w:bottom w:val="nil"/>
              <w:right w:val="nil"/>
            </w:tcBorders>
            <w:tcMar>
              <w:top w:w="0" w:type="dxa"/>
              <w:left w:w="0" w:type="dxa"/>
              <w:bottom w:w="0" w:type="dxa"/>
              <w:right w:w="0" w:type="dxa"/>
            </w:tcMar>
            <w:vAlign w:val="bottom"/>
          </w:tcPr>
          <w:p w14:paraId="08CDABFE" w14:textId="77777777" w:rsidR="00C56203" w:rsidRDefault="00C56203">
            <w:pPr>
              <w:keepNext/>
            </w:pPr>
          </w:p>
        </w:tc>
      </w:tr>
      <w:tr w:rsidR="00C56203" w14:paraId="18F977F7" w14:textId="77777777">
        <w:trPr>
          <w:cantSplit/>
          <w:trHeight w:hRule="exact" w:val="285"/>
          <w:jc w:val="center"/>
        </w:trPr>
        <w:tc>
          <w:tcPr>
            <w:tcW w:w="7305" w:type="dxa"/>
            <w:tcBorders>
              <w:top w:val="nil"/>
              <w:left w:val="nil"/>
              <w:bottom w:val="nil"/>
              <w:right w:val="nil"/>
            </w:tcBorders>
            <w:tcMar>
              <w:top w:w="0" w:type="dxa"/>
              <w:left w:w="53" w:type="dxa"/>
              <w:bottom w:w="0" w:type="dxa"/>
              <w:right w:w="53" w:type="dxa"/>
            </w:tcMar>
            <w:vAlign w:val="bottom"/>
          </w:tcPr>
          <w:p w14:paraId="5C12C83D" w14:textId="77777777" w:rsidR="00C56203" w:rsidRDefault="00CD5102">
            <w:pPr>
              <w:keepNext/>
              <w:spacing w:before="75" w:after="30"/>
            </w:pPr>
            <w:r>
              <w:rPr>
                <w:b/>
                <w:color w:val="000000"/>
                <w:sz w:val="18"/>
              </w:rPr>
              <w:t>(unaudited)</w:t>
            </w:r>
          </w:p>
        </w:tc>
        <w:tc>
          <w:tcPr>
            <w:tcW w:w="75" w:type="dxa"/>
            <w:tcBorders>
              <w:top w:val="nil"/>
              <w:left w:val="nil"/>
              <w:bottom w:val="nil"/>
              <w:right w:val="nil"/>
            </w:tcBorders>
            <w:tcMar>
              <w:top w:w="0" w:type="dxa"/>
              <w:left w:w="0" w:type="dxa"/>
              <w:bottom w:w="0" w:type="dxa"/>
              <w:right w:w="0" w:type="dxa"/>
            </w:tcMar>
            <w:vAlign w:val="bottom"/>
          </w:tcPr>
          <w:p w14:paraId="5798B3DC" w14:textId="77777777" w:rsidR="00C56203" w:rsidRDefault="00C56203">
            <w:pPr>
              <w:keepNext/>
            </w:pPr>
          </w:p>
        </w:tc>
        <w:tc>
          <w:tcPr>
            <w:tcW w:w="1140" w:type="dxa"/>
            <w:tcBorders>
              <w:top w:val="nil"/>
              <w:left w:val="nil"/>
              <w:bottom w:val="nil"/>
              <w:right w:val="nil"/>
            </w:tcBorders>
            <w:tcMar>
              <w:top w:w="0" w:type="dxa"/>
              <w:left w:w="0" w:type="dxa"/>
              <w:bottom w:w="0" w:type="dxa"/>
              <w:right w:w="0" w:type="dxa"/>
            </w:tcMar>
            <w:vAlign w:val="bottom"/>
          </w:tcPr>
          <w:p w14:paraId="1838E7C0"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5A1F68A5" w14:textId="77777777" w:rsidR="00C56203" w:rsidRDefault="00C56203">
            <w:pPr>
              <w:keepNext/>
            </w:pPr>
          </w:p>
        </w:tc>
        <w:tc>
          <w:tcPr>
            <w:tcW w:w="1140" w:type="dxa"/>
            <w:tcBorders>
              <w:top w:val="nil"/>
              <w:left w:val="nil"/>
              <w:bottom w:val="nil"/>
              <w:right w:val="nil"/>
            </w:tcBorders>
            <w:tcMar>
              <w:top w:w="0" w:type="dxa"/>
              <w:left w:w="0" w:type="dxa"/>
              <w:bottom w:w="0" w:type="dxa"/>
              <w:right w:w="0" w:type="dxa"/>
            </w:tcMar>
            <w:vAlign w:val="bottom"/>
          </w:tcPr>
          <w:p w14:paraId="01FE6F1E" w14:textId="77777777" w:rsidR="00C56203" w:rsidRDefault="00C56203">
            <w:pPr>
              <w:keepNext/>
            </w:pPr>
          </w:p>
        </w:tc>
      </w:tr>
      <w:tr w:rsidR="00C56203" w14:paraId="60AE3774" w14:textId="77777777">
        <w:trPr>
          <w:cantSplit/>
          <w:trHeight w:hRule="exact" w:val="285"/>
          <w:jc w:val="center"/>
        </w:trPr>
        <w:tc>
          <w:tcPr>
            <w:tcW w:w="7305" w:type="dxa"/>
            <w:tcBorders>
              <w:top w:val="nil"/>
              <w:left w:val="nil"/>
              <w:bottom w:val="nil"/>
              <w:right w:val="nil"/>
            </w:tcBorders>
            <w:tcMar>
              <w:top w:w="0" w:type="dxa"/>
              <w:left w:w="0" w:type="dxa"/>
              <w:bottom w:w="0" w:type="dxa"/>
              <w:right w:w="0" w:type="dxa"/>
            </w:tcMar>
            <w:vAlign w:val="bottom"/>
          </w:tcPr>
          <w:p w14:paraId="357BFCB3"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709A31D2" w14:textId="77777777" w:rsidR="00C56203" w:rsidRDefault="00C56203">
            <w:pPr>
              <w:keepNext/>
            </w:pPr>
          </w:p>
        </w:tc>
        <w:tc>
          <w:tcPr>
            <w:tcW w:w="2355" w:type="dxa"/>
            <w:gridSpan w:val="3"/>
            <w:tcBorders>
              <w:top w:val="nil"/>
              <w:left w:val="nil"/>
              <w:bottom w:val="nil"/>
              <w:right w:val="nil"/>
            </w:tcBorders>
            <w:tcMar>
              <w:top w:w="0" w:type="dxa"/>
              <w:left w:w="53" w:type="dxa"/>
              <w:bottom w:w="0" w:type="dxa"/>
              <w:right w:w="53" w:type="dxa"/>
            </w:tcMar>
            <w:vAlign w:val="bottom"/>
          </w:tcPr>
          <w:p w14:paraId="66763A7A" w14:textId="77777777" w:rsidR="00C56203" w:rsidRDefault="00CD5102">
            <w:pPr>
              <w:keepNext/>
              <w:spacing w:before="75" w:after="30"/>
              <w:jc w:val="center"/>
            </w:pPr>
            <w:r>
              <w:rPr>
                <w:b/>
                <w:color w:val="000000"/>
                <w:sz w:val="18"/>
              </w:rPr>
              <w:t>Three Months Ended</w:t>
            </w:r>
          </w:p>
        </w:tc>
      </w:tr>
      <w:tr w:rsidR="00C56203" w14:paraId="3ACE6768" w14:textId="77777777">
        <w:trPr>
          <w:cantSplit/>
          <w:trHeight w:hRule="exact" w:val="285"/>
          <w:jc w:val="center"/>
        </w:trPr>
        <w:tc>
          <w:tcPr>
            <w:tcW w:w="7305" w:type="dxa"/>
            <w:tcBorders>
              <w:top w:val="nil"/>
              <w:left w:val="nil"/>
              <w:bottom w:val="nil"/>
              <w:right w:val="nil"/>
            </w:tcBorders>
            <w:tcMar>
              <w:top w:w="0" w:type="dxa"/>
              <w:left w:w="0" w:type="dxa"/>
              <w:bottom w:w="0" w:type="dxa"/>
              <w:right w:w="0" w:type="dxa"/>
            </w:tcMar>
            <w:vAlign w:val="bottom"/>
          </w:tcPr>
          <w:p w14:paraId="169254E1"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06CEF942" w14:textId="77777777" w:rsidR="00C56203" w:rsidRDefault="00C56203">
            <w:pPr>
              <w:keepNext/>
            </w:pPr>
          </w:p>
        </w:tc>
        <w:tc>
          <w:tcPr>
            <w:tcW w:w="2355" w:type="dxa"/>
            <w:gridSpan w:val="3"/>
            <w:tcBorders>
              <w:top w:val="nil"/>
              <w:left w:val="nil"/>
              <w:bottom w:val="nil"/>
              <w:right w:val="nil"/>
            </w:tcBorders>
            <w:tcMar>
              <w:top w:w="0" w:type="dxa"/>
              <w:left w:w="53" w:type="dxa"/>
              <w:bottom w:w="0" w:type="dxa"/>
              <w:right w:w="53" w:type="dxa"/>
            </w:tcMar>
            <w:vAlign w:val="bottom"/>
          </w:tcPr>
          <w:p w14:paraId="4D3D1152" w14:textId="77777777" w:rsidR="00C56203" w:rsidRDefault="00CD5102">
            <w:pPr>
              <w:keepNext/>
              <w:spacing w:before="75" w:after="30"/>
              <w:jc w:val="center"/>
            </w:pPr>
            <w:r>
              <w:rPr>
                <w:b/>
                <w:color w:val="000000"/>
                <w:sz w:val="18"/>
              </w:rPr>
              <w:t>March 31,</w:t>
            </w:r>
          </w:p>
        </w:tc>
      </w:tr>
      <w:tr w:rsidR="00C56203" w14:paraId="63C4E6EC" w14:textId="77777777">
        <w:trPr>
          <w:cantSplit/>
          <w:trHeight w:hRule="exact" w:val="285"/>
          <w:jc w:val="center"/>
        </w:trPr>
        <w:tc>
          <w:tcPr>
            <w:tcW w:w="7305" w:type="dxa"/>
            <w:tcBorders>
              <w:top w:val="nil"/>
              <w:left w:val="nil"/>
              <w:bottom w:val="nil"/>
              <w:right w:val="nil"/>
            </w:tcBorders>
            <w:tcMar>
              <w:top w:w="0" w:type="dxa"/>
              <w:left w:w="53" w:type="dxa"/>
              <w:bottom w:w="0" w:type="dxa"/>
              <w:right w:w="53" w:type="dxa"/>
            </w:tcMar>
            <w:vAlign w:val="bottom"/>
          </w:tcPr>
          <w:p w14:paraId="1B61DAD9" w14:textId="77777777" w:rsidR="00C56203" w:rsidRDefault="00CD5102">
            <w:pPr>
              <w:keepNext/>
              <w:spacing w:before="55" w:after="30"/>
            </w:pPr>
            <w:r>
              <w:rPr>
                <w:i/>
                <w:color w:val="000000"/>
                <w:sz w:val="16"/>
              </w:rPr>
              <w:t>(in millions)</w:t>
            </w:r>
          </w:p>
        </w:tc>
        <w:tc>
          <w:tcPr>
            <w:tcW w:w="75" w:type="dxa"/>
            <w:tcBorders>
              <w:top w:val="nil"/>
              <w:left w:val="nil"/>
              <w:bottom w:val="nil"/>
              <w:right w:val="nil"/>
            </w:tcBorders>
            <w:tcMar>
              <w:top w:w="0" w:type="dxa"/>
              <w:left w:w="0" w:type="dxa"/>
              <w:bottom w:w="0" w:type="dxa"/>
              <w:right w:w="0" w:type="dxa"/>
            </w:tcMar>
            <w:vAlign w:val="bottom"/>
          </w:tcPr>
          <w:p w14:paraId="1415770C" w14:textId="77777777" w:rsidR="00C56203" w:rsidRDefault="00C56203">
            <w:pPr>
              <w:keepNext/>
            </w:pPr>
          </w:p>
        </w:tc>
        <w:tc>
          <w:tcPr>
            <w:tcW w:w="114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1684D463" w14:textId="77777777" w:rsidR="00C56203" w:rsidRDefault="00CD5102">
            <w:pPr>
              <w:keepNext/>
              <w:spacing w:before="55" w:after="30"/>
              <w:jc w:val="center"/>
            </w:pPr>
            <w:r>
              <w:rPr>
                <w:b/>
                <w:color w:val="000000"/>
                <w:sz w:val="18"/>
              </w:rPr>
              <w:t>2023</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00D4A951" w14:textId="77777777" w:rsidR="00C56203" w:rsidRDefault="00C56203">
            <w:pPr>
              <w:keepNext/>
            </w:pPr>
          </w:p>
        </w:tc>
        <w:tc>
          <w:tcPr>
            <w:tcW w:w="114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7970499C" w14:textId="77777777" w:rsidR="00C56203" w:rsidRDefault="00CD5102">
            <w:pPr>
              <w:keepNext/>
              <w:spacing w:before="55" w:after="30"/>
              <w:jc w:val="center"/>
            </w:pPr>
            <w:r>
              <w:rPr>
                <w:b/>
                <w:color w:val="000000"/>
                <w:sz w:val="18"/>
              </w:rPr>
              <w:t>2022</w:t>
            </w:r>
          </w:p>
        </w:tc>
      </w:tr>
      <w:tr w:rsidR="00C56203" w14:paraId="5186E9AC" w14:textId="77777777">
        <w:trPr>
          <w:cantSplit/>
          <w:trHeight w:hRule="exact" w:val="285"/>
          <w:jc w:val="center"/>
        </w:trPr>
        <w:tc>
          <w:tcPr>
            <w:tcW w:w="7305" w:type="dxa"/>
            <w:tcBorders>
              <w:top w:val="nil"/>
              <w:left w:val="nil"/>
              <w:bottom w:val="nil"/>
              <w:right w:val="nil"/>
            </w:tcBorders>
            <w:shd w:val="clear" w:color="auto" w:fill="FFFFFF"/>
            <w:tcMar>
              <w:top w:w="0" w:type="dxa"/>
              <w:left w:w="53" w:type="dxa"/>
              <w:bottom w:w="0" w:type="dxa"/>
              <w:right w:w="53" w:type="dxa"/>
            </w:tcMar>
            <w:vAlign w:val="bottom"/>
          </w:tcPr>
          <w:p w14:paraId="13DBDDDA" w14:textId="77777777" w:rsidR="00C56203" w:rsidRDefault="00CD5102">
            <w:pPr>
              <w:keepNext/>
              <w:spacing w:before="55" w:after="30"/>
            </w:pPr>
            <w:r>
              <w:rPr>
                <w:b/>
                <w:color w:val="000000"/>
                <w:sz w:val="18"/>
              </w:rPr>
              <w:t>Revenues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4DAC02B" w14:textId="77777777" w:rsidR="00C56203" w:rsidRDefault="00C56203">
            <w:pPr>
              <w:keepNext/>
            </w:pPr>
          </w:p>
        </w:tc>
        <w:tc>
          <w:tcPr>
            <w:tcW w:w="114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070B38DF"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491713E" w14:textId="77777777" w:rsidR="00C56203" w:rsidRDefault="00C56203">
            <w:pPr>
              <w:keepNext/>
            </w:pPr>
          </w:p>
        </w:tc>
        <w:tc>
          <w:tcPr>
            <w:tcW w:w="114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6AB23422" w14:textId="77777777" w:rsidR="00C56203" w:rsidRDefault="00C56203">
            <w:pPr>
              <w:keepNext/>
            </w:pPr>
          </w:p>
        </w:tc>
      </w:tr>
      <w:tr w:rsidR="00C56203" w14:paraId="0490CB10" w14:textId="77777777">
        <w:trPr>
          <w:cantSplit/>
          <w:trHeight w:hRule="exact" w:val="285"/>
          <w:jc w:val="center"/>
        </w:trPr>
        <w:tc>
          <w:tcPr>
            <w:tcW w:w="7305" w:type="dxa"/>
            <w:tcBorders>
              <w:top w:val="nil"/>
              <w:left w:val="nil"/>
              <w:bottom w:val="nil"/>
              <w:right w:val="nil"/>
            </w:tcBorders>
            <w:shd w:val="clear" w:color="auto" w:fill="CCEEFF"/>
            <w:tcMar>
              <w:top w:w="0" w:type="dxa"/>
              <w:left w:w="53" w:type="dxa"/>
              <w:bottom w:w="0" w:type="dxa"/>
              <w:right w:w="53" w:type="dxa"/>
            </w:tcMar>
            <w:vAlign w:val="bottom"/>
          </w:tcPr>
          <w:p w14:paraId="3FBF45D9" w14:textId="77777777" w:rsidR="00C56203" w:rsidRDefault="00CD5102">
            <w:pPr>
              <w:keepNext/>
              <w:spacing w:before="75" w:after="30"/>
            </w:pPr>
            <w:r>
              <w:rPr>
                <w:color w:val="000000"/>
                <w:sz w:val="18"/>
              </w:rPr>
              <w:t>Product sales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7E771EC" w14:textId="77777777" w:rsidR="00C56203" w:rsidRDefault="00C56203">
            <w:pPr>
              <w:keepNext/>
            </w:pP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14:paraId="750A2746" w14:textId="77777777" w:rsidR="00C56203" w:rsidRDefault="00CD5102">
            <w:pPr>
              <w:keepNext/>
              <w:tabs>
                <w:tab w:val="left" w:pos="609"/>
                <w:tab w:val="left" w:pos="1072"/>
              </w:tabs>
              <w:spacing w:before="75" w:after="30"/>
              <w:jc w:val="right"/>
            </w:pPr>
            <w:r>
              <w:rPr>
                <w:color w:val="000000"/>
                <w:sz w:val="18"/>
              </w:rPr>
              <w:t>$</w:t>
            </w:r>
            <w:r>
              <w:rPr>
                <w:color w:val="000000"/>
                <w:sz w:val="18"/>
              </w:rPr>
              <w:tab/>
              <w:t>1,922</w:t>
            </w:r>
            <w:r>
              <w:rPr>
                <w:color w:val="000000"/>
                <w:sz w:val="18"/>
              </w:rPr>
              <w:tab/>
            </w: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21919FA5" w14:textId="77777777" w:rsidR="00C56203" w:rsidRDefault="00C56203">
            <w:pPr>
              <w:keepNext/>
              <w:spacing w:before="75" w:after="30"/>
            </w:pP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14:paraId="6AA6301D" w14:textId="77777777" w:rsidR="00C56203" w:rsidRDefault="00CD5102">
            <w:pPr>
              <w:keepNext/>
              <w:tabs>
                <w:tab w:val="left" w:pos="609"/>
                <w:tab w:val="left" w:pos="1072"/>
              </w:tabs>
              <w:spacing w:before="75" w:after="30"/>
              <w:jc w:val="right"/>
            </w:pPr>
            <w:r>
              <w:rPr>
                <w:color w:val="000000"/>
                <w:sz w:val="18"/>
              </w:rPr>
              <w:t>$</w:t>
            </w:r>
            <w:r>
              <w:rPr>
                <w:color w:val="000000"/>
                <w:sz w:val="18"/>
              </w:rPr>
              <w:tab/>
              <w:t>1,891</w:t>
            </w:r>
            <w:r>
              <w:rPr>
                <w:color w:val="000000"/>
                <w:sz w:val="18"/>
              </w:rPr>
              <w:tab/>
            </w:r>
          </w:p>
        </w:tc>
      </w:tr>
      <w:tr w:rsidR="00C56203" w14:paraId="0EC4777E" w14:textId="77777777">
        <w:trPr>
          <w:cantSplit/>
          <w:trHeight w:hRule="exact" w:val="285"/>
          <w:jc w:val="center"/>
        </w:trPr>
        <w:tc>
          <w:tcPr>
            <w:tcW w:w="7305" w:type="dxa"/>
            <w:tcBorders>
              <w:top w:val="nil"/>
              <w:left w:val="nil"/>
              <w:bottom w:val="nil"/>
              <w:right w:val="nil"/>
            </w:tcBorders>
            <w:shd w:val="clear" w:color="auto" w:fill="FFFFFF"/>
            <w:tcMar>
              <w:top w:w="0" w:type="dxa"/>
              <w:left w:w="53" w:type="dxa"/>
              <w:bottom w:w="0" w:type="dxa"/>
              <w:right w:w="53" w:type="dxa"/>
            </w:tcMar>
            <w:vAlign w:val="bottom"/>
          </w:tcPr>
          <w:p w14:paraId="41CAE853" w14:textId="77777777" w:rsidR="00C56203" w:rsidRDefault="00CD5102">
            <w:pPr>
              <w:keepNext/>
              <w:spacing w:before="75" w:after="30"/>
            </w:pPr>
            <w:r>
              <w:rPr>
                <w:color w:val="000000"/>
                <w:sz w:val="18"/>
              </w:rPr>
              <w:t>Other revenues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03F84E2" w14:textId="77777777" w:rsidR="00C56203" w:rsidRDefault="00C56203">
            <w:pPr>
              <w:keepNext/>
            </w:pPr>
          </w:p>
        </w:tc>
        <w:tc>
          <w:tcPr>
            <w:tcW w:w="11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FD98594" w14:textId="77777777" w:rsidR="00C56203" w:rsidRDefault="00CD5102">
            <w:pPr>
              <w:keepNext/>
              <w:tabs>
                <w:tab w:val="left" w:pos="834"/>
                <w:tab w:val="left" w:pos="1072"/>
              </w:tabs>
              <w:spacing w:before="75" w:after="30"/>
              <w:jc w:val="right"/>
            </w:pPr>
            <w:r>
              <w:rPr>
                <w:color w:val="000000"/>
                <w:sz w:val="18"/>
              </w:rPr>
              <w:tab/>
              <w:t>22</w:t>
            </w:r>
            <w:r>
              <w:rPr>
                <w:color w:val="000000"/>
                <w:sz w:val="18"/>
              </w:rPr>
              <w:tab/>
            </w: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16E65071" w14:textId="77777777" w:rsidR="00C56203" w:rsidRDefault="00C56203">
            <w:pPr>
              <w:keepNext/>
              <w:spacing w:before="75" w:after="30"/>
            </w:pPr>
          </w:p>
        </w:tc>
        <w:tc>
          <w:tcPr>
            <w:tcW w:w="11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CA8B214" w14:textId="77777777" w:rsidR="00C56203" w:rsidRDefault="00CD5102">
            <w:pPr>
              <w:keepNext/>
              <w:tabs>
                <w:tab w:val="left" w:pos="834"/>
                <w:tab w:val="left" w:pos="1072"/>
              </w:tabs>
              <w:spacing w:before="75" w:after="30"/>
              <w:jc w:val="right"/>
            </w:pPr>
            <w:r>
              <w:rPr>
                <w:color w:val="000000"/>
                <w:sz w:val="18"/>
              </w:rPr>
              <w:tab/>
              <w:t>27</w:t>
            </w:r>
            <w:r>
              <w:rPr>
                <w:color w:val="000000"/>
                <w:sz w:val="18"/>
              </w:rPr>
              <w:tab/>
            </w:r>
          </w:p>
        </w:tc>
      </w:tr>
      <w:tr w:rsidR="00C56203" w14:paraId="63006DF1" w14:textId="77777777">
        <w:trPr>
          <w:cantSplit/>
          <w:trHeight w:hRule="exact" w:val="285"/>
          <w:jc w:val="center"/>
        </w:trPr>
        <w:tc>
          <w:tcPr>
            <w:tcW w:w="7305" w:type="dxa"/>
            <w:tcBorders>
              <w:top w:val="nil"/>
              <w:left w:val="nil"/>
              <w:bottom w:val="nil"/>
              <w:right w:val="nil"/>
            </w:tcBorders>
            <w:shd w:val="clear" w:color="auto" w:fill="CCEEFF"/>
            <w:tcMar>
              <w:top w:w="0" w:type="dxa"/>
              <w:left w:w="53" w:type="dxa"/>
              <w:bottom w:w="0" w:type="dxa"/>
              <w:right w:w="53" w:type="dxa"/>
            </w:tcMar>
            <w:vAlign w:val="bottom"/>
          </w:tcPr>
          <w:p w14:paraId="2228E887" w14:textId="77777777" w:rsidR="00C56203" w:rsidRDefault="00C56203">
            <w:pPr>
              <w:keepNext/>
              <w:spacing w:before="55" w:after="3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66D4F06" w14:textId="77777777" w:rsidR="00C56203" w:rsidRDefault="00C56203">
            <w:pPr>
              <w:keepNext/>
            </w:pPr>
          </w:p>
        </w:tc>
        <w:tc>
          <w:tcPr>
            <w:tcW w:w="114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7A7D53B2" w14:textId="77777777" w:rsidR="00C56203" w:rsidRDefault="00CD5102">
            <w:pPr>
              <w:keepNext/>
              <w:tabs>
                <w:tab w:val="left" w:pos="609"/>
                <w:tab w:val="left" w:pos="1072"/>
              </w:tabs>
              <w:spacing w:before="55" w:after="30"/>
              <w:jc w:val="right"/>
            </w:pPr>
            <w:r>
              <w:rPr>
                <w:color w:val="000000"/>
                <w:sz w:val="18"/>
              </w:rPr>
              <w:tab/>
              <w:t>1,944</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500CE8C" w14:textId="77777777" w:rsidR="00C56203" w:rsidRDefault="00C56203">
            <w:pPr>
              <w:keepNext/>
            </w:pPr>
          </w:p>
        </w:tc>
        <w:tc>
          <w:tcPr>
            <w:tcW w:w="114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7B00A680" w14:textId="77777777" w:rsidR="00C56203" w:rsidRDefault="00CD5102">
            <w:pPr>
              <w:keepNext/>
              <w:tabs>
                <w:tab w:val="left" w:pos="609"/>
                <w:tab w:val="left" w:pos="1072"/>
              </w:tabs>
              <w:spacing w:before="55" w:after="30"/>
              <w:jc w:val="right"/>
            </w:pPr>
            <w:r>
              <w:rPr>
                <w:color w:val="000000"/>
                <w:sz w:val="18"/>
              </w:rPr>
              <w:tab/>
              <w:t>1,918</w:t>
            </w:r>
            <w:r>
              <w:rPr>
                <w:color w:val="000000"/>
                <w:sz w:val="18"/>
              </w:rPr>
              <w:tab/>
            </w:r>
          </w:p>
        </w:tc>
      </w:tr>
      <w:tr w:rsidR="00C56203" w14:paraId="4F8A1D35" w14:textId="77777777">
        <w:trPr>
          <w:cantSplit/>
          <w:trHeight w:hRule="exact" w:val="285"/>
          <w:jc w:val="center"/>
        </w:trPr>
        <w:tc>
          <w:tcPr>
            <w:tcW w:w="7305" w:type="dxa"/>
            <w:tcBorders>
              <w:top w:val="nil"/>
              <w:left w:val="nil"/>
              <w:bottom w:val="nil"/>
              <w:right w:val="nil"/>
            </w:tcBorders>
            <w:shd w:val="clear" w:color="auto" w:fill="FFFFFF"/>
            <w:tcMar>
              <w:top w:w="0" w:type="dxa"/>
              <w:left w:w="53" w:type="dxa"/>
              <w:bottom w:w="0" w:type="dxa"/>
              <w:right w:w="53" w:type="dxa"/>
            </w:tcMar>
            <w:vAlign w:val="bottom"/>
          </w:tcPr>
          <w:p w14:paraId="228690B1" w14:textId="77777777" w:rsidR="00C56203" w:rsidRDefault="00CD5102">
            <w:pPr>
              <w:keepNext/>
              <w:spacing w:before="55" w:after="30"/>
            </w:pPr>
            <w:r>
              <w:rPr>
                <w:b/>
                <w:color w:val="000000"/>
                <w:sz w:val="18"/>
              </w:rPr>
              <w:t>Expenses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F699D7C" w14:textId="77777777" w:rsidR="00C56203" w:rsidRDefault="00C56203">
            <w:pPr>
              <w:keepNext/>
            </w:pPr>
          </w:p>
        </w:tc>
        <w:tc>
          <w:tcPr>
            <w:tcW w:w="114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31CB66F4"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3396E5D" w14:textId="77777777" w:rsidR="00C56203" w:rsidRDefault="00C56203">
            <w:pPr>
              <w:keepNext/>
            </w:pPr>
          </w:p>
        </w:tc>
        <w:tc>
          <w:tcPr>
            <w:tcW w:w="114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2D4BC9D1" w14:textId="77777777" w:rsidR="00C56203" w:rsidRDefault="00C56203">
            <w:pPr>
              <w:keepNext/>
            </w:pPr>
          </w:p>
        </w:tc>
      </w:tr>
      <w:tr w:rsidR="00C56203" w14:paraId="60D4315A" w14:textId="77777777">
        <w:trPr>
          <w:cantSplit/>
          <w:trHeight w:hRule="exact" w:val="285"/>
          <w:jc w:val="center"/>
        </w:trPr>
        <w:tc>
          <w:tcPr>
            <w:tcW w:w="7305" w:type="dxa"/>
            <w:tcBorders>
              <w:top w:val="nil"/>
              <w:left w:val="nil"/>
              <w:bottom w:val="nil"/>
              <w:right w:val="nil"/>
            </w:tcBorders>
            <w:shd w:val="clear" w:color="auto" w:fill="CCEEFF"/>
            <w:tcMar>
              <w:top w:w="0" w:type="dxa"/>
              <w:left w:w="53" w:type="dxa"/>
              <w:bottom w:w="0" w:type="dxa"/>
              <w:right w:w="53" w:type="dxa"/>
            </w:tcMar>
            <w:vAlign w:val="bottom"/>
          </w:tcPr>
          <w:p w14:paraId="008F62A2" w14:textId="77777777" w:rsidR="00C56203" w:rsidRDefault="00CD5102">
            <w:pPr>
              <w:keepNext/>
              <w:spacing w:before="75" w:after="30"/>
              <w:ind w:left="90" w:hanging="90"/>
              <w:rPr>
                <w:sz w:val="18"/>
              </w:rPr>
            </w:pPr>
            <w:r>
              <w:rPr>
                <w:sz w:val="18"/>
              </w:rPr>
              <w:t>Cost of goods sold (excluding amortization and impairments of intangible assets)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7C7954E" w14:textId="77777777" w:rsidR="00C56203" w:rsidRDefault="00C56203">
            <w:pPr>
              <w:keepNext/>
            </w:pP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14:paraId="5EB78A81" w14:textId="77777777" w:rsidR="00C56203" w:rsidRDefault="00CD5102">
            <w:pPr>
              <w:keepNext/>
              <w:tabs>
                <w:tab w:val="left" w:pos="744"/>
                <w:tab w:val="left" w:pos="1072"/>
              </w:tabs>
              <w:spacing w:before="75" w:after="30"/>
              <w:jc w:val="right"/>
            </w:pPr>
            <w:r>
              <w:rPr>
                <w:color w:val="000000"/>
                <w:sz w:val="18"/>
              </w:rPr>
              <w:tab/>
              <w:t>572</w:t>
            </w:r>
            <w:r>
              <w:rPr>
                <w:color w:val="000000"/>
                <w:sz w:val="18"/>
              </w:rPr>
              <w:tab/>
            </w: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424972E8" w14:textId="77777777" w:rsidR="00C56203" w:rsidRDefault="00C56203">
            <w:pPr>
              <w:keepNext/>
              <w:spacing w:before="75" w:after="30"/>
            </w:pP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14:paraId="16CA0FFE" w14:textId="77777777" w:rsidR="00C56203" w:rsidRDefault="00CD5102">
            <w:pPr>
              <w:keepNext/>
              <w:tabs>
                <w:tab w:val="left" w:pos="744"/>
                <w:tab w:val="left" w:pos="1072"/>
              </w:tabs>
              <w:spacing w:before="75" w:after="30"/>
              <w:jc w:val="right"/>
            </w:pPr>
            <w:r>
              <w:rPr>
                <w:color w:val="000000"/>
                <w:sz w:val="18"/>
              </w:rPr>
              <w:tab/>
              <w:t>536</w:t>
            </w:r>
            <w:r>
              <w:rPr>
                <w:color w:val="000000"/>
                <w:sz w:val="18"/>
              </w:rPr>
              <w:tab/>
            </w:r>
          </w:p>
        </w:tc>
      </w:tr>
      <w:tr w:rsidR="00C56203" w14:paraId="60F255DF" w14:textId="77777777">
        <w:trPr>
          <w:cantSplit/>
          <w:trHeight w:hRule="exact" w:val="285"/>
          <w:jc w:val="center"/>
        </w:trPr>
        <w:tc>
          <w:tcPr>
            <w:tcW w:w="7305" w:type="dxa"/>
            <w:tcBorders>
              <w:top w:val="nil"/>
              <w:left w:val="nil"/>
              <w:bottom w:val="nil"/>
              <w:right w:val="nil"/>
            </w:tcBorders>
            <w:shd w:val="clear" w:color="auto" w:fill="FFFFFF"/>
            <w:tcMar>
              <w:top w:w="0" w:type="dxa"/>
              <w:left w:w="53" w:type="dxa"/>
              <w:bottom w:w="0" w:type="dxa"/>
              <w:right w:w="53" w:type="dxa"/>
            </w:tcMar>
            <w:vAlign w:val="bottom"/>
          </w:tcPr>
          <w:p w14:paraId="47763EBC" w14:textId="77777777" w:rsidR="00C56203" w:rsidRDefault="00CD5102">
            <w:pPr>
              <w:keepNext/>
              <w:spacing w:before="75" w:after="30"/>
            </w:pPr>
            <w:r>
              <w:rPr>
                <w:color w:val="000000"/>
                <w:sz w:val="18"/>
              </w:rPr>
              <w:t>Cost of other revenues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E518180" w14:textId="77777777" w:rsidR="00C56203" w:rsidRDefault="00C56203">
            <w:pPr>
              <w:keepNext/>
            </w:pP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14:paraId="37E1BEC0" w14:textId="77777777" w:rsidR="00C56203" w:rsidRDefault="00CD5102">
            <w:pPr>
              <w:keepNext/>
              <w:tabs>
                <w:tab w:val="left" w:pos="834"/>
                <w:tab w:val="left" w:pos="1072"/>
              </w:tabs>
              <w:spacing w:before="75" w:after="30"/>
              <w:jc w:val="right"/>
            </w:pPr>
            <w:r>
              <w:rPr>
                <w:color w:val="000000"/>
                <w:sz w:val="18"/>
              </w:rPr>
              <w:tab/>
              <w:t>10</w:t>
            </w:r>
            <w:r>
              <w:rPr>
                <w:color w:val="000000"/>
                <w:sz w:val="18"/>
              </w:rPr>
              <w:tab/>
            </w: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6A5FAEE1" w14:textId="77777777" w:rsidR="00C56203" w:rsidRDefault="00C56203">
            <w:pPr>
              <w:keepNext/>
              <w:spacing w:before="75" w:after="30"/>
            </w:pP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14:paraId="73C4D37D" w14:textId="77777777" w:rsidR="00C56203" w:rsidRDefault="00CD5102">
            <w:pPr>
              <w:keepNext/>
              <w:tabs>
                <w:tab w:val="left" w:pos="834"/>
                <w:tab w:val="left" w:pos="1072"/>
              </w:tabs>
              <w:spacing w:before="75" w:after="30"/>
              <w:jc w:val="right"/>
            </w:pPr>
            <w:r>
              <w:rPr>
                <w:color w:val="000000"/>
                <w:sz w:val="18"/>
              </w:rPr>
              <w:tab/>
              <w:t>15</w:t>
            </w:r>
            <w:r>
              <w:rPr>
                <w:color w:val="000000"/>
                <w:sz w:val="18"/>
              </w:rPr>
              <w:tab/>
            </w:r>
          </w:p>
        </w:tc>
      </w:tr>
      <w:tr w:rsidR="00C56203" w14:paraId="77D3A1F7" w14:textId="77777777">
        <w:trPr>
          <w:cantSplit/>
          <w:trHeight w:hRule="exact" w:val="285"/>
          <w:jc w:val="center"/>
        </w:trPr>
        <w:tc>
          <w:tcPr>
            <w:tcW w:w="7305" w:type="dxa"/>
            <w:tcBorders>
              <w:top w:val="nil"/>
              <w:left w:val="nil"/>
              <w:bottom w:val="nil"/>
              <w:right w:val="nil"/>
            </w:tcBorders>
            <w:shd w:val="clear" w:color="auto" w:fill="CCEEFF"/>
            <w:tcMar>
              <w:top w:w="0" w:type="dxa"/>
              <w:left w:w="53" w:type="dxa"/>
              <w:bottom w:w="0" w:type="dxa"/>
              <w:right w:w="53" w:type="dxa"/>
            </w:tcMar>
            <w:vAlign w:val="bottom"/>
          </w:tcPr>
          <w:p w14:paraId="4BD548C4" w14:textId="77777777" w:rsidR="00C56203" w:rsidRDefault="00CD5102">
            <w:pPr>
              <w:keepNext/>
              <w:spacing w:before="75" w:after="30"/>
            </w:pPr>
            <w:r>
              <w:rPr>
                <w:color w:val="000000"/>
                <w:sz w:val="18"/>
              </w:rPr>
              <w:t>Selling, general and administrative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055719A" w14:textId="77777777" w:rsidR="00C56203" w:rsidRDefault="00C56203">
            <w:pPr>
              <w:keepNext/>
            </w:pP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14:paraId="78F3F815" w14:textId="77777777" w:rsidR="00C56203" w:rsidRDefault="00CD5102">
            <w:pPr>
              <w:keepNext/>
              <w:tabs>
                <w:tab w:val="left" w:pos="744"/>
                <w:tab w:val="left" w:pos="1072"/>
              </w:tabs>
              <w:spacing w:before="75" w:after="30"/>
              <w:jc w:val="right"/>
            </w:pPr>
            <w:r>
              <w:rPr>
                <w:color w:val="000000"/>
                <w:sz w:val="18"/>
              </w:rPr>
              <w:tab/>
              <w:t>725</w:t>
            </w:r>
            <w:r>
              <w:rPr>
                <w:color w:val="000000"/>
                <w:sz w:val="18"/>
              </w:rPr>
              <w:tab/>
            </w: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42814759" w14:textId="77777777" w:rsidR="00C56203" w:rsidRDefault="00C56203">
            <w:pPr>
              <w:keepNext/>
              <w:spacing w:before="75" w:after="30"/>
            </w:pP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14:paraId="749AF5C6" w14:textId="77777777" w:rsidR="00C56203" w:rsidRDefault="00CD5102">
            <w:pPr>
              <w:keepNext/>
              <w:tabs>
                <w:tab w:val="left" w:pos="744"/>
                <w:tab w:val="left" w:pos="1072"/>
              </w:tabs>
              <w:spacing w:before="75" w:after="30"/>
              <w:jc w:val="right"/>
            </w:pPr>
            <w:r>
              <w:rPr>
                <w:color w:val="000000"/>
                <w:sz w:val="18"/>
              </w:rPr>
              <w:tab/>
              <w:t>622</w:t>
            </w:r>
            <w:r>
              <w:rPr>
                <w:color w:val="000000"/>
                <w:sz w:val="18"/>
              </w:rPr>
              <w:tab/>
            </w:r>
          </w:p>
        </w:tc>
      </w:tr>
      <w:tr w:rsidR="00C56203" w14:paraId="5B2E16BB" w14:textId="77777777">
        <w:trPr>
          <w:cantSplit/>
          <w:trHeight w:hRule="exact" w:val="285"/>
          <w:jc w:val="center"/>
        </w:trPr>
        <w:tc>
          <w:tcPr>
            <w:tcW w:w="7305" w:type="dxa"/>
            <w:tcBorders>
              <w:top w:val="nil"/>
              <w:left w:val="nil"/>
              <w:bottom w:val="nil"/>
              <w:right w:val="nil"/>
            </w:tcBorders>
            <w:shd w:val="clear" w:color="auto" w:fill="FFFFFF"/>
            <w:tcMar>
              <w:top w:w="0" w:type="dxa"/>
              <w:left w:w="53" w:type="dxa"/>
              <w:bottom w:w="0" w:type="dxa"/>
              <w:right w:w="53" w:type="dxa"/>
            </w:tcMar>
            <w:vAlign w:val="bottom"/>
          </w:tcPr>
          <w:p w14:paraId="0CF97672" w14:textId="77777777" w:rsidR="00C56203" w:rsidRDefault="00CD5102">
            <w:pPr>
              <w:keepNext/>
              <w:spacing w:before="75" w:after="30"/>
            </w:pPr>
            <w:r>
              <w:rPr>
                <w:color w:val="000000"/>
                <w:sz w:val="18"/>
              </w:rPr>
              <w:t>Research and development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941B4AD" w14:textId="77777777" w:rsidR="00C56203" w:rsidRDefault="00C56203">
            <w:pPr>
              <w:keepNext/>
            </w:pP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14:paraId="48BD32B4" w14:textId="77777777" w:rsidR="00C56203" w:rsidRDefault="00CD5102">
            <w:pPr>
              <w:keepNext/>
              <w:tabs>
                <w:tab w:val="left" w:pos="744"/>
                <w:tab w:val="left" w:pos="1072"/>
              </w:tabs>
              <w:spacing w:before="75" w:after="30"/>
              <w:jc w:val="right"/>
            </w:pPr>
            <w:r>
              <w:rPr>
                <w:color w:val="000000"/>
                <w:sz w:val="18"/>
              </w:rPr>
              <w:tab/>
              <w:t>143</w:t>
            </w:r>
            <w:r>
              <w:rPr>
                <w:color w:val="000000"/>
                <w:sz w:val="18"/>
              </w:rPr>
              <w:tab/>
            </w: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1D4F05C6" w14:textId="77777777" w:rsidR="00C56203" w:rsidRDefault="00C56203">
            <w:pPr>
              <w:keepNext/>
              <w:spacing w:before="75" w:after="30"/>
            </w:pP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14:paraId="7B9D435C" w14:textId="77777777" w:rsidR="00C56203" w:rsidRDefault="00CD5102">
            <w:pPr>
              <w:keepNext/>
              <w:tabs>
                <w:tab w:val="left" w:pos="744"/>
                <w:tab w:val="left" w:pos="1072"/>
              </w:tabs>
              <w:spacing w:before="75" w:after="30"/>
              <w:jc w:val="right"/>
            </w:pPr>
            <w:r>
              <w:rPr>
                <w:color w:val="000000"/>
                <w:sz w:val="18"/>
              </w:rPr>
              <w:tab/>
              <w:t>127</w:t>
            </w:r>
            <w:r>
              <w:rPr>
                <w:color w:val="000000"/>
                <w:sz w:val="18"/>
              </w:rPr>
              <w:tab/>
            </w:r>
          </w:p>
        </w:tc>
      </w:tr>
      <w:tr w:rsidR="00C56203" w14:paraId="52A96663" w14:textId="77777777">
        <w:trPr>
          <w:cantSplit/>
          <w:trHeight w:hRule="exact" w:val="285"/>
          <w:jc w:val="center"/>
        </w:trPr>
        <w:tc>
          <w:tcPr>
            <w:tcW w:w="7305" w:type="dxa"/>
            <w:tcBorders>
              <w:top w:val="nil"/>
              <w:left w:val="nil"/>
              <w:bottom w:val="nil"/>
              <w:right w:val="nil"/>
            </w:tcBorders>
            <w:shd w:val="clear" w:color="auto" w:fill="CCEEFF"/>
            <w:tcMar>
              <w:top w:w="0" w:type="dxa"/>
              <w:left w:w="53" w:type="dxa"/>
              <w:bottom w:w="0" w:type="dxa"/>
              <w:right w:w="53" w:type="dxa"/>
            </w:tcMar>
            <w:vAlign w:val="bottom"/>
          </w:tcPr>
          <w:p w14:paraId="122AFCF2" w14:textId="77777777" w:rsidR="00C56203" w:rsidRDefault="00CD5102">
            <w:pPr>
              <w:keepNext/>
              <w:spacing w:before="75" w:after="30"/>
            </w:pPr>
            <w:r>
              <w:rPr>
                <w:color w:val="000000"/>
                <w:sz w:val="18"/>
              </w:rPr>
              <w:t>Amortization of intangible assets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63690CE" w14:textId="77777777" w:rsidR="00C56203" w:rsidRDefault="00C56203">
            <w:pPr>
              <w:keepNext/>
            </w:pP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14:paraId="465DEDDA" w14:textId="77777777" w:rsidR="00C56203" w:rsidRDefault="00CD5102">
            <w:pPr>
              <w:keepNext/>
              <w:tabs>
                <w:tab w:val="left" w:pos="744"/>
                <w:tab w:val="left" w:pos="1072"/>
              </w:tabs>
              <w:spacing w:before="75" w:after="30"/>
              <w:jc w:val="right"/>
            </w:pPr>
            <w:r>
              <w:rPr>
                <w:color w:val="000000"/>
                <w:sz w:val="18"/>
              </w:rPr>
              <w:tab/>
              <w:t>273</w:t>
            </w:r>
            <w:r>
              <w:rPr>
                <w:color w:val="000000"/>
                <w:sz w:val="18"/>
              </w:rPr>
              <w:tab/>
            </w: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1C7A94D2" w14:textId="77777777" w:rsidR="00C56203" w:rsidRDefault="00C56203">
            <w:pPr>
              <w:keepNext/>
              <w:spacing w:before="75" w:after="30"/>
            </w:pP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14:paraId="25AC00DA" w14:textId="77777777" w:rsidR="00C56203" w:rsidRDefault="00CD5102">
            <w:pPr>
              <w:keepNext/>
              <w:tabs>
                <w:tab w:val="left" w:pos="744"/>
                <w:tab w:val="left" w:pos="1072"/>
              </w:tabs>
              <w:spacing w:before="75" w:after="30"/>
              <w:jc w:val="right"/>
            </w:pPr>
            <w:r>
              <w:rPr>
                <w:color w:val="000000"/>
                <w:sz w:val="18"/>
              </w:rPr>
              <w:tab/>
              <w:t>310</w:t>
            </w:r>
            <w:r>
              <w:rPr>
                <w:color w:val="000000"/>
                <w:sz w:val="18"/>
              </w:rPr>
              <w:tab/>
            </w:r>
          </w:p>
        </w:tc>
      </w:tr>
      <w:tr w:rsidR="00C56203" w14:paraId="1FFE56F4" w14:textId="77777777">
        <w:trPr>
          <w:cantSplit/>
          <w:trHeight w:hRule="exact" w:val="285"/>
          <w:jc w:val="center"/>
        </w:trPr>
        <w:tc>
          <w:tcPr>
            <w:tcW w:w="7305" w:type="dxa"/>
            <w:tcBorders>
              <w:top w:val="nil"/>
              <w:left w:val="nil"/>
              <w:bottom w:val="nil"/>
              <w:right w:val="nil"/>
            </w:tcBorders>
            <w:shd w:val="clear" w:color="auto" w:fill="FFFFFF"/>
            <w:tcMar>
              <w:top w:w="0" w:type="dxa"/>
              <w:left w:w="53" w:type="dxa"/>
              <w:bottom w:w="0" w:type="dxa"/>
              <w:right w:w="53" w:type="dxa"/>
            </w:tcMar>
            <w:vAlign w:val="bottom"/>
          </w:tcPr>
          <w:p w14:paraId="47C9D0D6" w14:textId="77777777" w:rsidR="00C56203" w:rsidRDefault="00CD5102">
            <w:pPr>
              <w:keepNext/>
              <w:spacing w:before="75" w:after="30"/>
            </w:pPr>
            <w:r>
              <w:rPr>
                <w:color w:val="000000"/>
                <w:sz w:val="18"/>
              </w:rPr>
              <w:t>Asset impairments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45D78A9" w14:textId="77777777" w:rsidR="00C56203" w:rsidRDefault="00C56203">
            <w:pPr>
              <w:keepNext/>
            </w:pP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14:paraId="30EAB9D8" w14:textId="77777777" w:rsidR="00C56203" w:rsidRDefault="00CD5102">
            <w:pPr>
              <w:keepNext/>
              <w:tabs>
                <w:tab w:val="left" w:pos="834"/>
                <w:tab w:val="left" w:pos="1072"/>
              </w:tabs>
              <w:spacing w:before="75" w:after="30"/>
              <w:jc w:val="right"/>
            </w:pPr>
            <w:r>
              <w:rPr>
                <w:color w:val="000000"/>
                <w:sz w:val="18"/>
              </w:rPr>
              <w:tab/>
              <w:t>13</w:t>
            </w:r>
            <w:r>
              <w:rPr>
                <w:color w:val="000000"/>
                <w:sz w:val="18"/>
              </w:rPr>
              <w:tab/>
            </w: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37E87421" w14:textId="77777777" w:rsidR="00C56203" w:rsidRDefault="00C56203">
            <w:pPr>
              <w:keepNext/>
              <w:spacing w:before="75" w:after="30"/>
            </w:pP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14:paraId="6BBBD59A" w14:textId="77777777" w:rsidR="00C56203" w:rsidRDefault="00CD5102">
            <w:pPr>
              <w:keepNext/>
              <w:tabs>
                <w:tab w:val="left" w:pos="924"/>
                <w:tab w:val="left" w:pos="1072"/>
              </w:tabs>
              <w:spacing w:before="75" w:after="30"/>
              <w:jc w:val="right"/>
            </w:pPr>
            <w:r>
              <w:rPr>
                <w:color w:val="000000"/>
                <w:sz w:val="18"/>
              </w:rPr>
              <w:tab/>
              <w:t>8</w:t>
            </w:r>
            <w:r>
              <w:rPr>
                <w:color w:val="000000"/>
                <w:sz w:val="18"/>
              </w:rPr>
              <w:tab/>
            </w:r>
          </w:p>
        </w:tc>
      </w:tr>
      <w:tr w:rsidR="00C56203" w14:paraId="74877B30" w14:textId="77777777">
        <w:trPr>
          <w:cantSplit/>
          <w:trHeight w:hRule="exact" w:val="285"/>
          <w:jc w:val="center"/>
        </w:trPr>
        <w:tc>
          <w:tcPr>
            <w:tcW w:w="7305" w:type="dxa"/>
            <w:tcBorders>
              <w:top w:val="nil"/>
              <w:left w:val="nil"/>
              <w:bottom w:val="nil"/>
              <w:right w:val="nil"/>
            </w:tcBorders>
            <w:shd w:val="clear" w:color="auto" w:fill="CCEEFF"/>
            <w:tcMar>
              <w:top w:w="0" w:type="dxa"/>
              <w:left w:w="53" w:type="dxa"/>
              <w:bottom w:w="0" w:type="dxa"/>
              <w:right w:w="53" w:type="dxa"/>
            </w:tcMar>
            <w:vAlign w:val="bottom"/>
          </w:tcPr>
          <w:p w14:paraId="7B5A9897" w14:textId="77777777" w:rsidR="00C56203" w:rsidRDefault="00CD5102">
            <w:pPr>
              <w:keepNext/>
              <w:spacing w:before="75" w:after="30"/>
            </w:pPr>
            <w:r>
              <w:rPr>
                <w:color w:val="000000"/>
                <w:sz w:val="18"/>
              </w:rPr>
              <w:t>Restructuring, integration, separation and IPO costs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D9CE3C5" w14:textId="77777777" w:rsidR="00C56203" w:rsidRDefault="00C56203">
            <w:pPr>
              <w:keepNext/>
            </w:pP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14:paraId="66DAF3C6" w14:textId="77777777" w:rsidR="00C56203" w:rsidRDefault="00CD5102">
            <w:pPr>
              <w:keepNext/>
              <w:tabs>
                <w:tab w:val="left" w:pos="834"/>
                <w:tab w:val="left" w:pos="1072"/>
              </w:tabs>
              <w:spacing w:before="75" w:after="30"/>
              <w:jc w:val="right"/>
            </w:pPr>
            <w:r>
              <w:rPr>
                <w:color w:val="000000"/>
                <w:sz w:val="18"/>
              </w:rPr>
              <w:tab/>
              <w:t>10</w:t>
            </w:r>
            <w:r>
              <w:rPr>
                <w:color w:val="000000"/>
                <w:sz w:val="18"/>
              </w:rPr>
              <w:tab/>
            </w: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78C6F2C1" w14:textId="77777777" w:rsidR="00C56203" w:rsidRDefault="00C56203">
            <w:pPr>
              <w:keepNext/>
              <w:spacing w:before="75" w:after="30"/>
            </w:pP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14:paraId="035BD1AD" w14:textId="77777777" w:rsidR="00C56203" w:rsidRDefault="00CD5102">
            <w:pPr>
              <w:keepNext/>
              <w:tabs>
                <w:tab w:val="left" w:pos="834"/>
                <w:tab w:val="left" w:pos="1072"/>
              </w:tabs>
              <w:spacing w:before="75" w:after="30"/>
              <w:jc w:val="right"/>
            </w:pPr>
            <w:r>
              <w:rPr>
                <w:color w:val="000000"/>
                <w:sz w:val="18"/>
              </w:rPr>
              <w:tab/>
              <w:t>13</w:t>
            </w:r>
            <w:r>
              <w:rPr>
                <w:color w:val="000000"/>
                <w:sz w:val="18"/>
              </w:rPr>
              <w:tab/>
            </w:r>
          </w:p>
        </w:tc>
      </w:tr>
      <w:tr w:rsidR="00C56203" w14:paraId="66649FF8" w14:textId="77777777">
        <w:trPr>
          <w:cantSplit/>
          <w:trHeight w:hRule="exact" w:val="285"/>
          <w:jc w:val="center"/>
        </w:trPr>
        <w:tc>
          <w:tcPr>
            <w:tcW w:w="7305" w:type="dxa"/>
            <w:tcBorders>
              <w:top w:val="nil"/>
              <w:left w:val="nil"/>
              <w:bottom w:val="nil"/>
              <w:right w:val="nil"/>
            </w:tcBorders>
            <w:shd w:val="clear" w:color="auto" w:fill="FFFFFF"/>
            <w:tcMar>
              <w:top w:w="0" w:type="dxa"/>
              <w:left w:w="53" w:type="dxa"/>
              <w:bottom w:w="0" w:type="dxa"/>
              <w:right w:w="53" w:type="dxa"/>
            </w:tcMar>
            <w:vAlign w:val="bottom"/>
          </w:tcPr>
          <w:p w14:paraId="0C8DDA20" w14:textId="77777777" w:rsidR="00C56203" w:rsidRDefault="00CD5102">
            <w:pPr>
              <w:keepNext/>
              <w:spacing w:before="75" w:after="30"/>
            </w:pPr>
            <w:r>
              <w:rPr>
                <w:color w:val="000000"/>
                <w:sz w:val="18"/>
              </w:rPr>
              <w:t>Other expense, net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8F5B081" w14:textId="77777777" w:rsidR="00C56203" w:rsidRDefault="00C56203">
            <w:pPr>
              <w:keepNext/>
            </w:pP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14:paraId="44810527" w14:textId="77777777" w:rsidR="00C56203" w:rsidRDefault="00CD5102">
            <w:pPr>
              <w:keepNext/>
              <w:tabs>
                <w:tab w:val="left" w:pos="834"/>
                <w:tab w:val="left" w:pos="1072"/>
              </w:tabs>
              <w:spacing w:before="75" w:after="30"/>
              <w:jc w:val="right"/>
            </w:pPr>
            <w:r>
              <w:rPr>
                <w:color w:val="000000"/>
                <w:sz w:val="18"/>
              </w:rPr>
              <w:tab/>
              <w:t>23</w:t>
            </w:r>
            <w:r>
              <w:rPr>
                <w:color w:val="000000"/>
                <w:sz w:val="18"/>
              </w:rPr>
              <w:tab/>
            </w: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24AF7D2A" w14:textId="77777777" w:rsidR="00C56203" w:rsidRDefault="00C56203">
            <w:pPr>
              <w:keepNext/>
              <w:spacing w:before="75" w:after="30"/>
            </w:pP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14:paraId="7B617F7C" w14:textId="77777777" w:rsidR="00C56203" w:rsidRDefault="00CD5102">
            <w:pPr>
              <w:keepNext/>
              <w:tabs>
                <w:tab w:val="left" w:pos="924"/>
                <w:tab w:val="left" w:pos="1072"/>
              </w:tabs>
              <w:spacing w:before="75" w:after="30"/>
              <w:jc w:val="right"/>
            </w:pPr>
            <w:r>
              <w:rPr>
                <w:color w:val="000000"/>
                <w:sz w:val="18"/>
              </w:rPr>
              <w:tab/>
              <w:t>2</w:t>
            </w:r>
            <w:r>
              <w:rPr>
                <w:color w:val="000000"/>
                <w:sz w:val="18"/>
              </w:rPr>
              <w:tab/>
            </w:r>
          </w:p>
        </w:tc>
      </w:tr>
      <w:tr w:rsidR="00C56203" w14:paraId="3CC0175C" w14:textId="77777777">
        <w:trPr>
          <w:cantSplit/>
          <w:trHeight w:hRule="exact" w:val="285"/>
          <w:jc w:val="center"/>
        </w:trPr>
        <w:tc>
          <w:tcPr>
            <w:tcW w:w="7305" w:type="dxa"/>
            <w:tcBorders>
              <w:top w:val="nil"/>
              <w:left w:val="nil"/>
              <w:bottom w:val="nil"/>
              <w:right w:val="nil"/>
            </w:tcBorders>
            <w:shd w:val="clear" w:color="auto" w:fill="CCEEFF"/>
            <w:tcMar>
              <w:top w:w="0" w:type="dxa"/>
              <w:left w:w="0" w:type="dxa"/>
              <w:bottom w:w="0" w:type="dxa"/>
              <w:right w:w="0" w:type="dxa"/>
            </w:tcMar>
            <w:vAlign w:val="bottom"/>
          </w:tcPr>
          <w:p w14:paraId="3D59EAE6" w14:textId="77777777" w:rsidR="00C56203" w:rsidRDefault="00C56203">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D95526C" w14:textId="77777777" w:rsidR="00C56203" w:rsidRDefault="00C56203">
            <w:pPr>
              <w:keepNext/>
            </w:pPr>
          </w:p>
        </w:tc>
        <w:tc>
          <w:tcPr>
            <w:tcW w:w="114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487BD0C" w14:textId="77777777" w:rsidR="00C56203" w:rsidRDefault="00CD5102">
            <w:pPr>
              <w:keepNext/>
              <w:tabs>
                <w:tab w:val="left" w:pos="609"/>
                <w:tab w:val="left" w:pos="1072"/>
              </w:tabs>
              <w:spacing w:before="55" w:after="30"/>
              <w:jc w:val="right"/>
            </w:pPr>
            <w:r>
              <w:rPr>
                <w:color w:val="000000"/>
                <w:sz w:val="18"/>
              </w:rPr>
              <w:tab/>
              <w:t>1,769</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66C379A" w14:textId="77777777" w:rsidR="00C56203" w:rsidRDefault="00C56203">
            <w:pPr>
              <w:keepNext/>
            </w:pPr>
          </w:p>
        </w:tc>
        <w:tc>
          <w:tcPr>
            <w:tcW w:w="114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09DB1F1" w14:textId="77777777" w:rsidR="00C56203" w:rsidRDefault="00CD5102">
            <w:pPr>
              <w:keepNext/>
              <w:tabs>
                <w:tab w:val="left" w:pos="609"/>
                <w:tab w:val="left" w:pos="1072"/>
              </w:tabs>
              <w:spacing w:before="55" w:after="30"/>
              <w:jc w:val="right"/>
            </w:pPr>
            <w:r>
              <w:rPr>
                <w:color w:val="000000"/>
                <w:sz w:val="18"/>
              </w:rPr>
              <w:tab/>
              <w:t>1,633</w:t>
            </w:r>
            <w:r>
              <w:rPr>
                <w:color w:val="000000"/>
                <w:sz w:val="18"/>
              </w:rPr>
              <w:tab/>
            </w:r>
          </w:p>
        </w:tc>
      </w:tr>
      <w:tr w:rsidR="00C56203" w14:paraId="0C8890A4" w14:textId="77777777">
        <w:trPr>
          <w:cantSplit/>
          <w:trHeight w:hRule="exact" w:val="285"/>
          <w:jc w:val="center"/>
        </w:trPr>
        <w:tc>
          <w:tcPr>
            <w:tcW w:w="7305" w:type="dxa"/>
            <w:tcBorders>
              <w:top w:val="nil"/>
              <w:left w:val="nil"/>
              <w:bottom w:val="nil"/>
              <w:right w:val="nil"/>
            </w:tcBorders>
            <w:shd w:val="clear" w:color="auto" w:fill="FFFFFF"/>
            <w:tcMar>
              <w:top w:w="0" w:type="dxa"/>
              <w:left w:w="53" w:type="dxa"/>
              <w:bottom w:w="0" w:type="dxa"/>
              <w:right w:w="53" w:type="dxa"/>
            </w:tcMar>
            <w:vAlign w:val="bottom"/>
          </w:tcPr>
          <w:p w14:paraId="304CEFBA" w14:textId="77777777" w:rsidR="00C56203" w:rsidRDefault="00CD5102">
            <w:pPr>
              <w:keepNext/>
              <w:spacing w:before="55" w:after="30"/>
            </w:pPr>
            <w:r>
              <w:rPr>
                <w:b/>
                <w:color w:val="000000"/>
                <w:sz w:val="18"/>
              </w:rPr>
              <w:t xml:space="preserve">Operating </w:t>
            </w:r>
            <w:r>
              <w:rPr>
                <w:b/>
                <w:color w:val="000000"/>
                <w:sz w:val="18"/>
              </w:rPr>
              <w:t>income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2958691" w14:textId="77777777" w:rsidR="00C56203" w:rsidRDefault="00C56203">
            <w:pPr>
              <w:keepNext/>
            </w:pPr>
          </w:p>
        </w:tc>
        <w:tc>
          <w:tcPr>
            <w:tcW w:w="114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D5833E8" w14:textId="77777777" w:rsidR="00C56203" w:rsidRDefault="00CD5102">
            <w:pPr>
              <w:keepNext/>
              <w:tabs>
                <w:tab w:val="left" w:pos="744"/>
                <w:tab w:val="left" w:pos="1072"/>
              </w:tabs>
              <w:spacing w:before="55" w:after="30"/>
              <w:jc w:val="right"/>
            </w:pPr>
            <w:r>
              <w:rPr>
                <w:color w:val="000000"/>
                <w:sz w:val="18"/>
              </w:rPr>
              <w:tab/>
              <w:t>175</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BCC0CD9" w14:textId="77777777" w:rsidR="00C56203" w:rsidRDefault="00C56203">
            <w:pPr>
              <w:keepNext/>
            </w:pPr>
          </w:p>
        </w:tc>
        <w:tc>
          <w:tcPr>
            <w:tcW w:w="114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E1591D6" w14:textId="77777777" w:rsidR="00C56203" w:rsidRDefault="00CD5102">
            <w:pPr>
              <w:keepNext/>
              <w:tabs>
                <w:tab w:val="left" w:pos="744"/>
                <w:tab w:val="left" w:pos="1072"/>
              </w:tabs>
              <w:spacing w:before="55" w:after="30"/>
              <w:jc w:val="right"/>
            </w:pPr>
            <w:r>
              <w:rPr>
                <w:color w:val="000000"/>
                <w:sz w:val="18"/>
              </w:rPr>
              <w:tab/>
              <w:t>285</w:t>
            </w:r>
            <w:r>
              <w:rPr>
                <w:color w:val="000000"/>
                <w:sz w:val="18"/>
              </w:rPr>
              <w:tab/>
            </w:r>
          </w:p>
        </w:tc>
      </w:tr>
      <w:tr w:rsidR="00C56203" w14:paraId="6F40BEA0" w14:textId="77777777">
        <w:trPr>
          <w:cantSplit/>
          <w:trHeight w:hRule="exact" w:val="285"/>
          <w:jc w:val="center"/>
        </w:trPr>
        <w:tc>
          <w:tcPr>
            <w:tcW w:w="7305" w:type="dxa"/>
            <w:tcBorders>
              <w:top w:val="nil"/>
              <w:left w:val="nil"/>
              <w:bottom w:val="nil"/>
              <w:right w:val="nil"/>
            </w:tcBorders>
            <w:shd w:val="clear" w:color="auto" w:fill="CCEEFF"/>
            <w:tcMar>
              <w:top w:w="0" w:type="dxa"/>
              <w:left w:w="53" w:type="dxa"/>
              <w:bottom w:w="0" w:type="dxa"/>
              <w:right w:w="53" w:type="dxa"/>
            </w:tcMar>
            <w:vAlign w:val="bottom"/>
          </w:tcPr>
          <w:p w14:paraId="6E21AB82" w14:textId="77777777" w:rsidR="00C56203" w:rsidRDefault="00CD5102">
            <w:pPr>
              <w:keepNext/>
              <w:spacing w:before="75" w:after="30"/>
            </w:pPr>
            <w:r>
              <w:rPr>
                <w:color w:val="000000"/>
                <w:sz w:val="18"/>
              </w:rPr>
              <w:t>Interest income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CBD8274" w14:textId="77777777" w:rsidR="00C56203" w:rsidRDefault="00C56203">
            <w:pPr>
              <w:keepNext/>
            </w:pP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14:paraId="2D426918" w14:textId="77777777" w:rsidR="00C56203" w:rsidRDefault="00CD5102">
            <w:pPr>
              <w:keepNext/>
              <w:tabs>
                <w:tab w:val="left" w:pos="924"/>
                <w:tab w:val="left" w:pos="1072"/>
              </w:tabs>
              <w:spacing w:before="75" w:after="30"/>
              <w:jc w:val="right"/>
            </w:pPr>
            <w:r>
              <w:rPr>
                <w:color w:val="000000"/>
                <w:sz w:val="18"/>
              </w:rPr>
              <w:tab/>
              <w:t>6</w:t>
            </w:r>
            <w:r>
              <w:rPr>
                <w:color w:val="000000"/>
                <w:sz w:val="18"/>
              </w:rPr>
              <w:tab/>
            </w: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67C68619" w14:textId="77777777" w:rsidR="00C56203" w:rsidRDefault="00C56203">
            <w:pPr>
              <w:keepNext/>
              <w:spacing w:before="75" w:after="30"/>
            </w:pP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14:paraId="461358C1" w14:textId="77777777" w:rsidR="00C56203" w:rsidRDefault="00CD5102">
            <w:pPr>
              <w:keepNext/>
              <w:tabs>
                <w:tab w:val="left" w:pos="924"/>
                <w:tab w:val="left" w:pos="1072"/>
              </w:tabs>
              <w:spacing w:before="75" w:after="30"/>
              <w:jc w:val="right"/>
            </w:pPr>
            <w:r>
              <w:rPr>
                <w:color w:val="000000"/>
                <w:sz w:val="18"/>
              </w:rPr>
              <w:tab/>
              <w:t>2</w:t>
            </w:r>
            <w:r>
              <w:rPr>
                <w:color w:val="000000"/>
                <w:sz w:val="18"/>
              </w:rPr>
              <w:tab/>
            </w:r>
          </w:p>
        </w:tc>
      </w:tr>
      <w:tr w:rsidR="00C56203" w14:paraId="1D9B6DD6" w14:textId="77777777">
        <w:trPr>
          <w:cantSplit/>
          <w:trHeight w:hRule="exact" w:val="285"/>
          <w:jc w:val="center"/>
        </w:trPr>
        <w:tc>
          <w:tcPr>
            <w:tcW w:w="7305" w:type="dxa"/>
            <w:tcBorders>
              <w:top w:val="nil"/>
              <w:left w:val="nil"/>
              <w:bottom w:val="nil"/>
              <w:right w:val="nil"/>
            </w:tcBorders>
            <w:shd w:val="clear" w:color="auto" w:fill="FFFFFF"/>
            <w:tcMar>
              <w:top w:w="0" w:type="dxa"/>
              <w:left w:w="53" w:type="dxa"/>
              <w:bottom w:w="0" w:type="dxa"/>
              <w:right w:w="53" w:type="dxa"/>
            </w:tcMar>
            <w:vAlign w:val="bottom"/>
          </w:tcPr>
          <w:p w14:paraId="21DDEA27" w14:textId="77777777" w:rsidR="00C56203" w:rsidRDefault="00CD5102">
            <w:pPr>
              <w:keepNext/>
              <w:spacing w:before="75" w:after="30"/>
            </w:pPr>
            <w:r>
              <w:rPr>
                <w:color w:val="000000"/>
                <w:sz w:val="18"/>
              </w:rPr>
              <w:t>Interest expense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96C8E8B" w14:textId="77777777" w:rsidR="00C56203" w:rsidRDefault="00C56203">
            <w:pPr>
              <w:keepNext/>
            </w:pP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14:paraId="34A54310" w14:textId="77777777" w:rsidR="00C56203" w:rsidRDefault="00CD5102">
            <w:pPr>
              <w:keepNext/>
              <w:tabs>
                <w:tab w:val="left" w:pos="664"/>
              </w:tabs>
              <w:spacing w:before="75" w:after="30"/>
              <w:jc w:val="right"/>
            </w:pPr>
            <w:r>
              <w:rPr>
                <w:color w:val="000000"/>
                <w:sz w:val="18"/>
              </w:rPr>
              <w:tab/>
              <w:t>(307)</w:t>
            </w: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430A8B1D" w14:textId="77777777" w:rsidR="00C56203" w:rsidRDefault="00C56203">
            <w:pPr>
              <w:keepNext/>
              <w:spacing w:before="75" w:after="30"/>
            </w:pP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14:paraId="0687AA43" w14:textId="77777777" w:rsidR="00C56203" w:rsidRDefault="00CD5102">
            <w:pPr>
              <w:keepNext/>
              <w:tabs>
                <w:tab w:val="left" w:pos="664"/>
              </w:tabs>
              <w:spacing w:before="75" w:after="30"/>
              <w:jc w:val="right"/>
            </w:pPr>
            <w:r>
              <w:rPr>
                <w:color w:val="000000"/>
                <w:sz w:val="18"/>
              </w:rPr>
              <w:tab/>
              <w:t>(362)</w:t>
            </w:r>
          </w:p>
        </w:tc>
      </w:tr>
      <w:tr w:rsidR="00C56203" w14:paraId="6992C88C" w14:textId="77777777">
        <w:trPr>
          <w:cantSplit/>
          <w:trHeight w:hRule="exact" w:val="285"/>
          <w:jc w:val="center"/>
        </w:trPr>
        <w:tc>
          <w:tcPr>
            <w:tcW w:w="7305" w:type="dxa"/>
            <w:tcBorders>
              <w:top w:val="nil"/>
              <w:left w:val="nil"/>
              <w:bottom w:val="nil"/>
              <w:right w:val="nil"/>
            </w:tcBorders>
            <w:shd w:val="clear" w:color="auto" w:fill="CCEEFF"/>
            <w:tcMar>
              <w:top w:w="0" w:type="dxa"/>
              <w:left w:w="53" w:type="dxa"/>
              <w:bottom w:w="0" w:type="dxa"/>
              <w:right w:w="53" w:type="dxa"/>
            </w:tcMar>
            <w:vAlign w:val="bottom"/>
          </w:tcPr>
          <w:p w14:paraId="6ED165A2" w14:textId="77777777" w:rsidR="00C56203" w:rsidRDefault="00CD5102">
            <w:pPr>
              <w:keepNext/>
              <w:spacing w:before="75" w:after="30"/>
            </w:pPr>
            <w:r>
              <w:rPr>
                <w:color w:val="000000"/>
                <w:sz w:val="18"/>
              </w:rPr>
              <w:t>Foreign exchange and other</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234EF36" w14:textId="77777777" w:rsidR="00C56203" w:rsidRDefault="00C56203">
            <w:pPr>
              <w:keepNext/>
            </w:pPr>
          </w:p>
        </w:tc>
        <w:tc>
          <w:tcPr>
            <w:tcW w:w="11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3C9D217" w14:textId="77777777" w:rsidR="00C56203" w:rsidRDefault="00CD5102">
            <w:pPr>
              <w:keepNext/>
              <w:tabs>
                <w:tab w:val="left" w:pos="754"/>
              </w:tabs>
              <w:spacing w:before="75" w:after="30"/>
              <w:jc w:val="right"/>
            </w:pPr>
            <w:r>
              <w:rPr>
                <w:color w:val="000000"/>
                <w:sz w:val="18"/>
              </w:rPr>
              <w:tab/>
              <w:t>(10)</w:t>
            </w: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208DB6B7" w14:textId="77777777" w:rsidR="00C56203" w:rsidRDefault="00C56203">
            <w:pPr>
              <w:keepNext/>
              <w:spacing w:before="75" w:after="30"/>
            </w:pPr>
          </w:p>
        </w:tc>
        <w:tc>
          <w:tcPr>
            <w:tcW w:w="11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7A755C8" w14:textId="77777777" w:rsidR="00C56203" w:rsidRDefault="00CD5102">
            <w:pPr>
              <w:keepNext/>
              <w:tabs>
                <w:tab w:val="left" w:pos="844"/>
              </w:tabs>
              <w:spacing w:before="75" w:after="30"/>
              <w:jc w:val="right"/>
            </w:pPr>
            <w:r>
              <w:rPr>
                <w:color w:val="000000"/>
                <w:sz w:val="18"/>
              </w:rPr>
              <w:tab/>
              <w:t>(7)</w:t>
            </w:r>
          </w:p>
        </w:tc>
      </w:tr>
      <w:tr w:rsidR="00C56203" w14:paraId="2A0614F1" w14:textId="77777777">
        <w:trPr>
          <w:cantSplit/>
          <w:trHeight w:hRule="exact" w:val="285"/>
          <w:jc w:val="center"/>
        </w:trPr>
        <w:tc>
          <w:tcPr>
            <w:tcW w:w="7305" w:type="dxa"/>
            <w:tcBorders>
              <w:top w:val="nil"/>
              <w:left w:val="nil"/>
              <w:bottom w:val="nil"/>
              <w:right w:val="nil"/>
            </w:tcBorders>
            <w:shd w:val="clear" w:color="auto" w:fill="FFFFFF"/>
            <w:tcMar>
              <w:top w:w="0" w:type="dxa"/>
              <w:left w:w="53" w:type="dxa"/>
              <w:bottom w:w="0" w:type="dxa"/>
              <w:right w:w="53" w:type="dxa"/>
            </w:tcMar>
            <w:vAlign w:val="bottom"/>
          </w:tcPr>
          <w:p w14:paraId="3F249C78" w14:textId="77777777" w:rsidR="00C56203" w:rsidRDefault="00CD5102">
            <w:pPr>
              <w:keepNext/>
              <w:spacing w:before="55" w:after="30"/>
            </w:pPr>
            <w:r>
              <w:rPr>
                <w:b/>
                <w:color w:val="000000"/>
                <w:sz w:val="18"/>
              </w:rPr>
              <w:t>Loss before income taxes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A9379DD" w14:textId="77777777" w:rsidR="00C56203" w:rsidRDefault="00C56203">
            <w:pPr>
              <w:keepNext/>
            </w:pPr>
          </w:p>
        </w:tc>
        <w:tc>
          <w:tcPr>
            <w:tcW w:w="114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6B6FE10" w14:textId="77777777" w:rsidR="00C56203" w:rsidRDefault="00CD5102">
            <w:pPr>
              <w:keepNext/>
              <w:tabs>
                <w:tab w:val="left" w:pos="664"/>
              </w:tabs>
              <w:spacing w:before="55" w:after="30"/>
              <w:jc w:val="right"/>
            </w:pPr>
            <w:r>
              <w:rPr>
                <w:color w:val="000000"/>
                <w:sz w:val="18"/>
              </w:rPr>
              <w:tab/>
              <w:t>(136)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53D5925" w14:textId="77777777" w:rsidR="00C56203" w:rsidRDefault="00C56203">
            <w:pPr>
              <w:keepNext/>
            </w:pPr>
          </w:p>
        </w:tc>
        <w:tc>
          <w:tcPr>
            <w:tcW w:w="114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D91B62A" w14:textId="77777777" w:rsidR="00C56203" w:rsidRDefault="00CD5102">
            <w:pPr>
              <w:keepNext/>
              <w:tabs>
                <w:tab w:val="left" w:pos="754"/>
              </w:tabs>
              <w:spacing w:before="55" w:after="30"/>
              <w:jc w:val="right"/>
            </w:pPr>
            <w:r>
              <w:rPr>
                <w:color w:val="000000"/>
                <w:sz w:val="18"/>
              </w:rPr>
              <w:tab/>
              <w:t>(82)</w:t>
            </w:r>
          </w:p>
        </w:tc>
      </w:tr>
      <w:tr w:rsidR="00C56203" w14:paraId="7B02868A" w14:textId="77777777">
        <w:trPr>
          <w:cantSplit/>
          <w:trHeight w:hRule="exact" w:val="285"/>
          <w:jc w:val="center"/>
        </w:trPr>
        <w:tc>
          <w:tcPr>
            <w:tcW w:w="7305" w:type="dxa"/>
            <w:tcBorders>
              <w:top w:val="nil"/>
              <w:left w:val="nil"/>
              <w:bottom w:val="nil"/>
              <w:right w:val="nil"/>
            </w:tcBorders>
            <w:shd w:val="clear" w:color="auto" w:fill="CCEEFF"/>
            <w:tcMar>
              <w:top w:w="0" w:type="dxa"/>
              <w:left w:w="53" w:type="dxa"/>
              <w:bottom w:w="0" w:type="dxa"/>
              <w:right w:w="53" w:type="dxa"/>
            </w:tcMar>
            <w:vAlign w:val="bottom"/>
          </w:tcPr>
          <w:p w14:paraId="465E376B" w14:textId="77777777" w:rsidR="00C56203" w:rsidRDefault="00CD5102">
            <w:pPr>
              <w:keepNext/>
              <w:spacing w:before="75" w:after="30"/>
            </w:pPr>
            <w:r>
              <w:rPr>
                <w:color w:val="000000"/>
                <w:sz w:val="18"/>
              </w:rPr>
              <w:t>(Provision for) benefit from income taxes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780E3DB" w14:textId="77777777" w:rsidR="00C56203" w:rsidRDefault="00C56203">
            <w:pPr>
              <w:keepNext/>
            </w:pPr>
          </w:p>
        </w:tc>
        <w:tc>
          <w:tcPr>
            <w:tcW w:w="11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6B21630" w14:textId="77777777" w:rsidR="00C56203" w:rsidRDefault="00CD5102">
            <w:pPr>
              <w:keepNext/>
              <w:tabs>
                <w:tab w:val="left" w:pos="754"/>
              </w:tabs>
              <w:spacing w:before="75" w:after="30"/>
              <w:jc w:val="right"/>
            </w:pPr>
            <w:r>
              <w:rPr>
                <w:color w:val="000000"/>
                <w:sz w:val="18"/>
              </w:rPr>
              <w:tab/>
              <w:t>(73)</w:t>
            </w: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4909E9CE" w14:textId="77777777" w:rsidR="00C56203" w:rsidRDefault="00C56203">
            <w:pPr>
              <w:keepNext/>
              <w:spacing w:before="75" w:after="30"/>
            </w:pPr>
          </w:p>
        </w:tc>
        <w:tc>
          <w:tcPr>
            <w:tcW w:w="11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C5B70C9" w14:textId="77777777" w:rsidR="00C56203" w:rsidRDefault="00CD5102">
            <w:pPr>
              <w:keepNext/>
              <w:tabs>
                <w:tab w:val="left" w:pos="834"/>
                <w:tab w:val="left" w:pos="1072"/>
              </w:tabs>
              <w:spacing w:before="75" w:after="30"/>
              <w:jc w:val="right"/>
            </w:pPr>
            <w:r>
              <w:rPr>
                <w:color w:val="000000"/>
                <w:sz w:val="18"/>
              </w:rPr>
              <w:tab/>
              <w:t>16</w:t>
            </w:r>
            <w:r>
              <w:rPr>
                <w:color w:val="000000"/>
                <w:sz w:val="18"/>
              </w:rPr>
              <w:tab/>
            </w:r>
          </w:p>
        </w:tc>
      </w:tr>
      <w:tr w:rsidR="00C56203" w14:paraId="2F747EFD" w14:textId="77777777">
        <w:trPr>
          <w:cantSplit/>
          <w:trHeight w:hRule="exact" w:val="285"/>
          <w:jc w:val="center"/>
        </w:trPr>
        <w:tc>
          <w:tcPr>
            <w:tcW w:w="7305" w:type="dxa"/>
            <w:tcBorders>
              <w:top w:val="nil"/>
              <w:left w:val="nil"/>
              <w:bottom w:val="nil"/>
              <w:right w:val="nil"/>
            </w:tcBorders>
            <w:shd w:val="clear" w:color="auto" w:fill="FFFFFF"/>
            <w:tcMar>
              <w:top w:w="0" w:type="dxa"/>
              <w:left w:w="53" w:type="dxa"/>
              <w:bottom w:w="0" w:type="dxa"/>
              <w:right w:w="53" w:type="dxa"/>
            </w:tcMar>
            <w:vAlign w:val="bottom"/>
          </w:tcPr>
          <w:p w14:paraId="2AF04CD4" w14:textId="77777777" w:rsidR="00C56203" w:rsidRDefault="00CD5102">
            <w:pPr>
              <w:keepNext/>
              <w:spacing w:before="55" w:after="30"/>
            </w:pPr>
            <w:r>
              <w:rPr>
                <w:b/>
                <w:color w:val="000000"/>
                <w:sz w:val="18"/>
              </w:rPr>
              <w:t>Net loss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FC01BAF" w14:textId="77777777" w:rsidR="00C56203" w:rsidRDefault="00C56203">
            <w:pPr>
              <w:keepNext/>
            </w:pPr>
          </w:p>
        </w:tc>
        <w:tc>
          <w:tcPr>
            <w:tcW w:w="114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7F2EB07" w14:textId="77777777" w:rsidR="00C56203" w:rsidRDefault="00CD5102">
            <w:pPr>
              <w:keepNext/>
              <w:tabs>
                <w:tab w:val="left" w:pos="664"/>
              </w:tabs>
              <w:spacing w:before="55" w:after="30"/>
              <w:jc w:val="right"/>
            </w:pPr>
            <w:r>
              <w:rPr>
                <w:color w:val="000000"/>
                <w:sz w:val="18"/>
              </w:rPr>
              <w:tab/>
              <w:t>(209)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D2F5F4E" w14:textId="77777777" w:rsidR="00C56203" w:rsidRDefault="00C56203">
            <w:pPr>
              <w:keepNext/>
            </w:pPr>
          </w:p>
        </w:tc>
        <w:tc>
          <w:tcPr>
            <w:tcW w:w="114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4D682587" w14:textId="77777777" w:rsidR="00C56203" w:rsidRDefault="00CD5102">
            <w:pPr>
              <w:keepNext/>
              <w:tabs>
                <w:tab w:val="left" w:pos="754"/>
              </w:tabs>
              <w:spacing w:before="55" w:after="30"/>
              <w:jc w:val="right"/>
            </w:pPr>
            <w:r>
              <w:rPr>
                <w:color w:val="000000"/>
                <w:sz w:val="18"/>
              </w:rPr>
              <w:tab/>
              <w:t>(66)</w:t>
            </w:r>
          </w:p>
        </w:tc>
      </w:tr>
      <w:tr w:rsidR="00C56203" w14:paraId="65F0AD1B" w14:textId="77777777">
        <w:trPr>
          <w:cantSplit/>
          <w:trHeight w:hRule="exact" w:val="285"/>
          <w:jc w:val="center"/>
        </w:trPr>
        <w:tc>
          <w:tcPr>
            <w:tcW w:w="7305" w:type="dxa"/>
            <w:tcBorders>
              <w:top w:val="nil"/>
              <w:left w:val="nil"/>
              <w:bottom w:val="nil"/>
              <w:right w:val="nil"/>
            </w:tcBorders>
            <w:shd w:val="clear" w:color="auto" w:fill="CCEEFF"/>
            <w:tcMar>
              <w:top w:w="0" w:type="dxa"/>
              <w:left w:w="53" w:type="dxa"/>
              <w:bottom w:w="0" w:type="dxa"/>
              <w:right w:w="53" w:type="dxa"/>
            </w:tcMar>
            <w:vAlign w:val="bottom"/>
          </w:tcPr>
          <w:p w14:paraId="23388CAC" w14:textId="77777777" w:rsidR="00C56203" w:rsidRDefault="00CD5102">
            <w:pPr>
              <w:keepNext/>
              <w:spacing w:before="75" w:after="30"/>
            </w:pPr>
            <w:r>
              <w:rPr>
                <w:color w:val="000000"/>
                <w:sz w:val="18"/>
              </w:rPr>
              <w:t xml:space="preserve">Net </w:t>
            </w:r>
            <w:r>
              <w:rPr>
                <w:color w:val="000000"/>
                <w:sz w:val="18"/>
              </w:rPr>
              <w:t>loss (income) attributable to noncontrolling interest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B797761" w14:textId="77777777" w:rsidR="00C56203" w:rsidRDefault="00C56203">
            <w:pPr>
              <w:keepNext/>
            </w:pPr>
          </w:p>
        </w:tc>
        <w:tc>
          <w:tcPr>
            <w:tcW w:w="11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DE5965D" w14:textId="77777777" w:rsidR="00C56203" w:rsidRDefault="00CD5102">
            <w:pPr>
              <w:keepNext/>
              <w:tabs>
                <w:tab w:val="left" w:pos="924"/>
                <w:tab w:val="left" w:pos="1072"/>
              </w:tabs>
              <w:spacing w:before="75" w:after="30"/>
              <w:jc w:val="right"/>
            </w:pPr>
            <w:r>
              <w:rPr>
                <w:color w:val="000000"/>
                <w:sz w:val="18"/>
              </w:rPr>
              <w:tab/>
              <w:t>8</w:t>
            </w:r>
            <w:r>
              <w:rPr>
                <w:color w:val="000000"/>
                <w:sz w:val="18"/>
              </w:rPr>
              <w:tab/>
            </w: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3BC62442" w14:textId="77777777" w:rsidR="00C56203" w:rsidRDefault="00C56203">
            <w:pPr>
              <w:keepNext/>
              <w:spacing w:before="75" w:after="30"/>
            </w:pPr>
          </w:p>
        </w:tc>
        <w:tc>
          <w:tcPr>
            <w:tcW w:w="11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B69D3D7" w14:textId="77777777" w:rsidR="00C56203" w:rsidRDefault="00CD5102">
            <w:pPr>
              <w:keepNext/>
              <w:tabs>
                <w:tab w:val="left" w:pos="844"/>
              </w:tabs>
              <w:spacing w:before="75" w:after="30"/>
              <w:jc w:val="right"/>
            </w:pPr>
            <w:r>
              <w:rPr>
                <w:color w:val="000000"/>
                <w:sz w:val="18"/>
              </w:rPr>
              <w:tab/>
              <w:t>(3)</w:t>
            </w:r>
          </w:p>
        </w:tc>
      </w:tr>
      <w:tr w:rsidR="00C56203" w14:paraId="2D851F7A" w14:textId="77777777">
        <w:trPr>
          <w:cantSplit/>
          <w:trHeight w:hRule="exact" w:val="285"/>
          <w:jc w:val="center"/>
        </w:trPr>
        <w:tc>
          <w:tcPr>
            <w:tcW w:w="7305" w:type="dxa"/>
            <w:tcBorders>
              <w:top w:val="nil"/>
              <w:left w:val="nil"/>
              <w:bottom w:val="nil"/>
              <w:right w:val="nil"/>
            </w:tcBorders>
            <w:shd w:val="clear" w:color="auto" w:fill="FFFFFF"/>
            <w:tcMar>
              <w:top w:w="0" w:type="dxa"/>
              <w:left w:w="53" w:type="dxa"/>
              <w:bottom w:w="0" w:type="dxa"/>
              <w:right w:w="53" w:type="dxa"/>
            </w:tcMar>
            <w:vAlign w:val="bottom"/>
          </w:tcPr>
          <w:p w14:paraId="5D2DC205" w14:textId="77777777" w:rsidR="00C56203" w:rsidRDefault="00CD5102">
            <w:pPr>
              <w:spacing w:before="55" w:after="30"/>
            </w:pPr>
            <w:r>
              <w:rPr>
                <w:b/>
                <w:color w:val="000000"/>
                <w:sz w:val="18"/>
              </w:rPr>
              <w:t>Net loss attributable to Bausch Health Companies Inc.</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F791228" w14:textId="77777777" w:rsidR="00C56203" w:rsidRDefault="00C56203"/>
        </w:tc>
        <w:tc>
          <w:tcPr>
            <w:tcW w:w="114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2BA684B" w14:textId="77777777" w:rsidR="00C56203" w:rsidRDefault="00CD5102">
            <w:pPr>
              <w:tabs>
                <w:tab w:val="left" w:pos="664"/>
              </w:tabs>
              <w:spacing w:before="55" w:after="30"/>
              <w:jc w:val="right"/>
            </w:pPr>
            <w:r>
              <w:rPr>
                <w:b/>
                <w:color w:val="000000"/>
                <w:sz w:val="18"/>
              </w:rPr>
              <w:t>$</w:t>
            </w:r>
            <w:r>
              <w:rPr>
                <w:b/>
                <w:color w:val="000000"/>
                <w:sz w:val="18"/>
              </w:rPr>
              <w:tab/>
              <w:t>(201)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43FBDF7" w14:textId="77777777" w:rsidR="00C56203" w:rsidRDefault="00C56203"/>
        </w:tc>
        <w:tc>
          <w:tcPr>
            <w:tcW w:w="114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C6799D3" w14:textId="77777777" w:rsidR="00C56203" w:rsidRDefault="00CD5102">
            <w:pPr>
              <w:tabs>
                <w:tab w:val="left" w:pos="754"/>
              </w:tabs>
              <w:spacing w:before="55" w:after="30"/>
              <w:jc w:val="right"/>
            </w:pPr>
            <w:r>
              <w:rPr>
                <w:b/>
                <w:color w:val="000000"/>
                <w:sz w:val="18"/>
              </w:rPr>
              <w:t>$</w:t>
            </w:r>
            <w:r>
              <w:rPr>
                <w:b/>
                <w:color w:val="000000"/>
                <w:sz w:val="18"/>
              </w:rPr>
              <w:tab/>
              <w:t>(69)</w:t>
            </w:r>
          </w:p>
        </w:tc>
      </w:tr>
    </w:tbl>
    <w:p w14:paraId="67154D7B" w14:textId="77777777" w:rsidR="00C56203" w:rsidRDefault="00CD5102">
      <w:pPr>
        <w:spacing w:line="288" w:lineRule="auto"/>
        <w:ind w:left="270" w:hanging="270"/>
        <w:jc w:val="center"/>
        <w:rPr>
          <w:sz w:val="10"/>
        </w:rPr>
      </w:pPr>
      <w:r>
        <w:rPr>
          <w:sz w:val="2"/>
        </w:rPr>
        <w:br w:type="page"/>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6"/>
        <w:gridCol w:w="75"/>
        <w:gridCol w:w="1089"/>
        <w:gridCol w:w="126"/>
        <w:gridCol w:w="1089"/>
      </w:tblGrid>
      <w:tr w:rsidR="00C56203" w14:paraId="6BCB0870" w14:textId="77777777">
        <w:trPr>
          <w:cantSplit/>
          <w:trHeight w:hRule="exact" w:val="285"/>
          <w:jc w:val="center"/>
        </w:trPr>
        <w:tc>
          <w:tcPr>
            <w:tcW w:w="7005" w:type="dxa"/>
            <w:tcBorders>
              <w:top w:val="nil"/>
              <w:left w:val="nil"/>
              <w:bottom w:val="nil"/>
              <w:right w:val="nil"/>
            </w:tcBorders>
            <w:tcMar>
              <w:top w:w="0" w:type="dxa"/>
              <w:left w:w="53" w:type="dxa"/>
              <w:bottom w:w="0" w:type="dxa"/>
              <w:right w:w="53" w:type="dxa"/>
            </w:tcMar>
            <w:vAlign w:val="bottom"/>
          </w:tcPr>
          <w:p w14:paraId="374A506F" w14:textId="77777777" w:rsidR="00C56203" w:rsidRDefault="00CD5102">
            <w:pPr>
              <w:keepNext/>
              <w:spacing w:before="75" w:after="30"/>
            </w:pPr>
            <w:r>
              <w:rPr>
                <w:b/>
                <w:color w:val="000000"/>
                <w:sz w:val="18"/>
              </w:rPr>
              <w:lastRenderedPageBreak/>
              <w:t>Bausch Health Companies Inc.</w:t>
            </w:r>
          </w:p>
        </w:tc>
        <w:tc>
          <w:tcPr>
            <w:tcW w:w="75" w:type="dxa"/>
            <w:tcBorders>
              <w:top w:val="nil"/>
              <w:left w:val="nil"/>
              <w:bottom w:val="nil"/>
              <w:right w:val="nil"/>
            </w:tcBorders>
            <w:tcMar>
              <w:top w:w="0" w:type="dxa"/>
              <w:left w:w="0" w:type="dxa"/>
              <w:bottom w:w="0" w:type="dxa"/>
              <w:right w:w="0" w:type="dxa"/>
            </w:tcMar>
            <w:vAlign w:val="bottom"/>
          </w:tcPr>
          <w:p w14:paraId="38FC899E" w14:textId="77777777" w:rsidR="00C56203" w:rsidRDefault="00C56203">
            <w:pPr>
              <w:keepNext/>
            </w:pPr>
          </w:p>
        </w:tc>
        <w:tc>
          <w:tcPr>
            <w:tcW w:w="1095" w:type="dxa"/>
            <w:tcBorders>
              <w:top w:val="nil"/>
              <w:left w:val="nil"/>
              <w:bottom w:val="nil"/>
              <w:right w:val="nil"/>
            </w:tcBorders>
            <w:tcMar>
              <w:top w:w="0" w:type="dxa"/>
              <w:left w:w="0" w:type="dxa"/>
              <w:bottom w:w="0" w:type="dxa"/>
              <w:right w:w="0" w:type="dxa"/>
            </w:tcMar>
            <w:vAlign w:val="bottom"/>
          </w:tcPr>
          <w:p w14:paraId="4B383D54"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47958B91" w14:textId="77777777" w:rsidR="00C56203" w:rsidRDefault="00C56203">
            <w:pPr>
              <w:keepNext/>
            </w:pPr>
          </w:p>
        </w:tc>
        <w:tc>
          <w:tcPr>
            <w:tcW w:w="1095" w:type="dxa"/>
            <w:tcBorders>
              <w:top w:val="nil"/>
              <w:left w:val="nil"/>
              <w:bottom w:val="nil"/>
              <w:right w:val="nil"/>
            </w:tcBorders>
            <w:tcMar>
              <w:top w:w="0" w:type="dxa"/>
              <w:left w:w="0" w:type="dxa"/>
              <w:bottom w:w="0" w:type="dxa"/>
              <w:right w:w="53" w:type="dxa"/>
            </w:tcMar>
            <w:vAlign w:val="bottom"/>
          </w:tcPr>
          <w:p w14:paraId="4F182187" w14:textId="77777777" w:rsidR="00C56203" w:rsidRDefault="00CD5102">
            <w:pPr>
              <w:keepNext/>
              <w:spacing w:before="75" w:after="30"/>
              <w:jc w:val="right"/>
            </w:pPr>
            <w:r>
              <w:rPr>
                <w:b/>
                <w:color w:val="000000"/>
                <w:sz w:val="18"/>
              </w:rPr>
              <w:t>Table 2</w:t>
            </w:r>
          </w:p>
        </w:tc>
      </w:tr>
      <w:tr w:rsidR="00C56203" w14:paraId="6F65D5B6" w14:textId="77777777">
        <w:trPr>
          <w:cantSplit/>
          <w:trHeight w:hRule="exact" w:val="285"/>
          <w:jc w:val="center"/>
        </w:trPr>
        <w:tc>
          <w:tcPr>
            <w:tcW w:w="8175" w:type="dxa"/>
            <w:gridSpan w:val="3"/>
            <w:tcBorders>
              <w:top w:val="nil"/>
              <w:left w:val="nil"/>
              <w:bottom w:val="nil"/>
              <w:right w:val="nil"/>
            </w:tcBorders>
            <w:tcMar>
              <w:top w:w="0" w:type="dxa"/>
              <w:left w:w="53" w:type="dxa"/>
              <w:bottom w:w="0" w:type="dxa"/>
              <w:right w:w="53" w:type="dxa"/>
            </w:tcMar>
            <w:vAlign w:val="bottom"/>
          </w:tcPr>
          <w:p w14:paraId="670FAD11" w14:textId="77777777" w:rsidR="00C56203" w:rsidRDefault="00CD5102">
            <w:pPr>
              <w:keepNext/>
              <w:spacing w:before="75" w:after="30"/>
            </w:pPr>
            <w:r>
              <w:rPr>
                <w:b/>
                <w:color w:val="000000"/>
                <w:sz w:val="18"/>
              </w:rPr>
              <w:t>Reconciliation of GAAP Net Loss to Adjusted Net Income (non-GAAP)</w:t>
            </w:r>
          </w:p>
        </w:tc>
        <w:tc>
          <w:tcPr>
            <w:tcW w:w="75" w:type="dxa"/>
            <w:tcBorders>
              <w:top w:val="nil"/>
              <w:left w:val="nil"/>
              <w:bottom w:val="nil"/>
              <w:right w:val="nil"/>
            </w:tcBorders>
            <w:tcMar>
              <w:top w:w="0" w:type="dxa"/>
              <w:left w:w="0" w:type="dxa"/>
              <w:bottom w:w="0" w:type="dxa"/>
              <w:right w:w="0" w:type="dxa"/>
            </w:tcMar>
            <w:vAlign w:val="bottom"/>
          </w:tcPr>
          <w:p w14:paraId="5F6F5318" w14:textId="77777777" w:rsidR="00C56203" w:rsidRDefault="00C56203">
            <w:pPr>
              <w:keepNext/>
            </w:pPr>
          </w:p>
        </w:tc>
        <w:tc>
          <w:tcPr>
            <w:tcW w:w="1095" w:type="dxa"/>
            <w:tcBorders>
              <w:top w:val="nil"/>
              <w:left w:val="nil"/>
              <w:bottom w:val="nil"/>
              <w:right w:val="nil"/>
            </w:tcBorders>
            <w:tcMar>
              <w:top w:w="0" w:type="dxa"/>
              <w:left w:w="0" w:type="dxa"/>
              <w:bottom w:w="0" w:type="dxa"/>
              <w:right w:w="0" w:type="dxa"/>
            </w:tcMar>
            <w:vAlign w:val="bottom"/>
          </w:tcPr>
          <w:p w14:paraId="4CD3AB77" w14:textId="77777777" w:rsidR="00C56203" w:rsidRDefault="00C56203">
            <w:pPr>
              <w:keepNext/>
            </w:pPr>
          </w:p>
        </w:tc>
      </w:tr>
      <w:tr w:rsidR="00C56203" w14:paraId="27B0992F" w14:textId="77777777">
        <w:trPr>
          <w:cantSplit/>
          <w:trHeight w:hRule="exact" w:val="285"/>
          <w:jc w:val="center"/>
        </w:trPr>
        <w:tc>
          <w:tcPr>
            <w:tcW w:w="8175" w:type="dxa"/>
            <w:gridSpan w:val="3"/>
            <w:tcBorders>
              <w:top w:val="nil"/>
              <w:left w:val="nil"/>
              <w:bottom w:val="nil"/>
              <w:right w:val="nil"/>
            </w:tcBorders>
            <w:tcMar>
              <w:top w:w="0" w:type="dxa"/>
              <w:left w:w="53" w:type="dxa"/>
              <w:bottom w:w="0" w:type="dxa"/>
              <w:right w:w="53" w:type="dxa"/>
            </w:tcMar>
            <w:vAlign w:val="bottom"/>
          </w:tcPr>
          <w:p w14:paraId="30C48D05" w14:textId="77777777" w:rsidR="00C56203" w:rsidRDefault="00CD5102">
            <w:pPr>
              <w:keepNext/>
              <w:spacing w:before="75" w:after="30"/>
            </w:pPr>
            <w:r>
              <w:rPr>
                <w:b/>
                <w:color w:val="000000"/>
                <w:sz w:val="18"/>
              </w:rPr>
              <w:t xml:space="preserve">For </w:t>
            </w:r>
            <w:r>
              <w:rPr>
                <w:b/>
                <w:color w:val="000000"/>
                <w:sz w:val="18"/>
              </w:rPr>
              <w:t>the Three Months Ended March 31, 2023 and 2022</w:t>
            </w:r>
          </w:p>
        </w:tc>
        <w:tc>
          <w:tcPr>
            <w:tcW w:w="75" w:type="dxa"/>
            <w:tcBorders>
              <w:top w:val="nil"/>
              <w:left w:val="nil"/>
              <w:bottom w:val="nil"/>
              <w:right w:val="nil"/>
            </w:tcBorders>
            <w:tcMar>
              <w:top w:w="0" w:type="dxa"/>
              <w:left w:w="0" w:type="dxa"/>
              <w:bottom w:w="0" w:type="dxa"/>
              <w:right w:w="0" w:type="dxa"/>
            </w:tcMar>
            <w:vAlign w:val="bottom"/>
          </w:tcPr>
          <w:p w14:paraId="7F62D3DA" w14:textId="77777777" w:rsidR="00C56203" w:rsidRDefault="00C56203">
            <w:pPr>
              <w:keepNext/>
            </w:pPr>
          </w:p>
        </w:tc>
        <w:tc>
          <w:tcPr>
            <w:tcW w:w="1095" w:type="dxa"/>
            <w:tcBorders>
              <w:top w:val="nil"/>
              <w:left w:val="nil"/>
              <w:bottom w:val="nil"/>
              <w:right w:val="nil"/>
            </w:tcBorders>
            <w:tcMar>
              <w:top w:w="0" w:type="dxa"/>
              <w:left w:w="0" w:type="dxa"/>
              <w:bottom w:w="0" w:type="dxa"/>
              <w:right w:w="0" w:type="dxa"/>
            </w:tcMar>
            <w:vAlign w:val="bottom"/>
          </w:tcPr>
          <w:p w14:paraId="0D6646A3" w14:textId="77777777" w:rsidR="00C56203" w:rsidRDefault="00C56203">
            <w:pPr>
              <w:keepNext/>
            </w:pPr>
          </w:p>
        </w:tc>
      </w:tr>
      <w:tr w:rsidR="00C56203" w14:paraId="7D4EDD4D" w14:textId="77777777">
        <w:trPr>
          <w:cantSplit/>
          <w:trHeight w:hRule="exact" w:val="285"/>
          <w:jc w:val="center"/>
        </w:trPr>
        <w:tc>
          <w:tcPr>
            <w:tcW w:w="7005" w:type="dxa"/>
            <w:tcBorders>
              <w:top w:val="nil"/>
              <w:left w:val="nil"/>
              <w:bottom w:val="nil"/>
              <w:right w:val="nil"/>
            </w:tcBorders>
            <w:tcMar>
              <w:top w:w="0" w:type="dxa"/>
              <w:left w:w="53" w:type="dxa"/>
              <w:bottom w:w="0" w:type="dxa"/>
              <w:right w:w="53" w:type="dxa"/>
            </w:tcMar>
            <w:vAlign w:val="bottom"/>
          </w:tcPr>
          <w:p w14:paraId="3CF15BDE" w14:textId="77777777" w:rsidR="00C56203" w:rsidRDefault="00CD5102">
            <w:pPr>
              <w:keepNext/>
              <w:spacing w:before="75" w:after="30"/>
            </w:pPr>
            <w:r>
              <w:rPr>
                <w:b/>
                <w:color w:val="000000"/>
                <w:sz w:val="18"/>
              </w:rPr>
              <w:t>(unaudited)</w:t>
            </w:r>
          </w:p>
        </w:tc>
        <w:tc>
          <w:tcPr>
            <w:tcW w:w="75" w:type="dxa"/>
            <w:tcBorders>
              <w:top w:val="nil"/>
              <w:left w:val="nil"/>
              <w:bottom w:val="nil"/>
              <w:right w:val="nil"/>
            </w:tcBorders>
            <w:tcMar>
              <w:top w:w="0" w:type="dxa"/>
              <w:left w:w="0" w:type="dxa"/>
              <w:bottom w:w="0" w:type="dxa"/>
              <w:right w:w="0" w:type="dxa"/>
            </w:tcMar>
            <w:vAlign w:val="bottom"/>
          </w:tcPr>
          <w:p w14:paraId="125E2B8B" w14:textId="77777777" w:rsidR="00C56203" w:rsidRDefault="00C56203">
            <w:pPr>
              <w:keepNext/>
            </w:pPr>
          </w:p>
        </w:tc>
        <w:tc>
          <w:tcPr>
            <w:tcW w:w="1095" w:type="dxa"/>
            <w:tcBorders>
              <w:top w:val="nil"/>
              <w:left w:val="nil"/>
              <w:bottom w:val="nil"/>
              <w:right w:val="nil"/>
            </w:tcBorders>
            <w:tcMar>
              <w:top w:w="0" w:type="dxa"/>
              <w:left w:w="0" w:type="dxa"/>
              <w:bottom w:w="0" w:type="dxa"/>
              <w:right w:w="0" w:type="dxa"/>
            </w:tcMar>
            <w:vAlign w:val="bottom"/>
          </w:tcPr>
          <w:p w14:paraId="41B92972"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7777CBDC" w14:textId="77777777" w:rsidR="00C56203" w:rsidRDefault="00C56203">
            <w:pPr>
              <w:keepNext/>
            </w:pPr>
          </w:p>
        </w:tc>
        <w:tc>
          <w:tcPr>
            <w:tcW w:w="1095" w:type="dxa"/>
            <w:tcBorders>
              <w:top w:val="nil"/>
              <w:left w:val="nil"/>
              <w:bottom w:val="nil"/>
              <w:right w:val="nil"/>
            </w:tcBorders>
            <w:tcMar>
              <w:top w:w="0" w:type="dxa"/>
              <w:left w:w="0" w:type="dxa"/>
              <w:bottom w:w="0" w:type="dxa"/>
              <w:right w:w="0" w:type="dxa"/>
            </w:tcMar>
            <w:vAlign w:val="bottom"/>
          </w:tcPr>
          <w:p w14:paraId="49D4A1C5" w14:textId="77777777" w:rsidR="00C56203" w:rsidRDefault="00C56203">
            <w:pPr>
              <w:keepNext/>
            </w:pPr>
          </w:p>
        </w:tc>
      </w:tr>
      <w:tr w:rsidR="00C56203" w14:paraId="557B03D0" w14:textId="77777777">
        <w:trPr>
          <w:cantSplit/>
          <w:trHeight w:hRule="exact" w:val="285"/>
          <w:jc w:val="center"/>
        </w:trPr>
        <w:tc>
          <w:tcPr>
            <w:tcW w:w="7005" w:type="dxa"/>
            <w:tcBorders>
              <w:top w:val="nil"/>
              <w:left w:val="nil"/>
              <w:bottom w:val="nil"/>
              <w:right w:val="nil"/>
            </w:tcBorders>
            <w:tcMar>
              <w:top w:w="0" w:type="dxa"/>
              <w:left w:w="0" w:type="dxa"/>
              <w:bottom w:w="0" w:type="dxa"/>
              <w:right w:w="0" w:type="dxa"/>
            </w:tcMar>
            <w:vAlign w:val="bottom"/>
          </w:tcPr>
          <w:p w14:paraId="558CD1E6"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165D595F" w14:textId="77777777" w:rsidR="00C56203" w:rsidRDefault="00C56203">
            <w:pPr>
              <w:keepNext/>
            </w:pPr>
          </w:p>
        </w:tc>
        <w:tc>
          <w:tcPr>
            <w:tcW w:w="2265" w:type="dxa"/>
            <w:gridSpan w:val="3"/>
            <w:tcBorders>
              <w:top w:val="nil"/>
              <w:left w:val="nil"/>
              <w:bottom w:val="nil"/>
              <w:right w:val="nil"/>
            </w:tcBorders>
            <w:tcMar>
              <w:top w:w="0" w:type="dxa"/>
              <w:left w:w="53" w:type="dxa"/>
              <w:bottom w:w="0" w:type="dxa"/>
              <w:right w:w="53" w:type="dxa"/>
            </w:tcMar>
            <w:vAlign w:val="bottom"/>
          </w:tcPr>
          <w:p w14:paraId="163A4BCF" w14:textId="77777777" w:rsidR="00C56203" w:rsidRDefault="00CD5102">
            <w:pPr>
              <w:keepNext/>
              <w:spacing w:before="75" w:after="30"/>
              <w:jc w:val="center"/>
            </w:pPr>
            <w:r>
              <w:rPr>
                <w:b/>
                <w:color w:val="000000"/>
                <w:sz w:val="18"/>
              </w:rPr>
              <w:t>Three Months Ended</w:t>
            </w:r>
          </w:p>
        </w:tc>
      </w:tr>
      <w:tr w:rsidR="00C56203" w14:paraId="194A4796" w14:textId="77777777">
        <w:trPr>
          <w:cantSplit/>
          <w:trHeight w:hRule="exact" w:val="285"/>
          <w:jc w:val="center"/>
        </w:trPr>
        <w:tc>
          <w:tcPr>
            <w:tcW w:w="7005" w:type="dxa"/>
            <w:tcBorders>
              <w:top w:val="nil"/>
              <w:left w:val="nil"/>
              <w:bottom w:val="nil"/>
              <w:right w:val="nil"/>
            </w:tcBorders>
            <w:tcMar>
              <w:top w:w="0" w:type="dxa"/>
              <w:left w:w="0" w:type="dxa"/>
              <w:bottom w:w="0" w:type="dxa"/>
              <w:right w:w="0" w:type="dxa"/>
            </w:tcMar>
            <w:vAlign w:val="bottom"/>
          </w:tcPr>
          <w:p w14:paraId="6B4E2491"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2FDDBEFF" w14:textId="77777777" w:rsidR="00C56203" w:rsidRDefault="00C56203">
            <w:pPr>
              <w:keepNext/>
            </w:pPr>
          </w:p>
        </w:tc>
        <w:tc>
          <w:tcPr>
            <w:tcW w:w="2265" w:type="dxa"/>
            <w:gridSpan w:val="3"/>
            <w:tcBorders>
              <w:top w:val="nil"/>
              <w:left w:val="nil"/>
              <w:bottom w:val="single" w:sz="8" w:space="0" w:color="000000"/>
              <w:right w:val="nil"/>
            </w:tcBorders>
            <w:tcMar>
              <w:top w:w="0" w:type="dxa"/>
              <w:left w:w="53" w:type="dxa"/>
              <w:bottom w:w="0" w:type="dxa"/>
              <w:right w:w="53" w:type="dxa"/>
            </w:tcMar>
            <w:vAlign w:val="bottom"/>
          </w:tcPr>
          <w:p w14:paraId="68F4FAE6" w14:textId="77777777" w:rsidR="00C56203" w:rsidRDefault="00CD5102">
            <w:pPr>
              <w:keepNext/>
              <w:spacing w:before="75" w:after="30"/>
              <w:jc w:val="center"/>
            </w:pPr>
            <w:r>
              <w:rPr>
                <w:b/>
                <w:color w:val="000000"/>
                <w:sz w:val="18"/>
              </w:rPr>
              <w:t>March 31,</w:t>
            </w:r>
          </w:p>
        </w:tc>
      </w:tr>
      <w:tr w:rsidR="00C56203" w14:paraId="787217B5" w14:textId="77777777">
        <w:trPr>
          <w:cantSplit/>
          <w:trHeight w:hRule="exact" w:val="285"/>
          <w:jc w:val="center"/>
        </w:trPr>
        <w:tc>
          <w:tcPr>
            <w:tcW w:w="7005" w:type="dxa"/>
            <w:tcBorders>
              <w:top w:val="nil"/>
              <w:left w:val="nil"/>
              <w:bottom w:val="nil"/>
              <w:right w:val="nil"/>
            </w:tcBorders>
            <w:tcMar>
              <w:top w:w="0" w:type="dxa"/>
              <w:left w:w="53" w:type="dxa"/>
              <w:bottom w:w="0" w:type="dxa"/>
              <w:right w:w="53" w:type="dxa"/>
            </w:tcMar>
            <w:vAlign w:val="bottom"/>
          </w:tcPr>
          <w:p w14:paraId="51A90CE6" w14:textId="77777777" w:rsidR="00C56203" w:rsidRDefault="00CD5102">
            <w:pPr>
              <w:keepNext/>
              <w:spacing w:before="55" w:after="30"/>
            </w:pPr>
            <w:r>
              <w:rPr>
                <w:i/>
                <w:color w:val="000000"/>
                <w:sz w:val="16"/>
              </w:rPr>
              <w:t>(in millions)</w:t>
            </w:r>
          </w:p>
        </w:tc>
        <w:tc>
          <w:tcPr>
            <w:tcW w:w="75" w:type="dxa"/>
            <w:tcBorders>
              <w:top w:val="nil"/>
              <w:left w:val="nil"/>
              <w:bottom w:val="nil"/>
              <w:right w:val="nil"/>
            </w:tcBorders>
            <w:tcMar>
              <w:top w:w="0" w:type="dxa"/>
              <w:left w:w="0" w:type="dxa"/>
              <w:bottom w:w="0" w:type="dxa"/>
              <w:right w:w="0" w:type="dxa"/>
            </w:tcMar>
            <w:vAlign w:val="bottom"/>
          </w:tcPr>
          <w:p w14:paraId="5D60B15D" w14:textId="77777777" w:rsidR="00C56203" w:rsidRDefault="00C56203">
            <w:pPr>
              <w:keepNext/>
            </w:pPr>
          </w:p>
        </w:tc>
        <w:tc>
          <w:tcPr>
            <w:tcW w:w="1095" w:type="dxa"/>
            <w:tcBorders>
              <w:top w:val="nil"/>
              <w:left w:val="nil"/>
              <w:bottom w:val="single" w:sz="8" w:space="0" w:color="000000"/>
              <w:right w:val="nil"/>
            </w:tcBorders>
            <w:tcMar>
              <w:top w:w="0" w:type="dxa"/>
              <w:left w:w="53" w:type="dxa"/>
              <w:bottom w:w="0" w:type="dxa"/>
              <w:right w:w="53" w:type="dxa"/>
            </w:tcMar>
            <w:vAlign w:val="bottom"/>
          </w:tcPr>
          <w:p w14:paraId="61812682" w14:textId="77777777" w:rsidR="00C56203" w:rsidRDefault="00CD5102">
            <w:pPr>
              <w:keepNext/>
              <w:spacing w:before="55" w:after="30"/>
              <w:jc w:val="center"/>
            </w:pPr>
            <w:r>
              <w:rPr>
                <w:b/>
                <w:color w:val="000000"/>
                <w:sz w:val="18"/>
              </w:rPr>
              <w:t>2023</w:t>
            </w:r>
          </w:p>
        </w:tc>
        <w:tc>
          <w:tcPr>
            <w:tcW w:w="75" w:type="dxa"/>
            <w:tcBorders>
              <w:top w:val="single" w:sz="8" w:space="0" w:color="000000"/>
              <w:left w:val="nil"/>
              <w:bottom w:val="nil"/>
              <w:right w:val="nil"/>
            </w:tcBorders>
            <w:tcMar>
              <w:top w:w="0" w:type="dxa"/>
              <w:left w:w="53" w:type="dxa"/>
              <w:bottom w:w="0" w:type="dxa"/>
              <w:right w:w="53" w:type="dxa"/>
            </w:tcMar>
            <w:vAlign w:val="bottom"/>
          </w:tcPr>
          <w:p w14:paraId="32AF2E62" w14:textId="77777777" w:rsidR="00C56203" w:rsidRDefault="00C56203">
            <w:pPr>
              <w:keepNext/>
              <w:spacing w:before="55" w:after="30"/>
            </w:pPr>
          </w:p>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05932153" w14:textId="77777777" w:rsidR="00C56203" w:rsidRDefault="00CD5102">
            <w:pPr>
              <w:keepNext/>
              <w:spacing w:before="55" w:after="30"/>
              <w:jc w:val="center"/>
            </w:pPr>
            <w:r>
              <w:rPr>
                <w:b/>
                <w:color w:val="000000"/>
                <w:sz w:val="18"/>
              </w:rPr>
              <w:t>2022</w:t>
            </w:r>
          </w:p>
        </w:tc>
      </w:tr>
      <w:tr w:rsidR="00C56203" w14:paraId="391B8CF5" w14:textId="77777777">
        <w:trPr>
          <w:cantSplit/>
          <w:trHeight w:hRule="exact" w:val="285"/>
          <w:jc w:val="center"/>
        </w:trPr>
        <w:tc>
          <w:tcPr>
            <w:tcW w:w="7005" w:type="dxa"/>
            <w:tcBorders>
              <w:top w:val="nil"/>
              <w:left w:val="nil"/>
              <w:bottom w:val="nil"/>
              <w:right w:val="nil"/>
            </w:tcBorders>
            <w:shd w:val="clear" w:color="auto" w:fill="FFFFFF"/>
            <w:tcMar>
              <w:top w:w="0" w:type="dxa"/>
              <w:left w:w="53" w:type="dxa"/>
              <w:bottom w:w="0" w:type="dxa"/>
              <w:right w:w="53" w:type="dxa"/>
            </w:tcMar>
            <w:vAlign w:val="bottom"/>
          </w:tcPr>
          <w:p w14:paraId="4C04818D" w14:textId="77777777" w:rsidR="00C56203" w:rsidRDefault="00CD5102">
            <w:pPr>
              <w:keepNext/>
              <w:spacing w:before="55" w:after="30"/>
            </w:pPr>
            <w:r>
              <w:rPr>
                <w:b/>
                <w:color w:val="000000"/>
                <w:sz w:val="18"/>
              </w:rPr>
              <w:t>Net loss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3EACF5E" w14:textId="77777777" w:rsidR="00C56203" w:rsidRDefault="00C56203">
            <w:pPr>
              <w:keepNex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2223E7D" w14:textId="77777777" w:rsidR="00C56203" w:rsidRDefault="00CD5102">
            <w:pPr>
              <w:keepNext/>
              <w:tabs>
                <w:tab w:val="left" w:pos="612"/>
                <w:tab w:val="left" w:pos="1007"/>
              </w:tabs>
              <w:spacing w:before="55" w:after="30"/>
              <w:jc w:val="right"/>
            </w:pPr>
            <w:r>
              <w:rPr>
                <w:b/>
                <w:color w:val="000000"/>
                <w:sz w:val="18"/>
              </w:rPr>
              <w:t>$</w:t>
            </w:r>
            <w:r>
              <w:rPr>
                <w:b/>
                <w:color w:val="000000"/>
                <w:sz w:val="18"/>
              </w:rPr>
              <w:tab/>
              <w:t>(209)</w:t>
            </w:r>
            <w:r>
              <w:rPr>
                <w:b/>
                <w:color w:val="000000"/>
                <w:sz w:val="18"/>
              </w:rPr>
              <w:tab/>
            </w: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36C4061F" w14:textId="77777777" w:rsidR="00C56203" w:rsidRDefault="00C56203">
            <w:pPr>
              <w:keepNext/>
              <w:spacing w:before="55" w:after="30"/>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192B9C65" w14:textId="77777777" w:rsidR="00C56203" w:rsidRDefault="00CD5102">
            <w:pPr>
              <w:keepNext/>
              <w:tabs>
                <w:tab w:val="left" w:pos="702"/>
                <w:tab w:val="left" w:pos="1007"/>
              </w:tabs>
              <w:spacing w:before="55" w:after="30"/>
              <w:jc w:val="right"/>
            </w:pPr>
            <w:r>
              <w:rPr>
                <w:b/>
                <w:color w:val="000000"/>
                <w:sz w:val="18"/>
              </w:rPr>
              <w:t>$</w:t>
            </w:r>
            <w:r>
              <w:rPr>
                <w:b/>
                <w:color w:val="000000"/>
                <w:sz w:val="18"/>
              </w:rPr>
              <w:tab/>
              <w:t>(66)</w:t>
            </w:r>
            <w:r>
              <w:rPr>
                <w:b/>
                <w:color w:val="000000"/>
                <w:sz w:val="18"/>
              </w:rPr>
              <w:tab/>
            </w:r>
          </w:p>
        </w:tc>
      </w:tr>
      <w:tr w:rsidR="00C56203" w14:paraId="2ADB7EC8" w14:textId="77777777">
        <w:trPr>
          <w:cantSplit/>
          <w:trHeight w:hRule="exact" w:val="285"/>
          <w:jc w:val="center"/>
        </w:trPr>
        <w:tc>
          <w:tcPr>
            <w:tcW w:w="7005" w:type="dxa"/>
            <w:tcBorders>
              <w:top w:val="nil"/>
              <w:left w:val="nil"/>
              <w:bottom w:val="nil"/>
              <w:right w:val="nil"/>
            </w:tcBorders>
            <w:shd w:val="clear" w:color="auto" w:fill="CCEEFF"/>
            <w:tcMar>
              <w:top w:w="0" w:type="dxa"/>
              <w:left w:w="53" w:type="dxa"/>
              <w:bottom w:w="0" w:type="dxa"/>
              <w:right w:w="53" w:type="dxa"/>
            </w:tcMar>
            <w:vAlign w:val="bottom"/>
          </w:tcPr>
          <w:p w14:paraId="70FB6AAB" w14:textId="77777777" w:rsidR="00C56203" w:rsidRDefault="00CD5102">
            <w:pPr>
              <w:keepNext/>
              <w:spacing w:before="55" w:after="30"/>
              <w:ind w:left="135"/>
              <w:rPr>
                <w:sz w:val="18"/>
              </w:rPr>
            </w:pPr>
            <w:r>
              <w:rPr>
                <w:sz w:val="18"/>
              </w:rPr>
              <w:t xml:space="preserve">Non-GAAP adjustments: </w:t>
            </w:r>
            <w:r>
              <w:rPr>
                <w:sz w:val="18"/>
                <w:vertAlign w:val="superscript"/>
              </w:rPr>
              <w:t>(a)</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8380FE3" w14:textId="77777777" w:rsidR="00C56203" w:rsidRDefault="00C56203">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9C67BB7" w14:textId="77777777" w:rsidR="00C56203" w:rsidRDefault="00C56203">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E84E5E2" w14:textId="77777777" w:rsidR="00C56203" w:rsidRDefault="00C56203">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B73F719" w14:textId="77777777" w:rsidR="00C56203" w:rsidRDefault="00C56203">
            <w:pPr>
              <w:keepNext/>
            </w:pPr>
          </w:p>
        </w:tc>
      </w:tr>
      <w:tr w:rsidR="00C56203" w14:paraId="03CD958D" w14:textId="77777777">
        <w:trPr>
          <w:cantSplit/>
          <w:trHeight w:hRule="exact" w:val="285"/>
          <w:jc w:val="center"/>
        </w:trPr>
        <w:tc>
          <w:tcPr>
            <w:tcW w:w="7005" w:type="dxa"/>
            <w:tcBorders>
              <w:top w:val="nil"/>
              <w:left w:val="nil"/>
              <w:bottom w:val="nil"/>
              <w:right w:val="nil"/>
            </w:tcBorders>
            <w:shd w:val="clear" w:color="auto" w:fill="FFFFFF"/>
            <w:tcMar>
              <w:top w:w="0" w:type="dxa"/>
              <w:left w:w="53" w:type="dxa"/>
              <w:bottom w:w="0" w:type="dxa"/>
              <w:right w:w="53" w:type="dxa"/>
            </w:tcMar>
            <w:vAlign w:val="bottom"/>
          </w:tcPr>
          <w:p w14:paraId="419B8C82" w14:textId="77777777" w:rsidR="00C56203" w:rsidRDefault="00CD5102">
            <w:pPr>
              <w:keepNext/>
              <w:spacing w:before="75" w:after="30"/>
              <w:ind w:left="225"/>
            </w:pPr>
            <w:r>
              <w:rPr>
                <w:color w:val="000000"/>
                <w:sz w:val="18"/>
              </w:rPr>
              <w:t>Amortization of intangible assets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76A2681" w14:textId="77777777" w:rsidR="00C56203" w:rsidRDefault="00C56203">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E53DD16" w14:textId="77777777" w:rsidR="00C56203" w:rsidRDefault="00CD5102">
            <w:pPr>
              <w:keepNext/>
              <w:tabs>
                <w:tab w:val="left" w:pos="692"/>
                <w:tab w:val="left" w:pos="1027"/>
              </w:tabs>
              <w:spacing w:before="75" w:after="30"/>
              <w:jc w:val="right"/>
            </w:pPr>
            <w:r>
              <w:rPr>
                <w:color w:val="000000"/>
                <w:sz w:val="18"/>
              </w:rPr>
              <w:tab/>
              <w:t>273</w:t>
            </w:r>
            <w:r>
              <w:rPr>
                <w:color w:val="000000"/>
                <w:sz w:val="18"/>
              </w:rPr>
              <w:tab/>
            </w: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42554DA3" w14:textId="77777777" w:rsidR="00C56203" w:rsidRDefault="00C56203">
            <w:pPr>
              <w:keepNext/>
              <w:spacing w:before="75" w:after="30"/>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5D904C57" w14:textId="77777777" w:rsidR="00C56203" w:rsidRDefault="00CD5102">
            <w:pPr>
              <w:keepNext/>
              <w:tabs>
                <w:tab w:val="left" w:pos="692"/>
                <w:tab w:val="left" w:pos="1027"/>
              </w:tabs>
              <w:spacing w:before="75" w:after="30"/>
              <w:jc w:val="right"/>
            </w:pPr>
            <w:r>
              <w:rPr>
                <w:color w:val="000000"/>
                <w:sz w:val="18"/>
              </w:rPr>
              <w:tab/>
              <w:t>310</w:t>
            </w:r>
            <w:r>
              <w:rPr>
                <w:color w:val="000000"/>
                <w:sz w:val="18"/>
              </w:rPr>
              <w:tab/>
            </w:r>
          </w:p>
        </w:tc>
      </w:tr>
      <w:tr w:rsidR="00C56203" w14:paraId="2A36A4FF" w14:textId="77777777">
        <w:trPr>
          <w:cantSplit/>
          <w:trHeight w:hRule="exact" w:val="285"/>
          <w:jc w:val="center"/>
        </w:trPr>
        <w:tc>
          <w:tcPr>
            <w:tcW w:w="7005" w:type="dxa"/>
            <w:tcBorders>
              <w:top w:val="nil"/>
              <w:left w:val="nil"/>
              <w:bottom w:val="nil"/>
              <w:right w:val="nil"/>
            </w:tcBorders>
            <w:shd w:val="clear" w:color="auto" w:fill="CCEEFF"/>
            <w:tcMar>
              <w:top w:w="0" w:type="dxa"/>
              <w:left w:w="53" w:type="dxa"/>
              <w:bottom w:w="0" w:type="dxa"/>
              <w:right w:w="53" w:type="dxa"/>
            </w:tcMar>
            <w:vAlign w:val="bottom"/>
          </w:tcPr>
          <w:p w14:paraId="00EF03F0" w14:textId="77777777" w:rsidR="00C56203" w:rsidRDefault="00CD5102">
            <w:pPr>
              <w:keepNext/>
              <w:spacing w:before="75" w:after="30"/>
              <w:ind w:left="225"/>
            </w:pPr>
            <w:r>
              <w:rPr>
                <w:color w:val="000000"/>
                <w:sz w:val="18"/>
              </w:rPr>
              <w:t xml:space="preserve">Asset </w:t>
            </w:r>
            <w:r>
              <w:rPr>
                <w:color w:val="000000"/>
                <w:sz w:val="18"/>
              </w:rPr>
              <w:t>impairments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C76CD20" w14:textId="77777777" w:rsidR="00C56203" w:rsidRDefault="00C56203">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24A834A5" w14:textId="77777777" w:rsidR="00C56203" w:rsidRDefault="00CD5102">
            <w:pPr>
              <w:keepNext/>
              <w:tabs>
                <w:tab w:val="left" w:pos="782"/>
                <w:tab w:val="left" w:pos="1027"/>
              </w:tabs>
              <w:spacing w:before="75" w:after="30"/>
              <w:jc w:val="right"/>
            </w:pPr>
            <w:r>
              <w:rPr>
                <w:color w:val="000000"/>
                <w:sz w:val="18"/>
              </w:rPr>
              <w:tab/>
              <w:t>13</w:t>
            </w:r>
            <w:r>
              <w:rPr>
                <w:color w:val="000000"/>
                <w:sz w:val="18"/>
              </w:rPr>
              <w:tab/>
            </w: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63F8723C" w14:textId="77777777" w:rsidR="00C56203" w:rsidRDefault="00C56203">
            <w:pPr>
              <w:keepNext/>
              <w:spacing w:before="75" w:after="30"/>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4D434EE6" w14:textId="77777777" w:rsidR="00C56203" w:rsidRDefault="00CD5102">
            <w:pPr>
              <w:keepNext/>
              <w:tabs>
                <w:tab w:val="left" w:pos="872"/>
                <w:tab w:val="left" w:pos="1027"/>
              </w:tabs>
              <w:spacing w:before="75" w:after="30"/>
              <w:jc w:val="right"/>
            </w:pPr>
            <w:r>
              <w:rPr>
                <w:color w:val="000000"/>
                <w:sz w:val="18"/>
              </w:rPr>
              <w:tab/>
              <w:t>8</w:t>
            </w:r>
            <w:r>
              <w:rPr>
                <w:color w:val="000000"/>
                <w:sz w:val="18"/>
              </w:rPr>
              <w:tab/>
            </w:r>
          </w:p>
        </w:tc>
      </w:tr>
      <w:tr w:rsidR="00C56203" w14:paraId="440C6C2B" w14:textId="77777777">
        <w:trPr>
          <w:cantSplit/>
          <w:trHeight w:hRule="exact" w:val="285"/>
          <w:jc w:val="center"/>
        </w:trPr>
        <w:tc>
          <w:tcPr>
            <w:tcW w:w="7005" w:type="dxa"/>
            <w:tcBorders>
              <w:top w:val="nil"/>
              <w:left w:val="nil"/>
              <w:bottom w:val="nil"/>
              <w:right w:val="nil"/>
            </w:tcBorders>
            <w:shd w:val="clear" w:color="auto" w:fill="FFFFFF"/>
            <w:tcMar>
              <w:top w:w="0" w:type="dxa"/>
              <w:left w:w="53" w:type="dxa"/>
              <w:bottom w:w="0" w:type="dxa"/>
              <w:right w:w="53" w:type="dxa"/>
            </w:tcMar>
            <w:vAlign w:val="bottom"/>
          </w:tcPr>
          <w:p w14:paraId="0D64A381" w14:textId="77777777" w:rsidR="00C56203" w:rsidRDefault="00CD5102">
            <w:pPr>
              <w:keepNext/>
              <w:spacing w:before="75" w:after="30"/>
              <w:ind w:left="225"/>
            </w:pPr>
            <w:r>
              <w:rPr>
                <w:color w:val="000000"/>
                <w:sz w:val="18"/>
              </w:rPr>
              <w:t>Restructuring, integration and transformation costs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8E14FAC" w14:textId="77777777" w:rsidR="00C56203" w:rsidRDefault="00C56203">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26BA6216" w14:textId="77777777" w:rsidR="00C56203" w:rsidRDefault="00CD5102">
            <w:pPr>
              <w:keepNext/>
              <w:tabs>
                <w:tab w:val="left" w:pos="782"/>
                <w:tab w:val="left" w:pos="1027"/>
              </w:tabs>
              <w:spacing w:before="75" w:after="30"/>
              <w:jc w:val="right"/>
            </w:pPr>
            <w:r>
              <w:rPr>
                <w:color w:val="000000"/>
                <w:sz w:val="18"/>
              </w:rPr>
              <w:tab/>
              <w:t>27</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751AF59" w14:textId="77777777" w:rsidR="00C56203" w:rsidRDefault="00C56203">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73C0BC80" w14:textId="77777777" w:rsidR="00C56203" w:rsidRDefault="00CD5102">
            <w:pPr>
              <w:keepNext/>
              <w:tabs>
                <w:tab w:val="left" w:pos="872"/>
                <w:tab w:val="left" w:pos="1027"/>
              </w:tabs>
              <w:spacing w:before="75" w:after="30"/>
              <w:jc w:val="right"/>
            </w:pPr>
            <w:r>
              <w:rPr>
                <w:color w:val="000000"/>
                <w:sz w:val="18"/>
              </w:rPr>
              <w:tab/>
              <w:t>3</w:t>
            </w:r>
            <w:r>
              <w:rPr>
                <w:color w:val="000000"/>
                <w:sz w:val="18"/>
              </w:rPr>
              <w:tab/>
            </w:r>
          </w:p>
        </w:tc>
      </w:tr>
      <w:tr w:rsidR="00C56203" w14:paraId="15373288" w14:textId="77777777">
        <w:trPr>
          <w:cantSplit/>
          <w:trHeight w:hRule="exact" w:val="285"/>
          <w:jc w:val="center"/>
        </w:trPr>
        <w:tc>
          <w:tcPr>
            <w:tcW w:w="7005" w:type="dxa"/>
            <w:tcBorders>
              <w:top w:val="nil"/>
              <w:left w:val="nil"/>
              <w:bottom w:val="nil"/>
              <w:right w:val="nil"/>
            </w:tcBorders>
            <w:shd w:val="clear" w:color="auto" w:fill="CCEEFF"/>
            <w:tcMar>
              <w:top w:w="0" w:type="dxa"/>
              <w:left w:w="53" w:type="dxa"/>
              <w:bottom w:w="0" w:type="dxa"/>
              <w:right w:w="53" w:type="dxa"/>
            </w:tcMar>
            <w:vAlign w:val="bottom"/>
          </w:tcPr>
          <w:p w14:paraId="2B9E763A" w14:textId="77777777" w:rsidR="00C56203" w:rsidRDefault="00CD5102">
            <w:pPr>
              <w:keepNext/>
              <w:spacing w:before="75" w:after="30"/>
              <w:ind w:left="225"/>
            </w:pPr>
            <w:r>
              <w:rPr>
                <w:color w:val="000000"/>
                <w:sz w:val="18"/>
              </w:rPr>
              <w:t>Acquisition-related costs and adjustments (excluding amortization of intangible assets)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92A6948" w14:textId="77777777" w:rsidR="00C56203" w:rsidRDefault="00C56203">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6B15E3AB" w14:textId="77777777" w:rsidR="00C56203" w:rsidRDefault="00CD5102">
            <w:pPr>
              <w:keepNext/>
              <w:tabs>
                <w:tab w:val="left" w:pos="782"/>
                <w:tab w:val="left" w:pos="1027"/>
              </w:tabs>
              <w:spacing w:before="75" w:after="30"/>
              <w:jc w:val="right"/>
            </w:pPr>
            <w:r>
              <w:rPr>
                <w:color w:val="000000"/>
                <w:sz w:val="18"/>
              </w:rPr>
              <w:tab/>
              <w:t>31</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14:paraId="41CC0258" w14:textId="77777777" w:rsidR="00C56203" w:rsidRDefault="00C56203">
            <w:pPr>
              <w:keepNext/>
              <w:spacing w:before="75" w:after="30"/>
              <w:jc w:val="righ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4A82C11C" w14:textId="77777777" w:rsidR="00C56203" w:rsidRDefault="00CD5102">
            <w:pPr>
              <w:keepNext/>
              <w:tabs>
                <w:tab w:val="left" w:pos="872"/>
                <w:tab w:val="left" w:pos="1027"/>
              </w:tabs>
              <w:spacing w:before="75" w:after="30"/>
              <w:jc w:val="right"/>
            </w:pPr>
            <w:r>
              <w:rPr>
                <w:color w:val="000000"/>
                <w:sz w:val="18"/>
              </w:rPr>
              <w:tab/>
              <w:t>3</w:t>
            </w:r>
            <w:r>
              <w:rPr>
                <w:color w:val="000000"/>
                <w:sz w:val="18"/>
              </w:rPr>
              <w:tab/>
            </w:r>
          </w:p>
        </w:tc>
      </w:tr>
      <w:tr w:rsidR="00C56203" w14:paraId="709CBB4E" w14:textId="77777777">
        <w:trPr>
          <w:cantSplit/>
          <w:trHeight w:hRule="exact" w:val="285"/>
          <w:jc w:val="center"/>
        </w:trPr>
        <w:tc>
          <w:tcPr>
            <w:tcW w:w="7005" w:type="dxa"/>
            <w:tcBorders>
              <w:top w:val="nil"/>
              <w:left w:val="nil"/>
              <w:bottom w:val="nil"/>
              <w:right w:val="nil"/>
            </w:tcBorders>
            <w:shd w:val="clear" w:color="auto" w:fill="FFFFFF"/>
            <w:tcMar>
              <w:top w:w="0" w:type="dxa"/>
              <w:left w:w="53" w:type="dxa"/>
              <w:bottom w:w="0" w:type="dxa"/>
              <w:right w:w="53" w:type="dxa"/>
            </w:tcMar>
            <w:vAlign w:val="bottom"/>
          </w:tcPr>
          <w:p w14:paraId="019A3957" w14:textId="77777777" w:rsidR="00C56203" w:rsidRDefault="00CD5102">
            <w:pPr>
              <w:keepNext/>
              <w:spacing w:before="75" w:after="30"/>
              <w:ind w:left="225"/>
            </w:pPr>
            <w:r>
              <w:rPr>
                <w:color w:val="000000"/>
                <w:sz w:val="18"/>
              </w:rPr>
              <w:t>IT infrastructure investment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4967F59" w14:textId="77777777" w:rsidR="00C56203" w:rsidRDefault="00C56203">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6CA02A69" w14:textId="77777777" w:rsidR="00C56203" w:rsidRDefault="00CD5102">
            <w:pPr>
              <w:keepNext/>
              <w:tabs>
                <w:tab w:val="left" w:pos="872"/>
                <w:tab w:val="left" w:pos="1027"/>
              </w:tabs>
              <w:spacing w:before="75" w:after="30"/>
              <w:jc w:val="right"/>
            </w:pPr>
            <w:r>
              <w:rPr>
                <w:color w:val="000000"/>
                <w:sz w:val="18"/>
              </w:rPr>
              <w:tab/>
              <w:t>7</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787E283" w14:textId="77777777" w:rsidR="00C56203" w:rsidRDefault="00C56203">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13098E17" w14:textId="77777777" w:rsidR="00C56203" w:rsidRDefault="00CD5102">
            <w:pPr>
              <w:keepNext/>
              <w:tabs>
                <w:tab w:val="left" w:pos="872"/>
                <w:tab w:val="left" w:pos="1027"/>
              </w:tabs>
              <w:spacing w:before="75" w:after="30"/>
              <w:jc w:val="right"/>
            </w:pPr>
            <w:r>
              <w:rPr>
                <w:color w:val="000000"/>
                <w:sz w:val="18"/>
              </w:rPr>
              <w:tab/>
              <w:t>5</w:t>
            </w:r>
            <w:r>
              <w:rPr>
                <w:color w:val="000000"/>
                <w:sz w:val="18"/>
              </w:rPr>
              <w:tab/>
            </w:r>
          </w:p>
        </w:tc>
      </w:tr>
      <w:tr w:rsidR="00C56203" w14:paraId="7E770655" w14:textId="77777777">
        <w:trPr>
          <w:cantSplit/>
          <w:trHeight w:hRule="exact" w:val="285"/>
          <w:jc w:val="center"/>
        </w:trPr>
        <w:tc>
          <w:tcPr>
            <w:tcW w:w="7005" w:type="dxa"/>
            <w:tcBorders>
              <w:top w:val="nil"/>
              <w:left w:val="nil"/>
              <w:bottom w:val="nil"/>
              <w:right w:val="nil"/>
            </w:tcBorders>
            <w:shd w:val="clear" w:color="auto" w:fill="CCEEFF"/>
            <w:tcMar>
              <w:top w:w="0" w:type="dxa"/>
              <w:left w:w="53" w:type="dxa"/>
              <w:bottom w:w="0" w:type="dxa"/>
              <w:right w:w="53" w:type="dxa"/>
            </w:tcMar>
            <w:vAlign w:val="bottom"/>
          </w:tcPr>
          <w:p w14:paraId="47CA8CF5" w14:textId="77777777" w:rsidR="00C56203" w:rsidRDefault="00CD5102">
            <w:pPr>
              <w:keepNext/>
              <w:spacing w:before="75" w:after="30"/>
              <w:ind w:left="225"/>
            </w:pPr>
            <w:r>
              <w:rPr>
                <w:color w:val="000000"/>
                <w:sz w:val="18"/>
              </w:rPr>
              <w:t xml:space="preserve">Separation costs, </w:t>
            </w:r>
            <w:r>
              <w:rPr>
                <w:color w:val="000000"/>
                <w:sz w:val="18"/>
              </w:rPr>
              <w:t>separation-related costs, IPO costs and IPO-related costs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08E62F4" w14:textId="77777777" w:rsidR="00C56203" w:rsidRDefault="00C56203">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3176FD36" w14:textId="77777777" w:rsidR="00C56203" w:rsidRDefault="00CD5102">
            <w:pPr>
              <w:keepNext/>
              <w:tabs>
                <w:tab w:val="left" w:pos="872"/>
                <w:tab w:val="left" w:pos="1027"/>
              </w:tabs>
              <w:spacing w:before="75" w:after="30"/>
              <w:jc w:val="right"/>
            </w:pPr>
            <w:r>
              <w:rPr>
                <w:color w:val="000000"/>
                <w:sz w:val="18"/>
              </w:rPr>
              <w:tab/>
              <w:t>7</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CDCE0E7" w14:textId="77777777" w:rsidR="00C56203" w:rsidRDefault="00C56203">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0ACC10F" w14:textId="77777777" w:rsidR="00C56203" w:rsidRDefault="00CD5102">
            <w:pPr>
              <w:keepNext/>
              <w:tabs>
                <w:tab w:val="left" w:pos="782"/>
                <w:tab w:val="left" w:pos="1027"/>
              </w:tabs>
              <w:spacing w:before="75" w:after="30"/>
              <w:jc w:val="right"/>
            </w:pPr>
            <w:r>
              <w:rPr>
                <w:color w:val="000000"/>
                <w:sz w:val="18"/>
              </w:rPr>
              <w:tab/>
              <w:t>34</w:t>
            </w:r>
            <w:r>
              <w:rPr>
                <w:color w:val="000000"/>
                <w:sz w:val="18"/>
              </w:rPr>
              <w:tab/>
            </w:r>
          </w:p>
        </w:tc>
      </w:tr>
      <w:tr w:rsidR="00C56203" w14:paraId="56E98164" w14:textId="77777777">
        <w:trPr>
          <w:cantSplit/>
          <w:trHeight w:hRule="exact" w:val="285"/>
          <w:jc w:val="center"/>
        </w:trPr>
        <w:tc>
          <w:tcPr>
            <w:tcW w:w="7005" w:type="dxa"/>
            <w:tcBorders>
              <w:top w:val="nil"/>
              <w:left w:val="nil"/>
              <w:bottom w:val="nil"/>
              <w:right w:val="nil"/>
            </w:tcBorders>
            <w:shd w:val="clear" w:color="auto" w:fill="FFFFFF"/>
            <w:tcMar>
              <w:top w:w="0" w:type="dxa"/>
              <w:left w:w="53" w:type="dxa"/>
              <w:bottom w:w="0" w:type="dxa"/>
              <w:right w:w="53" w:type="dxa"/>
            </w:tcMar>
            <w:vAlign w:val="bottom"/>
          </w:tcPr>
          <w:p w14:paraId="373AD953" w14:textId="77777777" w:rsidR="00C56203" w:rsidRDefault="00CD5102">
            <w:pPr>
              <w:keepNext/>
              <w:spacing w:before="75" w:after="30"/>
              <w:ind w:left="225"/>
            </w:pPr>
            <w:r>
              <w:rPr>
                <w:color w:val="000000"/>
                <w:sz w:val="18"/>
              </w:rPr>
              <w:t>Legal and other professional fees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7B0207D" w14:textId="77777777" w:rsidR="00C56203" w:rsidRDefault="00C56203">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6ADB455B" w14:textId="77777777" w:rsidR="00C56203" w:rsidRDefault="00CD5102">
            <w:pPr>
              <w:keepNext/>
              <w:tabs>
                <w:tab w:val="left" w:pos="872"/>
                <w:tab w:val="left" w:pos="1027"/>
              </w:tabs>
              <w:spacing w:before="75" w:after="30"/>
              <w:jc w:val="right"/>
            </w:pPr>
            <w:r>
              <w:rPr>
                <w:color w:val="000000"/>
                <w:sz w:val="18"/>
              </w:rPr>
              <w:tab/>
              <w:t>3</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900AE1D" w14:textId="77777777" w:rsidR="00C56203" w:rsidRDefault="00C56203">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2A248AB1" w14:textId="77777777" w:rsidR="00C56203" w:rsidRDefault="00CD5102">
            <w:pPr>
              <w:keepNext/>
              <w:tabs>
                <w:tab w:val="left" w:pos="782"/>
                <w:tab w:val="left" w:pos="1027"/>
              </w:tabs>
              <w:spacing w:before="75" w:after="30"/>
              <w:jc w:val="right"/>
            </w:pPr>
            <w:r>
              <w:rPr>
                <w:color w:val="000000"/>
                <w:sz w:val="18"/>
              </w:rPr>
              <w:tab/>
              <w:t>15</w:t>
            </w:r>
            <w:r>
              <w:rPr>
                <w:color w:val="000000"/>
                <w:sz w:val="18"/>
              </w:rPr>
              <w:tab/>
            </w:r>
          </w:p>
        </w:tc>
      </w:tr>
      <w:tr w:rsidR="00C56203" w14:paraId="3CCF5026" w14:textId="77777777">
        <w:trPr>
          <w:cantSplit/>
          <w:trHeight w:hRule="exact" w:val="285"/>
          <w:jc w:val="center"/>
        </w:trPr>
        <w:tc>
          <w:tcPr>
            <w:tcW w:w="7005" w:type="dxa"/>
            <w:tcBorders>
              <w:top w:val="nil"/>
              <w:left w:val="nil"/>
              <w:bottom w:val="nil"/>
              <w:right w:val="nil"/>
            </w:tcBorders>
            <w:shd w:val="clear" w:color="auto" w:fill="CCEEFF"/>
            <w:tcMar>
              <w:top w:w="0" w:type="dxa"/>
              <w:left w:w="53" w:type="dxa"/>
              <w:bottom w:w="0" w:type="dxa"/>
              <w:right w:w="53" w:type="dxa"/>
            </w:tcMar>
            <w:vAlign w:val="bottom"/>
          </w:tcPr>
          <w:p w14:paraId="5715B20B" w14:textId="77777777" w:rsidR="00C56203" w:rsidRDefault="00CD5102">
            <w:pPr>
              <w:keepNext/>
              <w:spacing w:before="75" w:after="30"/>
              <w:ind w:left="225"/>
            </w:pPr>
            <w:r>
              <w:rPr>
                <w:color w:val="000000"/>
                <w:sz w:val="18"/>
              </w:rPr>
              <w:t>Litigation and other matters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65C2C3B" w14:textId="77777777" w:rsidR="00C56203" w:rsidRDefault="00C56203">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4919C446" w14:textId="77777777" w:rsidR="00C56203" w:rsidRDefault="00CD5102">
            <w:pPr>
              <w:keepNext/>
              <w:tabs>
                <w:tab w:val="left" w:pos="792"/>
                <w:tab w:val="left" w:pos="1007"/>
              </w:tabs>
              <w:spacing w:before="75" w:after="30"/>
              <w:jc w:val="right"/>
            </w:pPr>
            <w:r>
              <w:rPr>
                <w:color w:val="000000"/>
                <w:sz w:val="18"/>
              </w:rPr>
              <w:tab/>
              <w:t>(8)</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14:paraId="7C8BA08C" w14:textId="77777777" w:rsidR="00C56203" w:rsidRDefault="00C56203">
            <w:pPr>
              <w:keepNext/>
              <w:spacing w:before="75" w:after="30"/>
              <w:jc w:val="righ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139B0303" w14:textId="77777777" w:rsidR="00C56203" w:rsidRDefault="00CD5102">
            <w:pPr>
              <w:keepNext/>
              <w:tabs>
                <w:tab w:val="left" w:pos="792"/>
                <w:tab w:val="left" w:pos="1007"/>
              </w:tabs>
              <w:spacing w:before="75" w:after="30"/>
              <w:jc w:val="right"/>
            </w:pPr>
            <w:r>
              <w:rPr>
                <w:color w:val="000000"/>
                <w:sz w:val="18"/>
              </w:rPr>
              <w:tab/>
              <w:t>(1)</w:t>
            </w:r>
            <w:r>
              <w:rPr>
                <w:color w:val="000000"/>
                <w:sz w:val="18"/>
              </w:rPr>
              <w:tab/>
            </w:r>
          </w:p>
        </w:tc>
      </w:tr>
      <w:tr w:rsidR="00C56203" w14:paraId="45D151EA" w14:textId="77777777">
        <w:trPr>
          <w:cantSplit/>
          <w:trHeight w:hRule="exact" w:val="285"/>
          <w:jc w:val="center"/>
        </w:trPr>
        <w:tc>
          <w:tcPr>
            <w:tcW w:w="7005" w:type="dxa"/>
            <w:tcBorders>
              <w:top w:val="nil"/>
              <w:left w:val="nil"/>
              <w:bottom w:val="nil"/>
              <w:right w:val="nil"/>
            </w:tcBorders>
            <w:shd w:val="clear" w:color="auto" w:fill="FFFFFF"/>
            <w:tcMar>
              <w:top w:w="0" w:type="dxa"/>
              <w:left w:w="53" w:type="dxa"/>
              <w:bottom w:w="0" w:type="dxa"/>
              <w:right w:w="53" w:type="dxa"/>
            </w:tcMar>
            <w:vAlign w:val="bottom"/>
          </w:tcPr>
          <w:p w14:paraId="78429546" w14:textId="77777777" w:rsidR="00C56203" w:rsidRDefault="00CD5102">
            <w:pPr>
              <w:keepNext/>
              <w:spacing w:before="75" w:after="30"/>
              <w:ind w:left="225"/>
            </w:pPr>
            <w:r>
              <w:rPr>
                <w:color w:val="000000"/>
                <w:sz w:val="18"/>
              </w:rPr>
              <w:t>Other</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D65859B" w14:textId="77777777" w:rsidR="00C56203" w:rsidRDefault="00C56203">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2AC369CB" w14:textId="77777777" w:rsidR="00C56203" w:rsidRDefault="00CD5102">
            <w:pPr>
              <w:keepNext/>
              <w:tabs>
                <w:tab w:val="left" w:pos="782"/>
                <w:tab w:val="left" w:pos="1027"/>
              </w:tabs>
              <w:spacing w:before="7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5BE6C76" w14:textId="77777777" w:rsidR="00C56203" w:rsidRDefault="00C56203">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1553AAEF" w14:textId="77777777" w:rsidR="00C56203" w:rsidRDefault="00CD5102">
            <w:pPr>
              <w:keepNext/>
              <w:tabs>
                <w:tab w:val="left" w:pos="872"/>
                <w:tab w:val="left" w:pos="1027"/>
              </w:tabs>
              <w:spacing w:before="75" w:after="30"/>
              <w:jc w:val="right"/>
            </w:pPr>
            <w:r>
              <w:rPr>
                <w:color w:val="000000"/>
                <w:sz w:val="18"/>
              </w:rPr>
              <w:tab/>
              <w:t>6</w:t>
            </w:r>
            <w:r>
              <w:rPr>
                <w:color w:val="000000"/>
                <w:sz w:val="18"/>
              </w:rPr>
              <w:tab/>
            </w:r>
          </w:p>
        </w:tc>
      </w:tr>
      <w:tr w:rsidR="00C56203" w14:paraId="6DF2CDC7" w14:textId="77777777">
        <w:trPr>
          <w:cantSplit/>
          <w:trHeight w:hRule="exact" w:val="285"/>
          <w:jc w:val="center"/>
        </w:trPr>
        <w:tc>
          <w:tcPr>
            <w:tcW w:w="7005" w:type="dxa"/>
            <w:tcBorders>
              <w:top w:val="nil"/>
              <w:left w:val="nil"/>
              <w:bottom w:val="nil"/>
              <w:right w:val="nil"/>
            </w:tcBorders>
            <w:shd w:val="clear" w:color="auto" w:fill="CCEEFF"/>
            <w:tcMar>
              <w:top w:w="0" w:type="dxa"/>
              <w:left w:w="53" w:type="dxa"/>
              <w:bottom w:w="0" w:type="dxa"/>
              <w:right w:w="53" w:type="dxa"/>
            </w:tcMar>
            <w:vAlign w:val="bottom"/>
          </w:tcPr>
          <w:p w14:paraId="0A40559A" w14:textId="77777777" w:rsidR="00C56203" w:rsidRDefault="00CD5102">
            <w:pPr>
              <w:keepNext/>
              <w:spacing w:before="75" w:after="30"/>
              <w:ind w:left="225"/>
            </w:pPr>
            <w:r>
              <w:rPr>
                <w:color w:val="000000"/>
                <w:sz w:val="18"/>
              </w:rPr>
              <w:t>Tax effect of non-GAAP adjustments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120B562" w14:textId="77777777" w:rsidR="00C56203" w:rsidRDefault="00C56203">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EDB5289" w14:textId="77777777" w:rsidR="00C56203" w:rsidRDefault="00CD5102">
            <w:pPr>
              <w:keepNext/>
              <w:tabs>
                <w:tab w:val="left" w:pos="782"/>
                <w:tab w:val="left" w:pos="1027"/>
              </w:tabs>
              <w:spacing w:before="75" w:after="30"/>
              <w:jc w:val="right"/>
            </w:pPr>
            <w:r>
              <w:rPr>
                <w:color w:val="000000"/>
                <w:sz w:val="18"/>
              </w:rPr>
              <w:tab/>
              <w:t>49</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EFA14C0" w14:textId="77777777" w:rsidR="00C56203" w:rsidRDefault="00C56203">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AFB18C9" w14:textId="77777777" w:rsidR="00C56203" w:rsidRDefault="00CD5102">
            <w:pPr>
              <w:keepNext/>
              <w:tabs>
                <w:tab w:val="left" w:pos="702"/>
                <w:tab w:val="left" w:pos="1007"/>
              </w:tabs>
              <w:spacing w:before="75" w:after="30"/>
              <w:jc w:val="right"/>
            </w:pPr>
            <w:r>
              <w:rPr>
                <w:color w:val="000000"/>
                <w:sz w:val="18"/>
              </w:rPr>
              <w:tab/>
              <w:t>(51)</w:t>
            </w:r>
            <w:r>
              <w:rPr>
                <w:color w:val="000000"/>
                <w:sz w:val="18"/>
              </w:rPr>
              <w:tab/>
            </w:r>
          </w:p>
        </w:tc>
      </w:tr>
      <w:tr w:rsidR="00C56203" w14:paraId="5FCEC959" w14:textId="77777777">
        <w:trPr>
          <w:cantSplit/>
          <w:trHeight w:hRule="exact" w:val="285"/>
          <w:jc w:val="center"/>
        </w:trPr>
        <w:tc>
          <w:tcPr>
            <w:tcW w:w="7005" w:type="dxa"/>
            <w:tcBorders>
              <w:top w:val="nil"/>
              <w:left w:val="nil"/>
              <w:bottom w:val="nil"/>
              <w:right w:val="nil"/>
            </w:tcBorders>
            <w:shd w:val="clear" w:color="auto" w:fill="FFFFFF"/>
            <w:tcMar>
              <w:top w:w="0" w:type="dxa"/>
              <w:left w:w="53" w:type="dxa"/>
              <w:bottom w:w="0" w:type="dxa"/>
              <w:right w:w="53" w:type="dxa"/>
            </w:tcMar>
            <w:vAlign w:val="bottom"/>
          </w:tcPr>
          <w:p w14:paraId="16CD47AD" w14:textId="77777777" w:rsidR="00C56203" w:rsidRDefault="00CD5102">
            <w:pPr>
              <w:keepNext/>
              <w:spacing w:before="55" w:after="30"/>
              <w:ind w:left="135"/>
            </w:pPr>
            <w:r>
              <w:rPr>
                <w:color w:val="000000"/>
                <w:sz w:val="18"/>
              </w:rPr>
              <w:t xml:space="preserve">Total non-GAAP </w:t>
            </w:r>
            <w:r>
              <w:rPr>
                <w:color w:val="000000"/>
                <w:sz w:val="18"/>
              </w:rPr>
              <w:t>adjustments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C437F67" w14:textId="77777777" w:rsidR="00C56203" w:rsidRDefault="00C56203">
            <w:pPr>
              <w:keepNex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247B7E2B" w14:textId="77777777" w:rsidR="00C56203" w:rsidRDefault="00CD5102">
            <w:pPr>
              <w:keepNext/>
              <w:tabs>
                <w:tab w:val="left" w:pos="692"/>
                <w:tab w:val="left" w:pos="1027"/>
              </w:tabs>
              <w:spacing w:before="55" w:after="30"/>
              <w:jc w:val="right"/>
            </w:pPr>
            <w:r>
              <w:rPr>
                <w:color w:val="000000"/>
                <w:sz w:val="18"/>
              </w:rPr>
              <w:tab/>
              <w:t>402</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0A3F2BE" w14:textId="77777777" w:rsidR="00C56203" w:rsidRDefault="00C56203">
            <w:pPr>
              <w:keepNex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1CA42291" w14:textId="77777777" w:rsidR="00C56203" w:rsidRDefault="00CD5102">
            <w:pPr>
              <w:keepNext/>
              <w:tabs>
                <w:tab w:val="left" w:pos="692"/>
                <w:tab w:val="left" w:pos="1027"/>
              </w:tabs>
              <w:spacing w:before="55" w:after="30"/>
              <w:jc w:val="right"/>
            </w:pPr>
            <w:r>
              <w:rPr>
                <w:color w:val="000000"/>
                <w:sz w:val="18"/>
              </w:rPr>
              <w:tab/>
              <w:t>332</w:t>
            </w:r>
            <w:r>
              <w:rPr>
                <w:color w:val="000000"/>
                <w:sz w:val="18"/>
              </w:rPr>
              <w:tab/>
            </w:r>
          </w:p>
        </w:tc>
      </w:tr>
      <w:tr w:rsidR="00C56203" w14:paraId="4B334686" w14:textId="77777777">
        <w:trPr>
          <w:cantSplit/>
          <w:trHeight w:hRule="exact" w:val="285"/>
          <w:jc w:val="center"/>
        </w:trPr>
        <w:tc>
          <w:tcPr>
            <w:tcW w:w="7005" w:type="dxa"/>
            <w:tcBorders>
              <w:top w:val="nil"/>
              <w:left w:val="nil"/>
              <w:bottom w:val="nil"/>
              <w:right w:val="nil"/>
            </w:tcBorders>
            <w:shd w:val="clear" w:color="auto" w:fill="CCEEFF"/>
            <w:tcMar>
              <w:top w:w="0" w:type="dxa"/>
              <w:left w:w="53" w:type="dxa"/>
              <w:bottom w:w="0" w:type="dxa"/>
              <w:right w:w="53" w:type="dxa"/>
            </w:tcMar>
            <w:vAlign w:val="bottom"/>
          </w:tcPr>
          <w:p w14:paraId="1B0F4FC6" w14:textId="77777777" w:rsidR="00C56203" w:rsidRDefault="00CD5102">
            <w:pPr>
              <w:keepNext/>
              <w:spacing w:before="55" w:after="30"/>
              <w:ind w:left="270" w:hanging="270"/>
            </w:pPr>
            <w:r>
              <w:rPr>
                <w:b/>
                <w:color w:val="000000"/>
                <w:sz w:val="18"/>
              </w:rPr>
              <w:t>Adjusted net income (non-GAAP)</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5741CBF" w14:textId="77777777" w:rsidR="00C56203" w:rsidRDefault="00C56203">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27F9F9B" w14:textId="77777777" w:rsidR="00C56203" w:rsidRDefault="00CD5102">
            <w:pPr>
              <w:keepNext/>
              <w:tabs>
                <w:tab w:val="left" w:pos="692"/>
                <w:tab w:val="left" w:pos="1027"/>
              </w:tabs>
              <w:spacing w:before="55" w:after="30"/>
              <w:jc w:val="right"/>
            </w:pPr>
            <w:r>
              <w:rPr>
                <w:b/>
                <w:color w:val="000000"/>
                <w:sz w:val="18"/>
              </w:rPr>
              <w:tab/>
              <w:t>193</w:t>
            </w:r>
            <w:r>
              <w:rPr>
                <w:b/>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51ADD71" w14:textId="77777777" w:rsidR="00C56203" w:rsidRDefault="00C56203">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2AE139D" w14:textId="77777777" w:rsidR="00C56203" w:rsidRDefault="00CD5102">
            <w:pPr>
              <w:keepNext/>
              <w:tabs>
                <w:tab w:val="left" w:pos="692"/>
                <w:tab w:val="left" w:pos="1027"/>
              </w:tabs>
              <w:spacing w:before="55" w:after="30"/>
              <w:jc w:val="right"/>
            </w:pPr>
            <w:r>
              <w:rPr>
                <w:b/>
                <w:color w:val="000000"/>
                <w:sz w:val="18"/>
              </w:rPr>
              <w:tab/>
              <w:t>266</w:t>
            </w:r>
            <w:r>
              <w:rPr>
                <w:b/>
                <w:color w:val="000000"/>
                <w:sz w:val="18"/>
              </w:rPr>
              <w:tab/>
            </w:r>
          </w:p>
        </w:tc>
      </w:tr>
      <w:tr w:rsidR="00C56203" w14:paraId="3AB25E1F" w14:textId="77777777">
        <w:trPr>
          <w:cantSplit/>
          <w:trHeight w:hRule="exact" w:val="285"/>
          <w:jc w:val="center"/>
        </w:trPr>
        <w:tc>
          <w:tcPr>
            <w:tcW w:w="7005" w:type="dxa"/>
            <w:tcBorders>
              <w:top w:val="nil"/>
              <w:left w:val="nil"/>
              <w:bottom w:val="nil"/>
              <w:right w:val="nil"/>
            </w:tcBorders>
            <w:shd w:val="clear" w:color="auto" w:fill="FFFFFF"/>
            <w:tcMar>
              <w:top w:w="0" w:type="dxa"/>
              <w:left w:w="53" w:type="dxa"/>
              <w:bottom w:w="0" w:type="dxa"/>
              <w:right w:w="53" w:type="dxa"/>
            </w:tcMar>
            <w:vAlign w:val="bottom"/>
          </w:tcPr>
          <w:p w14:paraId="09257061" w14:textId="77777777" w:rsidR="00C56203" w:rsidRDefault="00CD5102">
            <w:pPr>
              <w:keepNext/>
              <w:spacing w:before="75" w:after="30"/>
              <w:ind w:left="105"/>
            </w:pPr>
            <w:r>
              <w:rPr>
                <w:color w:val="000000"/>
                <w:sz w:val="18"/>
              </w:rPr>
              <w:t>Adjusted net income attributable to noncontrolling interest (non-GAAP)</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C54E9B7" w14:textId="77777777" w:rsidR="00C56203" w:rsidRDefault="00C56203">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096FF53" w14:textId="77777777" w:rsidR="00C56203" w:rsidRDefault="00CD5102">
            <w:pPr>
              <w:keepNext/>
              <w:tabs>
                <w:tab w:val="left" w:pos="792"/>
                <w:tab w:val="left" w:pos="1007"/>
              </w:tabs>
              <w:spacing w:before="75" w:after="30"/>
              <w:jc w:val="right"/>
            </w:pPr>
            <w:r>
              <w:rPr>
                <w:color w:val="000000"/>
                <w:sz w:val="18"/>
              </w:rPr>
              <w:tab/>
              <w:t>(2)</w:t>
            </w:r>
            <w:r>
              <w:rPr>
                <w:color w:val="000000"/>
                <w:sz w:val="18"/>
              </w:rPr>
              <w:tab/>
            </w: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1BCDF815" w14:textId="77777777" w:rsidR="00C56203" w:rsidRDefault="00C56203">
            <w:pPr>
              <w:keepNext/>
              <w:spacing w:before="75" w:after="30"/>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7B30ACE" w14:textId="77777777" w:rsidR="00C56203" w:rsidRDefault="00CD5102">
            <w:pPr>
              <w:keepNext/>
              <w:tabs>
                <w:tab w:val="left" w:pos="792"/>
                <w:tab w:val="left" w:pos="1007"/>
              </w:tabs>
              <w:spacing w:before="75" w:after="30"/>
              <w:jc w:val="right"/>
            </w:pPr>
            <w:r>
              <w:rPr>
                <w:color w:val="000000"/>
                <w:sz w:val="18"/>
              </w:rPr>
              <w:tab/>
              <w:t>(3)</w:t>
            </w:r>
            <w:r>
              <w:rPr>
                <w:color w:val="000000"/>
                <w:sz w:val="18"/>
              </w:rPr>
              <w:tab/>
            </w:r>
          </w:p>
        </w:tc>
      </w:tr>
      <w:tr w:rsidR="00C56203" w14:paraId="4312CE07" w14:textId="77777777">
        <w:trPr>
          <w:cantSplit/>
          <w:trHeight w:hRule="exact" w:val="285"/>
          <w:jc w:val="center"/>
        </w:trPr>
        <w:tc>
          <w:tcPr>
            <w:tcW w:w="7005" w:type="dxa"/>
            <w:tcBorders>
              <w:top w:val="nil"/>
              <w:left w:val="nil"/>
              <w:bottom w:val="nil"/>
              <w:right w:val="nil"/>
            </w:tcBorders>
            <w:shd w:val="clear" w:color="auto" w:fill="CCEEFF"/>
            <w:tcMar>
              <w:top w:w="0" w:type="dxa"/>
              <w:left w:w="53" w:type="dxa"/>
              <w:bottom w:w="0" w:type="dxa"/>
              <w:right w:w="53" w:type="dxa"/>
            </w:tcMar>
            <w:vAlign w:val="bottom"/>
          </w:tcPr>
          <w:p w14:paraId="67D1AA92" w14:textId="77777777" w:rsidR="00C56203" w:rsidRDefault="00CD5102">
            <w:pPr>
              <w:spacing w:before="55" w:after="30"/>
              <w:ind w:left="270" w:hanging="270"/>
            </w:pPr>
            <w:r>
              <w:rPr>
                <w:b/>
                <w:color w:val="000000"/>
                <w:sz w:val="18"/>
              </w:rPr>
              <w:t>Adjusted net income attributable to Bausch Health Companies Inc. (non-GAAP)</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1897EAC" w14:textId="77777777" w:rsidR="00C56203" w:rsidRDefault="00C56203"/>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42CD924E" w14:textId="77777777" w:rsidR="00C56203" w:rsidRDefault="00CD5102">
            <w:pPr>
              <w:tabs>
                <w:tab w:val="left" w:pos="692"/>
                <w:tab w:val="left" w:pos="1027"/>
              </w:tabs>
              <w:spacing w:before="55" w:after="30"/>
              <w:jc w:val="right"/>
            </w:pPr>
            <w:r>
              <w:rPr>
                <w:b/>
                <w:color w:val="000000"/>
                <w:sz w:val="18"/>
              </w:rPr>
              <w:t>$</w:t>
            </w:r>
            <w:r>
              <w:rPr>
                <w:b/>
                <w:color w:val="000000"/>
                <w:sz w:val="18"/>
              </w:rPr>
              <w:tab/>
              <w:t>191</w:t>
            </w:r>
            <w:r>
              <w:rPr>
                <w:b/>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372A40F" w14:textId="77777777" w:rsidR="00C56203" w:rsidRDefault="00C56203"/>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400CB89A" w14:textId="77777777" w:rsidR="00C56203" w:rsidRDefault="00CD5102">
            <w:pPr>
              <w:tabs>
                <w:tab w:val="left" w:pos="692"/>
                <w:tab w:val="left" w:pos="1027"/>
              </w:tabs>
              <w:spacing w:before="55" w:after="30"/>
              <w:jc w:val="right"/>
            </w:pPr>
            <w:r>
              <w:rPr>
                <w:b/>
                <w:color w:val="000000"/>
                <w:sz w:val="18"/>
              </w:rPr>
              <w:t>$</w:t>
            </w:r>
            <w:r>
              <w:rPr>
                <w:b/>
                <w:color w:val="000000"/>
                <w:sz w:val="18"/>
              </w:rPr>
              <w:tab/>
              <w:t>263</w:t>
            </w:r>
            <w:r>
              <w:rPr>
                <w:b/>
                <w:color w:val="000000"/>
                <w:sz w:val="18"/>
              </w:rPr>
              <w:tab/>
            </w:r>
          </w:p>
        </w:tc>
      </w:tr>
    </w:tbl>
    <w:p w14:paraId="4376B377" w14:textId="77777777" w:rsidR="00C56203" w:rsidRDefault="00CD5102">
      <w:pPr>
        <w:spacing w:before="120" w:line="288" w:lineRule="auto"/>
        <w:ind w:left="270" w:hanging="270"/>
        <w:jc w:val="both"/>
        <w:rPr>
          <w:sz w:val="17"/>
        </w:rPr>
      </w:pPr>
      <w:r>
        <w:rPr>
          <w:sz w:val="17"/>
        </w:rPr>
        <w:t>(a) The components of and further details respecting each of these non-GAAP adjustments and the financial statement line item to which each component relates can be found on Table 2a.</w:t>
      </w:r>
    </w:p>
    <w:p w14:paraId="3BCFBCAA" w14:textId="77777777" w:rsidR="00C56203" w:rsidRDefault="00C56203">
      <w:pPr>
        <w:pageBreakBefore/>
        <w:spacing w:line="288" w:lineRule="auto"/>
        <w:ind w:left="270" w:hanging="270"/>
        <w:jc w:val="both"/>
        <w:rPr>
          <w:sz w:val="18"/>
        </w:rPr>
      </w:pP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2"/>
        <w:gridCol w:w="75"/>
        <w:gridCol w:w="896"/>
        <w:gridCol w:w="126"/>
        <w:gridCol w:w="896"/>
      </w:tblGrid>
      <w:tr w:rsidR="00C56203" w14:paraId="49B339DD" w14:textId="77777777">
        <w:trPr>
          <w:cantSplit/>
          <w:trHeight w:hRule="exact" w:val="285"/>
        </w:trPr>
        <w:tc>
          <w:tcPr>
            <w:tcW w:w="7995" w:type="dxa"/>
            <w:tcBorders>
              <w:top w:val="nil"/>
              <w:left w:val="nil"/>
              <w:bottom w:val="nil"/>
              <w:right w:val="nil"/>
            </w:tcBorders>
            <w:tcMar>
              <w:top w:w="0" w:type="dxa"/>
              <w:left w:w="53" w:type="dxa"/>
              <w:bottom w:w="0" w:type="dxa"/>
              <w:right w:w="53" w:type="dxa"/>
            </w:tcMar>
            <w:vAlign w:val="bottom"/>
          </w:tcPr>
          <w:p w14:paraId="2B8596D5" w14:textId="77777777" w:rsidR="00C56203" w:rsidRDefault="00CD5102">
            <w:pPr>
              <w:keepNext/>
              <w:spacing w:before="75" w:after="30"/>
            </w:pPr>
            <w:r>
              <w:rPr>
                <w:b/>
                <w:color w:val="000000"/>
                <w:sz w:val="18"/>
              </w:rPr>
              <w:t>Bausch Health Companies Inc.</w:t>
            </w:r>
          </w:p>
        </w:tc>
        <w:tc>
          <w:tcPr>
            <w:tcW w:w="75" w:type="dxa"/>
            <w:tcBorders>
              <w:top w:val="nil"/>
              <w:left w:val="nil"/>
              <w:bottom w:val="nil"/>
              <w:right w:val="nil"/>
            </w:tcBorders>
            <w:tcMar>
              <w:top w:w="0" w:type="dxa"/>
              <w:left w:w="0" w:type="dxa"/>
              <w:bottom w:w="0" w:type="dxa"/>
              <w:right w:w="0" w:type="dxa"/>
            </w:tcMar>
            <w:vAlign w:val="bottom"/>
          </w:tcPr>
          <w:p w14:paraId="3EF83163" w14:textId="77777777" w:rsidR="00C56203" w:rsidRDefault="00C56203">
            <w:pPr>
              <w:keepNext/>
            </w:pPr>
          </w:p>
        </w:tc>
        <w:tc>
          <w:tcPr>
            <w:tcW w:w="1875" w:type="dxa"/>
            <w:gridSpan w:val="3"/>
            <w:tcBorders>
              <w:top w:val="nil"/>
              <w:left w:val="nil"/>
              <w:bottom w:val="nil"/>
              <w:right w:val="nil"/>
            </w:tcBorders>
            <w:tcMar>
              <w:top w:w="0" w:type="dxa"/>
              <w:left w:w="0" w:type="dxa"/>
              <w:bottom w:w="0" w:type="dxa"/>
              <w:right w:w="53" w:type="dxa"/>
            </w:tcMar>
            <w:vAlign w:val="bottom"/>
          </w:tcPr>
          <w:p w14:paraId="528B6BCB" w14:textId="77777777" w:rsidR="00C56203" w:rsidRDefault="00CD5102">
            <w:pPr>
              <w:keepNext/>
              <w:spacing w:before="75" w:after="30"/>
              <w:jc w:val="right"/>
            </w:pPr>
            <w:r>
              <w:rPr>
                <w:b/>
                <w:color w:val="000000"/>
                <w:sz w:val="18"/>
              </w:rPr>
              <w:t>Table 2a</w:t>
            </w:r>
          </w:p>
        </w:tc>
      </w:tr>
      <w:tr w:rsidR="00C56203" w14:paraId="044AF6F7" w14:textId="77777777">
        <w:trPr>
          <w:cantSplit/>
          <w:trHeight w:hRule="exact" w:val="285"/>
        </w:trPr>
        <w:tc>
          <w:tcPr>
            <w:tcW w:w="7995" w:type="dxa"/>
            <w:tcBorders>
              <w:top w:val="nil"/>
              <w:left w:val="nil"/>
              <w:bottom w:val="nil"/>
              <w:right w:val="nil"/>
            </w:tcBorders>
            <w:tcMar>
              <w:top w:w="0" w:type="dxa"/>
              <w:left w:w="53" w:type="dxa"/>
              <w:bottom w:w="0" w:type="dxa"/>
              <w:right w:w="53" w:type="dxa"/>
            </w:tcMar>
            <w:vAlign w:val="bottom"/>
          </w:tcPr>
          <w:p w14:paraId="7BBFBB6F" w14:textId="77777777" w:rsidR="00C56203" w:rsidRDefault="00CD5102">
            <w:pPr>
              <w:keepNext/>
              <w:spacing w:before="75" w:after="30"/>
            </w:pPr>
            <w:r>
              <w:rPr>
                <w:b/>
                <w:color w:val="000000"/>
                <w:sz w:val="18"/>
              </w:rPr>
              <w:t xml:space="preserve">Reconciliation of GAAP to </w:t>
            </w:r>
            <w:r>
              <w:rPr>
                <w:b/>
                <w:color w:val="000000"/>
                <w:sz w:val="18"/>
              </w:rPr>
              <w:t>Non-GAAP Financial Information</w:t>
            </w:r>
          </w:p>
        </w:tc>
        <w:tc>
          <w:tcPr>
            <w:tcW w:w="75" w:type="dxa"/>
            <w:tcBorders>
              <w:top w:val="nil"/>
              <w:left w:val="nil"/>
              <w:bottom w:val="nil"/>
              <w:right w:val="nil"/>
            </w:tcBorders>
            <w:tcMar>
              <w:top w:w="0" w:type="dxa"/>
              <w:left w:w="0" w:type="dxa"/>
              <w:bottom w:w="0" w:type="dxa"/>
              <w:right w:w="0" w:type="dxa"/>
            </w:tcMar>
            <w:vAlign w:val="bottom"/>
          </w:tcPr>
          <w:p w14:paraId="05867D99" w14:textId="77777777" w:rsidR="00C56203" w:rsidRDefault="00C56203">
            <w:pPr>
              <w:keepNext/>
            </w:pPr>
          </w:p>
        </w:tc>
        <w:tc>
          <w:tcPr>
            <w:tcW w:w="900" w:type="dxa"/>
            <w:tcBorders>
              <w:top w:val="nil"/>
              <w:left w:val="nil"/>
              <w:bottom w:val="nil"/>
              <w:right w:val="nil"/>
            </w:tcBorders>
            <w:tcMar>
              <w:top w:w="0" w:type="dxa"/>
              <w:left w:w="0" w:type="dxa"/>
              <w:bottom w:w="0" w:type="dxa"/>
              <w:right w:w="0" w:type="dxa"/>
            </w:tcMar>
            <w:vAlign w:val="bottom"/>
          </w:tcPr>
          <w:p w14:paraId="138D1C32"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277F53D3" w14:textId="77777777" w:rsidR="00C56203" w:rsidRDefault="00C56203">
            <w:pPr>
              <w:keepNext/>
            </w:pPr>
          </w:p>
        </w:tc>
        <w:tc>
          <w:tcPr>
            <w:tcW w:w="900" w:type="dxa"/>
            <w:tcBorders>
              <w:top w:val="nil"/>
              <w:left w:val="nil"/>
              <w:bottom w:val="nil"/>
              <w:right w:val="nil"/>
            </w:tcBorders>
            <w:tcMar>
              <w:top w:w="0" w:type="dxa"/>
              <w:left w:w="0" w:type="dxa"/>
              <w:bottom w:w="0" w:type="dxa"/>
              <w:right w:w="0" w:type="dxa"/>
            </w:tcMar>
            <w:vAlign w:val="bottom"/>
          </w:tcPr>
          <w:p w14:paraId="5ABF9F31" w14:textId="77777777" w:rsidR="00C56203" w:rsidRDefault="00C56203">
            <w:pPr>
              <w:keepNext/>
            </w:pPr>
          </w:p>
        </w:tc>
      </w:tr>
      <w:tr w:rsidR="00C56203" w14:paraId="2EA1710D" w14:textId="77777777">
        <w:trPr>
          <w:cantSplit/>
          <w:trHeight w:hRule="exact" w:val="285"/>
        </w:trPr>
        <w:tc>
          <w:tcPr>
            <w:tcW w:w="7995" w:type="dxa"/>
            <w:tcBorders>
              <w:top w:val="nil"/>
              <w:left w:val="nil"/>
              <w:bottom w:val="nil"/>
              <w:right w:val="nil"/>
            </w:tcBorders>
            <w:tcMar>
              <w:top w:w="0" w:type="dxa"/>
              <w:left w:w="53" w:type="dxa"/>
              <w:bottom w:w="0" w:type="dxa"/>
              <w:right w:w="53" w:type="dxa"/>
            </w:tcMar>
            <w:vAlign w:val="bottom"/>
          </w:tcPr>
          <w:p w14:paraId="4AF1253E" w14:textId="77777777" w:rsidR="00C56203" w:rsidRDefault="00CD5102">
            <w:pPr>
              <w:keepNext/>
              <w:spacing w:before="75" w:after="30"/>
            </w:pPr>
            <w:r>
              <w:rPr>
                <w:b/>
                <w:color w:val="000000"/>
                <w:sz w:val="18"/>
              </w:rPr>
              <w:t>For the Three Months Ended March 31, 2023 and 2022</w:t>
            </w:r>
          </w:p>
        </w:tc>
        <w:tc>
          <w:tcPr>
            <w:tcW w:w="75" w:type="dxa"/>
            <w:tcBorders>
              <w:top w:val="nil"/>
              <w:left w:val="nil"/>
              <w:bottom w:val="nil"/>
              <w:right w:val="nil"/>
            </w:tcBorders>
            <w:tcMar>
              <w:top w:w="0" w:type="dxa"/>
              <w:left w:w="0" w:type="dxa"/>
              <w:bottom w:w="0" w:type="dxa"/>
              <w:right w:w="0" w:type="dxa"/>
            </w:tcMar>
            <w:vAlign w:val="bottom"/>
          </w:tcPr>
          <w:p w14:paraId="202E8841" w14:textId="77777777" w:rsidR="00C56203" w:rsidRDefault="00C56203">
            <w:pPr>
              <w:keepNext/>
            </w:pPr>
          </w:p>
        </w:tc>
        <w:tc>
          <w:tcPr>
            <w:tcW w:w="900" w:type="dxa"/>
            <w:tcBorders>
              <w:top w:val="nil"/>
              <w:left w:val="nil"/>
              <w:bottom w:val="nil"/>
              <w:right w:val="nil"/>
            </w:tcBorders>
            <w:tcMar>
              <w:top w:w="0" w:type="dxa"/>
              <w:left w:w="0" w:type="dxa"/>
              <w:bottom w:w="0" w:type="dxa"/>
              <w:right w:w="0" w:type="dxa"/>
            </w:tcMar>
            <w:vAlign w:val="bottom"/>
          </w:tcPr>
          <w:p w14:paraId="342DD917"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5DEE1907" w14:textId="77777777" w:rsidR="00C56203" w:rsidRDefault="00C56203">
            <w:pPr>
              <w:keepNext/>
            </w:pPr>
          </w:p>
        </w:tc>
        <w:tc>
          <w:tcPr>
            <w:tcW w:w="900" w:type="dxa"/>
            <w:tcBorders>
              <w:top w:val="nil"/>
              <w:left w:val="nil"/>
              <w:bottom w:val="nil"/>
              <w:right w:val="nil"/>
            </w:tcBorders>
            <w:tcMar>
              <w:top w:w="0" w:type="dxa"/>
              <w:left w:w="0" w:type="dxa"/>
              <w:bottom w:w="0" w:type="dxa"/>
              <w:right w:w="0" w:type="dxa"/>
            </w:tcMar>
            <w:vAlign w:val="bottom"/>
          </w:tcPr>
          <w:p w14:paraId="1242FAEF" w14:textId="77777777" w:rsidR="00C56203" w:rsidRDefault="00C56203">
            <w:pPr>
              <w:keepNext/>
            </w:pPr>
          </w:p>
        </w:tc>
      </w:tr>
      <w:tr w:rsidR="00C56203" w14:paraId="6414F957" w14:textId="77777777">
        <w:trPr>
          <w:cantSplit/>
          <w:trHeight w:hRule="exact" w:val="285"/>
        </w:trPr>
        <w:tc>
          <w:tcPr>
            <w:tcW w:w="7995" w:type="dxa"/>
            <w:tcBorders>
              <w:top w:val="nil"/>
              <w:left w:val="nil"/>
              <w:bottom w:val="nil"/>
              <w:right w:val="nil"/>
            </w:tcBorders>
            <w:tcMar>
              <w:top w:w="0" w:type="dxa"/>
              <w:left w:w="53" w:type="dxa"/>
              <w:bottom w:w="0" w:type="dxa"/>
              <w:right w:w="53" w:type="dxa"/>
            </w:tcMar>
            <w:vAlign w:val="bottom"/>
          </w:tcPr>
          <w:p w14:paraId="027ACB7B" w14:textId="77777777" w:rsidR="00C56203" w:rsidRDefault="00CD5102">
            <w:pPr>
              <w:keepNext/>
              <w:spacing w:before="75" w:after="30"/>
            </w:pPr>
            <w:r>
              <w:rPr>
                <w:b/>
                <w:color w:val="000000"/>
                <w:sz w:val="18"/>
              </w:rPr>
              <w:t>(unaudited)</w:t>
            </w:r>
          </w:p>
        </w:tc>
        <w:tc>
          <w:tcPr>
            <w:tcW w:w="75" w:type="dxa"/>
            <w:tcBorders>
              <w:top w:val="nil"/>
              <w:left w:val="nil"/>
              <w:bottom w:val="nil"/>
              <w:right w:val="nil"/>
            </w:tcBorders>
            <w:tcMar>
              <w:top w:w="0" w:type="dxa"/>
              <w:left w:w="0" w:type="dxa"/>
              <w:bottom w:w="0" w:type="dxa"/>
              <w:right w:w="0" w:type="dxa"/>
            </w:tcMar>
            <w:vAlign w:val="bottom"/>
          </w:tcPr>
          <w:p w14:paraId="3BDCD34C" w14:textId="77777777" w:rsidR="00C56203" w:rsidRDefault="00C56203">
            <w:pPr>
              <w:keepNext/>
            </w:pPr>
          </w:p>
        </w:tc>
        <w:tc>
          <w:tcPr>
            <w:tcW w:w="900" w:type="dxa"/>
            <w:tcBorders>
              <w:top w:val="nil"/>
              <w:left w:val="nil"/>
              <w:bottom w:val="nil"/>
              <w:right w:val="nil"/>
            </w:tcBorders>
            <w:tcMar>
              <w:top w:w="0" w:type="dxa"/>
              <w:left w:w="0" w:type="dxa"/>
              <w:bottom w:w="0" w:type="dxa"/>
              <w:right w:w="0" w:type="dxa"/>
            </w:tcMar>
            <w:vAlign w:val="bottom"/>
          </w:tcPr>
          <w:p w14:paraId="21A2EB7F"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02312C4D" w14:textId="77777777" w:rsidR="00C56203" w:rsidRDefault="00C56203">
            <w:pPr>
              <w:keepNext/>
            </w:pPr>
          </w:p>
        </w:tc>
        <w:tc>
          <w:tcPr>
            <w:tcW w:w="900" w:type="dxa"/>
            <w:tcBorders>
              <w:top w:val="nil"/>
              <w:left w:val="nil"/>
              <w:bottom w:val="nil"/>
              <w:right w:val="nil"/>
            </w:tcBorders>
            <w:tcMar>
              <w:top w:w="0" w:type="dxa"/>
              <w:left w:w="0" w:type="dxa"/>
              <w:bottom w:w="0" w:type="dxa"/>
              <w:right w:w="0" w:type="dxa"/>
            </w:tcMar>
            <w:vAlign w:val="bottom"/>
          </w:tcPr>
          <w:p w14:paraId="337D2C30" w14:textId="77777777" w:rsidR="00C56203" w:rsidRDefault="00C56203">
            <w:pPr>
              <w:keepNext/>
            </w:pPr>
          </w:p>
        </w:tc>
      </w:tr>
      <w:tr w:rsidR="00C56203" w14:paraId="23748448" w14:textId="77777777">
        <w:trPr>
          <w:cantSplit/>
          <w:trHeight w:hRule="exact" w:val="285"/>
        </w:trPr>
        <w:tc>
          <w:tcPr>
            <w:tcW w:w="7995" w:type="dxa"/>
            <w:tcBorders>
              <w:top w:val="nil"/>
              <w:left w:val="nil"/>
              <w:bottom w:val="nil"/>
              <w:right w:val="nil"/>
            </w:tcBorders>
            <w:tcMar>
              <w:top w:w="0" w:type="dxa"/>
              <w:left w:w="0" w:type="dxa"/>
              <w:bottom w:w="0" w:type="dxa"/>
              <w:right w:w="0" w:type="dxa"/>
            </w:tcMar>
            <w:vAlign w:val="bottom"/>
          </w:tcPr>
          <w:p w14:paraId="13AE6F87"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25F93741" w14:textId="77777777" w:rsidR="00C56203" w:rsidRDefault="00C56203">
            <w:pPr>
              <w:keepNext/>
            </w:pPr>
          </w:p>
        </w:tc>
        <w:tc>
          <w:tcPr>
            <w:tcW w:w="1875" w:type="dxa"/>
            <w:gridSpan w:val="3"/>
            <w:tcBorders>
              <w:top w:val="nil"/>
              <w:left w:val="nil"/>
              <w:bottom w:val="nil"/>
              <w:right w:val="nil"/>
            </w:tcBorders>
            <w:tcMar>
              <w:top w:w="0" w:type="dxa"/>
              <w:left w:w="53" w:type="dxa"/>
              <w:bottom w:w="0" w:type="dxa"/>
              <w:right w:w="53" w:type="dxa"/>
            </w:tcMar>
            <w:vAlign w:val="bottom"/>
          </w:tcPr>
          <w:p w14:paraId="64C98EB4" w14:textId="77777777" w:rsidR="00C56203" w:rsidRDefault="00CD5102">
            <w:pPr>
              <w:keepNext/>
              <w:spacing w:before="75" w:after="30"/>
              <w:jc w:val="center"/>
            </w:pPr>
            <w:r>
              <w:rPr>
                <w:b/>
                <w:color w:val="000000"/>
                <w:sz w:val="18"/>
              </w:rPr>
              <w:t>Three Months Ended</w:t>
            </w:r>
          </w:p>
        </w:tc>
      </w:tr>
      <w:tr w:rsidR="00C56203" w14:paraId="0E64A914" w14:textId="77777777">
        <w:trPr>
          <w:cantSplit/>
          <w:trHeight w:hRule="exact" w:val="285"/>
        </w:trPr>
        <w:tc>
          <w:tcPr>
            <w:tcW w:w="7995" w:type="dxa"/>
            <w:tcBorders>
              <w:top w:val="nil"/>
              <w:left w:val="nil"/>
              <w:bottom w:val="nil"/>
              <w:right w:val="nil"/>
            </w:tcBorders>
            <w:tcMar>
              <w:top w:w="0" w:type="dxa"/>
              <w:left w:w="0" w:type="dxa"/>
              <w:bottom w:w="0" w:type="dxa"/>
              <w:right w:w="0" w:type="dxa"/>
            </w:tcMar>
            <w:vAlign w:val="bottom"/>
          </w:tcPr>
          <w:p w14:paraId="48037F6B"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493C0DBA" w14:textId="77777777" w:rsidR="00C56203" w:rsidRDefault="00C56203">
            <w:pPr>
              <w:keepNext/>
            </w:pPr>
          </w:p>
        </w:tc>
        <w:tc>
          <w:tcPr>
            <w:tcW w:w="1875" w:type="dxa"/>
            <w:gridSpan w:val="3"/>
            <w:tcBorders>
              <w:top w:val="nil"/>
              <w:left w:val="nil"/>
              <w:bottom w:val="single" w:sz="8" w:space="0" w:color="000000"/>
              <w:right w:val="nil"/>
            </w:tcBorders>
            <w:tcMar>
              <w:top w:w="0" w:type="dxa"/>
              <w:left w:w="53" w:type="dxa"/>
              <w:bottom w:w="0" w:type="dxa"/>
              <w:right w:w="53" w:type="dxa"/>
            </w:tcMar>
            <w:vAlign w:val="bottom"/>
          </w:tcPr>
          <w:p w14:paraId="1FE77AF4" w14:textId="77777777" w:rsidR="00C56203" w:rsidRDefault="00CD5102">
            <w:pPr>
              <w:keepNext/>
              <w:spacing w:before="75" w:after="30"/>
              <w:jc w:val="center"/>
            </w:pPr>
            <w:r>
              <w:rPr>
                <w:b/>
                <w:color w:val="000000"/>
                <w:sz w:val="18"/>
              </w:rPr>
              <w:t>March 31,</w:t>
            </w:r>
          </w:p>
        </w:tc>
      </w:tr>
      <w:tr w:rsidR="00C56203" w14:paraId="44FC6225" w14:textId="77777777">
        <w:trPr>
          <w:cantSplit/>
          <w:trHeight w:hRule="exact" w:val="285"/>
        </w:trPr>
        <w:tc>
          <w:tcPr>
            <w:tcW w:w="7995" w:type="dxa"/>
            <w:tcBorders>
              <w:top w:val="nil"/>
              <w:left w:val="nil"/>
              <w:bottom w:val="nil"/>
              <w:right w:val="nil"/>
            </w:tcBorders>
            <w:tcMar>
              <w:top w:w="0" w:type="dxa"/>
              <w:left w:w="53" w:type="dxa"/>
              <w:bottom w:w="0" w:type="dxa"/>
              <w:right w:w="53" w:type="dxa"/>
            </w:tcMar>
            <w:vAlign w:val="bottom"/>
          </w:tcPr>
          <w:p w14:paraId="46B70DDA" w14:textId="77777777" w:rsidR="00C56203" w:rsidRDefault="00CD5102">
            <w:pPr>
              <w:keepNext/>
              <w:spacing w:before="55" w:after="30"/>
            </w:pPr>
            <w:r>
              <w:rPr>
                <w:i/>
                <w:color w:val="000000"/>
                <w:sz w:val="16"/>
              </w:rPr>
              <w:t>(in millions)</w:t>
            </w:r>
          </w:p>
        </w:tc>
        <w:tc>
          <w:tcPr>
            <w:tcW w:w="75" w:type="dxa"/>
            <w:tcBorders>
              <w:top w:val="nil"/>
              <w:left w:val="nil"/>
              <w:bottom w:val="nil"/>
              <w:right w:val="nil"/>
            </w:tcBorders>
            <w:tcMar>
              <w:top w:w="0" w:type="dxa"/>
              <w:left w:w="0" w:type="dxa"/>
              <w:bottom w:w="0" w:type="dxa"/>
              <w:right w:w="0" w:type="dxa"/>
            </w:tcMar>
            <w:vAlign w:val="bottom"/>
          </w:tcPr>
          <w:p w14:paraId="779B36C3" w14:textId="77777777" w:rsidR="00C56203" w:rsidRDefault="00C56203">
            <w:pPr>
              <w:keepNext/>
            </w:pPr>
          </w:p>
        </w:tc>
        <w:tc>
          <w:tcPr>
            <w:tcW w:w="900" w:type="dxa"/>
            <w:tcBorders>
              <w:top w:val="nil"/>
              <w:left w:val="nil"/>
              <w:bottom w:val="single" w:sz="8" w:space="0" w:color="000000"/>
              <w:right w:val="nil"/>
            </w:tcBorders>
            <w:tcMar>
              <w:top w:w="0" w:type="dxa"/>
              <w:left w:w="53" w:type="dxa"/>
              <w:bottom w:w="0" w:type="dxa"/>
              <w:right w:w="53" w:type="dxa"/>
            </w:tcMar>
            <w:vAlign w:val="bottom"/>
          </w:tcPr>
          <w:p w14:paraId="1890DD7D" w14:textId="77777777" w:rsidR="00C56203" w:rsidRDefault="00CD5102">
            <w:pPr>
              <w:keepNext/>
              <w:spacing w:before="55" w:after="30"/>
              <w:jc w:val="center"/>
            </w:pPr>
            <w:r>
              <w:rPr>
                <w:b/>
                <w:color w:val="000000"/>
                <w:sz w:val="18"/>
              </w:rPr>
              <w:t>2023</w:t>
            </w:r>
          </w:p>
        </w:tc>
        <w:tc>
          <w:tcPr>
            <w:tcW w:w="75" w:type="dxa"/>
            <w:tcBorders>
              <w:top w:val="single" w:sz="8" w:space="0" w:color="000000"/>
              <w:left w:val="nil"/>
              <w:bottom w:val="nil"/>
              <w:right w:val="nil"/>
            </w:tcBorders>
            <w:tcMar>
              <w:top w:w="0" w:type="dxa"/>
              <w:left w:w="53" w:type="dxa"/>
              <w:bottom w:w="0" w:type="dxa"/>
              <w:right w:w="53" w:type="dxa"/>
            </w:tcMar>
            <w:vAlign w:val="bottom"/>
          </w:tcPr>
          <w:p w14:paraId="088DC7A0" w14:textId="77777777" w:rsidR="00C56203" w:rsidRDefault="00C56203">
            <w:pPr>
              <w:keepNext/>
              <w:spacing w:before="55" w:after="30"/>
            </w:pPr>
          </w:p>
        </w:tc>
        <w:tc>
          <w:tcPr>
            <w:tcW w:w="90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422FF5FA" w14:textId="77777777" w:rsidR="00C56203" w:rsidRDefault="00CD5102">
            <w:pPr>
              <w:keepNext/>
              <w:spacing w:before="55" w:after="30"/>
              <w:jc w:val="center"/>
            </w:pPr>
            <w:r>
              <w:rPr>
                <w:b/>
                <w:color w:val="000000"/>
                <w:sz w:val="18"/>
              </w:rPr>
              <w:t>2022</w:t>
            </w:r>
          </w:p>
        </w:tc>
      </w:tr>
      <w:tr w:rsidR="00C56203" w14:paraId="497273BB" w14:textId="77777777">
        <w:trPr>
          <w:cantSplit/>
          <w:trHeight w:hRule="exact" w:val="315"/>
        </w:trPr>
        <w:tc>
          <w:tcPr>
            <w:tcW w:w="7995" w:type="dxa"/>
            <w:tcBorders>
              <w:top w:val="nil"/>
              <w:left w:val="nil"/>
              <w:bottom w:val="nil"/>
              <w:right w:val="nil"/>
            </w:tcBorders>
            <w:shd w:val="clear" w:color="auto" w:fill="FFFFFF"/>
            <w:tcMar>
              <w:top w:w="0" w:type="dxa"/>
              <w:left w:w="53" w:type="dxa"/>
              <w:bottom w:w="0" w:type="dxa"/>
              <w:right w:w="53" w:type="dxa"/>
            </w:tcMar>
            <w:vAlign w:val="bottom"/>
          </w:tcPr>
          <w:p w14:paraId="214DF59E" w14:textId="77777777" w:rsidR="00C56203" w:rsidRDefault="00CD5102">
            <w:pPr>
              <w:keepNext/>
              <w:spacing w:before="55" w:after="30"/>
            </w:pPr>
            <w:r>
              <w:rPr>
                <w:b/>
                <w:color w:val="000000"/>
                <w:sz w:val="18"/>
              </w:rPr>
              <w:t>Selling, general and administrative reconciliation:</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6D46F83" w14:textId="77777777" w:rsidR="00C56203" w:rsidRDefault="00C56203">
            <w:pPr>
              <w:keepNext/>
            </w:pPr>
          </w:p>
        </w:tc>
        <w:tc>
          <w:tcPr>
            <w:tcW w:w="9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5EC6C882"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B070DDA" w14:textId="77777777" w:rsidR="00C56203" w:rsidRDefault="00C56203">
            <w:pPr>
              <w:keepNext/>
            </w:pPr>
          </w:p>
        </w:tc>
        <w:tc>
          <w:tcPr>
            <w:tcW w:w="9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28AB29E1" w14:textId="77777777" w:rsidR="00C56203" w:rsidRDefault="00C56203">
            <w:pPr>
              <w:keepNext/>
            </w:pPr>
          </w:p>
        </w:tc>
      </w:tr>
      <w:tr w:rsidR="00C56203" w14:paraId="20503E00" w14:textId="77777777">
        <w:trPr>
          <w:cantSplit/>
          <w:trHeight w:hRule="exact" w:val="285"/>
        </w:trPr>
        <w:tc>
          <w:tcPr>
            <w:tcW w:w="7995" w:type="dxa"/>
            <w:tcBorders>
              <w:top w:val="nil"/>
              <w:left w:val="nil"/>
              <w:bottom w:val="nil"/>
              <w:right w:val="nil"/>
            </w:tcBorders>
            <w:shd w:val="clear" w:color="auto" w:fill="CCEEFF"/>
            <w:tcMar>
              <w:top w:w="0" w:type="dxa"/>
              <w:left w:w="53" w:type="dxa"/>
              <w:bottom w:w="0" w:type="dxa"/>
              <w:right w:w="53" w:type="dxa"/>
            </w:tcMar>
            <w:vAlign w:val="bottom"/>
          </w:tcPr>
          <w:p w14:paraId="46CEA25A" w14:textId="77777777" w:rsidR="00C56203" w:rsidRDefault="00CD5102">
            <w:pPr>
              <w:keepNext/>
              <w:spacing w:before="75" w:after="30"/>
              <w:ind w:left="135"/>
            </w:pPr>
            <w:r>
              <w:rPr>
                <w:color w:val="000000"/>
                <w:sz w:val="18"/>
              </w:rPr>
              <w:t xml:space="preserve">GAAP Selling, general and </w:t>
            </w:r>
            <w:r>
              <w:rPr>
                <w:color w:val="000000"/>
                <w:sz w:val="18"/>
              </w:rPr>
              <w:t>administrative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037333C" w14:textId="77777777" w:rsidR="00C56203" w:rsidRDefault="00C56203">
            <w:pPr>
              <w:keepNext/>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14:paraId="60B544C9" w14:textId="77777777" w:rsidR="00C56203" w:rsidRDefault="00CD5102">
            <w:pPr>
              <w:keepNext/>
              <w:tabs>
                <w:tab w:val="left" w:pos="504"/>
                <w:tab w:val="left" w:pos="832"/>
              </w:tabs>
              <w:spacing w:before="75" w:after="30"/>
              <w:jc w:val="right"/>
            </w:pPr>
            <w:r>
              <w:rPr>
                <w:color w:val="000000"/>
                <w:sz w:val="18"/>
              </w:rPr>
              <w:t>$</w:t>
            </w:r>
            <w:r>
              <w:rPr>
                <w:color w:val="000000"/>
                <w:sz w:val="18"/>
              </w:rPr>
              <w:tab/>
              <w:t>725</w:t>
            </w:r>
            <w:r>
              <w:rPr>
                <w:color w:val="000000"/>
                <w:sz w:val="18"/>
              </w:rPr>
              <w:tab/>
            </w: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251CB182" w14:textId="77777777" w:rsidR="00C56203" w:rsidRDefault="00C56203">
            <w:pPr>
              <w:keepNext/>
              <w:spacing w:before="75" w:after="3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14:paraId="58D28BF6" w14:textId="77777777" w:rsidR="00C56203" w:rsidRDefault="00CD5102">
            <w:pPr>
              <w:keepNext/>
              <w:tabs>
                <w:tab w:val="left" w:pos="504"/>
                <w:tab w:val="left" w:pos="832"/>
              </w:tabs>
              <w:spacing w:before="75" w:after="30"/>
              <w:jc w:val="right"/>
            </w:pPr>
            <w:r>
              <w:rPr>
                <w:color w:val="000000"/>
                <w:sz w:val="18"/>
              </w:rPr>
              <w:t>$</w:t>
            </w:r>
            <w:r>
              <w:rPr>
                <w:color w:val="000000"/>
                <w:sz w:val="18"/>
              </w:rPr>
              <w:tab/>
              <w:t>622</w:t>
            </w:r>
            <w:r>
              <w:rPr>
                <w:color w:val="000000"/>
                <w:sz w:val="18"/>
              </w:rPr>
              <w:tab/>
            </w:r>
          </w:p>
        </w:tc>
      </w:tr>
      <w:tr w:rsidR="00C56203" w14:paraId="65AA737C" w14:textId="77777777">
        <w:trPr>
          <w:cantSplit/>
          <w:trHeight w:hRule="exact" w:val="285"/>
        </w:trPr>
        <w:tc>
          <w:tcPr>
            <w:tcW w:w="7995" w:type="dxa"/>
            <w:tcBorders>
              <w:top w:val="nil"/>
              <w:left w:val="nil"/>
              <w:bottom w:val="nil"/>
              <w:right w:val="nil"/>
            </w:tcBorders>
            <w:shd w:val="clear" w:color="auto" w:fill="FFFFFF"/>
            <w:tcMar>
              <w:top w:w="0" w:type="dxa"/>
              <w:left w:w="53" w:type="dxa"/>
              <w:bottom w:w="0" w:type="dxa"/>
              <w:right w:w="53" w:type="dxa"/>
            </w:tcMar>
            <w:vAlign w:val="bottom"/>
          </w:tcPr>
          <w:p w14:paraId="4167537A" w14:textId="77777777" w:rsidR="00C56203" w:rsidRDefault="00CD5102">
            <w:pPr>
              <w:keepNext/>
              <w:spacing w:before="75" w:after="30"/>
              <w:ind w:left="135"/>
              <w:rPr>
                <w:sz w:val="18"/>
              </w:rPr>
            </w:pPr>
            <w:r>
              <w:rPr>
                <w:sz w:val="18"/>
              </w:rPr>
              <w:t xml:space="preserve">IT infrastructure investment </w:t>
            </w:r>
            <w:r>
              <w:rPr>
                <w:sz w:val="18"/>
                <w:vertAlign w:val="superscript"/>
              </w:rPr>
              <w:t>(a)</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3FA421E" w14:textId="77777777" w:rsidR="00C56203" w:rsidRDefault="00C56203">
            <w:pPr>
              <w:keepNext/>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14:paraId="22C747BA" w14:textId="77777777" w:rsidR="00C56203" w:rsidRDefault="00CD5102">
            <w:pPr>
              <w:keepNext/>
              <w:tabs>
                <w:tab w:val="left" w:pos="604"/>
              </w:tabs>
              <w:spacing w:before="75" w:after="30"/>
              <w:jc w:val="right"/>
            </w:pPr>
            <w:r>
              <w:rPr>
                <w:color w:val="000000"/>
                <w:sz w:val="18"/>
              </w:rPr>
              <w:tab/>
              <w:t>(7)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2176158" w14:textId="77777777" w:rsidR="00C56203" w:rsidRDefault="00C56203">
            <w:pPr>
              <w:keepNext/>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14:paraId="65FE3E57" w14:textId="77777777" w:rsidR="00C56203" w:rsidRDefault="00CD5102">
            <w:pPr>
              <w:keepNext/>
              <w:tabs>
                <w:tab w:val="left" w:pos="604"/>
              </w:tabs>
              <w:spacing w:before="75" w:after="30"/>
              <w:jc w:val="right"/>
            </w:pPr>
            <w:r>
              <w:rPr>
                <w:color w:val="000000"/>
                <w:sz w:val="18"/>
              </w:rPr>
              <w:tab/>
              <w:t>(5)</w:t>
            </w:r>
          </w:p>
        </w:tc>
      </w:tr>
      <w:tr w:rsidR="00C56203" w14:paraId="1C3D68F3" w14:textId="77777777">
        <w:trPr>
          <w:cantSplit/>
          <w:trHeight w:hRule="exact" w:val="285"/>
        </w:trPr>
        <w:tc>
          <w:tcPr>
            <w:tcW w:w="7995" w:type="dxa"/>
            <w:tcBorders>
              <w:top w:val="nil"/>
              <w:left w:val="nil"/>
              <w:bottom w:val="nil"/>
              <w:right w:val="nil"/>
            </w:tcBorders>
            <w:shd w:val="clear" w:color="auto" w:fill="CCEEFF"/>
            <w:tcMar>
              <w:top w:w="0" w:type="dxa"/>
              <w:left w:w="53" w:type="dxa"/>
              <w:bottom w:w="0" w:type="dxa"/>
              <w:right w:w="53" w:type="dxa"/>
            </w:tcMar>
            <w:vAlign w:val="bottom"/>
          </w:tcPr>
          <w:p w14:paraId="571D3AC1" w14:textId="77777777" w:rsidR="00C56203" w:rsidRDefault="00CD5102">
            <w:pPr>
              <w:keepNext/>
              <w:spacing w:before="75" w:after="30"/>
              <w:ind w:left="135"/>
              <w:rPr>
                <w:sz w:val="18"/>
              </w:rPr>
            </w:pPr>
            <w:r>
              <w:rPr>
                <w:sz w:val="18"/>
              </w:rPr>
              <w:t xml:space="preserve">Legal and other professional fees </w:t>
            </w:r>
            <w:r>
              <w:rPr>
                <w:sz w:val="18"/>
                <w:vertAlign w:val="superscript"/>
              </w:rPr>
              <w:t>(b)</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763EEBC" w14:textId="77777777" w:rsidR="00C56203" w:rsidRDefault="00C56203">
            <w:pPr>
              <w:keepNext/>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14:paraId="6FCA55FF" w14:textId="77777777" w:rsidR="00C56203" w:rsidRDefault="00CD5102">
            <w:pPr>
              <w:keepNext/>
              <w:tabs>
                <w:tab w:val="left" w:pos="604"/>
              </w:tabs>
              <w:spacing w:before="75" w:after="30"/>
              <w:jc w:val="right"/>
            </w:pPr>
            <w:r>
              <w:rPr>
                <w:color w:val="000000"/>
                <w:sz w:val="18"/>
              </w:rPr>
              <w:tab/>
              <w:t>(3)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051FE37" w14:textId="77777777" w:rsidR="00C56203" w:rsidRDefault="00C56203">
            <w:pPr>
              <w:keepNext/>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14:paraId="24925115" w14:textId="77777777" w:rsidR="00C56203" w:rsidRDefault="00CD5102">
            <w:pPr>
              <w:keepNext/>
              <w:tabs>
                <w:tab w:val="left" w:pos="514"/>
              </w:tabs>
              <w:spacing w:before="75" w:after="30"/>
              <w:jc w:val="right"/>
            </w:pPr>
            <w:r>
              <w:rPr>
                <w:color w:val="000000"/>
                <w:sz w:val="18"/>
              </w:rPr>
              <w:tab/>
              <w:t>(15)</w:t>
            </w:r>
          </w:p>
        </w:tc>
      </w:tr>
      <w:tr w:rsidR="00C56203" w14:paraId="3E15791C" w14:textId="77777777">
        <w:trPr>
          <w:cantSplit/>
          <w:trHeight w:hRule="exact" w:val="285"/>
        </w:trPr>
        <w:tc>
          <w:tcPr>
            <w:tcW w:w="7995" w:type="dxa"/>
            <w:tcBorders>
              <w:top w:val="nil"/>
              <w:left w:val="nil"/>
              <w:bottom w:val="nil"/>
              <w:right w:val="nil"/>
            </w:tcBorders>
            <w:shd w:val="clear" w:color="auto" w:fill="FFFFFF"/>
            <w:tcMar>
              <w:top w:w="0" w:type="dxa"/>
              <w:left w:w="53" w:type="dxa"/>
              <w:bottom w:w="0" w:type="dxa"/>
              <w:right w:w="53" w:type="dxa"/>
            </w:tcMar>
            <w:vAlign w:val="bottom"/>
          </w:tcPr>
          <w:p w14:paraId="7AEFEF57" w14:textId="77777777" w:rsidR="00C56203" w:rsidRDefault="00CD5102">
            <w:pPr>
              <w:keepNext/>
              <w:spacing w:before="75" w:after="30"/>
              <w:ind w:left="135"/>
              <w:rPr>
                <w:sz w:val="18"/>
              </w:rPr>
            </w:pPr>
            <w:r>
              <w:rPr>
                <w:sz w:val="18"/>
              </w:rPr>
              <w:t xml:space="preserve">Separation-related and IPO-related costs </w:t>
            </w:r>
            <w:r>
              <w:rPr>
                <w:sz w:val="18"/>
                <w:vertAlign w:val="superscript"/>
              </w:rPr>
              <w:t>(c)</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1BDDE3B" w14:textId="77777777" w:rsidR="00C56203" w:rsidRDefault="00C56203">
            <w:pPr>
              <w:keepNext/>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14:paraId="4C036090" w14:textId="77777777" w:rsidR="00C56203" w:rsidRDefault="00CD5102">
            <w:pPr>
              <w:keepNext/>
              <w:tabs>
                <w:tab w:val="left" w:pos="604"/>
              </w:tabs>
              <w:spacing w:before="75" w:after="30"/>
              <w:jc w:val="right"/>
            </w:pPr>
            <w:r>
              <w:rPr>
                <w:color w:val="000000"/>
                <w:sz w:val="18"/>
              </w:rPr>
              <w:tab/>
              <w:t>(6)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89C5A11" w14:textId="77777777" w:rsidR="00C56203" w:rsidRDefault="00C56203">
            <w:pPr>
              <w:keepNext/>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14:paraId="61380B46" w14:textId="77777777" w:rsidR="00C56203" w:rsidRDefault="00CD5102">
            <w:pPr>
              <w:keepNext/>
              <w:tabs>
                <w:tab w:val="left" w:pos="514"/>
              </w:tabs>
              <w:spacing w:before="75" w:after="30"/>
              <w:jc w:val="right"/>
            </w:pPr>
            <w:r>
              <w:rPr>
                <w:color w:val="000000"/>
                <w:sz w:val="18"/>
              </w:rPr>
              <w:tab/>
              <w:t>(24)</w:t>
            </w:r>
          </w:p>
        </w:tc>
      </w:tr>
      <w:tr w:rsidR="00C56203" w14:paraId="708A8CCE" w14:textId="77777777">
        <w:trPr>
          <w:cantSplit/>
          <w:trHeight w:hRule="exact" w:val="285"/>
        </w:trPr>
        <w:tc>
          <w:tcPr>
            <w:tcW w:w="7995" w:type="dxa"/>
            <w:tcBorders>
              <w:top w:val="nil"/>
              <w:left w:val="nil"/>
              <w:bottom w:val="nil"/>
              <w:right w:val="nil"/>
            </w:tcBorders>
            <w:shd w:val="clear" w:color="auto" w:fill="CCEEFF"/>
            <w:tcMar>
              <w:top w:w="0" w:type="dxa"/>
              <w:left w:w="53" w:type="dxa"/>
              <w:bottom w:w="0" w:type="dxa"/>
              <w:right w:w="53" w:type="dxa"/>
            </w:tcMar>
            <w:vAlign w:val="bottom"/>
          </w:tcPr>
          <w:p w14:paraId="58D40A9A" w14:textId="77777777" w:rsidR="00C56203" w:rsidRDefault="00CD5102">
            <w:pPr>
              <w:keepNext/>
              <w:spacing w:before="75" w:after="30"/>
              <w:ind w:left="135"/>
              <w:rPr>
                <w:sz w:val="18"/>
              </w:rPr>
            </w:pPr>
            <w:r>
              <w:rPr>
                <w:sz w:val="18"/>
              </w:rPr>
              <w:t xml:space="preserve">Transformation costs </w:t>
            </w:r>
            <w:r>
              <w:rPr>
                <w:sz w:val="18"/>
                <w:vertAlign w:val="superscript"/>
              </w:rPr>
              <w:t>(d)</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9A79135" w14:textId="77777777" w:rsidR="00C56203" w:rsidRDefault="00C56203">
            <w:pPr>
              <w:keepNext/>
            </w:pPr>
          </w:p>
        </w:tc>
        <w:tc>
          <w:tcPr>
            <w:tcW w:w="9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C7A813D" w14:textId="77777777" w:rsidR="00C56203" w:rsidRDefault="00CD5102">
            <w:pPr>
              <w:keepNext/>
              <w:tabs>
                <w:tab w:val="left" w:pos="514"/>
              </w:tabs>
              <w:spacing w:before="75" w:after="30"/>
              <w:jc w:val="right"/>
            </w:pPr>
            <w:r>
              <w:rPr>
                <w:color w:val="000000"/>
                <w:sz w:val="18"/>
              </w:rPr>
              <w:tab/>
              <w:t>(18)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2BCB29D" w14:textId="77777777" w:rsidR="00C56203" w:rsidRDefault="00C56203">
            <w:pPr>
              <w:keepNext/>
            </w:pPr>
          </w:p>
        </w:tc>
        <w:tc>
          <w:tcPr>
            <w:tcW w:w="9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C1D0661" w14:textId="77777777" w:rsidR="00C56203" w:rsidRDefault="00CD5102">
            <w:pPr>
              <w:keepNext/>
              <w:tabs>
                <w:tab w:val="left" w:pos="594"/>
                <w:tab w:val="left" w:pos="832"/>
              </w:tabs>
              <w:spacing w:before="75" w:after="30"/>
              <w:jc w:val="right"/>
            </w:pPr>
            <w:r>
              <w:rPr>
                <w:color w:val="000000"/>
                <w:sz w:val="18"/>
              </w:rPr>
              <w:tab/>
              <w:t>—</w:t>
            </w:r>
            <w:r>
              <w:rPr>
                <w:color w:val="000000"/>
                <w:sz w:val="18"/>
              </w:rPr>
              <w:tab/>
            </w:r>
          </w:p>
        </w:tc>
      </w:tr>
      <w:tr w:rsidR="00C56203" w14:paraId="2DA181C4" w14:textId="77777777">
        <w:trPr>
          <w:cantSplit/>
          <w:trHeight w:hRule="exact" w:val="285"/>
        </w:trPr>
        <w:tc>
          <w:tcPr>
            <w:tcW w:w="7995" w:type="dxa"/>
            <w:tcBorders>
              <w:top w:val="nil"/>
              <w:left w:val="nil"/>
              <w:bottom w:val="nil"/>
              <w:right w:val="nil"/>
            </w:tcBorders>
            <w:shd w:val="clear" w:color="auto" w:fill="FFFFFF"/>
            <w:tcMar>
              <w:top w:w="0" w:type="dxa"/>
              <w:left w:w="53" w:type="dxa"/>
              <w:bottom w:w="0" w:type="dxa"/>
              <w:right w:w="53" w:type="dxa"/>
            </w:tcMar>
            <w:vAlign w:val="bottom"/>
          </w:tcPr>
          <w:p w14:paraId="0E48A550" w14:textId="77777777" w:rsidR="00C56203" w:rsidRDefault="00CD5102">
            <w:pPr>
              <w:keepNext/>
              <w:spacing w:before="55" w:after="30"/>
              <w:ind w:left="135"/>
            </w:pPr>
            <w:r>
              <w:rPr>
                <w:color w:val="000000"/>
                <w:sz w:val="18"/>
              </w:rPr>
              <w:t xml:space="preserve">Adjusted selling, </w:t>
            </w:r>
            <w:r>
              <w:rPr>
                <w:color w:val="000000"/>
                <w:sz w:val="18"/>
              </w:rPr>
              <w:t>general and administrative (non-GAAP)</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3FAA5E3" w14:textId="77777777" w:rsidR="00C56203" w:rsidRDefault="00C56203">
            <w:pPr>
              <w:keepNext/>
            </w:pPr>
          </w:p>
        </w:tc>
        <w:tc>
          <w:tcPr>
            <w:tcW w:w="9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1BAB54F" w14:textId="77777777" w:rsidR="00C56203" w:rsidRDefault="00CD5102">
            <w:pPr>
              <w:keepNext/>
              <w:tabs>
                <w:tab w:val="left" w:pos="504"/>
                <w:tab w:val="left" w:pos="832"/>
              </w:tabs>
              <w:spacing w:before="55" w:after="30"/>
              <w:jc w:val="right"/>
            </w:pPr>
            <w:r>
              <w:rPr>
                <w:color w:val="000000"/>
                <w:sz w:val="18"/>
              </w:rPr>
              <w:t>$</w:t>
            </w:r>
            <w:r>
              <w:rPr>
                <w:color w:val="000000"/>
                <w:sz w:val="18"/>
              </w:rPr>
              <w:tab/>
              <w:t>691</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2CA41E2" w14:textId="77777777" w:rsidR="00C56203" w:rsidRDefault="00C56203">
            <w:pPr>
              <w:keepNext/>
            </w:pPr>
          </w:p>
        </w:tc>
        <w:tc>
          <w:tcPr>
            <w:tcW w:w="9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44E5F0E" w14:textId="77777777" w:rsidR="00C56203" w:rsidRDefault="00CD5102">
            <w:pPr>
              <w:keepNext/>
              <w:tabs>
                <w:tab w:val="left" w:pos="504"/>
                <w:tab w:val="left" w:pos="832"/>
              </w:tabs>
              <w:spacing w:before="55" w:after="30"/>
              <w:jc w:val="right"/>
            </w:pPr>
            <w:r>
              <w:rPr>
                <w:color w:val="000000"/>
                <w:sz w:val="18"/>
              </w:rPr>
              <w:t>$</w:t>
            </w:r>
            <w:r>
              <w:rPr>
                <w:color w:val="000000"/>
                <w:sz w:val="18"/>
              </w:rPr>
              <w:tab/>
              <w:t>578</w:t>
            </w:r>
            <w:r>
              <w:rPr>
                <w:color w:val="000000"/>
                <w:sz w:val="18"/>
              </w:rPr>
              <w:tab/>
            </w:r>
          </w:p>
        </w:tc>
      </w:tr>
      <w:tr w:rsidR="00C56203" w14:paraId="6757B4CB" w14:textId="77777777">
        <w:trPr>
          <w:cantSplit/>
          <w:trHeight w:hRule="exact" w:val="315"/>
        </w:trPr>
        <w:tc>
          <w:tcPr>
            <w:tcW w:w="7995" w:type="dxa"/>
            <w:tcBorders>
              <w:top w:val="nil"/>
              <w:left w:val="nil"/>
              <w:bottom w:val="nil"/>
              <w:right w:val="nil"/>
            </w:tcBorders>
            <w:shd w:val="clear" w:color="auto" w:fill="CCEEFF"/>
            <w:tcMar>
              <w:top w:w="0" w:type="dxa"/>
              <w:left w:w="53" w:type="dxa"/>
              <w:bottom w:w="0" w:type="dxa"/>
              <w:right w:w="53" w:type="dxa"/>
            </w:tcMar>
            <w:vAlign w:val="bottom"/>
          </w:tcPr>
          <w:p w14:paraId="27FC0256" w14:textId="77777777" w:rsidR="00C56203" w:rsidRDefault="00CD5102">
            <w:pPr>
              <w:keepNext/>
              <w:spacing w:before="15" w:after="30"/>
            </w:pPr>
            <w:r>
              <w:rPr>
                <w:b/>
                <w:color w:val="000000"/>
                <w:sz w:val="18"/>
              </w:rPr>
              <w:t>Amortization of intangible assets reconciliation:</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9F277AF" w14:textId="77777777" w:rsidR="00C56203" w:rsidRDefault="00C56203">
            <w:pPr>
              <w:keepNext/>
            </w:pPr>
          </w:p>
        </w:tc>
        <w:tc>
          <w:tcPr>
            <w:tcW w:w="900"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35E63144" w14:textId="77777777" w:rsidR="00C56203" w:rsidRDefault="00C56203">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AFCDC7C" w14:textId="77777777" w:rsidR="00C56203" w:rsidRDefault="00C56203">
            <w:pPr>
              <w:keepNext/>
            </w:pPr>
          </w:p>
        </w:tc>
        <w:tc>
          <w:tcPr>
            <w:tcW w:w="900"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31A378A2" w14:textId="77777777" w:rsidR="00C56203" w:rsidRDefault="00C56203">
            <w:pPr>
              <w:keepNext/>
            </w:pPr>
          </w:p>
        </w:tc>
      </w:tr>
      <w:tr w:rsidR="00C56203" w14:paraId="0931D9A7" w14:textId="77777777">
        <w:trPr>
          <w:cantSplit/>
          <w:trHeight w:hRule="exact" w:val="285"/>
        </w:trPr>
        <w:tc>
          <w:tcPr>
            <w:tcW w:w="7995" w:type="dxa"/>
            <w:tcBorders>
              <w:top w:val="nil"/>
              <w:left w:val="nil"/>
              <w:bottom w:val="nil"/>
              <w:right w:val="nil"/>
            </w:tcBorders>
            <w:shd w:val="clear" w:color="auto" w:fill="FFFFFF"/>
            <w:tcMar>
              <w:top w:w="0" w:type="dxa"/>
              <w:left w:w="53" w:type="dxa"/>
              <w:bottom w:w="0" w:type="dxa"/>
              <w:right w:w="53" w:type="dxa"/>
            </w:tcMar>
            <w:vAlign w:val="bottom"/>
          </w:tcPr>
          <w:p w14:paraId="2ABFB6B3" w14:textId="77777777" w:rsidR="00C56203" w:rsidRDefault="00CD5102">
            <w:pPr>
              <w:keepNext/>
              <w:spacing w:before="75" w:after="30"/>
              <w:ind w:left="135"/>
            </w:pPr>
            <w:r>
              <w:rPr>
                <w:color w:val="000000"/>
                <w:sz w:val="18"/>
              </w:rPr>
              <w:t>GAAP Amortization of intangible assets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7D0BA89" w14:textId="77777777" w:rsidR="00C56203" w:rsidRDefault="00C56203">
            <w:pPr>
              <w:keepNext/>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14:paraId="3D90D484" w14:textId="77777777" w:rsidR="00C56203" w:rsidRDefault="00CD5102">
            <w:pPr>
              <w:keepNext/>
              <w:tabs>
                <w:tab w:val="left" w:pos="504"/>
                <w:tab w:val="left" w:pos="832"/>
              </w:tabs>
              <w:spacing w:before="75" w:after="30"/>
              <w:jc w:val="right"/>
            </w:pPr>
            <w:r>
              <w:rPr>
                <w:color w:val="000000"/>
                <w:sz w:val="18"/>
              </w:rPr>
              <w:t>$</w:t>
            </w:r>
            <w:r>
              <w:rPr>
                <w:color w:val="000000"/>
                <w:sz w:val="18"/>
              </w:rPr>
              <w:tab/>
              <w:t>273</w:t>
            </w:r>
            <w:r>
              <w:rPr>
                <w:color w:val="000000"/>
                <w:sz w:val="18"/>
              </w:rPr>
              <w:tab/>
            </w: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78358F03" w14:textId="77777777" w:rsidR="00C56203" w:rsidRDefault="00C56203">
            <w:pPr>
              <w:keepNext/>
              <w:spacing w:before="75" w:after="3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14:paraId="39BC55BC" w14:textId="77777777" w:rsidR="00C56203" w:rsidRDefault="00CD5102">
            <w:pPr>
              <w:keepNext/>
              <w:tabs>
                <w:tab w:val="left" w:pos="504"/>
                <w:tab w:val="left" w:pos="832"/>
              </w:tabs>
              <w:spacing w:before="75" w:after="30"/>
              <w:jc w:val="right"/>
            </w:pPr>
            <w:r>
              <w:rPr>
                <w:color w:val="000000"/>
                <w:sz w:val="18"/>
              </w:rPr>
              <w:t>$</w:t>
            </w:r>
            <w:r>
              <w:rPr>
                <w:color w:val="000000"/>
                <w:sz w:val="18"/>
              </w:rPr>
              <w:tab/>
              <w:t>310</w:t>
            </w:r>
            <w:r>
              <w:rPr>
                <w:color w:val="000000"/>
                <w:sz w:val="18"/>
              </w:rPr>
              <w:tab/>
            </w:r>
          </w:p>
        </w:tc>
      </w:tr>
      <w:tr w:rsidR="00C56203" w14:paraId="0C16EEDD" w14:textId="77777777">
        <w:trPr>
          <w:cantSplit/>
          <w:trHeight w:hRule="exact" w:val="285"/>
        </w:trPr>
        <w:tc>
          <w:tcPr>
            <w:tcW w:w="7995" w:type="dxa"/>
            <w:tcBorders>
              <w:top w:val="nil"/>
              <w:left w:val="nil"/>
              <w:bottom w:val="nil"/>
              <w:right w:val="nil"/>
            </w:tcBorders>
            <w:shd w:val="clear" w:color="auto" w:fill="CCEEFF"/>
            <w:tcMar>
              <w:top w:w="0" w:type="dxa"/>
              <w:left w:w="53" w:type="dxa"/>
              <w:bottom w:w="0" w:type="dxa"/>
              <w:right w:w="53" w:type="dxa"/>
            </w:tcMar>
            <w:vAlign w:val="bottom"/>
          </w:tcPr>
          <w:p w14:paraId="587792AA" w14:textId="77777777" w:rsidR="00C56203" w:rsidRDefault="00CD5102">
            <w:pPr>
              <w:keepNext/>
              <w:spacing w:before="75" w:after="30"/>
              <w:ind w:left="135"/>
              <w:rPr>
                <w:sz w:val="18"/>
              </w:rPr>
            </w:pPr>
            <w:r>
              <w:rPr>
                <w:sz w:val="18"/>
              </w:rPr>
              <w:t>Amortization of intangible assets</w:t>
            </w:r>
            <w:r>
              <w:rPr>
                <w:sz w:val="18"/>
                <w:vertAlign w:val="superscript"/>
              </w:rPr>
              <w:t xml:space="preserve"> (e)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E426A08" w14:textId="77777777" w:rsidR="00C56203" w:rsidRDefault="00C56203">
            <w:pPr>
              <w:keepNext/>
            </w:pPr>
          </w:p>
        </w:tc>
        <w:tc>
          <w:tcPr>
            <w:tcW w:w="9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4EAB2C9" w14:textId="77777777" w:rsidR="00C56203" w:rsidRDefault="00CD5102">
            <w:pPr>
              <w:keepNext/>
              <w:tabs>
                <w:tab w:val="left" w:pos="424"/>
              </w:tabs>
              <w:spacing w:before="75" w:after="30"/>
              <w:jc w:val="right"/>
            </w:pPr>
            <w:r>
              <w:rPr>
                <w:color w:val="000000"/>
                <w:sz w:val="18"/>
              </w:rPr>
              <w:tab/>
              <w:t>(273)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AD9A8DA" w14:textId="77777777" w:rsidR="00C56203" w:rsidRDefault="00C56203">
            <w:pPr>
              <w:keepNext/>
            </w:pPr>
          </w:p>
        </w:tc>
        <w:tc>
          <w:tcPr>
            <w:tcW w:w="9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B2F9940" w14:textId="77777777" w:rsidR="00C56203" w:rsidRDefault="00CD5102">
            <w:pPr>
              <w:keepNext/>
              <w:tabs>
                <w:tab w:val="left" w:pos="424"/>
              </w:tabs>
              <w:spacing w:before="75" w:after="30"/>
              <w:jc w:val="right"/>
            </w:pPr>
            <w:r>
              <w:rPr>
                <w:color w:val="000000"/>
                <w:sz w:val="18"/>
              </w:rPr>
              <w:tab/>
              <w:t>(310)</w:t>
            </w:r>
          </w:p>
        </w:tc>
      </w:tr>
      <w:tr w:rsidR="00C56203" w14:paraId="01D7A09D" w14:textId="77777777">
        <w:trPr>
          <w:cantSplit/>
          <w:trHeight w:hRule="exact" w:val="285"/>
        </w:trPr>
        <w:tc>
          <w:tcPr>
            <w:tcW w:w="7995" w:type="dxa"/>
            <w:tcBorders>
              <w:top w:val="nil"/>
              <w:left w:val="nil"/>
              <w:bottom w:val="nil"/>
              <w:right w:val="nil"/>
            </w:tcBorders>
            <w:shd w:val="clear" w:color="auto" w:fill="FFFFFF"/>
            <w:tcMar>
              <w:top w:w="0" w:type="dxa"/>
              <w:left w:w="53" w:type="dxa"/>
              <w:bottom w:w="0" w:type="dxa"/>
              <w:right w:w="53" w:type="dxa"/>
            </w:tcMar>
            <w:vAlign w:val="bottom"/>
          </w:tcPr>
          <w:p w14:paraId="66D65A1E" w14:textId="77777777" w:rsidR="00C56203" w:rsidRDefault="00CD5102">
            <w:pPr>
              <w:keepNext/>
              <w:spacing w:before="55" w:after="30"/>
              <w:ind w:left="135"/>
            </w:pPr>
            <w:r>
              <w:rPr>
                <w:color w:val="000000"/>
                <w:sz w:val="18"/>
              </w:rPr>
              <w:t xml:space="preserve">Adjusted amortization of </w:t>
            </w:r>
            <w:r>
              <w:rPr>
                <w:color w:val="000000"/>
                <w:sz w:val="18"/>
              </w:rPr>
              <w:t>intangible assets (non-GAAP)</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84C15D4" w14:textId="77777777" w:rsidR="00C56203" w:rsidRDefault="00C56203">
            <w:pPr>
              <w:keepNext/>
            </w:pPr>
          </w:p>
        </w:tc>
        <w:tc>
          <w:tcPr>
            <w:tcW w:w="9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9EE3332" w14:textId="77777777" w:rsidR="00C56203" w:rsidRDefault="00CD5102">
            <w:pPr>
              <w:keepNext/>
              <w:tabs>
                <w:tab w:val="left" w:pos="594"/>
                <w:tab w:val="left" w:pos="832"/>
              </w:tabs>
              <w:spacing w:before="55"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22EBC16" w14:textId="77777777" w:rsidR="00C56203" w:rsidRDefault="00C56203">
            <w:pPr>
              <w:keepNext/>
            </w:pPr>
          </w:p>
        </w:tc>
        <w:tc>
          <w:tcPr>
            <w:tcW w:w="9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45F2774D" w14:textId="77777777" w:rsidR="00C56203" w:rsidRDefault="00CD5102">
            <w:pPr>
              <w:keepNext/>
              <w:tabs>
                <w:tab w:val="left" w:pos="594"/>
                <w:tab w:val="left" w:pos="832"/>
              </w:tabs>
              <w:spacing w:before="55" w:after="30"/>
              <w:jc w:val="right"/>
            </w:pPr>
            <w:r>
              <w:rPr>
                <w:color w:val="000000"/>
                <w:sz w:val="18"/>
              </w:rPr>
              <w:t>$</w:t>
            </w:r>
            <w:r>
              <w:rPr>
                <w:color w:val="000000"/>
                <w:sz w:val="18"/>
              </w:rPr>
              <w:tab/>
              <w:t>—</w:t>
            </w:r>
            <w:r>
              <w:rPr>
                <w:color w:val="000000"/>
                <w:sz w:val="18"/>
              </w:rPr>
              <w:tab/>
            </w:r>
          </w:p>
        </w:tc>
      </w:tr>
      <w:tr w:rsidR="00C56203" w14:paraId="4B70BC84" w14:textId="77777777">
        <w:trPr>
          <w:cantSplit/>
          <w:trHeight w:hRule="exact" w:val="315"/>
        </w:trPr>
        <w:tc>
          <w:tcPr>
            <w:tcW w:w="7995" w:type="dxa"/>
            <w:tcBorders>
              <w:top w:val="nil"/>
              <w:left w:val="nil"/>
              <w:bottom w:val="nil"/>
              <w:right w:val="nil"/>
            </w:tcBorders>
            <w:shd w:val="clear" w:color="auto" w:fill="CCEEFF"/>
            <w:tcMar>
              <w:top w:w="0" w:type="dxa"/>
              <w:left w:w="53" w:type="dxa"/>
              <w:bottom w:w="0" w:type="dxa"/>
              <w:right w:w="53" w:type="dxa"/>
            </w:tcMar>
            <w:vAlign w:val="bottom"/>
          </w:tcPr>
          <w:p w14:paraId="48396021" w14:textId="77777777" w:rsidR="00C56203" w:rsidRDefault="00CD5102">
            <w:pPr>
              <w:keepNext/>
              <w:spacing w:before="15" w:after="30"/>
            </w:pPr>
            <w:r>
              <w:rPr>
                <w:b/>
                <w:color w:val="000000"/>
                <w:sz w:val="18"/>
              </w:rPr>
              <w:t>Asset impairments: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C29BB90" w14:textId="77777777" w:rsidR="00C56203" w:rsidRDefault="00C56203">
            <w:pPr>
              <w:keepNext/>
            </w:pPr>
          </w:p>
        </w:tc>
        <w:tc>
          <w:tcPr>
            <w:tcW w:w="900"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480D7188" w14:textId="77777777" w:rsidR="00C56203" w:rsidRDefault="00C56203">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6C94FAA" w14:textId="77777777" w:rsidR="00C56203" w:rsidRDefault="00C56203">
            <w:pPr>
              <w:keepNext/>
            </w:pPr>
          </w:p>
        </w:tc>
        <w:tc>
          <w:tcPr>
            <w:tcW w:w="900"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3401FDC2" w14:textId="77777777" w:rsidR="00C56203" w:rsidRDefault="00C56203">
            <w:pPr>
              <w:keepNext/>
            </w:pPr>
          </w:p>
        </w:tc>
      </w:tr>
      <w:tr w:rsidR="00C56203" w14:paraId="726A3A1A" w14:textId="77777777">
        <w:trPr>
          <w:cantSplit/>
          <w:trHeight w:hRule="exact" w:val="315"/>
        </w:trPr>
        <w:tc>
          <w:tcPr>
            <w:tcW w:w="7995" w:type="dxa"/>
            <w:tcBorders>
              <w:top w:val="nil"/>
              <w:left w:val="nil"/>
              <w:bottom w:val="nil"/>
              <w:right w:val="nil"/>
            </w:tcBorders>
            <w:shd w:val="clear" w:color="auto" w:fill="FFFFFF"/>
            <w:tcMar>
              <w:top w:w="0" w:type="dxa"/>
              <w:left w:w="53" w:type="dxa"/>
              <w:bottom w:w="0" w:type="dxa"/>
              <w:right w:w="53" w:type="dxa"/>
            </w:tcMar>
            <w:vAlign w:val="bottom"/>
          </w:tcPr>
          <w:p w14:paraId="3EFCE0E8" w14:textId="77777777" w:rsidR="00C56203" w:rsidRDefault="00CD5102">
            <w:pPr>
              <w:keepNext/>
              <w:spacing w:before="75" w:after="30"/>
              <w:ind w:left="135"/>
            </w:pPr>
            <w:r>
              <w:rPr>
                <w:color w:val="000000"/>
                <w:sz w:val="18"/>
              </w:rPr>
              <w:t>GAAP Asset impairments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64CECAA" w14:textId="77777777" w:rsidR="00C56203" w:rsidRDefault="00C56203">
            <w:pPr>
              <w:keepNext/>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14:paraId="501FFB11" w14:textId="77777777" w:rsidR="00C56203" w:rsidRDefault="00CD5102">
            <w:pPr>
              <w:keepNext/>
              <w:tabs>
                <w:tab w:val="left" w:pos="594"/>
                <w:tab w:val="left" w:pos="832"/>
              </w:tabs>
              <w:spacing w:before="75" w:after="30"/>
              <w:jc w:val="right"/>
            </w:pPr>
            <w:r>
              <w:rPr>
                <w:color w:val="000000"/>
                <w:sz w:val="18"/>
              </w:rPr>
              <w:t>$</w:t>
            </w:r>
            <w:r>
              <w:rPr>
                <w:color w:val="000000"/>
                <w:sz w:val="18"/>
              </w:rPr>
              <w:tab/>
              <w:t>13</w:t>
            </w:r>
            <w:r>
              <w:rPr>
                <w:color w:val="000000"/>
                <w:sz w:val="18"/>
              </w:rPr>
              <w:tab/>
            </w: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75EF95B0" w14:textId="77777777" w:rsidR="00C56203" w:rsidRDefault="00C56203">
            <w:pPr>
              <w:keepNext/>
              <w:spacing w:before="75" w:after="3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14:paraId="034E6AF7" w14:textId="77777777" w:rsidR="00C56203" w:rsidRDefault="00CD5102">
            <w:pPr>
              <w:keepNext/>
              <w:tabs>
                <w:tab w:val="left" w:pos="684"/>
                <w:tab w:val="left" w:pos="832"/>
              </w:tabs>
              <w:spacing w:before="75" w:after="30"/>
              <w:jc w:val="right"/>
            </w:pPr>
            <w:r>
              <w:rPr>
                <w:color w:val="000000"/>
                <w:sz w:val="18"/>
              </w:rPr>
              <w:t>$</w:t>
            </w:r>
            <w:r>
              <w:rPr>
                <w:color w:val="000000"/>
                <w:sz w:val="18"/>
              </w:rPr>
              <w:tab/>
              <w:t>8</w:t>
            </w:r>
            <w:r>
              <w:rPr>
                <w:color w:val="000000"/>
                <w:sz w:val="18"/>
              </w:rPr>
              <w:tab/>
            </w:r>
          </w:p>
        </w:tc>
      </w:tr>
      <w:tr w:rsidR="00C56203" w14:paraId="4B458805" w14:textId="77777777">
        <w:trPr>
          <w:cantSplit/>
          <w:trHeight w:hRule="exact" w:val="315"/>
        </w:trPr>
        <w:tc>
          <w:tcPr>
            <w:tcW w:w="7995" w:type="dxa"/>
            <w:tcBorders>
              <w:top w:val="nil"/>
              <w:left w:val="nil"/>
              <w:bottom w:val="nil"/>
              <w:right w:val="nil"/>
            </w:tcBorders>
            <w:shd w:val="clear" w:color="auto" w:fill="CCEEFF"/>
            <w:tcMar>
              <w:top w:w="0" w:type="dxa"/>
              <w:left w:w="53" w:type="dxa"/>
              <w:bottom w:w="0" w:type="dxa"/>
              <w:right w:w="53" w:type="dxa"/>
            </w:tcMar>
            <w:vAlign w:val="bottom"/>
          </w:tcPr>
          <w:p w14:paraId="7043F660" w14:textId="77777777" w:rsidR="00C56203" w:rsidRDefault="00CD5102">
            <w:pPr>
              <w:keepNext/>
              <w:spacing w:before="75" w:after="30"/>
              <w:ind w:left="135"/>
              <w:rPr>
                <w:sz w:val="18"/>
              </w:rPr>
            </w:pPr>
            <w:r>
              <w:rPr>
                <w:sz w:val="18"/>
              </w:rPr>
              <w:t xml:space="preserve">Asset impairments </w:t>
            </w:r>
            <w:r>
              <w:rPr>
                <w:sz w:val="18"/>
                <w:vertAlign w:val="superscript"/>
              </w:rPr>
              <w:t>(f)</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A4FA640" w14:textId="77777777" w:rsidR="00C56203" w:rsidRDefault="00C56203">
            <w:pPr>
              <w:keepNext/>
            </w:pPr>
          </w:p>
        </w:tc>
        <w:tc>
          <w:tcPr>
            <w:tcW w:w="9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CA9DC4F" w14:textId="77777777" w:rsidR="00C56203" w:rsidRDefault="00CD5102">
            <w:pPr>
              <w:keepNext/>
              <w:tabs>
                <w:tab w:val="left" w:pos="514"/>
              </w:tabs>
              <w:spacing w:before="75" w:after="30"/>
              <w:jc w:val="right"/>
            </w:pPr>
            <w:r>
              <w:rPr>
                <w:color w:val="000000"/>
                <w:sz w:val="18"/>
              </w:rPr>
              <w:tab/>
              <w:t>(13)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B75B4A9" w14:textId="77777777" w:rsidR="00C56203" w:rsidRDefault="00C56203">
            <w:pPr>
              <w:keepNext/>
            </w:pPr>
          </w:p>
        </w:tc>
        <w:tc>
          <w:tcPr>
            <w:tcW w:w="9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DA0C229" w14:textId="77777777" w:rsidR="00C56203" w:rsidRDefault="00CD5102">
            <w:pPr>
              <w:keepNext/>
              <w:tabs>
                <w:tab w:val="left" w:pos="604"/>
              </w:tabs>
              <w:spacing w:before="75" w:after="30"/>
              <w:jc w:val="right"/>
            </w:pPr>
            <w:r>
              <w:rPr>
                <w:color w:val="000000"/>
                <w:sz w:val="18"/>
              </w:rPr>
              <w:tab/>
              <w:t>(8)</w:t>
            </w:r>
          </w:p>
        </w:tc>
      </w:tr>
      <w:tr w:rsidR="00C56203" w14:paraId="5E4FF505" w14:textId="77777777">
        <w:trPr>
          <w:cantSplit/>
          <w:trHeight w:hRule="exact" w:val="315"/>
        </w:trPr>
        <w:tc>
          <w:tcPr>
            <w:tcW w:w="7995" w:type="dxa"/>
            <w:tcBorders>
              <w:top w:val="nil"/>
              <w:left w:val="nil"/>
              <w:bottom w:val="nil"/>
              <w:right w:val="nil"/>
            </w:tcBorders>
            <w:shd w:val="clear" w:color="auto" w:fill="FFFFFF"/>
            <w:tcMar>
              <w:top w:w="0" w:type="dxa"/>
              <w:left w:w="53" w:type="dxa"/>
              <w:bottom w:w="0" w:type="dxa"/>
              <w:right w:w="53" w:type="dxa"/>
            </w:tcMar>
            <w:vAlign w:val="bottom"/>
          </w:tcPr>
          <w:p w14:paraId="457FFBA9" w14:textId="77777777" w:rsidR="00C56203" w:rsidRDefault="00CD5102">
            <w:pPr>
              <w:keepNext/>
              <w:spacing w:before="55" w:after="30"/>
              <w:ind w:left="135"/>
            </w:pPr>
            <w:r>
              <w:rPr>
                <w:color w:val="000000"/>
                <w:sz w:val="18"/>
              </w:rPr>
              <w:t>Adjusted asset impairments (non-GAAP)</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9E6660C" w14:textId="77777777" w:rsidR="00C56203" w:rsidRDefault="00C56203">
            <w:pPr>
              <w:keepNext/>
            </w:pPr>
          </w:p>
        </w:tc>
        <w:tc>
          <w:tcPr>
            <w:tcW w:w="9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6E5CA86" w14:textId="77777777" w:rsidR="00C56203" w:rsidRDefault="00CD5102">
            <w:pPr>
              <w:keepNext/>
              <w:tabs>
                <w:tab w:val="left" w:pos="594"/>
                <w:tab w:val="left" w:pos="832"/>
              </w:tabs>
              <w:spacing w:before="55"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89773A8" w14:textId="77777777" w:rsidR="00C56203" w:rsidRDefault="00C56203">
            <w:pPr>
              <w:keepNext/>
            </w:pPr>
          </w:p>
        </w:tc>
        <w:tc>
          <w:tcPr>
            <w:tcW w:w="9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53CF356" w14:textId="77777777" w:rsidR="00C56203" w:rsidRDefault="00CD5102">
            <w:pPr>
              <w:keepNext/>
              <w:tabs>
                <w:tab w:val="left" w:pos="594"/>
                <w:tab w:val="left" w:pos="832"/>
              </w:tabs>
              <w:spacing w:before="55" w:after="30"/>
              <w:jc w:val="right"/>
            </w:pPr>
            <w:r>
              <w:rPr>
                <w:color w:val="000000"/>
                <w:sz w:val="18"/>
              </w:rPr>
              <w:t>$</w:t>
            </w:r>
            <w:r>
              <w:rPr>
                <w:color w:val="000000"/>
                <w:sz w:val="18"/>
              </w:rPr>
              <w:tab/>
              <w:t>—</w:t>
            </w:r>
            <w:r>
              <w:rPr>
                <w:color w:val="000000"/>
                <w:sz w:val="18"/>
              </w:rPr>
              <w:tab/>
            </w:r>
          </w:p>
        </w:tc>
      </w:tr>
      <w:tr w:rsidR="00C56203" w14:paraId="1C985EFF" w14:textId="77777777">
        <w:trPr>
          <w:cantSplit/>
          <w:trHeight w:hRule="exact" w:val="315"/>
        </w:trPr>
        <w:tc>
          <w:tcPr>
            <w:tcW w:w="7995" w:type="dxa"/>
            <w:tcBorders>
              <w:top w:val="nil"/>
              <w:left w:val="nil"/>
              <w:bottom w:val="nil"/>
              <w:right w:val="nil"/>
            </w:tcBorders>
            <w:shd w:val="clear" w:color="auto" w:fill="CCEEFF"/>
            <w:tcMar>
              <w:top w:w="0" w:type="dxa"/>
              <w:left w:w="53" w:type="dxa"/>
              <w:bottom w:w="0" w:type="dxa"/>
              <w:right w:w="53" w:type="dxa"/>
            </w:tcMar>
            <w:vAlign w:val="bottom"/>
          </w:tcPr>
          <w:p w14:paraId="3C77A54C" w14:textId="77777777" w:rsidR="00C56203" w:rsidRDefault="00CD5102">
            <w:pPr>
              <w:keepNext/>
              <w:spacing w:before="15" w:after="30"/>
              <w:rPr>
                <w:b/>
                <w:sz w:val="18"/>
              </w:rPr>
            </w:pPr>
            <w:r>
              <w:rPr>
                <w:b/>
                <w:color w:val="000000"/>
                <w:sz w:val="18"/>
              </w:rPr>
              <w:t>Restructuring, integration, separation and IPO costs</w:t>
            </w:r>
            <w:r>
              <w:rPr>
                <w:b/>
                <w:sz w:val="18"/>
              </w:rPr>
              <w:t xml:space="preserve"> reconciliation:</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50D1E56" w14:textId="77777777" w:rsidR="00C56203" w:rsidRDefault="00C56203">
            <w:pPr>
              <w:keepNext/>
            </w:pPr>
          </w:p>
        </w:tc>
        <w:tc>
          <w:tcPr>
            <w:tcW w:w="900"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7351BF40" w14:textId="77777777" w:rsidR="00C56203" w:rsidRDefault="00C56203">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222FDAD" w14:textId="77777777" w:rsidR="00C56203" w:rsidRDefault="00C56203">
            <w:pPr>
              <w:keepNext/>
            </w:pPr>
          </w:p>
        </w:tc>
        <w:tc>
          <w:tcPr>
            <w:tcW w:w="900"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336AA067" w14:textId="77777777" w:rsidR="00C56203" w:rsidRDefault="00C56203">
            <w:pPr>
              <w:keepNext/>
            </w:pPr>
          </w:p>
        </w:tc>
      </w:tr>
      <w:tr w:rsidR="00C56203" w14:paraId="356A1A88" w14:textId="77777777">
        <w:trPr>
          <w:cantSplit/>
          <w:trHeight w:hRule="exact" w:val="285"/>
        </w:trPr>
        <w:tc>
          <w:tcPr>
            <w:tcW w:w="7995" w:type="dxa"/>
            <w:tcBorders>
              <w:top w:val="nil"/>
              <w:left w:val="nil"/>
              <w:bottom w:val="nil"/>
              <w:right w:val="nil"/>
            </w:tcBorders>
            <w:shd w:val="clear" w:color="auto" w:fill="FFFFFF"/>
            <w:tcMar>
              <w:top w:w="0" w:type="dxa"/>
              <w:left w:w="53" w:type="dxa"/>
              <w:bottom w:w="0" w:type="dxa"/>
              <w:right w:w="53" w:type="dxa"/>
            </w:tcMar>
            <w:vAlign w:val="bottom"/>
          </w:tcPr>
          <w:p w14:paraId="1C810C5E" w14:textId="77777777" w:rsidR="00C56203" w:rsidRDefault="00CD5102">
            <w:pPr>
              <w:keepNext/>
              <w:spacing w:before="75" w:after="30"/>
              <w:ind w:left="135"/>
              <w:rPr>
                <w:sz w:val="18"/>
              </w:rPr>
            </w:pPr>
            <w:r>
              <w:rPr>
                <w:sz w:val="18"/>
              </w:rPr>
              <w:t xml:space="preserve">GAAP </w:t>
            </w:r>
            <w:r>
              <w:rPr>
                <w:color w:val="000000"/>
                <w:sz w:val="18"/>
              </w:rPr>
              <w:t>Restructuring, integration, separation and IPO costs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DC440AD" w14:textId="77777777" w:rsidR="00C56203" w:rsidRDefault="00C56203">
            <w:pPr>
              <w:keepNext/>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14:paraId="0CF1EE1D" w14:textId="77777777" w:rsidR="00C56203" w:rsidRDefault="00CD5102">
            <w:pPr>
              <w:keepNext/>
              <w:tabs>
                <w:tab w:val="left" w:pos="594"/>
                <w:tab w:val="left" w:pos="832"/>
              </w:tabs>
              <w:spacing w:before="75" w:after="30"/>
              <w:jc w:val="right"/>
            </w:pPr>
            <w:r>
              <w:rPr>
                <w:color w:val="000000"/>
                <w:sz w:val="18"/>
              </w:rPr>
              <w:t>$</w:t>
            </w:r>
            <w:r>
              <w:rPr>
                <w:color w:val="000000"/>
                <w:sz w:val="18"/>
              </w:rPr>
              <w:tab/>
              <w:t>10</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8488A07" w14:textId="77777777" w:rsidR="00C56203" w:rsidRDefault="00C56203">
            <w:pPr>
              <w:keepNext/>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14:paraId="51E410EC" w14:textId="77777777" w:rsidR="00C56203" w:rsidRDefault="00CD5102">
            <w:pPr>
              <w:keepNext/>
              <w:tabs>
                <w:tab w:val="left" w:pos="594"/>
                <w:tab w:val="left" w:pos="832"/>
              </w:tabs>
              <w:spacing w:before="75" w:after="30"/>
              <w:jc w:val="right"/>
            </w:pPr>
            <w:r>
              <w:rPr>
                <w:color w:val="000000"/>
                <w:sz w:val="18"/>
              </w:rPr>
              <w:t>$</w:t>
            </w:r>
            <w:r>
              <w:rPr>
                <w:color w:val="000000"/>
                <w:sz w:val="18"/>
              </w:rPr>
              <w:tab/>
              <w:t>13</w:t>
            </w:r>
            <w:r>
              <w:rPr>
                <w:color w:val="000000"/>
                <w:sz w:val="18"/>
              </w:rPr>
              <w:tab/>
            </w:r>
          </w:p>
        </w:tc>
      </w:tr>
      <w:tr w:rsidR="00C56203" w14:paraId="40361CC1" w14:textId="77777777">
        <w:trPr>
          <w:cantSplit/>
          <w:trHeight w:hRule="exact" w:val="285"/>
        </w:trPr>
        <w:tc>
          <w:tcPr>
            <w:tcW w:w="7995" w:type="dxa"/>
            <w:tcBorders>
              <w:top w:val="nil"/>
              <w:left w:val="nil"/>
              <w:bottom w:val="nil"/>
              <w:right w:val="nil"/>
            </w:tcBorders>
            <w:shd w:val="clear" w:color="auto" w:fill="CCEEFF"/>
            <w:tcMar>
              <w:top w:w="0" w:type="dxa"/>
              <w:left w:w="53" w:type="dxa"/>
              <w:bottom w:w="0" w:type="dxa"/>
              <w:right w:w="53" w:type="dxa"/>
            </w:tcMar>
            <w:vAlign w:val="bottom"/>
          </w:tcPr>
          <w:p w14:paraId="4288A35B" w14:textId="77777777" w:rsidR="00C56203" w:rsidRDefault="00CD5102">
            <w:pPr>
              <w:keepNext/>
              <w:spacing w:before="75" w:after="30"/>
              <w:ind w:left="135"/>
              <w:rPr>
                <w:sz w:val="18"/>
              </w:rPr>
            </w:pPr>
            <w:r>
              <w:rPr>
                <w:sz w:val="18"/>
              </w:rPr>
              <w:t xml:space="preserve">Restructuring and integration costs </w:t>
            </w:r>
            <w:r>
              <w:rPr>
                <w:sz w:val="18"/>
                <w:vertAlign w:val="superscript"/>
              </w:rPr>
              <w:t>(d)</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EEFACA2" w14:textId="77777777" w:rsidR="00C56203" w:rsidRDefault="00C56203">
            <w:pPr>
              <w:keepNext/>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14:paraId="1BBE7CC6" w14:textId="77777777" w:rsidR="00C56203" w:rsidRDefault="00CD5102">
            <w:pPr>
              <w:keepNext/>
              <w:tabs>
                <w:tab w:val="left" w:pos="604"/>
              </w:tabs>
              <w:spacing w:before="75" w:after="30"/>
              <w:jc w:val="right"/>
            </w:pPr>
            <w:r>
              <w:rPr>
                <w:color w:val="000000"/>
                <w:sz w:val="18"/>
              </w:rPr>
              <w:tab/>
              <w:t>(9)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5C57B10" w14:textId="77777777" w:rsidR="00C56203" w:rsidRDefault="00C56203">
            <w:pPr>
              <w:keepNext/>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14:paraId="340F0B6D" w14:textId="77777777" w:rsidR="00C56203" w:rsidRDefault="00CD5102">
            <w:pPr>
              <w:keepNext/>
              <w:tabs>
                <w:tab w:val="left" w:pos="604"/>
              </w:tabs>
              <w:spacing w:before="75" w:after="30"/>
              <w:jc w:val="right"/>
            </w:pPr>
            <w:r>
              <w:rPr>
                <w:color w:val="000000"/>
                <w:sz w:val="18"/>
              </w:rPr>
              <w:tab/>
              <w:t>(3)</w:t>
            </w:r>
          </w:p>
        </w:tc>
      </w:tr>
      <w:tr w:rsidR="00C56203" w14:paraId="517A26D3" w14:textId="77777777">
        <w:trPr>
          <w:cantSplit/>
          <w:trHeight w:hRule="exact" w:val="285"/>
        </w:trPr>
        <w:tc>
          <w:tcPr>
            <w:tcW w:w="7995" w:type="dxa"/>
            <w:tcBorders>
              <w:top w:val="nil"/>
              <w:left w:val="nil"/>
              <w:bottom w:val="nil"/>
              <w:right w:val="nil"/>
            </w:tcBorders>
            <w:shd w:val="clear" w:color="auto" w:fill="FFFFFF"/>
            <w:tcMar>
              <w:top w:w="0" w:type="dxa"/>
              <w:left w:w="53" w:type="dxa"/>
              <w:bottom w:w="0" w:type="dxa"/>
              <w:right w:w="53" w:type="dxa"/>
            </w:tcMar>
            <w:vAlign w:val="bottom"/>
          </w:tcPr>
          <w:p w14:paraId="76F9EEE1" w14:textId="77777777" w:rsidR="00C56203" w:rsidRDefault="00CD5102">
            <w:pPr>
              <w:keepNext/>
              <w:spacing w:before="75" w:after="30"/>
              <w:ind w:left="135"/>
              <w:rPr>
                <w:sz w:val="18"/>
              </w:rPr>
            </w:pPr>
            <w:r>
              <w:rPr>
                <w:sz w:val="18"/>
              </w:rPr>
              <w:t xml:space="preserve">Separation and IPO costs </w:t>
            </w:r>
            <w:r>
              <w:rPr>
                <w:sz w:val="18"/>
                <w:vertAlign w:val="superscript"/>
              </w:rPr>
              <w:t>(c)</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D4E149D" w14:textId="77777777" w:rsidR="00C56203" w:rsidRDefault="00C56203">
            <w:pPr>
              <w:keepNext/>
            </w:pP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779B402" w14:textId="77777777" w:rsidR="00C56203" w:rsidRDefault="00CD5102">
            <w:pPr>
              <w:keepNext/>
              <w:tabs>
                <w:tab w:val="left" w:pos="604"/>
              </w:tabs>
              <w:spacing w:before="75" w:after="30"/>
              <w:jc w:val="right"/>
            </w:pPr>
            <w:r>
              <w:rPr>
                <w:color w:val="000000"/>
                <w:sz w:val="18"/>
              </w:rPr>
              <w:tab/>
              <w:t>(1)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2FB9D00" w14:textId="77777777" w:rsidR="00C56203" w:rsidRDefault="00C56203">
            <w:pPr>
              <w:keepNext/>
            </w:pP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9C2CE88" w14:textId="77777777" w:rsidR="00C56203" w:rsidRDefault="00CD5102">
            <w:pPr>
              <w:keepNext/>
              <w:tabs>
                <w:tab w:val="left" w:pos="514"/>
              </w:tabs>
              <w:spacing w:before="75" w:after="30"/>
              <w:jc w:val="right"/>
            </w:pPr>
            <w:r>
              <w:rPr>
                <w:color w:val="000000"/>
                <w:sz w:val="18"/>
              </w:rPr>
              <w:tab/>
              <w:t>(10)</w:t>
            </w:r>
          </w:p>
        </w:tc>
      </w:tr>
      <w:tr w:rsidR="00C56203" w14:paraId="6FD513E1" w14:textId="77777777">
        <w:trPr>
          <w:cantSplit/>
          <w:trHeight w:hRule="exact" w:val="285"/>
        </w:trPr>
        <w:tc>
          <w:tcPr>
            <w:tcW w:w="7995" w:type="dxa"/>
            <w:tcBorders>
              <w:top w:val="nil"/>
              <w:left w:val="nil"/>
              <w:bottom w:val="nil"/>
              <w:right w:val="nil"/>
            </w:tcBorders>
            <w:shd w:val="clear" w:color="auto" w:fill="CCEEFF"/>
            <w:tcMar>
              <w:top w:w="0" w:type="dxa"/>
              <w:left w:w="53" w:type="dxa"/>
              <w:bottom w:w="0" w:type="dxa"/>
              <w:right w:w="53" w:type="dxa"/>
            </w:tcMar>
            <w:vAlign w:val="bottom"/>
          </w:tcPr>
          <w:p w14:paraId="56304A50" w14:textId="77777777" w:rsidR="00C56203" w:rsidRDefault="00CD5102">
            <w:pPr>
              <w:keepNext/>
              <w:spacing w:before="55" w:after="30"/>
              <w:ind w:left="135"/>
            </w:pPr>
            <w:r>
              <w:rPr>
                <w:color w:val="000000"/>
                <w:sz w:val="18"/>
              </w:rPr>
              <w:t xml:space="preserve">Adjusted restructuring, integration, separation and IPO </w:t>
            </w:r>
            <w:r>
              <w:rPr>
                <w:color w:val="000000"/>
                <w:sz w:val="18"/>
              </w:rPr>
              <w:t>costs (non-GAAP)</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59FBADA" w14:textId="77777777" w:rsidR="00C56203" w:rsidRDefault="00C56203">
            <w:pPr>
              <w:keepNext/>
            </w:pPr>
          </w:p>
        </w:tc>
        <w:tc>
          <w:tcPr>
            <w:tcW w:w="9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BD0043B" w14:textId="77777777" w:rsidR="00C56203" w:rsidRDefault="00CD5102">
            <w:pPr>
              <w:keepNext/>
              <w:tabs>
                <w:tab w:val="left" w:pos="594"/>
                <w:tab w:val="left" w:pos="832"/>
              </w:tabs>
              <w:spacing w:before="55"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63F0666" w14:textId="77777777" w:rsidR="00C56203" w:rsidRDefault="00C56203">
            <w:pPr>
              <w:keepNext/>
            </w:pPr>
          </w:p>
        </w:tc>
        <w:tc>
          <w:tcPr>
            <w:tcW w:w="9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1AE57563" w14:textId="77777777" w:rsidR="00C56203" w:rsidRDefault="00CD5102">
            <w:pPr>
              <w:keepNext/>
              <w:tabs>
                <w:tab w:val="left" w:pos="594"/>
                <w:tab w:val="left" w:pos="832"/>
              </w:tabs>
              <w:spacing w:before="55" w:after="30"/>
              <w:jc w:val="right"/>
            </w:pPr>
            <w:r>
              <w:rPr>
                <w:color w:val="000000"/>
                <w:sz w:val="18"/>
              </w:rPr>
              <w:t>$</w:t>
            </w:r>
            <w:r>
              <w:rPr>
                <w:color w:val="000000"/>
                <w:sz w:val="18"/>
              </w:rPr>
              <w:tab/>
              <w:t>—</w:t>
            </w:r>
            <w:r>
              <w:rPr>
                <w:color w:val="000000"/>
                <w:sz w:val="18"/>
              </w:rPr>
              <w:tab/>
            </w:r>
          </w:p>
        </w:tc>
      </w:tr>
      <w:tr w:rsidR="00C56203" w14:paraId="3D0B509D" w14:textId="77777777">
        <w:trPr>
          <w:cantSplit/>
          <w:trHeight w:hRule="exact" w:val="315"/>
        </w:trPr>
        <w:tc>
          <w:tcPr>
            <w:tcW w:w="7995" w:type="dxa"/>
            <w:tcBorders>
              <w:top w:val="nil"/>
              <w:left w:val="nil"/>
              <w:bottom w:val="nil"/>
              <w:right w:val="nil"/>
            </w:tcBorders>
            <w:shd w:val="clear" w:color="auto" w:fill="FFFFFF"/>
            <w:tcMar>
              <w:top w:w="0" w:type="dxa"/>
              <w:left w:w="53" w:type="dxa"/>
              <w:bottom w:w="0" w:type="dxa"/>
              <w:right w:w="53" w:type="dxa"/>
            </w:tcMar>
            <w:vAlign w:val="bottom"/>
          </w:tcPr>
          <w:p w14:paraId="5C68926D" w14:textId="77777777" w:rsidR="00C56203" w:rsidRDefault="00CD5102">
            <w:pPr>
              <w:keepNext/>
              <w:spacing w:before="15" w:after="30"/>
              <w:rPr>
                <w:b/>
                <w:sz w:val="18"/>
              </w:rPr>
            </w:pPr>
            <w:r>
              <w:rPr>
                <w:b/>
                <w:color w:val="000000"/>
                <w:sz w:val="18"/>
              </w:rPr>
              <w:t>Other expense (income), net</w:t>
            </w:r>
            <w:r>
              <w:rPr>
                <w:b/>
                <w:sz w:val="18"/>
              </w:rPr>
              <w:t xml:space="preserve"> reconciliation:</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2C64AD2" w14:textId="77777777" w:rsidR="00C56203" w:rsidRDefault="00C56203">
            <w:pPr>
              <w:keepNext/>
            </w:pPr>
          </w:p>
        </w:tc>
        <w:tc>
          <w:tcPr>
            <w:tcW w:w="900"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7C31315A"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63F4C73" w14:textId="77777777" w:rsidR="00C56203" w:rsidRDefault="00C56203">
            <w:pPr>
              <w:keepNext/>
            </w:pPr>
          </w:p>
        </w:tc>
        <w:tc>
          <w:tcPr>
            <w:tcW w:w="900"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456489E8" w14:textId="77777777" w:rsidR="00C56203" w:rsidRDefault="00C56203">
            <w:pPr>
              <w:keepNext/>
            </w:pPr>
          </w:p>
        </w:tc>
      </w:tr>
      <w:tr w:rsidR="00C56203" w14:paraId="5B272087" w14:textId="77777777">
        <w:trPr>
          <w:cantSplit/>
          <w:trHeight w:hRule="exact" w:val="285"/>
        </w:trPr>
        <w:tc>
          <w:tcPr>
            <w:tcW w:w="7995" w:type="dxa"/>
            <w:tcBorders>
              <w:top w:val="nil"/>
              <w:left w:val="nil"/>
              <w:bottom w:val="nil"/>
              <w:right w:val="nil"/>
            </w:tcBorders>
            <w:shd w:val="clear" w:color="auto" w:fill="CCEEFF"/>
            <w:tcMar>
              <w:top w:w="0" w:type="dxa"/>
              <w:left w:w="53" w:type="dxa"/>
              <w:bottom w:w="0" w:type="dxa"/>
              <w:right w:w="53" w:type="dxa"/>
            </w:tcMar>
            <w:vAlign w:val="bottom"/>
          </w:tcPr>
          <w:p w14:paraId="76206DE0" w14:textId="77777777" w:rsidR="00C56203" w:rsidRDefault="00CD5102">
            <w:pPr>
              <w:keepNext/>
              <w:spacing w:before="75" w:after="30"/>
              <w:ind w:left="135"/>
              <w:rPr>
                <w:sz w:val="18"/>
              </w:rPr>
            </w:pPr>
            <w:r>
              <w:rPr>
                <w:sz w:val="18"/>
              </w:rPr>
              <w:t xml:space="preserve">GAAP </w:t>
            </w:r>
            <w:r>
              <w:rPr>
                <w:color w:val="000000"/>
                <w:sz w:val="18"/>
              </w:rPr>
              <w:t>Other expense (income), net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5241838" w14:textId="77777777" w:rsidR="00C56203" w:rsidRDefault="00C56203">
            <w:pPr>
              <w:keepNext/>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14:paraId="64C20145" w14:textId="77777777" w:rsidR="00C56203" w:rsidRDefault="00CD5102">
            <w:pPr>
              <w:keepNext/>
              <w:tabs>
                <w:tab w:val="left" w:pos="594"/>
                <w:tab w:val="left" w:pos="832"/>
              </w:tabs>
              <w:spacing w:before="75" w:after="30"/>
              <w:jc w:val="right"/>
            </w:pPr>
            <w:r>
              <w:rPr>
                <w:color w:val="000000"/>
                <w:sz w:val="18"/>
              </w:rPr>
              <w:t>$</w:t>
            </w:r>
            <w:r>
              <w:rPr>
                <w:color w:val="000000"/>
                <w:sz w:val="18"/>
              </w:rPr>
              <w:tab/>
              <w:t>23</w:t>
            </w:r>
            <w:r>
              <w:rPr>
                <w:color w:val="000000"/>
                <w:sz w:val="18"/>
              </w:rPr>
              <w:tab/>
            </w: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01B7A79C" w14:textId="77777777" w:rsidR="00C56203" w:rsidRDefault="00C56203">
            <w:pPr>
              <w:keepNext/>
              <w:spacing w:before="75" w:after="3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14:paraId="7DA5C297" w14:textId="77777777" w:rsidR="00C56203" w:rsidRDefault="00CD5102">
            <w:pPr>
              <w:keepNext/>
              <w:tabs>
                <w:tab w:val="left" w:pos="684"/>
                <w:tab w:val="left" w:pos="832"/>
              </w:tabs>
              <w:spacing w:before="75" w:after="30"/>
              <w:jc w:val="right"/>
            </w:pPr>
            <w:r>
              <w:rPr>
                <w:color w:val="000000"/>
                <w:sz w:val="18"/>
              </w:rPr>
              <w:t>$</w:t>
            </w:r>
            <w:r>
              <w:rPr>
                <w:color w:val="000000"/>
                <w:sz w:val="18"/>
              </w:rPr>
              <w:tab/>
              <w:t>2</w:t>
            </w:r>
            <w:r>
              <w:rPr>
                <w:color w:val="000000"/>
                <w:sz w:val="18"/>
              </w:rPr>
              <w:tab/>
            </w:r>
          </w:p>
        </w:tc>
      </w:tr>
      <w:tr w:rsidR="00C56203" w14:paraId="0F5F273F" w14:textId="77777777">
        <w:trPr>
          <w:cantSplit/>
          <w:trHeight w:hRule="exact" w:val="285"/>
        </w:trPr>
        <w:tc>
          <w:tcPr>
            <w:tcW w:w="7995" w:type="dxa"/>
            <w:tcBorders>
              <w:top w:val="nil"/>
              <w:left w:val="nil"/>
              <w:bottom w:val="nil"/>
              <w:right w:val="nil"/>
            </w:tcBorders>
            <w:shd w:val="clear" w:color="auto" w:fill="FFFFFF"/>
            <w:tcMar>
              <w:top w:w="0" w:type="dxa"/>
              <w:left w:w="53" w:type="dxa"/>
              <w:bottom w:w="0" w:type="dxa"/>
              <w:right w:w="53" w:type="dxa"/>
            </w:tcMar>
            <w:vAlign w:val="bottom"/>
          </w:tcPr>
          <w:p w14:paraId="0717CDC3" w14:textId="77777777" w:rsidR="00C56203" w:rsidRDefault="00CD5102">
            <w:pPr>
              <w:keepNext/>
              <w:spacing w:before="75" w:after="30"/>
              <w:ind w:left="135"/>
              <w:rPr>
                <w:sz w:val="18"/>
              </w:rPr>
            </w:pPr>
            <w:r>
              <w:rPr>
                <w:sz w:val="18"/>
              </w:rPr>
              <w:t xml:space="preserve">Litigation and other matters </w:t>
            </w:r>
            <w:r>
              <w:rPr>
                <w:sz w:val="18"/>
                <w:vertAlign w:val="superscript"/>
              </w:rPr>
              <w:t>(g)</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73D68D7" w14:textId="77777777" w:rsidR="00C56203" w:rsidRDefault="00C56203">
            <w:pPr>
              <w:keepNext/>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14:paraId="49EBC005" w14:textId="77777777" w:rsidR="00C56203" w:rsidRDefault="00CD5102">
            <w:pPr>
              <w:keepNext/>
              <w:tabs>
                <w:tab w:val="left" w:pos="684"/>
                <w:tab w:val="left" w:pos="832"/>
              </w:tabs>
              <w:spacing w:before="75" w:after="30"/>
              <w:jc w:val="right"/>
            </w:pPr>
            <w:r>
              <w:rPr>
                <w:color w:val="000000"/>
                <w:sz w:val="18"/>
              </w:rPr>
              <w:tab/>
              <w:t>8</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4325754" w14:textId="77777777" w:rsidR="00C56203" w:rsidRDefault="00C56203">
            <w:pPr>
              <w:keepNext/>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14:paraId="4A4D37B6" w14:textId="77777777" w:rsidR="00C56203" w:rsidRDefault="00CD5102">
            <w:pPr>
              <w:keepNext/>
              <w:tabs>
                <w:tab w:val="left" w:pos="684"/>
                <w:tab w:val="left" w:pos="832"/>
              </w:tabs>
              <w:spacing w:before="75" w:after="30"/>
              <w:jc w:val="right"/>
            </w:pPr>
            <w:r>
              <w:rPr>
                <w:color w:val="000000"/>
                <w:sz w:val="18"/>
              </w:rPr>
              <w:tab/>
              <w:t>1</w:t>
            </w:r>
            <w:r>
              <w:rPr>
                <w:color w:val="000000"/>
                <w:sz w:val="18"/>
              </w:rPr>
              <w:tab/>
            </w:r>
          </w:p>
        </w:tc>
      </w:tr>
      <w:tr w:rsidR="00C56203" w14:paraId="0897D382" w14:textId="77777777">
        <w:trPr>
          <w:cantSplit/>
          <w:trHeight w:hRule="exact" w:val="285"/>
        </w:trPr>
        <w:tc>
          <w:tcPr>
            <w:tcW w:w="7995" w:type="dxa"/>
            <w:tcBorders>
              <w:top w:val="nil"/>
              <w:left w:val="nil"/>
              <w:bottom w:val="nil"/>
              <w:right w:val="nil"/>
            </w:tcBorders>
            <w:shd w:val="clear" w:color="auto" w:fill="CCEEFF"/>
            <w:tcMar>
              <w:top w:w="0" w:type="dxa"/>
              <w:left w:w="53" w:type="dxa"/>
              <w:bottom w:w="0" w:type="dxa"/>
              <w:right w:w="53" w:type="dxa"/>
            </w:tcMar>
            <w:vAlign w:val="bottom"/>
          </w:tcPr>
          <w:p w14:paraId="50716577" w14:textId="77777777" w:rsidR="00C56203" w:rsidRDefault="00CD5102">
            <w:pPr>
              <w:keepNext/>
              <w:spacing w:before="75" w:after="30"/>
              <w:ind w:left="135"/>
              <w:rPr>
                <w:sz w:val="18"/>
              </w:rPr>
            </w:pPr>
            <w:r>
              <w:rPr>
                <w:sz w:val="18"/>
              </w:rPr>
              <w:t xml:space="preserve">Acquisition-related contingent consideration </w:t>
            </w:r>
            <w:r>
              <w:rPr>
                <w:sz w:val="18"/>
                <w:vertAlign w:val="superscript"/>
              </w:rPr>
              <w:t>(h)</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94E6E4F" w14:textId="77777777" w:rsidR="00C56203" w:rsidRDefault="00C56203">
            <w:pPr>
              <w:keepNext/>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14:paraId="40EA8BA4" w14:textId="77777777" w:rsidR="00C56203" w:rsidRDefault="00CD5102">
            <w:pPr>
              <w:keepNext/>
              <w:tabs>
                <w:tab w:val="left" w:pos="514"/>
              </w:tabs>
              <w:spacing w:before="75" w:after="30"/>
              <w:jc w:val="right"/>
            </w:pPr>
            <w:r>
              <w:rPr>
                <w:color w:val="000000"/>
                <w:sz w:val="18"/>
              </w:rPr>
              <w:tab/>
              <w:t>(31)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0FBDC3D" w14:textId="77777777" w:rsidR="00C56203" w:rsidRDefault="00C56203">
            <w:pPr>
              <w:keepNext/>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14:paraId="593CB27A" w14:textId="77777777" w:rsidR="00C56203" w:rsidRDefault="00CD5102">
            <w:pPr>
              <w:keepNext/>
              <w:tabs>
                <w:tab w:val="left" w:pos="604"/>
              </w:tabs>
              <w:spacing w:before="75" w:after="30"/>
              <w:jc w:val="right"/>
            </w:pPr>
            <w:r>
              <w:rPr>
                <w:color w:val="000000"/>
                <w:sz w:val="18"/>
              </w:rPr>
              <w:tab/>
              <w:t>(3)</w:t>
            </w:r>
          </w:p>
        </w:tc>
      </w:tr>
      <w:tr w:rsidR="00C56203" w14:paraId="672D1DD5" w14:textId="77777777">
        <w:trPr>
          <w:cantSplit/>
          <w:trHeight w:hRule="exact" w:val="285"/>
        </w:trPr>
        <w:tc>
          <w:tcPr>
            <w:tcW w:w="7995" w:type="dxa"/>
            <w:tcBorders>
              <w:top w:val="nil"/>
              <w:left w:val="nil"/>
              <w:bottom w:val="nil"/>
              <w:right w:val="nil"/>
            </w:tcBorders>
            <w:shd w:val="clear" w:color="auto" w:fill="FFFFFF"/>
            <w:tcMar>
              <w:top w:w="0" w:type="dxa"/>
              <w:left w:w="53" w:type="dxa"/>
              <w:bottom w:w="0" w:type="dxa"/>
              <w:right w:w="53" w:type="dxa"/>
            </w:tcMar>
            <w:vAlign w:val="bottom"/>
          </w:tcPr>
          <w:p w14:paraId="4399D15B" w14:textId="77777777" w:rsidR="00C56203" w:rsidRDefault="00CD5102">
            <w:pPr>
              <w:spacing w:before="55" w:after="30"/>
              <w:ind w:left="135"/>
            </w:pPr>
            <w:r>
              <w:rPr>
                <w:color w:val="000000"/>
                <w:sz w:val="18"/>
              </w:rPr>
              <w:t>Adjusted other expense, net (non-GAAP)</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F01738F" w14:textId="77777777" w:rsidR="00C56203" w:rsidRDefault="00C56203"/>
        </w:tc>
        <w:tc>
          <w:tcPr>
            <w:tcW w:w="9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5BB3D8A" w14:textId="77777777" w:rsidR="00C56203" w:rsidRDefault="00CD5102">
            <w:pPr>
              <w:tabs>
                <w:tab w:val="left" w:pos="594"/>
                <w:tab w:val="left" w:pos="832"/>
              </w:tabs>
              <w:spacing w:before="55"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B34DC6F" w14:textId="77777777" w:rsidR="00C56203" w:rsidRDefault="00C56203"/>
        </w:tc>
        <w:tc>
          <w:tcPr>
            <w:tcW w:w="9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5F94732" w14:textId="77777777" w:rsidR="00C56203" w:rsidRDefault="00CD5102">
            <w:pPr>
              <w:tabs>
                <w:tab w:val="left" w:pos="594"/>
                <w:tab w:val="left" w:pos="832"/>
              </w:tabs>
              <w:spacing w:before="55" w:after="30"/>
              <w:jc w:val="right"/>
            </w:pPr>
            <w:r>
              <w:rPr>
                <w:color w:val="000000"/>
                <w:sz w:val="18"/>
              </w:rPr>
              <w:t>$</w:t>
            </w:r>
            <w:r>
              <w:rPr>
                <w:color w:val="000000"/>
                <w:sz w:val="18"/>
              </w:rPr>
              <w:tab/>
              <w:t>—</w:t>
            </w:r>
            <w:r>
              <w:rPr>
                <w:color w:val="000000"/>
                <w:sz w:val="18"/>
              </w:rPr>
              <w:tab/>
            </w:r>
          </w:p>
        </w:tc>
      </w:tr>
    </w:tbl>
    <w:p w14:paraId="48DE57F5" w14:textId="77777777" w:rsidR="00C56203" w:rsidRDefault="00C56203">
      <w:pPr>
        <w:spacing w:line="288" w:lineRule="auto"/>
        <w:ind w:left="270" w:hanging="270"/>
        <w:jc w:val="both"/>
        <w:rPr>
          <w:sz w:val="18"/>
        </w:rPr>
      </w:pPr>
    </w:p>
    <w:p w14:paraId="14E13B35" w14:textId="77777777" w:rsidR="00C56203" w:rsidRDefault="00C56203">
      <w:pPr>
        <w:spacing w:line="288" w:lineRule="auto"/>
        <w:ind w:left="270" w:hanging="270"/>
        <w:jc w:val="both"/>
        <w:rPr>
          <w:sz w:val="18"/>
        </w:rPr>
      </w:pPr>
    </w:p>
    <w:p w14:paraId="1FA914A2" w14:textId="77777777" w:rsidR="00C56203" w:rsidRDefault="00C56203">
      <w:pPr>
        <w:spacing w:line="288" w:lineRule="auto"/>
        <w:ind w:left="270" w:hanging="270"/>
        <w:jc w:val="both"/>
        <w:rPr>
          <w:sz w:val="18"/>
        </w:rPr>
      </w:pPr>
    </w:p>
    <w:p w14:paraId="34893D0E" w14:textId="77777777" w:rsidR="00C56203" w:rsidRDefault="00C56203">
      <w:pPr>
        <w:spacing w:line="288" w:lineRule="auto"/>
        <w:ind w:left="270" w:hanging="270"/>
        <w:jc w:val="both"/>
        <w:rPr>
          <w:sz w:val="18"/>
        </w:rPr>
      </w:pPr>
    </w:p>
    <w:p w14:paraId="0FF81064" w14:textId="77777777" w:rsidR="00C56203" w:rsidRDefault="00CD5102">
      <w:pPr>
        <w:spacing w:line="288" w:lineRule="auto"/>
        <w:jc w:val="center"/>
        <w:rPr>
          <w:sz w:val="18"/>
        </w:rPr>
      </w:pPr>
      <w:r>
        <w:rPr>
          <w:sz w:val="18"/>
        </w:rPr>
        <w:br w:type="page"/>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2"/>
        <w:gridCol w:w="75"/>
        <w:gridCol w:w="896"/>
        <w:gridCol w:w="126"/>
        <w:gridCol w:w="896"/>
      </w:tblGrid>
      <w:tr w:rsidR="00C56203" w14:paraId="2C7DE75D" w14:textId="77777777">
        <w:trPr>
          <w:cantSplit/>
          <w:trHeight w:hRule="exact" w:val="285"/>
          <w:jc w:val="center"/>
        </w:trPr>
        <w:tc>
          <w:tcPr>
            <w:tcW w:w="7455" w:type="dxa"/>
            <w:tcBorders>
              <w:top w:val="nil"/>
              <w:left w:val="nil"/>
              <w:bottom w:val="nil"/>
              <w:right w:val="nil"/>
            </w:tcBorders>
            <w:tcMar>
              <w:top w:w="0" w:type="dxa"/>
              <w:left w:w="53" w:type="dxa"/>
              <w:bottom w:w="0" w:type="dxa"/>
              <w:right w:w="53" w:type="dxa"/>
            </w:tcMar>
            <w:vAlign w:val="bottom"/>
          </w:tcPr>
          <w:p w14:paraId="3A9978B0" w14:textId="77777777" w:rsidR="00C56203" w:rsidRDefault="00CD5102">
            <w:pPr>
              <w:keepNext/>
              <w:spacing w:before="75" w:after="30"/>
            </w:pPr>
            <w:r>
              <w:rPr>
                <w:b/>
                <w:color w:val="000000"/>
                <w:sz w:val="18"/>
              </w:rPr>
              <w:lastRenderedPageBreak/>
              <w:t>Bausch Health Companies Inc.</w:t>
            </w:r>
          </w:p>
        </w:tc>
        <w:tc>
          <w:tcPr>
            <w:tcW w:w="75" w:type="dxa"/>
            <w:tcBorders>
              <w:top w:val="nil"/>
              <w:left w:val="nil"/>
              <w:bottom w:val="nil"/>
              <w:right w:val="nil"/>
            </w:tcBorders>
            <w:tcMar>
              <w:top w:w="0" w:type="dxa"/>
              <w:left w:w="0" w:type="dxa"/>
              <w:bottom w:w="0" w:type="dxa"/>
              <w:right w:w="0" w:type="dxa"/>
            </w:tcMar>
            <w:vAlign w:val="bottom"/>
          </w:tcPr>
          <w:p w14:paraId="2CB7BFCC" w14:textId="77777777" w:rsidR="00C56203" w:rsidRDefault="00C56203">
            <w:pPr>
              <w:keepNext/>
            </w:pPr>
          </w:p>
        </w:tc>
        <w:tc>
          <w:tcPr>
            <w:tcW w:w="1875" w:type="dxa"/>
            <w:gridSpan w:val="3"/>
            <w:tcBorders>
              <w:top w:val="nil"/>
              <w:left w:val="nil"/>
              <w:bottom w:val="nil"/>
              <w:right w:val="nil"/>
            </w:tcBorders>
            <w:tcMar>
              <w:top w:w="0" w:type="dxa"/>
              <w:left w:w="0" w:type="dxa"/>
              <w:bottom w:w="0" w:type="dxa"/>
              <w:right w:w="53" w:type="dxa"/>
            </w:tcMar>
            <w:vAlign w:val="bottom"/>
          </w:tcPr>
          <w:p w14:paraId="2045B001" w14:textId="77777777" w:rsidR="00C56203" w:rsidRDefault="00CD5102">
            <w:pPr>
              <w:keepNext/>
              <w:spacing w:before="75" w:after="30"/>
              <w:jc w:val="right"/>
            </w:pPr>
            <w:r>
              <w:rPr>
                <w:b/>
                <w:color w:val="000000"/>
                <w:sz w:val="18"/>
              </w:rPr>
              <w:t>Table 2a (continued)</w:t>
            </w:r>
          </w:p>
        </w:tc>
      </w:tr>
      <w:tr w:rsidR="00C56203" w14:paraId="5A0F3B0A" w14:textId="77777777">
        <w:trPr>
          <w:cantSplit/>
          <w:trHeight w:hRule="exact" w:val="285"/>
          <w:jc w:val="center"/>
        </w:trPr>
        <w:tc>
          <w:tcPr>
            <w:tcW w:w="7455" w:type="dxa"/>
            <w:tcBorders>
              <w:top w:val="nil"/>
              <w:left w:val="nil"/>
              <w:bottom w:val="nil"/>
              <w:right w:val="nil"/>
            </w:tcBorders>
            <w:tcMar>
              <w:top w:w="0" w:type="dxa"/>
              <w:left w:w="53" w:type="dxa"/>
              <w:bottom w:w="0" w:type="dxa"/>
              <w:right w:w="53" w:type="dxa"/>
            </w:tcMar>
            <w:vAlign w:val="bottom"/>
          </w:tcPr>
          <w:p w14:paraId="75219BD2" w14:textId="77777777" w:rsidR="00C56203" w:rsidRDefault="00CD5102">
            <w:pPr>
              <w:keepNext/>
              <w:spacing w:before="75" w:after="30"/>
            </w:pPr>
            <w:r>
              <w:rPr>
                <w:b/>
                <w:color w:val="000000"/>
                <w:sz w:val="18"/>
              </w:rPr>
              <w:t>Reconciliation of GAAP to Non-GAAP Financial Information</w:t>
            </w:r>
          </w:p>
        </w:tc>
        <w:tc>
          <w:tcPr>
            <w:tcW w:w="75" w:type="dxa"/>
            <w:tcBorders>
              <w:top w:val="nil"/>
              <w:left w:val="nil"/>
              <w:bottom w:val="nil"/>
              <w:right w:val="nil"/>
            </w:tcBorders>
            <w:tcMar>
              <w:top w:w="0" w:type="dxa"/>
              <w:left w:w="0" w:type="dxa"/>
              <w:bottom w:w="0" w:type="dxa"/>
              <w:right w:w="0" w:type="dxa"/>
            </w:tcMar>
            <w:vAlign w:val="bottom"/>
          </w:tcPr>
          <w:p w14:paraId="2563BA9B" w14:textId="77777777" w:rsidR="00C56203" w:rsidRDefault="00C56203">
            <w:pPr>
              <w:keepNext/>
            </w:pPr>
          </w:p>
        </w:tc>
        <w:tc>
          <w:tcPr>
            <w:tcW w:w="900" w:type="dxa"/>
            <w:tcBorders>
              <w:top w:val="nil"/>
              <w:left w:val="nil"/>
              <w:bottom w:val="nil"/>
              <w:right w:val="nil"/>
            </w:tcBorders>
            <w:tcMar>
              <w:top w:w="0" w:type="dxa"/>
              <w:left w:w="0" w:type="dxa"/>
              <w:bottom w:w="0" w:type="dxa"/>
              <w:right w:w="0" w:type="dxa"/>
            </w:tcMar>
            <w:vAlign w:val="bottom"/>
          </w:tcPr>
          <w:p w14:paraId="7DFA94C3"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1129EF7C" w14:textId="77777777" w:rsidR="00C56203" w:rsidRDefault="00C56203">
            <w:pPr>
              <w:keepNext/>
            </w:pPr>
          </w:p>
        </w:tc>
        <w:tc>
          <w:tcPr>
            <w:tcW w:w="900" w:type="dxa"/>
            <w:tcBorders>
              <w:top w:val="nil"/>
              <w:left w:val="nil"/>
              <w:bottom w:val="nil"/>
              <w:right w:val="nil"/>
            </w:tcBorders>
            <w:tcMar>
              <w:top w:w="0" w:type="dxa"/>
              <w:left w:w="0" w:type="dxa"/>
              <w:bottom w:w="0" w:type="dxa"/>
              <w:right w:w="0" w:type="dxa"/>
            </w:tcMar>
            <w:vAlign w:val="bottom"/>
          </w:tcPr>
          <w:p w14:paraId="10D5183B" w14:textId="77777777" w:rsidR="00C56203" w:rsidRDefault="00C56203">
            <w:pPr>
              <w:keepNext/>
            </w:pPr>
          </w:p>
        </w:tc>
      </w:tr>
      <w:tr w:rsidR="00C56203" w14:paraId="513810C8" w14:textId="77777777">
        <w:trPr>
          <w:cantSplit/>
          <w:trHeight w:hRule="exact" w:val="285"/>
          <w:jc w:val="center"/>
        </w:trPr>
        <w:tc>
          <w:tcPr>
            <w:tcW w:w="7455" w:type="dxa"/>
            <w:tcBorders>
              <w:top w:val="nil"/>
              <w:left w:val="nil"/>
              <w:bottom w:val="nil"/>
              <w:right w:val="nil"/>
            </w:tcBorders>
            <w:tcMar>
              <w:top w:w="0" w:type="dxa"/>
              <w:left w:w="53" w:type="dxa"/>
              <w:bottom w:w="0" w:type="dxa"/>
              <w:right w:w="53" w:type="dxa"/>
            </w:tcMar>
            <w:vAlign w:val="bottom"/>
          </w:tcPr>
          <w:p w14:paraId="1558E3E6" w14:textId="77777777" w:rsidR="00C56203" w:rsidRDefault="00CD5102">
            <w:pPr>
              <w:keepNext/>
              <w:spacing w:before="75" w:after="30"/>
            </w:pPr>
            <w:r>
              <w:rPr>
                <w:b/>
                <w:color w:val="000000"/>
                <w:sz w:val="18"/>
              </w:rPr>
              <w:t xml:space="preserve">For the Three </w:t>
            </w:r>
            <w:r>
              <w:rPr>
                <w:b/>
                <w:color w:val="000000"/>
                <w:sz w:val="18"/>
              </w:rPr>
              <w:t>Months Ended March 31, 2023 and 2022</w:t>
            </w:r>
          </w:p>
        </w:tc>
        <w:tc>
          <w:tcPr>
            <w:tcW w:w="75" w:type="dxa"/>
            <w:tcBorders>
              <w:top w:val="nil"/>
              <w:left w:val="nil"/>
              <w:bottom w:val="nil"/>
              <w:right w:val="nil"/>
            </w:tcBorders>
            <w:tcMar>
              <w:top w:w="0" w:type="dxa"/>
              <w:left w:w="0" w:type="dxa"/>
              <w:bottom w:w="0" w:type="dxa"/>
              <w:right w:w="0" w:type="dxa"/>
            </w:tcMar>
            <w:vAlign w:val="bottom"/>
          </w:tcPr>
          <w:p w14:paraId="0E2BAC4D" w14:textId="77777777" w:rsidR="00C56203" w:rsidRDefault="00C56203">
            <w:pPr>
              <w:keepNext/>
            </w:pPr>
          </w:p>
        </w:tc>
        <w:tc>
          <w:tcPr>
            <w:tcW w:w="900" w:type="dxa"/>
            <w:tcBorders>
              <w:top w:val="nil"/>
              <w:left w:val="nil"/>
              <w:bottom w:val="nil"/>
              <w:right w:val="nil"/>
            </w:tcBorders>
            <w:tcMar>
              <w:top w:w="0" w:type="dxa"/>
              <w:left w:w="0" w:type="dxa"/>
              <w:bottom w:w="0" w:type="dxa"/>
              <w:right w:w="0" w:type="dxa"/>
            </w:tcMar>
            <w:vAlign w:val="bottom"/>
          </w:tcPr>
          <w:p w14:paraId="3C7DACDC"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3C5D582D" w14:textId="77777777" w:rsidR="00C56203" w:rsidRDefault="00C56203">
            <w:pPr>
              <w:keepNext/>
            </w:pPr>
          </w:p>
        </w:tc>
        <w:tc>
          <w:tcPr>
            <w:tcW w:w="900" w:type="dxa"/>
            <w:tcBorders>
              <w:top w:val="nil"/>
              <w:left w:val="nil"/>
              <w:bottom w:val="nil"/>
              <w:right w:val="nil"/>
            </w:tcBorders>
            <w:tcMar>
              <w:top w:w="0" w:type="dxa"/>
              <w:left w:w="0" w:type="dxa"/>
              <w:bottom w:w="0" w:type="dxa"/>
              <w:right w:w="0" w:type="dxa"/>
            </w:tcMar>
            <w:vAlign w:val="bottom"/>
          </w:tcPr>
          <w:p w14:paraId="640C9189" w14:textId="77777777" w:rsidR="00C56203" w:rsidRDefault="00C56203">
            <w:pPr>
              <w:keepNext/>
            </w:pPr>
          </w:p>
        </w:tc>
      </w:tr>
      <w:tr w:rsidR="00C56203" w14:paraId="7372E433" w14:textId="77777777">
        <w:trPr>
          <w:cantSplit/>
          <w:trHeight w:hRule="exact" w:val="285"/>
          <w:jc w:val="center"/>
        </w:trPr>
        <w:tc>
          <w:tcPr>
            <w:tcW w:w="7455" w:type="dxa"/>
            <w:tcBorders>
              <w:top w:val="nil"/>
              <w:left w:val="nil"/>
              <w:bottom w:val="nil"/>
              <w:right w:val="nil"/>
            </w:tcBorders>
            <w:tcMar>
              <w:top w:w="0" w:type="dxa"/>
              <w:left w:w="53" w:type="dxa"/>
              <w:bottom w:w="0" w:type="dxa"/>
              <w:right w:w="53" w:type="dxa"/>
            </w:tcMar>
            <w:vAlign w:val="bottom"/>
          </w:tcPr>
          <w:p w14:paraId="6EE8A497" w14:textId="77777777" w:rsidR="00C56203" w:rsidRDefault="00CD5102">
            <w:pPr>
              <w:keepNext/>
              <w:spacing w:before="75" w:after="30"/>
            </w:pPr>
            <w:r>
              <w:rPr>
                <w:b/>
                <w:color w:val="000000"/>
                <w:sz w:val="18"/>
              </w:rPr>
              <w:t>(unaudited)</w:t>
            </w:r>
          </w:p>
        </w:tc>
        <w:tc>
          <w:tcPr>
            <w:tcW w:w="75" w:type="dxa"/>
            <w:tcBorders>
              <w:top w:val="nil"/>
              <w:left w:val="nil"/>
              <w:bottom w:val="nil"/>
              <w:right w:val="nil"/>
            </w:tcBorders>
            <w:tcMar>
              <w:top w:w="0" w:type="dxa"/>
              <w:left w:w="0" w:type="dxa"/>
              <w:bottom w:w="0" w:type="dxa"/>
              <w:right w:w="0" w:type="dxa"/>
            </w:tcMar>
            <w:vAlign w:val="bottom"/>
          </w:tcPr>
          <w:p w14:paraId="6DFF302F" w14:textId="77777777" w:rsidR="00C56203" w:rsidRDefault="00C56203">
            <w:pPr>
              <w:keepNext/>
            </w:pPr>
          </w:p>
        </w:tc>
        <w:tc>
          <w:tcPr>
            <w:tcW w:w="900" w:type="dxa"/>
            <w:tcBorders>
              <w:top w:val="nil"/>
              <w:left w:val="nil"/>
              <w:bottom w:val="nil"/>
              <w:right w:val="nil"/>
            </w:tcBorders>
            <w:tcMar>
              <w:top w:w="0" w:type="dxa"/>
              <w:left w:w="0" w:type="dxa"/>
              <w:bottom w:w="0" w:type="dxa"/>
              <w:right w:w="0" w:type="dxa"/>
            </w:tcMar>
            <w:vAlign w:val="bottom"/>
          </w:tcPr>
          <w:p w14:paraId="71E87AAD"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7EB72592" w14:textId="77777777" w:rsidR="00C56203" w:rsidRDefault="00C56203">
            <w:pPr>
              <w:keepNext/>
            </w:pPr>
          </w:p>
        </w:tc>
        <w:tc>
          <w:tcPr>
            <w:tcW w:w="900" w:type="dxa"/>
            <w:tcBorders>
              <w:top w:val="nil"/>
              <w:left w:val="nil"/>
              <w:bottom w:val="nil"/>
              <w:right w:val="nil"/>
            </w:tcBorders>
            <w:tcMar>
              <w:top w:w="0" w:type="dxa"/>
              <w:left w:w="0" w:type="dxa"/>
              <w:bottom w:w="0" w:type="dxa"/>
              <w:right w:w="0" w:type="dxa"/>
            </w:tcMar>
            <w:vAlign w:val="bottom"/>
          </w:tcPr>
          <w:p w14:paraId="53295370" w14:textId="77777777" w:rsidR="00C56203" w:rsidRDefault="00C56203">
            <w:pPr>
              <w:keepNext/>
            </w:pPr>
          </w:p>
        </w:tc>
      </w:tr>
      <w:tr w:rsidR="00C56203" w14:paraId="40B87A0F" w14:textId="77777777">
        <w:trPr>
          <w:cantSplit/>
          <w:trHeight w:hRule="exact" w:val="285"/>
          <w:jc w:val="center"/>
        </w:trPr>
        <w:tc>
          <w:tcPr>
            <w:tcW w:w="7455" w:type="dxa"/>
            <w:tcBorders>
              <w:top w:val="nil"/>
              <w:left w:val="nil"/>
              <w:bottom w:val="nil"/>
              <w:right w:val="nil"/>
            </w:tcBorders>
            <w:tcMar>
              <w:top w:w="0" w:type="dxa"/>
              <w:left w:w="0" w:type="dxa"/>
              <w:bottom w:w="0" w:type="dxa"/>
              <w:right w:w="0" w:type="dxa"/>
            </w:tcMar>
            <w:vAlign w:val="bottom"/>
          </w:tcPr>
          <w:p w14:paraId="19A963AD"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1261B419" w14:textId="77777777" w:rsidR="00C56203" w:rsidRDefault="00C56203">
            <w:pPr>
              <w:keepNext/>
            </w:pPr>
          </w:p>
        </w:tc>
        <w:tc>
          <w:tcPr>
            <w:tcW w:w="1875" w:type="dxa"/>
            <w:gridSpan w:val="3"/>
            <w:tcBorders>
              <w:top w:val="nil"/>
              <w:left w:val="nil"/>
              <w:bottom w:val="nil"/>
              <w:right w:val="nil"/>
            </w:tcBorders>
            <w:tcMar>
              <w:top w:w="0" w:type="dxa"/>
              <w:left w:w="53" w:type="dxa"/>
              <w:bottom w:w="0" w:type="dxa"/>
              <w:right w:w="53" w:type="dxa"/>
            </w:tcMar>
            <w:vAlign w:val="bottom"/>
          </w:tcPr>
          <w:p w14:paraId="4946EB2A" w14:textId="77777777" w:rsidR="00C56203" w:rsidRDefault="00CD5102">
            <w:pPr>
              <w:keepNext/>
              <w:spacing w:before="75" w:after="30"/>
              <w:jc w:val="center"/>
            </w:pPr>
            <w:r>
              <w:rPr>
                <w:b/>
                <w:color w:val="000000"/>
                <w:sz w:val="18"/>
              </w:rPr>
              <w:t>Three Months Ended</w:t>
            </w:r>
          </w:p>
        </w:tc>
      </w:tr>
      <w:tr w:rsidR="00C56203" w14:paraId="238D890D" w14:textId="77777777">
        <w:trPr>
          <w:cantSplit/>
          <w:trHeight w:hRule="exact" w:val="285"/>
          <w:jc w:val="center"/>
        </w:trPr>
        <w:tc>
          <w:tcPr>
            <w:tcW w:w="7455" w:type="dxa"/>
            <w:tcBorders>
              <w:top w:val="nil"/>
              <w:left w:val="nil"/>
              <w:bottom w:val="nil"/>
              <w:right w:val="nil"/>
            </w:tcBorders>
            <w:tcMar>
              <w:top w:w="0" w:type="dxa"/>
              <w:left w:w="0" w:type="dxa"/>
              <w:bottom w:w="0" w:type="dxa"/>
              <w:right w:w="0" w:type="dxa"/>
            </w:tcMar>
            <w:vAlign w:val="bottom"/>
          </w:tcPr>
          <w:p w14:paraId="002F5616"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33064C28" w14:textId="77777777" w:rsidR="00C56203" w:rsidRDefault="00C56203">
            <w:pPr>
              <w:keepNext/>
            </w:pPr>
          </w:p>
        </w:tc>
        <w:tc>
          <w:tcPr>
            <w:tcW w:w="1875" w:type="dxa"/>
            <w:gridSpan w:val="3"/>
            <w:tcBorders>
              <w:top w:val="nil"/>
              <w:left w:val="nil"/>
              <w:bottom w:val="single" w:sz="8" w:space="0" w:color="000000"/>
              <w:right w:val="nil"/>
            </w:tcBorders>
            <w:tcMar>
              <w:top w:w="0" w:type="dxa"/>
              <w:left w:w="53" w:type="dxa"/>
              <w:bottom w:w="0" w:type="dxa"/>
              <w:right w:w="53" w:type="dxa"/>
            </w:tcMar>
            <w:vAlign w:val="bottom"/>
          </w:tcPr>
          <w:p w14:paraId="13A45CEC" w14:textId="77777777" w:rsidR="00C56203" w:rsidRDefault="00CD5102">
            <w:pPr>
              <w:keepNext/>
              <w:spacing w:before="75" w:after="30"/>
              <w:jc w:val="center"/>
            </w:pPr>
            <w:r>
              <w:rPr>
                <w:b/>
                <w:color w:val="000000"/>
                <w:sz w:val="18"/>
              </w:rPr>
              <w:t>March 31,</w:t>
            </w:r>
          </w:p>
        </w:tc>
      </w:tr>
      <w:tr w:rsidR="00C56203" w14:paraId="263CBAED" w14:textId="77777777">
        <w:trPr>
          <w:cantSplit/>
          <w:trHeight w:hRule="exact" w:val="285"/>
          <w:jc w:val="center"/>
        </w:trPr>
        <w:tc>
          <w:tcPr>
            <w:tcW w:w="7455" w:type="dxa"/>
            <w:tcBorders>
              <w:top w:val="nil"/>
              <w:left w:val="nil"/>
              <w:bottom w:val="nil"/>
              <w:right w:val="nil"/>
            </w:tcBorders>
            <w:tcMar>
              <w:top w:w="0" w:type="dxa"/>
              <w:left w:w="53" w:type="dxa"/>
              <w:bottom w:w="0" w:type="dxa"/>
              <w:right w:w="53" w:type="dxa"/>
            </w:tcMar>
            <w:vAlign w:val="bottom"/>
          </w:tcPr>
          <w:p w14:paraId="07CF7DDC" w14:textId="77777777" w:rsidR="00C56203" w:rsidRDefault="00CD5102">
            <w:pPr>
              <w:keepNext/>
              <w:spacing w:before="55" w:after="30"/>
            </w:pPr>
            <w:r>
              <w:rPr>
                <w:i/>
                <w:color w:val="000000"/>
                <w:sz w:val="16"/>
              </w:rPr>
              <w:t>(in millions)</w:t>
            </w:r>
          </w:p>
        </w:tc>
        <w:tc>
          <w:tcPr>
            <w:tcW w:w="75" w:type="dxa"/>
            <w:tcBorders>
              <w:top w:val="nil"/>
              <w:left w:val="nil"/>
              <w:bottom w:val="nil"/>
              <w:right w:val="nil"/>
            </w:tcBorders>
            <w:tcMar>
              <w:top w:w="0" w:type="dxa"/>
              <w:left w:w="0" w:type="dxa"/>
              <w:bottom w:w="0" w:type="dxa"/>
              <w:right w:w="0" w:type="dxa"/>
            </w:tcMar>
            <w:vAlign w:val="bottom"/>
          </w:tcPr>
          <w:p w14:paraId="3E1C14FF" w14:textId="77777777" w:rsidR="00C56203" w:rsidRDefault="00C56203">
            <w:pPr>
              <w:keepNext/>
            </w:pPr>
          </w:p>
        </w:tc>
        <w:tc>
          <w:tcPr>
            <w:tcW w:w="900" w:type="dxa"/>
            <w:tcBorders>
              <w:top w:val="nil"/>
              <w:left w:val="nil"/>
              <w:bottom w:val="nil"/>
              <w:right w:val="nil"/>
            </w:tcBorders>
            <w:tcMar>
              <w:top w:w="0" w:type="dxa"/>
              <w:left w:w="53" w:type="dxa"/>
              <w:bottom w:w="0" w:type="dxa"/>
              <w:right w:w="53" w:type="dxa"/>
            </w:tcMar>
            <w:vAlign w:val="bottom"/>
          </w:tcPr>
          <w:p w14:paraId="565E5DB1" w14:textId="77777777" w:rsidR="00C56203" w:rsidRDefault="00CD5102">
            <w:pPr>
              <w:keepNext/>
              <w:spacing w:before="55" w:after="30"/>
              <w:jc w:val="center"/>
            </w:pPr>
            <w:r>
              <w:rPr>
                <w:b/>
                <w:color w:val="000000"/>
                <w:sz w:val="18"/>
              </w:rPr>
              <w:t>2023</w:t>
            </w:r>
          </w:p>
        </w:tc>
        <w:tc>
          <w:tcPr>
            <w:tcW w:w="75" w:type="dxa"/>
            <w:tcBorders>
              <w:top w:val="single" w:sz="8" w:space="0" w:color="000000"/>
              <w:left w:val="nil"/>
              <w:bottom w:val="nil"/>
              <w:right w:val="nil"/>
            </w:tcBorders>
            <w:tcMar>
              <w:top w:w="0" w:type="dxa"/>
              <w:left w:w="53" w:type="dxa"/>
              <w:bottom w:w="0" w:type="dxa"/>
              <w:right w:w="53" w:type="dxa"/>
            </w:tcMar>
            <w:vAlign w:val="bottom"/>
          </w:tcPr>
          <w:p w14:paraId="7D3D2E15" w14:textId="77777777" w:rsidR="00C56203" w:rsidRDefault="00C56203">
            <w:pPr>
              <w:keepNext/>
              <w:spacing w:before="55" w:after="30"/>
            </w:pPr>
          </w:p>
        </w:tc>
        <w:tc>
          <w:tcPr>
            <w:tcW w:w="900" w:type="dxa"/>
            <w:tcBorders>
              <w:top w:val="single" w:sz="8" w:space="0" w:color="000000"/>
              <w:left w:val="nil"/>
              <w:bottom w:val="nil"/>
              <w:right w:val="nil"/>
            </w:tcBorders>
            <w:tcMar>
              <w:top w:w="0" w:type="dxa"/>
              <w:left w:w="53" w:type="dxa"/>
              <w:bottom w:w="0" w:type="dxa"/>
              <w:right w:w="53" w:type="dxa"/>
            </w:tcMar>
            <w:vAlign w:val="bottom"/>
          </w:tcPr>
          <w:p w14:paraId="2F1DD337" w14:textId="77777777" w:rsidR="00C56203" w:rsidRDefault="00CD5102">
            <w:pPr>
              <w:keepNext/>
              <w:spacing w:before="55" w:after="30"/>
              <w:jc w:val="center"/>
            </w:pPr>
            <w:r>
              <w:rPr>
                <w:b/>
                <w:color w:val="000000"/>
                <w:sz w:val="18"/>
              </w:rPr>
              <w:t>2022</w:t>
            </w:r>
          </w:p>
        </w:tc>
      </w:tr>
      <w:tr w:rsidR="00C56203" w14:paraId="7C25FEE5" w14:textId="77777777">
        <w:trPr>
          <w:cantSplit/>
          <w:trHeight w:hRule="exact" w:val="315"/>
          <w:jc w:val="center"/>
        </w:trPr>
        <w:tc>
          <w:tcPr>
            <w:tcW w:w="7455" w:type="dxa"/>
            <w:tcBorders>
              <w:top w:val="nil"/>
              <w:left w:val="nil"/>
              <w:bottom w:val="nil"/>
              <w:right w:val="nil"/>
            </w:tcBorders>
            <w:shd w:val="clear" w:color="auto" w:fill="FFFFFF"/>
            <w:tcMar>
              <w:top w:w="0" w:type="dxa"/>
              <w:left w:w="53" w:type="dxa"/>
              <w:bottom w:w="0" w:type="dxa"/>
              <w:right w:w="53" w:type="dxa"/>
            </w:tcMar>
            <w:vAlign w:val="bottom"/>
          </w:tcPr>
          <w:p w14:paraId="02DBD6B1" w14:textId="77777777" w:rsidR="00C56203" w:rsidRDefault="00CD5102">
            <w:pPr>
              <w:keepNext/>
              <w:spacing w:before="55" w:after="30"/>
            </w:pPr>
            <w:r>
              <w:rPr>
                <w:b/>
                <w:color w:val="000000"/>
                <w:sz w:val="18"/>
              </w:rPr>
              <w:t>Foreign exchange and other reconciliation:</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6C7E771" w14:textId="77777777" w:rsidR="00C56203" w:rsidRDefault="00C56203">
            <w:pPr>
              <w:keepNext/>
            </w:pPr>
          </w:p>
        </w:tc>
        <w:tc>
          <w:tcPr>
            <w:tcW w:w="9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E06BB28"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346EDF5" w14:textId="77777777" w:rsidR="00C56203" w:rsidRDefault="00C56203">
            <w:pPr>
              <w:keepNext/>
            </w:pPr>
          </w:p>
        </w:tc>
        <w:tc>
          <w:tcPr>
            <w:tcW w:w="9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3323B6BB" w14:textId="77777777" w:rsidR="00C56203" w:rsidRDefault="00C56203">
            <w:pPr>
              <w:keepNext/>
            </w:pPr>
          </w:p>
        </w:tc>
      </w:tr>
      <w:tr w:rsidR="00C56203" w14:paraId="066FCA45" w14:textId="77777777">
        <w:trPr>
          <w:cantSplit/>
          <w:trHeight w:hRule="exact" w:val="315"/>
          <w:jc w:val="center"/>
        </w:trPr>
        <w:tc>
          <w:tcPr>
            <w:tcW w:w="7455" w:type="dxa"/>
            <w:tcBorders>
              <w:top w:val="nil"/>
              <w:left w:val="nil"/>
              <w:bottom w:val="nil"/>
              <w:right w:val="nil"/>
            </w:tcBorders>
            <w:shd w:val="clear" w:color="auto" w:fill="CCEEFF"/>
            <w:tcMar>
              <w:top w:w="0" w:type="dxa"/>
              <w:left w:w="53" w:type="dxa"/>
              <w:bottom w:w="0" w:type="dxa"/>
              <w:right w:w="53" w:type="dxa"/>
            </w:tcMar>
            <w:vAlign w:val="bottom"/>
          </w:tcPr>
          <w:p w14:paraId="58B084A9" w14:textId="77777777" w:rsidR="00C56203" w:rsidRDefault="00CD5102">
            <w:pPr>
              <w:keepNext/>
              <w:spacing w:before="75" w:after="30"/>
              <w:ind w:left="135"/>
            </w:pPr>
            <w:r>
              <w:rPr>
                <w:color w:val="000000"/>
                <w:sz w:val="18"/>
              </w:rPr>
              <w:t>GAAP Foreign exchange and other</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6DE2FC6" w14:textId="77777777" w:rsidR="00C56203" w:rsidRDefault="00C56203">
            <w:pPr>
              <w:keepNext/>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14:paraId="14DB7362" w14:textId="77777777" w:rsidR="00C56203" w:rsidRDefault="00CD5102">
            <w:pPr>
              <w:keepNext/>
              <w:tabs>
                <w:tab w:val="left" w:pos="514"/>
              </w:tabs>
              <w:spacing w:before="75" w:after="30"/>
              <w:jc w:val="right"/>
            </w:pPr>
            <w:r>
              <w:rPr>
                <w:color w:val="000000"/>
                <w:sz w:val="18"/>
              </w:rPr>
              <w:t>$</w:t>
            </w:r>
            <w:r>
              <w:rPr>
                <w:color w:val="000000"/>
                <w:sz w:val="18"/>
              </w:rPr>
              <w:tab/>
              <w:t>(10)</w:t>
            </w: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41E62FC6" w14:textId="77777777" w:rsidR="00C56203" w:rsidRDefault="00C56203">
            <w:pPr>
              <w:keepNext/>
              <w:spacing w:before="75" w:after="3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14:paraId="36C3891C" w14:textId="77777777" w:rsidR="00C56203" w:rsidRDefault="00CD5102">
            <w:pPr>
              <w:keepNext/>
              <w:tabs>
                <w:tab w:val="left" w:pos="604"/>
              </w:tabs>
              <w:spacing w:before="75" w:after="30"/>
              <w:jc w:val="right"/>
            </w:pPr>
            <w:r>
              <w:rPr>
                <w:color w:val="000000"/>
                <w:sz w:val="18"/>
              </w:rPr>
              <w:t>$</w:t>
            </w:r>
            <w:r>
              <w:rPr>
                <w:color w:val="000000"/>
                <w:sz w:val="18"/>
              </w:rPr>
              <w:tab/>
              <w:t>(7)</w:t>
            </w:r>
          </w:p>
        </w:tc>
      </w:tr>
      <w:tr w:rsidR="00C56203" w14:paraId="5BD453A3" w14:textId="77777777">
        <w:trPr>
          <w:cantSplit/>
          <w:trHeight w:hRule="exact" w:val="315"/>
          <w:jc w:val="center"/>
        </w:trPr>
        <w:tc>
          <w:tcPr>
            <w:tcW w:w="7455" w:type="dxa"/>
            <w:tcBorders>
              <w:top w:val="nil"/>
              <w:left w:val="nil"/>
              <w:bottom w:val="nil"/>
              <w:right w:val="nil"/>
            </w:tcBorders>
            <w:shd w:val="clear" w:color="auto" w:fill="FFFFFF"/>
            <w:tcMar>
              <w:top w:w="0" w:type="dxa"/>
              <w:left w:w="53" w:type="dxa"/>
              <w:bottom w:w="0" w:type="dxa"/>
              <w:right w:w="53" w:type="dxa"/>
            </w:tcMar>
            <w:vAlign w:val="bottom"/>
          </w:tcPr>
          <w:p w14:paraId="09AF7D68" w14:textId="77777777" w:rsidR="00C56203" w:rsidRDefault="00CD5102">
            <w:pPr>
              <w:keepNext/>
              <w:spacing w:before="75" w:after="30"/>
              <w:ind w:left="135"/>
              <w:rPr>
                <w:sz w:val="18"/>
              </w:rPr>
            </w:pPr>
            <w:r>
              <w:rPr>
                <w:sz w:val="18"/>
              </w:rPr>
              <w:t xml:space="preserve">Other </w:t>
            </w:r>
            <w:r>
              <w:rPr>
                <w:sz w:val="18"/>
                <w:vertAlign w:val="superscript"/>
              </w:rPr>
              <w:t>(</w:t>
            </w:r>
            <w:proofErr w:type="spellStart"/>
            <w:r>
              <w:rPr>
                <w:sz w:val="18"/>
                <w:vertAlign w:val="superscript"/>
              </w:rPr>
              <w:t>i</w:t>
            </w:r>
            <w:proofErr w:type="spellEnd"/>
            <w:r>
              <w:rPr>
                <w:sz w:val="18"/>
                <w:vertAlign w:val="superscript"/>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C6AA512" w14:textId="77777777" w:rsidR="00C56203" w:rsidRDefault="00C56203">
            <w:pPr>
              <w:keepNext/>
            </w:pP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24B766A" w14:textId="77777777" w:rsidR="00C56203" w:rsidRDefault="00CD5102">
            <w:pPr>
              <w:keepNext/>
              <w:tabs>
                <w:tab w:val="left" w:pos="594"/>
                <w:tab w:val="left" w:pos="832"/>
              </w:tabs>
              <w:spacing w:before="7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40A6FEF" w14:textId="77777777" w:rsidR="00C56203" w:rsidRDefault="00C56203">
            <w:pPr>
              <w:keepNext/>
            </w:pP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F752334" w14:textId="77777777" w:rsidR="00C56203" w:rsidRDefault="00CD5102">
            <w:pPr>
              <w:keepNext/>
              <w:tabs>
                <w:tab w:val="left" w:pos="604"/>
              </w:tabs>
              <w:spacing w:before="75" w:after="30"/>
              <w:jc w:val="right"/>
            </w:pPr>
            <w:r>
              <w:rPr>
                <w:color w:val="000000"/>
                <w:sz w:val="18"/>
              </w:rPr>
              <w:tab/>
              <w:t>(6)</w:t>
            </w:r>
          </w:p>
        </w:tc>
      </w:tr>
      <w:tr w:rsidR="00C56203" w14:paraId="70CA2D07" w14:textId="77777777">
        <w:trPr>
          <w:cantSplit/>
          <w:trHeight w:hRule="exact" w:val="315"/>
          <w:jc w:val="center"/>
        </w:trPr>
        <w:tc>
          <w:tcPr>
            <w:tcW w:w="7455" w:type="dxa"/>
            <w:tcBorders>
              <w:top w:val="nil"/>
              <w:left w:val="nil"/>
              <w:bottom w:val="nil"/>
              <w:right w:val="nil"/>
            </w:tcBorders>
            <w:shd w:val="clear" w:color="auto" w:fill="CCEEFF"/>
            <w:tcMar>
              <w:top w:w="0" w:type="dxa"/>
              <w:left w:w="53" w:type="dxa"/>
              <w:bottom w:w="0" w:type="dxa"/>
              <w:right w:w="53" w:type="dxa"/>
            </w:tcMar>
            <w:vAlign w:val="bottom"/>
          </w:tcPr>
          <w:p w14:paraId="7B997492" w14:textId="77777777" w:rsidR="00C56203" w:rsidRDefault="00CD5102">
            <w:pPr>
              <w:keepNext/>
              <w:spacing w:before="55" w:after="30"/>
              <w:ind w:left="135"/>
            </w:pPr>
            <w:r>
              <w:rPr>
                <w:color w:val="000000"/>
                <w:sz w:val="18"/>
              </w:rPr>
              <w:t xml:space="preserve">Adjusted </w:t>
            </w:r>
            <w:r>
              <w:rPr>
                <w:color w:val="000000"/>
                <w:sz w:val="18"/>
              </w:rPr>
              <w:t>foreign exchange and other (non-GAAP)</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919F582" w14:textId="77777777" w:rsidR="00C56203" w:rsidRDefault="00C56203">
            <w:pPr>
              <w:keepNext/>
            </w:pPr>
          </w:p>
        </w:tc>
        <w:tc>
          <w:tcPr>
            <w:tcW w:w="9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3EC486F" w14:textId="77777777" w:rsidR="00C56203" w:rsidRDefault="00CD5102">
            <w:pPr>
              <w:keepNext/>
              <w:tabs>
                <w:tab w:val="left" w:pos="514"/>
              </w:tabs>
              <w:spacing w:before="55" w:after="30"/>
              <w:jc w:val="right"/>
            </w:pPr>
            <w:r>
              <w:rPr>
                <w:color w:val="000000"/>
                <w:sz w:val="18"/>
              </w:rPr>
              <w:t>$</w:t>
            </w:r>
            <w:r>
              <w:rPr>
                <w:color w:val="000000"/>
                <w:sz w:val="18"/>
              </w:rPr>
              <w:tab/>
              <w:t>(10)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AA37363" w14:textId="77777777" w:rsidR="00C56203" w:rsidRDefault="00C56203">
            <w:pPr>
              <w:keepNext/>
            </w:pPr>
          </w:p>
        </w:tc>
        <w:tc>
          <w:tcPr>
            <w:tcW w:w="9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B8E6520" w14:textId="77777777" w:rsidR="00C56203" w:rsidRDefault="00CD5102">
            <w:pPr>
              <w:keepNext/>
              <w:tabs>
                <w:tab w:val="left" w:pos="514"/>
              </w:tabs>
              <w:spacing w:before="55" w:after="30"/>
              <w:jc w:val="right"/>
            </w:pPr>
            <w:r>
              <w:rPr>
                <w:color w:val="000000"/>
                <w:sz w:val="18"/>
              </w:rPr>
              <w:t>$</w:t>
            </w:r>
            <w:r>
              <w:rPr>
                <w:color w:val="000000"/>
                <w:sz w:val="18"/>
              </w:rPr>
              <w:tab/>
              <w:t>(13)</w:t>
            </w:r>
          </w:p>
        </w:tc>
      </w:tr>
      <w:tr w:rsidR="00C56203" w14:paraId="7C76EBF8" w14:textId="77777777">
        <w:trPr>
          <w:cantSplit/>
          <w:trHeight w:hRule="exact" w:val="315"/>
          <w:jc w:val="center"/>
        </w:trPr>
        <w:tc>
          <w:tcPr>
            <w:tcW w:w="7455" w:type="dxa"/>
            <w:tcBorders>
              <w:top w:val="nil"/>
              <w:left w:val="nil"/>
              <w:bottom w:val="nil"/>
              <w:right w:val="nil"/>
            </w:tcBorders>
            <w:shd w:val="clear" w:color="auto" w:fill="FFFFFF"/>
            <w:tcMar>
              <w:top w:w="0" w:type="dxa"/>
              <w:left w:w="53" w:type="dxa"/>
              <w:bottom w:w="0" w:type="dxa"/>
              <w:right w:w="53" w:type="dxa"/>
            </w:tcMar>
            <w:vAlign w:val="bottom"/>
          </w:tcPr>
          <w:p w14:paraId="172E4C6C" w14:textId="77777777" w:rsidR="00C56203" w:rsidRDefault="00CD5102">
            <w:pPr>
              <w:keepNext/>
              <w:spacing w:before="15" w:after="30"/>
              <w:rPr>
                <w:b/>
                <w:sz w:val="18"/>
              </w:rPr>
            </w:pPr>
            <w:r>
              <w:rPr>
                <w:b/>
                <w:color w:val="000000"/>
                <w:sz w:val="18"/>
              </w:rPr>
              <w:t>(Provision for) benefit from income taxes</w:t>
            </w:r>
            <w:r>
              <w:rPr>
                <w:b/>
                <w:sz w:val="18"/>
              </w:rPr>
              <w:t xml:space="preserve"> reconciliation:</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6368DD8" w14:textId="77777777" w:rsidR="00C56203" w:rsidRDefault="00C56203">
            <w:pPr>
              <w:keepNext/>
            </w:pPr>
          </w:p>
        </w:tc>
        <w:tc>
          <w:tcPr>
            <w:tcW w:w="900"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55EC83AA"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D83F5AF" w14:textId="77777777" w:rsidR="00C56203" w:rsidRDefault="00C56203">
            <w:pPr>
              <w:keepNext/>
            </w:pPr>
          </w:p>
        </w:tc>
        <w:tc>
          <w:tcPr>
            <w:tcW w:w="900"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7A752E1C" w14:textId="77777777" w:rsidR="00C56203" w:rsidRDefault="00C56203">
            <w:pPr>
              <w:keepNext/>
            </w:pPr>
          </w:p>
        </w:tc>
      </w:tr>
      <w:tr w:rsidR="00C56203" w14:paraId="10552B84" w14:textId="77777777">
        <w:trPr>
          <w:cantSplit/>
          <w:trHeight w:hRule="exact" w:val="285"/>
          <w:jc w:val="center"/>
        </w:trPr>
        <w:tc>
          <w:tcPr>
            <w:tcW w:w="7455" w:type="dxa"/>
            <w:tcBorders>
              <w:top w:val="nil"/>
              <w:left w:val="nil"/>
              <w:bottom w:val="nil"/>
              <w:right w:val="nil"/>
            </w:tcBorders>
            <w:shd w:val="clear" w:color="auto" w:fill="CCEEFF"/>
            <w:tcMar>
              <w:top w:w="0" w:type="dxa"/>
              <w:left w:w="53" w:type="dxa"/>
              <w:bottom w:w="0" w:type="dxa"/>
              <w:right w:w="53" w:type="dxa"/>
            </w:tcMar>
            <w:vAlign w:val="bottom"/>
          </w:tcPr>
          <w:p w14:paraId="79477669" w14:textId="77777777" w:rsidR="00C56203" w:rsidRDefault="00CD5102">
            <w:pPr>
              <w:keepNext/>
              <w:spacing w:before="75" w:after="30"/>
              <w:ind w:left="135"/>
              <w:rPr>
                <w:sz w:val="18"/>
              </w:rPr>
            </w:pPr>
            <w:r>
              <w:rPr>
                <w:sz w:val="18"/>
              </w:rPr>
              <w:t xml:space="preserve">GAAP </w:t>
            </w:r>
            <w:r>
              <w:rPr>
                <w:color w:val="000000"/>
                <w:sz w:val="18"/>
              </w:rPr>
              <w:t>(Provision for) benefit from income taxes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5969AF2" w14:textId="77777777" w:rsidR="00C56203" w:rsidRDefault="00C56203">
            <w:pPr>
              <w:keepNext/>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14:paraId="3DC3190B" w14:textId="77777777" w:rsidR="00C56203" w:rsidRDefault="00CD5102">
            <w:pPr>
              <w:keepNext/>
              <w:tabs>
                <w:tab w:val="left" w:pos="514"/>
              </w:tabs>
              <w:spacing w:before="75" w:after="30"/>
              <w:jc w:val="right"/>
            </w:pPr>
            <w:r>
              <w:rPr>
                <w:color w:val="000000"/>
                <w:sz w:val="18"/>
              </w:rPr>
              <w:t>$</w:t>
            </w:r>
            <w:r>
              <w:rPr>
                <w:color w:val="000000"/>
                <w:sz w:val="18"/>
              </w:rPr>
              <w:tab/>
              <w:t>(73)</w:t>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14:paraId="00A4A0C1" w14:textId="77777777" w:rsidR="00C56203" w:rsidRDefault="00C56203">
            <w:pPr>
              <w:keepNext/>
              <w:spacing w:before="75" w:after="30"/>
              <w:jc w:val="right"/>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14:paraId="46B7B2DA" w14:textId="77777777" w:rsidR="00C56203" w:rsidRDefault="00CD5102">
            <w:pPr>
              <w:keepNext/>
              <w:tabs>
                <w:tab w:val="left" w:pos="594"/>
                <w:tab w:val="left" w:pos="832"/>
              </w:tabs>
              <w:spacing w:before="75" w:after="30"/>
              <w:jc w:val="right"/>
            </w:pPr>
            <w:r>
              <w:rPr>
                <w:color w:val="000000"/>
                <w:sz w:val="18"/>
              </w:rPr>
              <w:t>$</w:t>
            </w:r>
            <w:r>
              <w:rPr>
                <w:color w:val="000000"/>
                <w:sz w:val="18"/>
              </w:rPr>
              <w:tab/>
              <w:t>16</w:t>
            </w:r>
            <w:r>
              <w:rPr>
                <w:color w:val="000000"/>
                <w:sz w:val="18"/>
              </w:rPr>
              <w:tab/>
            </w:r>
          </w:p>
        </w:tc>
      </w:tr>
      <w:tr w:rsidR="00C56203" w14:paraId="4257A58D" w14:textId="77777777">
        <w:trPr>
          <w:cantSplit/>
          <w:trHeight w:hRule="exact" w:val="285"/>
          <w:jc w:val="center"/>
        </w:trPr>
        <w:tc>
          <w:tcPr>
            <w:tcW w:w="7455" w:type="dxa"/>
            <w:tcBorders>
              <w:top w:val="nil"/>
              <w:left w:val="nil"/>
              <w:bottom w:val="nil"/>
              <w:right w:val="nil"/>
            </w:tcBorders>
            <w:shd w:val="clear" w:color="auto" w:fill="FFFFFF"/>
            <w:tcMar>
              <w:top w:w="0" w:type="dxa"/>
              <w:left w:w="53" w:type="dxa"/>
              <w:bottom w:w="0" w:type="dxa"/>
              <w:right w:w="53" w:type="dxa"/>
            </w:tcMar>
            <w:vAlign w:val="bottom"/>
          </w:tcPr>
          <w:p w14:paraId="2E732F7C" w14:textId="77777777" w:rsidR="00C56203" w:rsidRDefault="00CD5102">
            <w:pPr>
              <w:keepNext/>
              <w:spacing w:before="75" w:after="30"/>
              <w:ind w:left="135"/>
              <w:rPr>
                <w:sz w:val="18"/>
              </w:rPr>
            </w:pPr>
            <w:r>
              <w:rPr>
                <w:sz w:val="18"/>
              </w:rPr>
              <w:t xml:space="preserve">Tax effect of non-GAAP adjustments </w:t>
            </w:r>
            <w:r>
              <w:rPr>
                <w:sz w:val="18"/>
                <w:vertAlign w:val="superscript"/>
              </w:rPr>
              <w:t>(j)</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3F17B4C" w14:textId="77777777" w:rsidR="00C56203" w:rsidRDefault="00C56203">
            <w:pPr>
              <w:keepNext/>
            </w:pP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213BE85" w14:textId="77777777" w:rsidR="00C56203" w:rsidRDefault="00CD5102">
            <w:pPr>
              <w:keepNext/>
              <w:tabs>
                <w:tab w:val="left" w:pos="594"/>
                <w:tab w:val="left" w:pos="832"/>
              </w:tabs>
              <w:spacing w:before="75" w:after="30"/>
              <w:jc w:val="right"/>
            </w:pPr>
            <w:r>
              <w:rPr>
                <w:color w:val="000000"/>
                <w:sz w:val="18"/>
              </w:rPr>
              <w:tab/>
              <w:t>49</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14:paraId="3A80B8BA" w14:textId="77777777" w:rsidR="00C56203" w:rsidRDefault="00C56203">
            <w:pPr>
              <w:keepNext/>
              <w:spacing w:before="75" w:after="30"/>
              <w:jc w:val="right"/>
            </w:pP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73B8B30" w14:textId="77777777" w:rsidR="00C56203" w:rsidRDefault="00CD5102">
            <w:pPr>
              <w:keepNext/>
              <w:tabs>
                <w:tab w:val="left" w:pos="514"/>
              </w:tabs>
              <w:spacing w:before="75" w:after="30"/>
              <w:jc w:val="right"/>
            </w:pPr>
            <w:r>
              <w:rPr>
                <w:color w:val="000000"/>
                <w:sz w:val="18"/>
              </w:rPr>
              <w:tab/>
              <w:t>(51)</w:t>
            </w:r>
          </w:p>
        </w:tc>
      </w:tr>
      <w:tr w:rsidR="00C56203" w14:paraId="7B83B44E" w14:textId="77777777">
        <w:trPr>
          <w:cantSplit/>
          <w:trHeight w:hRule="exact" w:val="285"/>
          <w:jc w:val="center"/>
        </w:trPr>
        <w:tc>
          <w:tcPr>
            <w:tcW w:w="7455" w:type="dxa"/>
            <w:tcBorders>
              <w:top w:val="nil"/>
              <w:left w:val="nil"/>
              <w:bottom w:val="nil"/>
              <w:right w:val="nil"/>
            </w:tcBorders>
            <w:shd w:val="clear" w:color="auto" w:fill="CCEEFF"/>
            <w:tcMar>
              <w:top w:w="0" w:type="dxa"/>
              <w:left w:w="53" w:type="dxa"/>
              <w:bottom w:w="0" w:type="dxa"/>
              <w:right w:w="53" w:type="dxa"/>
            </w:tcMar>
            <w:vAlign w:val="bottom"/>
          </w:tcPr>
          <w:p w14:paraId="3776E877" w14:textId="77777777" w:rsidR="00C56203" w:rsidRDefault="00CD5102">
            <w:pPr>
              <w:keepNext/>
              <w:spacing w:before="55" w:after="30"/>
              <w:ind w:left="135"/>
            </w:pPr>
            <w:r>
              <w:rPr>
                <w:color w:val="000000"/>
                <w:sz w:val="18"/>
              </w:rPr>
              <w:t xml:space="preserve">Adjusted </w:t>
            </w:r>
            <w:r>
              <w:rPr>
                <w:color w:val="000000"/>
                <w:sz w:val="18"/>
              </w:rPr>
              <w:t>provision for income taxes (non-GAAP)</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7C0F9B1" w14:textId="77777777" w:rsidR="00C56203" w:rsidRDefault="00C56203">
            <w:pPr>
              <w:keepNext/>
            </w:pPr>
          </w:p>
        </w:tc>
        <w:tc>
          <w:tcPr>
            <w:tcW w:w="9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137DAAF" w14:textId="77777777" w:rsidR="00C56203" w:rsidRDefault="00CD5102">
            <w:pPr>
              <w:keepNext/>
              <w:tabs>
                <w:tab w:val="left" w:pos="514"/>
              </w:tabs>
              <w:spacing w:before="55" w:after="30"/>
              <w:jc w:val="right"/>
            </w:pPr>
            <w:r>
              <w:rPr>
                <w:color w:val="000000"/>
                <w:sz w:val="18"/>
              </w:rPr>
              <w:t>$</w:t>
            </w:r>
            <w:r>
              <w:rPr>
                <w:color w:val="000000"/>
                <w:sz w:val="18"/>
              </w:rPr>
              <w:tab/>
              <w:t>(24)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6CD4E2F" w14:textId="77777777" w:rsidR="00C56203" w:rsidRDefault="00C56203">
            <w:pPr>
              <w:keepNext/>
            </w:pPr>
          </w:p>
        </w:tc>
        <w:tc>
          <w:tcPr>
            <w:tcW w:w="9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D3D160D" w14:textId="77777777" w:rsidR="00C56203" w:rsidRDefault="00CD5102">
            <w:pPr>
              <w:keepNext/>
              <w:tabs>
                <w:tab w:val="left" w:pos="514"/>
              </w:tabs>
              <w:spacing w:before="55" w:after="30"/>
              <w:jc w:val="right"/>
            </w:pPr>
            <w:r>
              <w:rPr>
                <w:color w:val="000000"/>
                <w:sz w:val="18"/>
              </w:rPr>
              <w:t>$</w:t>
            </w:r>
            <w:r>
              <w:rPr>
                <w:color w:val="000000"/>
                <w:sz w:val="18"/>
              </w:rPr>
              <w:tab/>
              <w:t>(35)</w:t>
            </w:r>
          </w:p>
        </w:tc>
      </w:tr>
      <w:tr w:rsidR="00C56203" w14:paraId="08A4B9CF" w14:textId="77777777">
        <w:trPr>
          <w:cantSplit/>
          <w:trHeight w:hRule="exact" w:val="285"/>
          <w:jc w:val="center"/>
        </w:trPr>
        <w:tc>
          <w:tcPr>
            <w:tcW w:w="7455" w:type="dxa"/>
            <w:tcBorders>
              <w:top w:val="nil"/>
              <w:left w:val="nil"/>
              <w:bottom w:val="nil"/>
              <w:right w:val="nil"/>
            </w:tcBorders>
            <w:shd w:val="clear" w:color="auto" w:fill="FFFFFF"/>
            <w:tcMar>
              <w:top w:w="0" w:type="dxa"/>
              <w:left w:w="53" w:type="dxa"/>
              <w:bottom w:w="0" w:type="dxa"/>
              <w:right w:w="53" w:type="dxa"/>
            </w:tcMar>
            <w:vAlign w:val="bottom"/>
          </w:tcPr>
          <w:p w14:paraId="06A90E66" w14:textId="77777777" w:rsidR="00C56203" w:rsidRDefault="00CD5102">
            <w:pPr>
              <w:keepNext/>
              <w:spacing w:before="15" w:after="30"/>
            </w:pPr>
            <w:r>
              <w:rPr>
                <w:b/>
                <w:color w:val="000000"/>
                <w:sz w:val="18"/>
              </w:rPr>
              <w:t>Net income attributable to noncontrolling interest reconciliation:</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E9A0E7D" w14:textId="77777777" w:rsidR="00C56203" w:rsidRDefault="00C56203">
            <w:pPr>
              <w:keepNext/>
            </w:pPr>
          </w:p>
        </w:tc>
        <w:tc>
          <w:tcPr>
            <w:tcW w:w="900"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172A8411"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5192B8F" w14:textId="77777777" w:rsidR="00C56203" w:rsidRDefault="00C56203">
            <w:pPr>
              <w:keepNext/>
            </w:pPr>
          </w:p>
        </w:tc>
        <w:tc>
          <w:tcPr>
            <w:tcW w:w="900"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41A8ED4F" w14:textId="77777777" w:rsidR="00C56203" w:rsidRDefault="00C56203">
            <w:pPr>
              <w:keepNext/>
            </w:pPr>
          </w:p>
        </w:tc>
      </w:tr>
      <w:tr w:rsidR="00C56203" w14:paraId="1D57364A" w14:textId="77777777">
        <w:trPr>
          <w:cantSplit/>
          <w:trHeight w:hRule="exact" w:val="285"/>
          <w:jc w:val="center"/>
        </w:trPr>
        <w:tc>
          <w:tcPr>
            <w:tcW w:w="7455" w:type="dxa"/>
            <w:tcBorders>
              <w:top w:val="nil"/>
              <w:left w:val="nil"/>
              <w:bottom w:val="nil"/>
              <w:right w:val="nil"/>
            </w:tcBorders>
            <w:shd w:val="clear" w:color="auto" w:fill="CCEEFF"/>
            <w:tcMar>
              <w:top w:w="0" w:type="dxa"/>
              <w:left w:w="53" w:type="dxa"/>
              <w:bottom w:w="0" w:type="dxa"/>
              <w:right w:w="53" w:type="dxa"/>
            </w:tcMar>
            <w:vAlign w:val="bottom"/>
          </w:tcPr>
          <w:p w14:paraId="3278DFF7" w14:textId="77777777" w:rsidR="00C56203" w:rsidRDefault="00CD5102">
            <w:pPr>
              <w:keepNext/>
              <w:spacing w:before="75" w:after="30"/>
              <w:ind w:left="135"/>
            </w:pPr>
            <w:r>
              <w:rPr>
                <w:color w:val="000000"/>
                <w:sz w:val="18"/>
              </w:rPr>
              <w:t>GAAP Net loss (income) attributable to noncontrolling interest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234CF2F" w14:textId="77777777" w:rsidR="00C56203" w:rsidRDefault="00C56203">
            <w:pPr>
              <w:keepNext/>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14:paraId="1EFD30B8" w14:textId="77777777" w:rsidR="00C56203" w:rsidRDefault="00CD5102">
            <w:pPr>
              <w:keepNext/>
              <w:tabs>
                <w:tab w:val="left" w:pos="684"/>
                <w:tab w:val="left" w:pos="832"/>
              </w:tabs>
              <w:spacing w:before="75" w:after="30"/>
              <w:jc w:val="right"/>
            </w:pPr>
            <w:r>
              <w:rPr>
                <w:color w:val="000000"/>
                <w:sz w:val="18"/>
              </w:rPr>
              <w:t>$</w:t>
            </w:r>
            <w:r>
              <w:rPr>
                <w:color w:val="000000"/>
                <w:sz w:val="18"/>
              </w:rPr>
              <w:tab/>
              <w:t>8</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14:paraId="7242B2DF" w14:textId="77777777" w:rsidR="00C56203" w:rsidRDefault="00C56203">
            <w:pPr>
              <w:keepNext/>
              <w:spacing w:before="75" w:after="30"/>
              <w:jc w:val="right"/>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14:paraId="03D4FF6A" w14:textId="77777777" w:rsidR="00C56203" w:rsidRDefault="00CD5102">
            <w:pPr>
              <w:keepNext/>
              <w:tabs>
                <w:tab w:val="left" w:pos="604"/>
              </w:tabs>
              <w:spacing w:before="75" w:after="30"/>
              <w:jc w:val="right"/>
            </w:pPr>
            <w:r>
              <w:rPr>
                <w:color w:val="000000"/>
                <w:sz w:val="18"/>
              </w:rPr>
              <w:t>$</w:t>
            </w:r>
            <w:r>
              <w:rPr>
                <w:color w:val="000000"/>
                <w:sz w:val="18"/>
              </w:rPr>
              <w:tab/>
              <w:t>(3)</w:t>
            </w:r>
          </w:p>
        </w:tc>
      </w:tr>
      <w:tr w:rsidR="00C56203" w14:paraId="03A55373" w14:textId="77777777">
        <w:trPr>
          <w:cantSplit/>
          <w:trHeight w:hRule="exact" w:val="285"/>
          <w:jc w:val="center"/>
        </w:trPr>
        <w:tc>
          <w:tcPr>
            <w:tcW w:w="7455" w:type="dxa"/>
            <w:tcBorders>
              <w:top w:val="nil"/>
              <w:left w:val="nil"/>
              <w:bottom w:val="nil"/>
              <w:right w:val="nil"/>
            </w:tcBorders>
            <w:shd w:val="clear" w:color="auto" w:fill="FFFFFF"/>
            <w:tcMar>
              <w:top w:w="0" w:type="dxa"/>
              <w:left w:w="53" w:type="dxa"/>
              <w:bottom w:w="0" w:type="dxa"/>
              <w:right w:w="53" w:type="dxa"/>
            </w:tcMar>
            <w:vAlign w:val="bottom"/>
          </w:tcPr>
          <w:p w14:paraId="35CA71E0" w14:textId="77777777" w:rsidR="00C56203" w:rsidRDefault="00CD5102">
            <w:pPr>
              <w:keepNext/>
              <w:spacing w:before="75" w:after="30"/>
              <w:ind w:left="135"/>
              <w:rPr>
                <w:sz w:val="18"/>
              </w:rPr>
            </w:pPr>
            <w:r>
              <w:rPr>
                <w:sz w:val="18"/>
              </w:rPr>
              <w:t xml:space="preserve">Noncontrolling interest portion of amortization of intangible assets </w:t>
            </w:r>
            <w:r>
              <w:rPr>
                <w:sz w:val="18"/>
                <w:vertAlign w:val="superscript"/>
              </w:rPr>
              <w:t>(k)</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27F72AC" w14:textId="77777777" w:rsidR="00C56203" w:rsidRDefault="00C56203">
            <w:pPr>
              <w:keepNext/>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14:paraId="5E5EF139" w14:textId="77777777" w:rsidR="00C56203" w:rsidRDefault="00CD5102">
            <w:pPr>
              <w:keepNext/>
              <w:tabs>
                <w:tab w:val="left" w:pos="604"/>
              </w:tabs>
              <w:spacing w:before="75" w:after="30"/>
              <w:jc w:val="right"/>
            </w:pPr>
            <w:r>
              <w:rPr>
                <w:color w:val="000000"/>
                <w:sz w:val="18"/>
              </w:rPr>
              <w:tab/>
              <w:t>(6)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B58EF25" w14:textId="77777777" w:rsidR="00C56203" w:rsidRDefault="00C56203">
            <w:pPr>
              <w:keepNext/>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14:paraId="1DDB5DAC" w14:textId="77777777" w:rsidR="00C56203" w:rsidRDefault="00CD5102">
            <w:pPr>
              <w:keepNext/>
              <w:tabs>
                <w:tab w:val="left" w:pos="594"/>
                <w:tab w:val="left" w:pos="832"/>
              </w:tabs>
              <w:spacing w:before="75" w:after="30"/>
              <w:jc w:val="right"/>
            </w:pPr>
            <w:r>
              <w:rPr>
                <w:color w:val="000000"/>
                <w:sz w:val="18"/>
              </w:rPr>
              <w:tab/>
              <w:t>—</w:t>
            </w:r>
            <w:r>
              <w:rPr>
                <w:color w:val="000000"/>
                <w:sz w:val="18"/>
              </w:rPr>
              <w:tab/>
            </w:r>
          </w:p>
        </w:tc>
      </w:tr>
      <w:tr w:rsidR="00C56203" w14:paraId="684DE473" w14:textId="77777777">
        <w:trPr>
          <w:cantSplit/>
          <w:trHeight w:hRule="exact" w:val="285"/>
          <w:jc w:val="center"/>
        </w:trPr>
        <w:tc>
          <w:tcPr>
            <w:tcW w:w="7455" w:type="dxa"/>
            <w:tcBorders>
              <w:top w:val="nil"/>
              <w:left w:val="nil"/>
              <w:bottom w:val="nil"/>
              <w:right w:val="nil"/>
            </w:tcBorders>
            <w:shd w:val="clear" w:color="auto" w:fill="CCEEFF"/>
            <w:tcMar>
              <w:top w:w="0" w:type="dxa"/>
              <w:left w:w="53" w:type="dxa"/>
              <w:bottom w:w="0" w:type="dxa"/>
              <w:right w:w="53" w:type="dxa"/>
            </w:tcMar>
            <w:vAlign w:val="bottom"/>
          </w:tcPr>
          <w:p w14:paraId="787F0C96" w14:textId="77777777" w:rsidR="00C56203" w:rsidRDefault="00CD5102">
            <w:pPr>
              <w:keepNext/>
              <w:spacing w:before="75" w:after="30"/>
              <w:ind w:left="135"/>
              <w:rPr>
                <w:sz w:val="18"/>
              </w:rPr>
            </w:pPr>
            <w:r>
              <w:rPr>
                <w:sz w:val="18"/>
              </w:rPr>
              <w:t xml:space="preserve">Noncontrolling interest portion of all other adjustments </w:t>
            </w:r>
            <w:r>
              <w:rPr>
                <w:sz w:val="18"/>
                <w:vertAlign w:val="superscript"/>
              </w:rPr>
              <w:t>(l)</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D12BDF8" w14:textId="77777777" w:rsidR="00C56203" w:rsidRDefault="00C56203">
            <w:pPr>
              <w:keepNext/>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14:paraId="130EA717" w14:textId="77777777" w:rsidR="00C56203" w:rsidRDefault="00CD5102">
            <w:pPr>
              <w:keepNext/>
              <w:tabs>
                <w:tab w:val="left" w:pos="604"/>
              </w:tabs>
              <w:spacing w:before="75" w:after="30"/>
              <w:jc w:val="right"/>
            </w:pPr>
            <w:r>
              <w:rPr>
                <w:color w:val="000000"/>
                <w:sz w:val="18"/>
              </w:rPr>
              <w:tab/>
              <w:t>(4)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42CE896" w14:textId="77777777" w:rsidR="00C56203" w:rsidRDefault="00C56203">
            <w:pPr>
              <w:keepNext/>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14:paraId="39E3840E" w14:textId="77777777" w:rsidR="00C56203" w:rsidRDefault="00CD5102">
            <w:pPr>
              <w:keepNext/>
              <w:tabs>
                <w:tab w:val="left" w:pos="594"/>
                <w:tab w:val="left" w:pos="832"/>
              </w:tabs>
              <w:spacing w:before="75" w:after="30"/>
              <w:jc w:val="right"/>
            </w:pPr>
            <w:r>
              <w:rPr>
                <w:color w:val="000000"/>
                <w:sz w:val="18"/>
              </w:rPr>
              <w:tab/>
              <w:t>—</w:t>
            </w:r>
            <w:r>
              <w:rPr>
                <w:color w:val="000000"/>
                <w:sz w:val="18"/>
              </w:rPr>
              <w:tab/>
            </w:r>
          </w:p>
        </w:tc>
      </w:tr>
      <w:tr w:rsidR="00C56203" w14:paraId="0CC9CA30" w14:textId="77777777">
        <w:trPr>
          <w:cantSplit/>
          <w:trHeight w:hRule="exact" w:val="285"/>
          <w:jc w:val="center"/>
        </w:trPr>
        <w:tc>
          <w:tcPr>
            <w:tcW w:w="7455" w:type="dxa"/>
            <w:tcBorders>
              <w:top w:val="nil"/>
              <w:left w:val="nil"/>
              <w:bottom w:val="nil"/>
              <w:right w:val="nil"/>
            </w:tcBorders>
            <w:shd w:val="clear" w:color="auto" w:fill="FFFFFF"/>
            <w:tcMar>
              <w:top w:w="0" w:type="dxa"/>
              <w:left w:w="53" w:type="dxa"/>
              <w:bottom w:w="0" w:type="dxa"/>
              <w:right w:w="53" w:type="dxa"/>
            </w:tcMar>
            <w:vAlign w:val="bottom"/>
          </w:tcPr>
          <w:p w14:paraId="0F42080A" w14:textId="77777777" w:rsidR="00C56203" w:rsidRDefault="00CD5102">
            <w:pPr>
              <w:spacing w:before="55" w:after="30"/>
              <w:ind w:left="135"/>
            </w:pPr>
            <w:r>
              <w:rPr>
                <w:color w:val="000000"/>
                <w:sz w:val="18"/>
              </w:rPr>
              <w:t>Adjusted net income attributable to noncontrolling interest (non-GAAP)</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33B2F90" w14:textId="77777777" w:rsidR="00C56203" w:rsidRDefault="00C56203"/>
        </w:tc>
        <w:tc>
          <w:tcPr>
            <w:tcW w:w="9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09C8F8A" w14:textId="77777777" w:rsidR="00C56203" w:rsidRDefault="00CD5102">
            <w:pPr>
              <w:tabs>
                <w:tab w:val="left" w:pos="604"/>
              </w:tabs>
              <w:spacing w:before="55" w:after="30"/>
              <w:jc w:val="right"/>
            </w:pPr>
            <w:r>
              <w:rPr>
                <w:color w:val="000000"/>
                <w:sz w:val="18"/>
              </w:rPr>
              <w:t>$</w:t>
            </w:r>
            <w:r>
              <w:rPr>
                <w:color w:val="000000"/>
                <w:sz w:val="18"/>
              </w:rPr>
              <w:tab/>
              <w:t>(2)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13B6E15" w14:textId="77777777" w:rsidR="00C56203" w:rsidRDefault="00C56203"/>
        </w:tc>
        <w:tc>
          <w:tcPr>
            <w:tcW w:w="9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FFB0A5F" w14:textId="77777777" w:rsidR="00C56203" w:rsidRDefault="00CD5102">
            <w:pPr>
              <w:tabs>
                <w:tab w:val="left" w:pos="604"/>
              </w:tabs>
              <w:spacing w:before="55" w:after="30"/>
              <w:jc w:val="right"/>
            </w:pPr>
            <w:r>
              <w:rPr>
                <w:color w:val="000000"/>
                <w:sz w:val="18"/>
              </w:rPr>
              <w:t>$</w:t>
            </w:r>
            <w:r>
              <w:rPr>
                <w:color w:val="000000"/>
                <w:sz w:val="18"/>
              </w:rPr>
              <w:tab/>
              <w:t>(3)</w:t>
            </w:r>
          </w:p>
        </w:tc>
      </w:tr>
    </w:tbl>
    <w:p w14:paraId="345E47AA" w14:textId="77777777" w:rsidR="00C56203" w:rsidRDefault="00C56203">
      <w:pPr>
        <w:spacing w:line="288" w:lineRule="auto"/>
        <w:ind w:left="270" w:hanging="270"/>
        <w:jc w:val="both"/>
        <w:rPr>
          <w:sz w:val="17"/>
        </w:rPr>
      </w:pPr>
    </w:p>
    <w:p w14:paraId="1FF00F64" w14:textId="77777777" w:rsidR="00C56203" w:rsidRDefault="00CD5102">
      <w:pPr>
        <w:spacing w:line="288" w:lineRule="auto"/>
        <w:ind w:left="270" w:hanging="270"/>
        <w:jc w:val="both"/>
        <w:rPr>
          <w:sz w:val="17"/>
        </w:rPr>
      </w:pPr>
      <w:r>
        <w:rPr>
          <w:sz w:val="17"/>
        </w:rPr>
        <w:t xml:space="preserve">(a) </w:t>
      </w:r>
      <w:r>
        <w:rPr>
          <w:sz w:val="17"/>
        </w:rPr>
        <w:t>Represents the sole component of the non-GAAP adjustment of “IT infrastructure investment” (see Table 2).</w:t>
      </w:r>
    </w:p>
    <w:p w14:paraId="578B1F82" w14:textId="77777777" w:rsidR="00C56203" w:rsidRDefault="00CD5102">
      <w:pPr>
        <w:spacing w:line="288" w:lineRule="auto"/>
        <w:ind w:left="270" w:hanging="270"/>
        <w:jc w:val="both"/>
        <w:rPr>
          <w:sz w:val="17"/>
        </w:rPr>
      </w:pPr>
      <w:r>
        <w:rPr>
          <w:sz w:val="17"/>
        </w:rPr>
        <w:t xml:space="preserve">(b) Represents the sole component of the non-GAAP adjustment of “Legal and other professional fees” (see Table 2). </w:t>
      </w:r>
    </w:p>
    <w:p w14:paraId="0F449034" w14:textId="77777777" w:rsidR="00C56203" w:rsidRDefault="00CD5102">
      <w:pPr>
        <w:spacing w:line="288" w:lineRule="auto"/>
        <w:ind w:left="270" w:hanging="270"/>
        <w:jc w:val="both"/>
        <w:rPr>
          <w:sz w:val="17"/>
        </w:rPr>
      </w:pPr>
      <w:r>
        <w:rPr>
          <w:sz w:val="17"/>
        </w:rPr>
        <w:t xml:space="preserve">(c) Represents the two components </w:t>
      </w:r>
      <w:r>
        <w:rPr>
          <w:sz w:val="17"/>
        </w:rPr>
        <w:t xml:space="preserve">of the non-GAAP adjustment of “Separation and IPO costs and separation-related and IPO-related costs” (see Table 2). </w:t>
      </w:r>
    </w:p>
    <w:p w14:paraId="545CC36D" w14:textId="77777777" w:rsidR="00C56203" w:rsidRDefault="00CD5102">
      <w:pPr>
        <w:spacing w:line="288" w:lineRule="auto"/>
        <w:ind w:left="270" w:hanging="270"/>
        <w:jc w:val="both"/>
        <w:rPr>
          <w:sz w:val="18"/>
        </w:rPr>
      </w:pPr>
      <w:r>
        <w:rPr>
          <w:sz w:val="17"/>
        </w:rPr>
        <w:t>(d)</w:t>
      </w:r>
      <w:r>
        <w:rPr>
          <w:sz w:val="17"/>
        </w:rPr>
        <w:tab/>
        <w:t>Represents the two components of the non-GAAP adjustment of “</w:t>
      </w:r>
      <w:r>
        <w:rPr>
          <w:sz w:val="18"/>
        </w:rPr>
        <w:t>Restructuring, integration and transformation costs</w:t>
      </w:r>
      <w:r>
        <w:rPr>
          <w:sz w:val="17"/>
        </w:rPr>
        <w:t>” (see table 2).</w:t>
      </w:r>
    </w:p>
    <w:p w14:paraId="05C210B5" w14:textId="77777777" w:rsidR="00C56203" w:rsidRDefault="00CD5102">
      <w:pPr>
        <w:spacing w:line="288" w:lineRule="auto"/>
        <w:ind w:left="270" w:hanging="270"/>
        <w:jc w:val="both"/>
        <w:rPr>
          <w:sz w:val="17"/>
        </w:rPr>
      </w:pPr>
      <w:r>
        <w:rPr>
          <w:sz w:val="17"/>
        </w:rPr>
        <w:t>(e)</w:t>
      </w:r>
      <w:r>
        <w:rPr>
          <w:sz w:val="17"/>
        </w:rPr>
        <w:tab/>
        <w:t>R</w:t>
      </w:r>
      <w:r>
        <w:rPr>
          <w:sz w:val="17"/>
        </w:rPr>
        <w:t xml:space="preserve">epresents the sole component of the non-GAAP adjustment of “Amortization of intangible assets” (see Table 2). </w:t>
      </w:r>
    </w:p>
    <w:p w14:paraId="010796A5" w14:textId="77777777" w:rsidR="00C56203" w:rsidRDefault="00CD5102">
      <w:pPr>
        <w:spacing w:line="288" w:lineRule="auto"/>
        <w:ind w:left="270" w:hanging="270"/>
        <w:jc w:val="both"/>
        <w:rPr>
          <w:sz w:val="17"/>
        </w:rPr>
      </w:pPr>
      <w:r>
        <w:rPr>
          <w:sz w:val="17"/>
        </w:rPr>
        <w:t>(f)</w:t>
      </w:r>
      <w:r>
        <w:rPr>
          <w:sz w:val="17"/>
        </w:rPr>
        <w:tab/>
        <w:t>Represents the sole component of the non-GAAP adjustment of “Asset impairments” (see Table 2).</w:t>
      </w:r>
    </w:p>
    <w:p w14:paraId="1B2AF5D6" w14:textId="77777777" w:rsidR="00C56203" w:rsidRDefault="00CD5102">
      <w:pPr>
        <w:spacing w:line="288" w:lineRule="auto"/>
        <w:ind w:left="270" w:hanging="270"/>
        <w:jc w:val="both"/>
        <w:rPr>
          <w:sz w:val="17"/>
        </w:rPr>
      </w:pPr>
      <w:r>
        <w:rPr>
          <w:sz w:val="17"/>
        </w:rPr>
        <w:t>(g)</w:t>
      </w:r>
      <w:r>
        <w:rPr>
          <w:sz w:val="17"/>
        </w:rPr>
        <w:tab/>
        <w:t>Represents the sole component of the non-G</w:t>
      </w:r>
      <w:r>
        <w:rPr>
          <w:sz w:val="17"/>
        </w:rPr>
        <w:t>AAP adjustment of “Litigation and other matters” (see Table 2).</w:t>
      </w:r>
    </w:p>
    <w:p w14:paraId="5A25C791" w14:textId="77777777" w:rsidR="00C56203" w:rsidRDefault="00CD5102">
      <w:pPr>
        <w:spacing w:line="288" w:lineRule="auto"/>
        <w:ind w:left="270" w:hanging="270"/>
        <w:jc w:val="both"/>
        <w:rPr>
          <w:sz w:val="17"/>
        </w:rPr>
      </w:pPr>
      <w:r>
        <w:rPr>
          <w:sz w:val="17"/>
        </w:rPr>
        <w:t>(h)</w:t>
      </w:r>
      <w:r>
        <w:rPr>
          <w:sz w:val="17"/>
        </w:rPr>
        <w:tab/>
        <w:t>Represents the sole component of the non-GAAP adjustment of “Acquisition-related costs and adjustments (excluding amortization of intangible assets)” (see Table 2).</w:t>
      </w:r>
    </w:p>
    <w:p w14:paraId="7665ED30" w14:textId="77777777" w:rsidR="00C56203" w:rsidRDefault="00CD5102">
      <w:pPr>
        <w:spacing w:line="288" w:lineRule="auto"/>
        <w:ind w:left="270" w:hanging="270"/>
        <w:jc w:val="both"/>
        <w:rPr>
          <w:sz w:val="17"/>
        </w:rPr>
      </w:pPr>
      <w:r>
        <w:rPr>
          <w:sz w:val="17"/>
        </w:rPr>
        <w:t>(</w:t>
      </w:r>
      <w:proofErr w:type="spellStart"/>
      <w:r>
        <w:rPr>
          <w:sz w:val="17"/>
        </w:rPr>
        <w:t>i</w:t>
      </w:r>
      <w:proofErr w:type="spellEnd"/>
      <w:r>
        <w:rPr>
          <w:sz w:val="17"/>
        </w:rPr>
        <w:t>)</w:t>
      </w:r>
      <w:r>
        <w:rPr>
          <w:sz w:val="17"/>
        </w:rPr>
        <w:tab/>
        <w:t>Represents the sole</w:t>
      </w:r>
      <w:r>
        <w:rPr>
          <w:sz w:val="17"/>
        </w:rPr>
        <w:t xml:space="preserve"> component of the non-GAAP adjustment of “Other” (see Table 2).</w:t>
      </w:r>
    </w:p>
    <w:p w14:paraId="3F4934FC" w14:textId="77777777" w:rsidR="00C56203" w:rsidRDefault="00CD5102">
      <w:pPr>
        <w:spacing w:line="288" w:lineRule="auto"/>
        <w:ind w:left="270" w:hanging="270"/>
        <w:jc w:val="both"/>
        <w:rPr>
          <w:sz w:val="17"/>
        </w:rPr>
      </w:pPr>
      <w:r>
        <w:rPr>
          <w:sz w:val="17"/>
        </w:rPr>
        <w:t>(j)  Represents the sole component of the non-GAAP adjustment of “Tax effect of non-GAAP adjustments” (see Table 2).</w:t>
      </w:r>
    </w:p>
    <w:p w14:paraId="76828CC6" w14:textId="77777777" w:rsidR="00C56203" w:rsidRDefault="00CD5102">
      <w:pPr>
        <w:spacing w:line="288" w:lineRule="auto"/>
        <w:ind w:left="270" w:hanging="270"/>
        <w:jc w:val="both"/>
        <w:rPr>
          <w:sz w:val="17"/>
        </w:rPr>
      </w:pPr>
      <w:r>
        <w:rPr>
          <w:sz w:val="17"/>
        </w:rPr>
        <w:t>(k)</w:t>
      </w:r>
      <w:r>
        <w:rPr>
          <w:sz w:val="17"/>
        </w:rPr>
        <w:tab/>
        <w:t>Represents the portion of the non-GAAP adjustments above attributable t</w:t>
      </w:r>
      <w:r>
        <w:rPr>
          <w:sz w:val="17"/>
        </w:rPr>
        <w:t>o noncontrolling interest (see Table 2).</w:t>
      </w:r>
    </w:p>
    <w:p w14:paraId="095F70FC" w14:textId="77777777" w:rsidR="00C56203" w:rsidRDefault="00CD5102">
      <w:pPr>
        <w:spacing w:line="288" w:lineRule="auto"/>
        <w:ind w:left="270" w:hanging="270"/>
        <w:rPr>
          <w:sz w:val="17"/>
        </w:rPr>
      </w:pPr>
      <w:r>
        <w:rPr>
          <w:sz w:val="17"/>
        </w:rPr>
        <w:t>(l)</w:t>
      </w:r>
      <w:r>
        <w:rPr>
          <w:sz w:val="17"/>
        </w:rPr>
        <w:tab/>
        <w:t>Represents the portion of the non-GAAP adjustments above attributable to all other adjustments (see Table 2).</w:t>
      </w:r>
      <w:r>
        <w:rPr>
          <w:sz w:val="17"/>
        </w:rPr>
        <w:br w:type="page"/>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
        <w:gridCol w:w="7923"/>
        <w:gridCol w:w="75"/>
        <w:gridCol w:w="881"/>
        <w:gridCol w:w="126"/>
        <w:gridCol w:w="881"/>
      </w:tblGrid>
      <w:tr w:rsidR="00C56203" w14:paraId="072D89A8" w14:textId="77777777">
        <w:trPr>
          <w:cantSplit/>
          <w:trHeight w:hRule="exact" w:val="285"/>
        </w:trPr>
        <w:tc>
          <w:tcPr>
            <w:tcW w:w="8160" w:type="dxa"/>
            <w:gridSpan w:val="2"/>
            <w:tcBorders>
              <w:top w:val="nil"/>
              <w:left w:val="nil"/>
              <w:bottom w:val="nil"/>
              <w:right w:val="nil"/>
            </w:tcBorders>
            <w:tcMar>
              <w:top w:w="0" w:type="dxa"/>
              <w:left w:w="53" w:type="dxa"/>
              <w:bottom w:w="0" w:type="dxa"/>
              <w:right w:w="53" w:type="dxa"/>
            </w:tcMar>
            <w:vAlign w:val="bottom"/>
          </w:tcPr>
          <w:p w14:paraId="2D7E1A23" w14:textId="77777777" w:rsidR="00C56203" w:rsidRDefault="00CD5102">
            <w:pPr>
              <w:keepNext/>
              <w:spacing w:before="75" w:after="30"/>
            </w:pPr>
            <w:r>
              <w:rPr>
                <w:b/>
                <w:color w:val="000000"/>
                <w:sz w:val="18"/>
              </w:rPr>
              <w:lastRenderedPageBreak/>
              <w:t>Bausch Health Companies Inc.</w:t>
            </w:r>
          </w:p>
        </w:tc>
        <w:tc>
          <w:tcPr>
            <w:tcW w:w="75" w:type="dxa"/>
            <w:tcBorders>
              <w:top w:val="nil"/>
              <w:left w:val="nil"/>
              <w:bottom w:val="nil"/>
              <w:right w:val="nil"/>
            </w:tcBorders>
            <w:tcMar>
              <w:top w:w="0" w:type="dxa"/>
              <w:left w:w="0" w:type="dxa"/>
              <w:bottom w:w="0" w:type="dxa"/>
              <w:right w:w="0" w:type="dxa"/>
            </w:tcMar>
            <w:vAlign w:val="bottom"/>
          </w:tcPr>
          <w:p w14:paraId="59BD7918" w14:textId="77777777" w:rsidR="00C56203" w:rsidRDefault="00C56203">
            <w:pPr>
              <w:keepNext/>
            </w:pPr>
          </w:p>
        </w:tc>
        <w:tc>
          <w:tcPr>
            <w:tcW w:w="885" w:type="dxa"/>
            <w:tcBorders>
              <w:top w:val="nil"/>
              <w:left w:val="nil"/>
              <w:bottom w:val="nil"/>
              <w:right w:val="nil"/>
            </w:tcBorders>
            <w:tcMar>
              <w:top w:w="0" w:type="dxa"/>
              <w:left w:w="0" w:type="dxa"/>
              <w:bottom w:w="0" w:type="dxa"/>
              <w:right w:w="0" w:type="dxa"/>
            </w:tcMar>
            <w:vAlign w:val="bottom"/>
          </w:tcPr>
          <w:p w14:paraId="54DB7964"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02CCCBD8" w14:textId="77777777" w:rsidR="00C56203" w:rsidRDefault="00C56203">
            <w:pPr>
              <w:keepNext/>
            </w:pPr>
          </w:p>
        </w:tc>
        <w:tc>
          <w:tcPr>
            <w:tcW w:w="885" w:type="dxa"/>
            <w:tcBorders>
              <w:top w:val="nil"/>
              <w:left w:val="nil"/>
              <w:bottom w:val="nil"/>
              <w:right w:val="nil"/>
            </w:tcBorders>
            <w:tcMar>
              <w:top w:w="0" w:type="dxa"/>
              <w:left w:w="53" w:type="dxa"/>
              <w:bottom w:w="0" w:type="dxa"/>
              <w:right w:w="53" w:type="dxa"/>
            </w:tcMar>
            <w:vAlign w:val="bottom"/>
          </w:tcPr>
          <w:p w14:paraId="05B4E122" w14:textId="77777777" w:rsidR="00C56203" w:rsidRDefault="00CD5102">
            <w:pPr>
              <w:keepNext/>
              <w:spacing w:before="75" w:after="30"/>
            </w:pPr>
            <w:r>
              <w:rPr>
                <w:b/>
                <w:color w:val="000000"/>
                <w:sz w:val="18"/>
              </w:rPr>
              <w:t>Table 2b</w:t>
            </w:r>
          </w:p>
        </w:tc>
      </w:tr>
      <w:tr w:rsidR="00C56203" w14:paraId="2012910C" w14:textId="77777777">
        <w:trPr>
          <w:cantSplit/>
          <w:trHeight w:hRule="exact" w:val="285"/>
        </w:trPr>
        <w:tc>
          <w:tcPr>
            <w:tcW w:w="9120" w:type="dxa"/>
            <w:gridSpan w:val="4"/>
            <w:tcBorders>
              <w:top w:val="nil"/>
              <w:left w:val="nil"/>
              <w:bottom w:val="nil"/>
              <w:right w:val="nil"/>
            </w:tcBorders>
            <w:tcMar>
              <w:top w:w="0" w:type="dxa"/>
              <w:left w:w="53" w:type="dxa"/>
              <w:bottom w:w="0" w:type="dxa"/>
              <w:right w:w="53" w:type="dxa"/>
            </w:tcMar>
            <w:vAlign w:val="bottom"/>
          </w:tcPr>
          <w:p w14:paraId="7906B441" w14:textId="77777777" w:rsidR="00C56203" w:rsidRDefault="00CD5102">
            <w:pPr>
              <w:keepNext/>
              <w:spacing w:before="75" w:after="30"/>
            </w:pPr>
            <w:r>
              <w:rPr>
                <w:b/>
                <w:color w:val="000000"/>
                <w:sz w:val="18"/>
              </w:rPr>
              <w:t xml:space="preserve">Reconciliation of GAAP Net Loss to Adjusted EBITDA </w:t>
            </w:r>
            <w:r>
              <w:rPr>
                <w:b/>
                <w:color w:val="000000"/>
                <w:sz w:val="18"/>
              </w:rPr>
              <w:t>(non-GAAP)</w:t>
            </w:r>
          </w:p>
        </w:tc>
        <w:tc>
          <w:tcPr>
            <w:tcW w:w="75" w:type="dxa"/>
            <w:tcBorders>
              <w:top w:val="nil"/>
              <w:left w:val="nil"/>
              <w:bottom w:val="nil"/>
              <w:right w:val="nil"/>
            </w:tcBorders>
            <w:tcMar>
              <w:top w:w="0" w:type="dxa"/>
              <w:left w:w="0" w:type="dxa"/>
              <w:bottom w:w="0" w:type="dxa"/>
              <w:right w:w="0" w:type="dxa"/>
            </w:tcMar>
            <w:vAlign w:val="bottom"/>
          </w:tcPr>
          <w:p w14:paraId="113E2871" w14:textId="77777777" w:rsidR="00C56203" w:rsidRDefault="00C56203">
            <w:pPr>
              <w:keepNext/>
            </w:pPr>
          </w:p>
        </w:tc>
        <w:tc>
          <w:tcPr>
            <w:tcW w:w="885" w:type="dxa"/>
            <w:tcBorders>
              <w:top w:val="nil"/>
              <w:left w:val="nil"/>
              <w:bottom w:val="nil"/>
              <w:right w:val="nil"/>
            </w:tcBorders>
            <w:tcMar>
              <w:top w:w="0" w:type="dxa"/>
              <w:left w:w="0" w:type="dxa"/>
              <w:bottom w:w="0" w:type="dxa"/>
              <w:right w:w="0" w:type="dxa"/>
            </w:tcMar>
            <w:vAlign w:val="bottom"/>
          </w:tcPr>
          <w:p w14:paraId="18A2292E" w14:textId="77777777" w:rsidR="00C56203" w:rsidRDefault="00C56203">
            <w:pPr>
              <w:keepNext/>
            </w:pPr>
          </w:p>
        </w:tc>
      </w:tr>
      <w:tr w:rsidR="00C56203" w14:paraId="4434274C" w14:textId="77777777">
        <w:trPr>
          <w:cantSplit/>
          <w:trHeight w:hRule="exact" w:val="285"/>
        </w:trPr>
        <w:tc>
          <w:tcPr>
            <w:tcW w:w="8160" w:type="dxa"/>
            <w:gridSpan w:val="2"/>
            <w:tcBorders>
              <w:top w:val="nil"/>
              <w:left w:val="nil"/>
              <w:bottom w:val="nil"/>
              <w:right w:val="nil"/>
            </w:tcBorders>
            <w:tcMar>
              <w:top w:w="0" w:type="dxa"/>
              <w:left w:w="53" w:type="dxa"/>
              <w:bottom w:w="0" w:type="dxa"/>
              <w:right w:w="53" w:type="dxa"/>
            </w:tcMar>
            <w:vAlign w:val="bottom"/>
          </w:tcPr>
          <w:p w14:paraId="035329D8" w14:textId="77777777" w:rsidR="00C56203" w:rsidRDefault="00CD5102">
            <w:pPr>
              <w:keepNext/>
              <w:spacing w:before="75" w:after="30"/>
            </w:pPr>
            <w:r>
              <w:rPr>
                <w:b/>
                <w:color w:val="000000"/>
                <w:sz w:val="18"/>
              </w:rPr>
              <w:t>For the Three Months Ended March 31, 2023 and 2022</w:t>
            </w:r>
          </w:p>
        </w:tc>
        <w:tc>
          <w:tcPr>
            <w:tcW w:w="75" w:type="dxa"/>
            <w:tcBorders>
              <w:top w:val="nil"/>
              <w:left w:val="nil"/>
              <w:bottom w:val="nil"/>
              <w:right w:val="nil"/>
            </w:tcBorders>
            <w:tcMar>
              <w:top w:w="0" w:type="dxa"/>
              <w:left w:w="0" w:type="dxa"/>
              <w:bottom w:w="0" w:type="dxa"/>
              <w:right w:w="0" w:type="dxa"/>
            </w:tcMar>
            <w:vAlign w:val="bottom"/>
          </w:tcPr>
          <w:p w14:paraId="2878E497" w14:textId="77777777" w:rsidR="00C56203" w:rsidRDefault="00C56203">
            <w:pPr>
              <w:keepNext/>
            </w:pPr>
          </w:p>
        </w:tc>
        <w:tc>
          <w:tcPr>
            <w:tcW w:w="885" w:type="dxa"/>
            <w:tcBorders>
              <w:top w:val="nil"/>
              <w:left w:val="nil"/>
              <w:bottom w:val="nil"/>
              <w:right w:val="nil"/>
            </w:tcBorders>
            <w:tcMar>
              <w:top w:w="0" w:type="dxa"/>
              <w:left w:w="0" w:type="dxa"/>
              <w:bottom w:w="0" w:type="dxa"/>
              <w:right w:w="0" w:type="dxa"/>
            </w:tcMar>
            <w:vAlign w:val="bottom"/>
          </w:tcPr>
          <w:p w14:paraId="40E63346"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5A49DAAC" w14:textId="77777777" w:rsidR="00C56203" w:rsidRDefault="00C56203">
            <w:pPr>
              <w:keepNext/>
            </w:pPr>
          </w:p>
        </w:tc>
        <w:tc>
          <w:tcPr>
            <w:tcW w:w="885" w:type="dxa"/>
            <w:tcBorders>
              <w:top w:val="nil"/>
              <w:left w:val="nil"/>
              <w:bottom w:val="nil"/>
              <w:right w:val="nil"/>
            </w:tcBorders>
            <w:tcMar>
              <w:top w:w="0" w:type="dxa"/>
              <w:left w:w="0" w:type="dxa"/>
              <w:bottom w:w="0" w:type="dxa"/>
              <w:right w:w="0" w:type="dxa"/>
            </w:tcMar>
            <w:vAlign w:val="bottom"/>
          </w:tcPr>
          <w:p w14:paraId="5E56D4F2" w14:textId="77777777" w:rsidR="00C56203" w:rsidRDefault="00C56203">
            <w:pPr>
              <w:keepNext/>
            </w:pPr>
          </w:p>
        </w:tc>
      </w:tr>
      <w:tr w:rsidR="00C56203" w14:paraId="199BAF87" w14:textId="77777777">
        <w:trPr>
          <w:cantSplit/>
          <w:trHeight w:hRule="exact" w:val="285"/>
        </w:trPr>
        <w:tc>
          <w:tcPr>
            <w:tcW w:w="8160" w:type="dxa"/>
            <w:gridSpan w:val="2"/>
            <w:tcBorders>
              <w:top w:val="nil"/>
              <w:left w:val="nil"/>
              <w:bottom w:val="nil"/>
              <w:right w:val="nil"/>
            </w:tcBorders>
            <w:tcMar>
              <w:top w:w="0" w:type="dxa"/>
              <w:left w:w="53" w:type="dxa"/>
              <w:bottom w:w="0" w:type="dxa"/>
              <w:right w:w="53" w:type="dxa"/>
            </w:tcMar>
            <w:vAlign w:val="bottom"/>
          </w:tcPr>
          <w:p w14:paraId="1FD47138" w14:textId="77777777" w:rsidR="00C56203" w:rsidRDefault="00CD5102">
            <w:pPr>
              <w:keepNext/>
              <w:spacing w:before="75" w:after="30"/>
            </w:pPr>
            <w:r>
              <w:rPr>
                <w:b/>
                <w:color w:val="000000"/>
                <w:sz w:val="18"/>
              </w:rPr>
              <w:t>(unaudited)</w:t>
            </w:r>
          </w:p>
        </w:tc>
        <w:tc>
          <w:tcPr>
            <w:tcW w:w="75" w:type="dxa"/>
            <w:tcBorders>
              <w:top w:val="nil"/>
              <w:left w:val="nil"/>
              <w:bottom w:val="nil"/>
              <w:right w:val="nil"/>
            </w:tcBorders>
            <w:tcMar>
              <w:top w:w="0" w:type="dxa"/>
              <w:left w:w="0" w:type="dxa"/>
              <w:bottom w:w="0" w:type="dxa"/>
              <w:right w:w="0" w:type="dxa"/>
            </w:tcMar>
            <w:vAlign w:val="bottom"/>
          </w:tcPr>
          <w:p w14:paraId="34082652" w14:textId="77777777" w:rsidR="00C56203" w:rsidRDefault="00C56203">
            <w:pPr>
              <w:keepNext/>
            </w:pPr>
          </w:p>
        </w:tc>
        <w:tc>
          <w:tcPr>
            <w:tcW w:w="885" w:type="dxa"/>
            <w:tcBorders>
              <w:top w:val="nil"/>
              <w:left w:val="nil"/>
              <w:bottom w:val="nil"/>
              <w:right w:val="nil"/>
            </w:tcBorders>
            <w:tcMar>
              <w:top w:w="0" w:type="dxa"/>
              <w:left w:w="0" w:type="dxa"/>
              <w:bottom w:w="0" w:type="dxa"/>
              <w:right w:w="0" w:type="dxa"/>
            </w:tcMar>
            <w:vAlign w:val="bottom"/>
          </w:tcPr>
          <w:p w14:paraId="37B2DB60"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6396C591" w14:textId="77777777" w:rsidR="00C56203" w:rsidRDefault="00C56203">
            <w:pPr>
              <w:keepNext/>
            </w:pPr>
          </w:p>
        </w:tc>
        <w:tc>
          <w:tcPr>
            <w:tcW w:w="885" w:type="dxa"/>
            <w:tcBorders>
              <w:top w:val="nil"/>
              <w:left w:val="nil"/>
              <w:bottom w:val="nil"/>
              <w:right w:val="nil"/>
            </w:tcBorders>
            <w:tcMar>
              <w:top w:w="0" w:type="dxa"/>
              <w:left w:w="0" w:type="dxa"/>
              <w:bottom w:w="0" w:type="dxa"/>
              <w:right w:w="0" w:type="dxa"/>
            </w:tcMar>
            <w:vAlign w:val="bottom"/>
          </w:tcPr>
          <w:p w14:paraId="2A2647C2" w14:textId="77777777" w:rsidR="00C56203" w:rsidRDefault="00C56203">
            <w:pPr>
              <w:keepNext/>
            </w:pPr>
          </w:p>
        </w:tc>
      </w:tr>
      <w:tr w:rsidR="00C56203" w14:paraId="2DA6F8B9" w14:textId="77777777">
        <w:trPr>
          <w:cantSplit/>
          <w:trHeight w:hRule="exact" w:val="240"/>
        </w:trPr>
        <w:tc>
          <w:tcPr>
            <w:tcW w:w="195" w:type="dxa"/>
            <w:tcBorders>
              <w:top w:val="nil"/>
              <w:left w:val="nil"/>
              <w:bottom w:val="nil"/>
              <w:right w:val="nil"/>
            </w:tcBorders>
            <w:tcMar>
              <w:top w:w="0" w:type="dxa"/>
              <w:left w:w="0" w:type="dxa"/>
              <w:bottom w:w="0" w:type="dxa"/>
              <w:right w:w="0" w:type="dxa"/>
            </w:tcMar>
            <w:vAlign w:val="bottom"/>
          </w:tcPr>
          <w:p w14:paraId="04A97D8D" w14:textId="77777777" w:rsidR="00C56203" w:rsidRDefault="00C56203">
            <w:pPr>
              <w:keepNext/>
            </w:pPr>
          </w:p>
        </w:tc>
        <w:tc>
          <w:tcPr>
            <w:tcW w:w="7965" w:type="dxa"/>
            <w:tcBorders>
              <w:top w:val="nil"/>
              <w:left w:val="nil"/>
              <w:bottom w:val="nil"/>
              <w:right w:val="nil"/>
            </w:tcBorders>
            <w:tcMar>
              <w:top w:w="0" w:type="dxa"/>
              <w:left w:w="0" w:type="dxa"/>
              <w:bottom w:w="0" w:type="dxa"/>
              <w:right w:w="0" w:type="dxa"/>
            </w:tcMar>
            <w:vAlign w:val="bottom"/>
          </w:tcPr>
          <w:p w14:paraId="754243D7"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0A318319" w14:textId="77777777" w:rsidR="00C56203" w:rsidRDefault="00C56203">
            <w:pPr>
              <w:keepNext/>
            </w:pPr>
          </w:p>
        </w:tc>
        <w:tc>
          <w:tcPr>
            <w:tcW w:w="1845" w:type="dxa"/>
            <w:gridSpan w:val="3"/>
            <w:tcBorders>
              <w:top w:val="nil"/>
              <w:left w:val="nil"/>
              <w:bottom w:val="nil"/>
              <w:right w:val="nil"/>
            </w:tcBorders>
            <w:tcMar>
              <w:top w:w="0" w:type="dxa"/>
              <w:left w:w="53" w:type="dxa"/>
              <w:bottom w:w="0" w:type="dxa"/>
              <w:right w:w="53" w:type="dxa"/>
            </w:tcMar>
            <w:vAlign w:val="bottom"/>
          </w:tcPr>
          <w:p w14:paraId="287F1074" w14:textId="77777777" w:rsidR="00C56203" w:rsidRDefault="00CD5102">
            <w:pPr>
              <w:keepNext/>
              <w:spacing w:before="75" w:after="30"/>
              <w:jc w:val="center"/>
            </w:pPr>
            <w:r>
              <w:rPr>
                <w:b/>
                <w:color w:val="000000"/>
                <w:sz w:val="18"/>
              </w:rPr>
              <w:t>Three Months Ended</w:t>
            </w:r>
          </w:p>
        </w:tc>
      </w:tr>
      <w:tr w:rsidR="00C56203" w14:paraId="7EBF356B" w14:textId="77777777">
        <w:trPr>
          <w:cantSplit/>
          <w:trHeight w:hRule="exact" w:val="240"/>
        </w:trPr>
        <w:tc>
          <w:tcPr>
            <w:tcW w:w="195" w:type="dxa"/>
            <w:tcBorders>
              <w:top w:val="nil"/>
              <w:left w:val="nil"/>
              <w:bottom w:val="nil"/>
              <w:right w:val="nil"/>
            </w:tcBorders>
            <w:tcMar>
              <w:top w:w="0" w:type="dxa"/>
              <w:left w:w="0" w:type="dxa"/>
              <w:bottom w:w="0" w:type="dxa"/>
              <w:right w:w="0" w:type="dxa"/>
            </w:tcMar>
            <w:vAlign w:val="bottom"/>
          </w:tcPr>
          <w:p w14:paraId="79A0AF17" w14:textId="77777777" w:rsidR="00C56203" w:rsidRDefault="00C56203">
            <w:pPr>
              <w:keepNext/>
            </w:pPr>
          </w:p>
        </w:tc>
        <w:tc>
          <w:tcPr>
            <w:tcW w:w="7965" w:type="dxa"/>
            <w:tcBorders>
              <w:top w:val="nil"/>
              <w:left w:val="nil"/>
              <w:bottom w:val="nil"/>
              <w:right w:val="nil"/>
            </w:tcBorders>
            <w:tcMar>
              <w:top w:w="0" w:type="dxa"/>
              <w:left w:w="0" w:type="dxa"/>
              <w:bottom w:w="0" w:type="dxa"/>
              <w:right w:w="0" w:type="dxa"/>
            </w:tcMar>
            <w:vAlign w:val="bottom"/>
          </w:tcPr>
          <w:p w14:paraId="2469F60D"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10110B65" w14:textId="77777777" w:rsidR="00C56203" w:rsidRDefault="00C56203">
            <w:pPr>
              <w:keepNext/>
            </w:pPr>
          </w:p>
        </w:tc>
        <w:tc>
          <w:tcPr>
            <w:tcW w:w="1845" w:type="dxa"/>
            <w:gridSpan w:val="3"/>
            <w:tcBorders>
              <w:top w:val="nil"/>
              <w:left w:val="nil"/>
              <w:bottom w:val="single" w:sz="8" w:space="0" w:color="000000"/>
              <w:right w:val="nil"/>
            </w:tcBorders>
            <w:tcMar>
              <w:top w:w="0" w:type="dxa"/>
              <w:left w:w="53" w:type="dxa"/>
              <w:bottom w:w="0" w:type="dxa"/>
              <w:right w:w="53" w:type="dxa"/>
            </w:tcMar>
            <w:vAlign w:val="bottom"/>
          </w:tcPr>
          <w:p w14:paraId="78EEDDC8" w14:textId="77777777" w:rsidR="00C56203" w:rsidRDefault="00CD5102">
            <w:pPr>
              <w:keepNext/>
              <w:spacing w:before="75" w:after="30"/>
              <w:jc w:val="center"/>
            </w:pPr>
            <w:r>
              <w:rPr>
                <w:b/>
                <w:color w:val="000000"/>
                <w:sz w:val="18"/>
              </w:rPr>
              <w:t>March 31,</w:t>
            </w:r>
          </w:p>
        </w:tc>
      </w:tr>
      <w:tr w:rsidR="00C56203" w14:paraId="78E1B783" w14:textId="77777777">
        <w:trPr>
          <w:cantSplit/>
          <w:trHeight w:hRule="exact" w:val="285"/>
        </w:trPr>
        <w:tc>
          <w:tcPr>
            <w:tcW w:w="8160" w:type="dxa"/>
            <w:gridSpan w:val="2"/>
            <w:tcBorders>
              <w:top w:val="nil"/>
              <w:left w:val="nil"/>
              <w:bottom w:val="nil"/>
              <w:right w:val="nil"/>
            </w:tcBorders>
            <w:tcMar>
              <w:top w:w="0" w:type="dxa"/>
              <w:left w:w="53" w:type="dxa"/>
              <w:bottom w:w="0" w:type="dxa"/>
              <w:right w:w="53" w:type="dxa"/>
            </w:tcMar>
            <w:vAlign w:val="bottom"/>
          </w:tcPr>
          <w:p w14:paraId="08713C24" w14:textId="77777777" w:rsidR="00C56203" w:rsidRDefault="00CD5102">
            <w:pPr>
              <w:keepNext/>
              <w:spacing w:before="55" w:after="30"/>
            </w:pPr>
            <w:r>
              <w:rPr>
                <w:i/>
                <w:color w:val="000000"/>
                <w:sz w:val="16"/>
              </w:rPr>
              <w:t>(in millions)</w:t>
            </w:r>
          </w:p>
        </w:tc>
        <w:tc>
          <w:tcPr>
            <w:tcW w:w="75" w:type="dxa"/>
            <w:tcBorders>
              <w:top w:val="nil"/>
              <w:left w:val="nil"/>
              <w:bottom w:val="nil"/>
              <w:right w:val="nil"/>
            </w:tcBorders>
            <w:tcMar>
              <w:top w:w="0" w:type="dxa"/>
              <w:left w:w="0" w:type="dxa"/>
              <w:bottom w:w="0" w:type="dxa"/>
              <w:right w:w="0" w:type="dxa"/>
            </w:tcMar>
            <w:vAlign w:val="bottom"/>
          </w:tcPr>
          <w:p w14:paraId="7B1CE4B3" w14:textId="77777777" w:rsidR="00C56203" w:rsidRDefault="00C56203">
            <w:pPr>
              <w:keepNext/>
            </w:pPr>
          </w:p>
        </w:tc>
        <w:tc>
          <w:tcPr>
            <w:tcW w:w="885" w:type="dxa"/>
            <w:tcBorders>
              <w:top w:val="nil"/>
              <w:left w:val="nil"/>
              <w:bottom w:val="single" w:sz="8" w:space="0" w:color="000000"/>
              <w:right w:val="nil"/>
            </w:tcBorders>
            <w:tcMar>
              <w:top w:w="0" w:type="dxa"/>
              <w:left w:w="53" w:type="dxa"/>
              <w:bottom w:w="0" w:type="dxa"/>
              <w:right w:w="53" w:type="dxa"/>
            </w:tcMar>
            <w:vAlign w:val="bottom"/>
          </w:tcPr>
          <w:p w14:paraId="1E7EAD00" w14:textId="77777777" w:rsidR="00C56203" w:rsidRDefault="00CD5102">
            <w:pPr>
              <w:keepNext/>
              <w:spacing w:before="55" w:after="30"/>
              <w:jc w:val="center"/>
            </w:pPr>
            <w:r>
              <w:rPr>
                <w:b/>
                <w:color w:val="000000"/>
                <w:sz w:val="18"/>
              </w:rPr>
              <w:t>2023</w:t>
            </w:r>
          </w:p>
        </w:tc>
        <w:tc>
          <w:tcPr>
            <w:tcW w:w="75" w:type="dxa"/>
            <w:tcBorders>
              <w:top w:val="single" w:sz="8" w:space="0" w:color="000000"/>
              <w:left w:val="nil"/>
              <w:bottom w:val="nil"/>
              <w:right w:val="nil"/>
            </w:tcBorders>
            <w:tcMar>
              <w:top w:w="0" w:type="dxa"/>
              <w:left w:w="53" w:type="dxa"/>
              <w:bottom w:w="0" w:type="dxa"/>
              <w:right w:w="53" w:type="dxa"/>
            </w:tcMar>
            <w:vAlign w:val="bottom"/>
          </w:tcPr>
          <w:p w14:paraId="7CBFAA25" w14:textId="77777777" w:rsidR="00C56203" w:rsidRDefault="00C56203">
            <w:pPr>
              <w:keepNext/>
              <w:spacing w:before="55" w:after="30"/>
            </w:pPr>
          </w:p>
        </w:tc>
        <w:tc>
          <w:tcPr>
            <w:tcW w:w="8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FEF42C7" w14:textId="77777777" w:rsidR="00C56203" w:rsidRDefault="00CD5102">
            <w:pPr>
              <w:keepNext/>
              <w:spacing w:before="55" w:after="30"/>
              <w:jc w:val="center"/>
            </w:pPr>
            <w:r>
              <w:rPr>
                <w:b/>
                <w:color w:val="000000"/>
                <w:sz w:val="18"/>
              </w:rPr>
              <w:t>2022</w:t>
            </w:r>
          </w:p>
        </w:tc>
      </w:tr>
      <w:tr w:rsidR="00C56203" w14:paraId="50949415" w14:textId="77777777">
        <w:trPr>
          <w:cantSplit/>
          <w:trHeight w:hRule="exact" w:val="285"/>
        </w:trPr>
        <w:tc>
          <w:tcPr>
            <w:tcW w:w="8160" w:type="dxa"/>
            <w:gridSpan w:val="2"/>
            <w:tcBorders>
              <w:top w:val="nil"/>
              <w:left w:val="nil"/>
              <w:bottom w:val="nil"/>
              <w:right w:val="nil"/>
            </w:tcBorders>
            <w:shd w:val="clear" w:color="auto" w:fill="FFFFFF"/>
            <w:tcMar>
              <w:top w:w="0" w:type="dxa"/>
              <w:left w:w="53" w:type="dxa"/>
              <w:bottom w:w="0" w:type="dxa"/>
              <w:right w:w="53" w:type="dxa"/>
            </w:tcMar>
            <w:vAlign w:val="bottom"/>
          </w:tcPr>
          <w:p w14:paraId="064A1A06" w14:textId="77777777" w:rsidR="00C56203" w:rsidRDefault="00CD5102">
            <w:pPr>
              <w:keepNext/>
              <w:spacing w:before="55" w:after="30"/>
            </w:pPr>
            <w:r>
              <w:rPr>
                <w:b/>
                <w:color w:val="000000"/>
                <w:sz w:val="18"/>
              </w:rPr>
              <w:t>Net loss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3D50E5A" w14:textId="77777777" w:rsidR="00C56203" w:rsidRDefault="00C56203">
            <w:pPr>
              <w:keepNext/>
            </w:pPr>
          </w:p>
        </w:tc>
        <w:tc>
          <w:tcPr>
            <w:tcW w:w="88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7F94790B" w14:textId="77777777" w:rsidR="00C56203" w:rsidRDefault="00CD5102">
            <w:pPr>
              <w:keepNext/>
              <w:tabs>
                <w:tab w:val="left" w:pos="409"/>
              </w:tabs>
              <w:spacing w:before="55" w:after="30"/>
              <w:jc w:val="right"/>
            </w:pPr>
            <w:r>
              <w:rPr>
                <w:b/>
                <w:color w:val="000000"/>
                <w:sz w:val="18"/>
              </w:rPr>
              <w:t>$</w:t>
            </w:r>
            <w:r>
              <w:rPr>
                <w:b/>
                <w:color w:val="000000"/>
                <w:sz w:val="18"/>
              </w:rPr>
              <w:tab/>
              <w:t>(209)</w:t>
            </w: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7DF49FD7" w14:textId="77777777" w:rsidR="00C56203" w:rsidRDefault="00C56203">
            <w:pPr>
              <w:keepNext/>
              <w:spacing w:before="55" w:after="30"/>
            </w:pPr>
          </w:p>
        </w:tc>
        <w:tc>
          <w:tcPr>
            <w:tcW w:w="88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CA4FD42" w14:textId="77777777" w:rsidR="00C56203" w:rsidRDefault="00CD5102">
            <w:pPr>
              <w:keepNext/>
              <w:tabs>
                <w:tab w:val="left" w:pos="499"/>
              </w:tabs>
              <w:spacing w:before="55" w:after="30"/>
              <w:jc w:val="right"/>
            </w:pPr>
            <w:r>
              <w:rPr>
                <w:b/>
                <w:color w:val="000000"/>
                <w:sz w:val="18"/>
              </w:rPr>
              <w:t>$</w:t>
            </w:r>
            <w:r>
              <w:rPr>
                <w:b/>
                <w:color w:val="000000"/>
                <w:sz w:val="18"/>
              </w:rPr>
              <w:tab/>
              <w:t>(66)</w:t>
            </w:r>
          </w:p>
        </w:tc>
      </w:tr>
      <w:tr w:rsidR="00C56203" w14:paraId="706E5424" w14:textId="77777777">
        <w:trPr>
          <w:cantSplit/>
          <w:trHeight w:hRule="exact" w:val="285"/>
        </w:trPr>
        <w:tc>
          <w:tcPr>
            <w:tcW w:w="195" w:type="dxa"/>
            <w:tcBorders>
              <w:top w:val="nil"/>
              <w:left w:val="nil"/>
              <w:bottom w:val="nil"/>
              <w:right w:val="nil"/>
            </w:tcBorders>
            <w:shd w:val="clear" w:color="auto" w:fill="CCEEFF"/>
            <w:tcMar>
              <w:top w:w="0" w:type="dxa"/>
              <w:left w:w="0" w:type="dxa"/>
              <w:bottom w:w="0" w:type="dxa"/>
              <w:right w:w="0" w:type="dxa"/>
            </w:tcMar>
            <w:vAlign w:val="bottom"/>
          </w:tcPr>
          <w:p w14:paraId="6F01D1ED" w14:textId="77777777" w:rsidR="00C56203" w:rsidRDefault="00C56203">
            <w:pPr>
              <w:keepNext/>
            </w:pPr>
          </w:p>
        </w:tc>
        <w:tc>
          <w:tcPr>
            <w:tcW w:w="7965" w:type="dxa"/>
            <w:tcBorders>
              <w:top w:val="nil"/>
              <w:left w:val="nil"/>
              <w:bottom w:val="nil"/>
              <w:right w:val="nil"/>
            </w:tcBorders>
            <w:shd w:val="clear" w:color="auto" w:fill="CCEEFF"/>
            <w:tcMar>
              <w:top w:w="0" w:type="dxa"/>
              <w:left w:w="53" w:type="dxa"/>
              <w:bottom w:w="0" w:type="dxa"/>
              <w:right w:w="53" w:type="dxa"/>
            </w:tcMar>
            <w:vAlign w:val="bottom"/>
          </w:tcPr>
          <w:p w14:paraId="33DF6B4F" w14:textId="77777777" w:rsidR="00C56203" w:rsidRDefault="00CD5102">
            <w:pPr>
              <w:keepNext/>
              <w:spacing w:before="75" w:after="30"/>
            </w:pPr>
            <w:r>
              <w:rPr>
                <w:color w:val="000000"/>
                <w:sz w:val="18"/>
              </w:rPr>
              <w:t>Interest expense, net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D247311" w14:textId="77777777" w:rsidR="00C56203" w:rsidRDefault="00C56203">
            <w:pPr>
              <w:keepNext/>
            </w:pPr>
          </w:p>
        </w:tc>
        <w:tc>
          <w:tcPr>
            <w:tcW w:w="885" w:type="dxa"/>
            <w:tcBorders>
              <w:top w:val="nil"/>
              <w:left w:val="nil"/>
              <w:bottom w:val="nil"/>
              <w:right w:val="nil"/>
            </w:tcBorders>
            <w:shd w:val="clear" w:color="auto" w:fill="CCEEFF"/>
            <w:tcMar>
              <w:top w:w="0" w:type="dxa"/>
              <w:left w:w="0" w:type="dxa"/>
              <w:bottom w:w="0" w:type="dxa"/>
              <w:right w:w="15" w:type="dxa"/>
            </w:tcMar>
            <w:vAlign w:val="bottom"/>
          </w:tcPr>
          <w:p w14:paraId="1A5F23F3" w14:textId="77777777" w:rsidR="00C56203" w:rsidRDefault="00CD5102">
            <w:pPr>
              <w:keepNext/>
              <w:tabs>
                <w:tab w:val="left" w:pos="489"/>
                <w:tab w:val="left" w:pos="817"/>
              </w:tabs>
              <w:spacing w:before="75" w:after="30"/>
              <w:jc w:val="right"/>
            </w:pPr>
            <w:r>
              <w:rPr>
                <w:color w:val="000000"/>
                <w:sz w:val="18"/>
              </w:rPr>
              <w:tab/>
              <w:t>301</w:t>
            </w:r>
            <w:r>
              <w:rPr>
                <w:color w:val="000000"/>
                <w:sz w:val="18"/>
              </w:rPr>
              <w:tab/>
            </w: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4EF2F3C6" w14:textId="77777777" w:rsidR="00C56203" w:rsidRDefault="00C56203">
            <w:pPr>
              <w:keepNext/>
              <w:spacing w:before="75" w:after="30"/>
            </w:pPr>
          </w:p>
        </w:tc>
        <w:tc>
          <w:tcPr>
            <w:tcW w:w="885" w:type="dxa"/>
            <w:tcBorders>
              <w:top w:val="nil"/>
              <w:left w:val="nil"/>
              <w:bottom w:val="nil"/>
              <w:right w:val="nil"/>
            </w:tcBorders>
            <w:shd w:val="clear" w:color="auto" w:fill="CCEEFF"/>
            <w:tcMar>
              <w:top w:w="0" w:type="dxa"/>
              <w:left w:w="0" w:type="dxa"/>
              <w:bottom w:w="0" w:type="dxa"/>
              <w:right w:w="15" w:type="dxa"/>
            </w:tcMar>
            <w:vAlign w:val="bottom"/>
          </w:tcPr>
          <w:p w14:paraId="597ECC3E" w14:textId="77777777" w:rsidR="00C56203" w:rsidRDefault="00CD5102">
            <w:pPr>
              <w:keepNext/>
              <w:tabs>
                <w:tab w:val="left" w:pos="489"/>
                <w:tab w:val="left" w:pos="817"/>
              </w:tabs>
              <w:spacing w:before="75" w:after="30"/>
              <w:jc w:val="right"/>
            </w:pPr>
            <w:r>
              <w:rPr>
                <w:color w:val="000000"/>
                <w:sz w:val="18"/>
              </w:rPr>
              <w:tab/>
              <w:t>360</w:t>
            </w:r>
            <w:r>
              <w:rPr>
                <w:color w:val="000000"/>
                <w:sz w:val="18"/>
              </w:rPr>
              <w:tab/>
            </w:r>
          </w:p>
        </w:tc>
      </w:tr>
      <w:tr w:rsidR="00C56203" w14:paraId="13984B63" w14:textId="77777777">
        <w:trPr>
          <w:cantSplit/>
          <w:trHeight w:hRule="exact" w:val="285"/>
        </w:trPr>
        <w:tc>
          <w:tcPr>
            <w:tcW w:w="195" w:type="dxa"/>
            <w:tcBorders>
              <w:top w:val="nil"/>
              <w:left w:val="nil"/>
              <w:bottom w:val="nil"/>
              <w:right w:val="nil"/>
            </w:tcBorders>
            <w:shd w:val="clear" w:color="auto" w:fill="FFFFFF"/>
            <w:tcMar>
              <w:top w:w="0" w:type="dxa"/>
              <w:left w:w="0" w:type="dxa"/>
              <w:bottom w:w="0" w:type="dxa"/>
              <w:right w:w="0" w:type="dxa"/>
            </w:tcMar>
            <w:vAlign w:val="bottom"/>
          </w:tcPr>
          <w:p w14:paraId="539EDF50" w14:textId="77777777" w:rsidR="00C56203" w:rsidRDefault="00C56203">
            <w:pPr>
              <w:keepNext/>
            </w:pPr>
          </w:p>
        </w:tc>
        <w:tc>
          <w:tcPr>
            <w:tcW w:w="7965" w:type="dxa"/>
            <w:tcBorders>
              <w:top w:val="nil"/>
              <w:left w:val="nil"/>
              <w:bottom w:val="nil"/>
              <w:right w:val="nil"/>
            </w:tcBorders>
            <w:shd w:val="clear" w:color="auto" w:fill="FFFFFF"/>
            <w:tcMar>
              <w:top w:w="0" w:type="dxa"/>
              <w:left w:w="53" w:type="dxa"/>
              <w:bottom w:w="0" w:type="dxa"/>
              <w:right w:w="53" w:type="dxa"/>
            </w:tcMar>
            <w:vAlign w:val="bottom"/>
          </w:tcPr>
          <w:p w14:paraId="10E9F22E" w14:textId="77777777" w:rsidR="00C56203" w:rsidRDefault="00CD5102">
            <w:pPr>
              <w:keepNext/>
              <w:spacing w:before="75" w:after="30"/>
            </w:pPr>
            <w:r>
              <w:rPr>
                <w:color w:val="000000"/>
                <w:sz w:val="18"/>
              </w:rPr>
              <w:t xml:space="preserve">Provision for (benefit from) </w:t>
            </w:r>
            <w:r>
              <w:rPr>
                <w:color w:val="000000"/>
                <w:sz w:val="18"/>
              </w:rPr>
              <w:t>income taxes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9FC9AAF" w14:textId="77777777" w:rsidR="00C56203" w:rsidRDefault="00C56203">
            <w:pPr>
              <w:keepNext/>
            </w:pP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6AC732D1" w14:textId="77777777" w:rsidR="00C56203" w:rsidRDefault="00CD5102">
            <w:pPr>
              <w:keepNext/>
              <w:tabs>
                <w:tab w:val="left" w:pos="579"/>
                <w:tab w:val="left" w:pos="817"/>
              </w:tabs>
              <w:spacing w:before="75" w:after="30"/>
              <w:jc w:val="right"/>
            </w:pPr>
            <w:r>
              <w:rPr>
                <w:color w:val="000000"/>
                <w:sz w:val="18"/>
              </w:rPr>
              <w:tab/>
              <w:t>73</w:t>
            </w:r>
            <w:r>
              <w:rPr>
                <w:color w:val="000000"/>
                <w:sz w:val="18"/>
              </w:rPr>
              <w:tab/>
            </w: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76F576E1" w14:textId="77777777" w:rsidR="00C56203" w:rsidRDefault="00C56203">
            <w:pPr>
              <w:keepNext/>
              <w:spacing w:before="75" w:after="30"/>
            </w:pP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41DE98CA" w14:textId="77777777" w:rsidR="00C56203" w:rsidRDefault="00CD5102">
            <w:pPr>
              <w:keepNext/>
              <w:tabs>
                <w:tab w:val="left" w:pos="499"/>
              </w:tabs>
              <w:spacing w:before="75" w:after="30"/>
              <w:jc w:val="right"/>
            </w:pPr>
            <w:r>
              <w:rPr>
                <w:color w:val="000000"/>
                <w:sz w:val="18"/>
              </w:rPr>
              <w:tab/>
              <w:t>(16)</w:t>
            </w:r>
          </w:p>
        </w:tc>
      </w:tr>
      <w:tr w:rsidR="00C56203" w14:paraId="622D324E" w14:textId="77777777">
        <w:trPr>
          <w:cantSplit/>
          <w:trHeight w:hRule="exact" w:val="285"/>
        </w:trPr>
        <w:tc>
          <w:tcPr>
            <w:tcW w:w="195" w:type="dxa"/>
            <w:tcBorders>
              <w:top w:val="nil"/>
              <w:left w:val="nil"/>
              <w:bottom w:val="nil"/>
              <w:right w:val="nil"/>
            </w:tcBorders>
            <w:shd w:val="clear" w:color="auto" w:fill="CCEEFF"/>
            <w:tcMar>
              <w:top w:w="0" w:type="dxa"/>
              <w:left w:w="0" w:type="dxa"/>
              <w:bottom w:w="0" w:type="dxa"/>
              <w:right w:w="0" w:type="dxa"/>
            </w:tcMar>
            <w:vAlign w:val="bottom"/>
          </w:tcPr>
          <w:p w14:paraId="5490CBD0" w14:textId="77777777" w:rsidR="00C56203" w:rsidRDefault="00C56203">
            <w:pPr>
              <w:keepNext/>
            </w:pPr>
          </w:p>
        </w:tc>
        <w:tc>
          <w:tcPr>
            <w:tcW w:w="7965" w:type="dxa"/>
            <w:tcBorders>
              <w:top w:val="nil"/>
              <w:left w:val="nil"/>
              <w:bottom w:val="nil"/>
              <w:right w:val="nil"/>
            </w:tcBorders>
            <w:shd w:val="clear" w:color="auto" w:fill="CCEEFF"/>
            <w:tcMar>
              <w:top w:w="0" w:type="dxa"/>
              <w:left w:w="53" w:type="dxa"/>
              <w:bottom w:w="0" w:type="dxa"/>
              <w:right w:w="53" w:type="dxa"/>
            </w:tcMar>
            <w:vAlign w:val="bottom"/>
          </w:tcPr>
          <w:p w14:paraId="51E7C2E7" w14:textId="77777777" w:rsidR="00C56203" w:rsidRDefault="00CD5102">
            <w:pPr>
              <w:keepNext/>
              <w:spacing w:before="75" w:after="30"/>
            </w:pPr>
            <w:r>
              <w:rPr>
                <w:color w:val="000000"/>
                <w:sz w:val="18"/>
              </w:rPr>
              <w:t xml:space="preserve">Depreciation and amortization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32CF7AD" w14:textId="77777777" w:rsidR="00C56203" w:rsidRDefault="00C56203">
            <w:pPr>
              <w:keepNext/>
            </w:pPr>
          </w:p>
        </w:tc>
        <w:tc>
          <w:tcPr>
            <w:tcW w:w="8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F2686EF" w14:textId="77777777" w:rsidR="00C56203" w:rsidRDefault="00CD5102">
            <w:pPr>
              <w:keepNext/>
              <w:tabs>
                <w:tab w:val="left" w:pos="489"/>
                <w:tab w:val="left" w:pos="817"/>
              </w:tabs>
              <w:spacing w:before="75" w:after="30"/>
              <w:jc w:val="right"/>
            </w:pPr>
            <w:r>
              <w:rPr>
                <w:color w:val="000000"/>
                <w:sz w:val="18"/>
              </w:rPr>
              <w:tab/>
              <w:t>319</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14:paraId="7413458E" w14:textId="77777777" w:rsidR="00C56203" w:rsidRDefault="00C56203">
            <w:pPr>
              <w:keepNext/>
              <w:spacing w:before="75" w:after="30"/>
              <w:jc w:val="right"/>
            </w:pPr>
          </w:p>
        </w:tc>
        <w:tc>
          <w:tcPr>
            <w:tcW w:w="8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2604469" w14:textId="77777777" w:rsidR="00C56203" w:rsidRDefault="00CD5102">
            <w:pPr>
              <w:keepNext/>
              <w:tabs>
                <w:tab w:val="left" w:pos="489"/>
                <w:tab w:val="left" w:pos="817"/>
              </w:tabs>
              <w:spacing w:before="75" w:after="30"/>
              <w:jc w:val="right"/>
            </w:pPr>
            <w:r>
              <w:rPr>
                <w:color w:val="000000"/>
                <w:sz w:val="18"/>
              </w:rPr>
              <w:tab/>
              <w:t>352</w:t>
            </w:r>
            <w:r>
              <w:rPr>
                <w:color w:val="000000"/>
                <w:sz w:val="18"/>
              </w:rPr>
              <w:tab/>
            </w:r>
          </w:p>
        </w:tc>
      </w:tr>
      <w:tr w:rsidR="00C56203" w14:paraId="63F7213F" w14:textId="77777777">
        <w:trPr>
          <w:cantSplit/>
          <w:trHeight w:hRule="exact" w:val="285"/>
        </w:trPr>
        <w:tc>
          <w:tcPr>
            <w:tcW w:w="8160" w:type="dxa"/>
            <w:gridSpan w:val="2"/>
            <w:tcBorders>
              <w:top w:val="nil"/>
              <w:left w:val="nil"/>
              <w:bottom w:val="nil"/>
              <w:right w:val="nil"/>
            </w:tcBorders>
            <w:shd w:val="clear" w:color="auto" w:fill="FFFFFF"/>
            <w:tcMar>
              <w:top w:w="0" w:type="dxa"/>
              <w:left w:w="53" w:type="dxa"/>
              <w:bottom w:w="0" w:type="dxa"/>
              <w:right w:w="53" w:type="dxa"/>
            </w:tcMar>
            <w:vAlign w:val="bottom"/>
          </w:tcPr>
          <w:p w14:paraId="7AEFC315" w14:textId="77777777" w:rsidR="00C56203" w:rsidRDefault="00CD5102">
            <w:pPr>
              <w:keepNext/>
              <w:spacing w:before="55" w:after="30"/>
            </w:pPr>
            <w:r>
              <w:rPr>
                <w:b/>
                <w:color w:val="000000"/>
                <w:sz w:val="18"/>
              </w:rPr>
              <w:t>EBITDA</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B1BFA48" w14:textId="77777777" w:rsidR="00C56203" w:rsidRDefault="00C56203">
            <w:pPr>
              <w:keepNext/>
            </w:pPr>
          </w:p>
        </w:tc>
        <w:tc>
          <w:tcPr>
            <w:tcW w:w="88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5B5D8D85" w14:textId="77777777" w:rsidR="00C56203" w:rsidRDefault="00CD5102">
            <w:pPr>
              <w:keepNext/>
              <w:tabs>
                <w:tab w:val="left" w:pos="489"/>
                <w:tab w:val="left" w:pos="817"/>
              </w:tabs>
              <w:spacing w:before="55" w:after="30"/>
              <w:jc w:val="right"/>
            </w:pPr>
            <w:r>
              <w:rPr>
                <w:b/>
                <w:color w:val="000000"/>
                <w:sz w:val="18"/>
              </w:rPr>
              <w:tab/>
              <w:t>484</w:t>
            </w:r>
            <w:r>
              <w:rPr>
                <w:b/>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F0B20B4" w14:textId="77777777" w:rsidR="00C56203" w:rsidRDefault="00C56203">
            <w:pPr>
              <w:keepNext/>
            </w:pPr>
          </w:p>
        </w:tc>
        <w:tc>
          <w:tcPr>
            <w:tcW w:w="88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58F256C1" w14:textId="77777777" w:rsidR="00C56203" w:rsidRDefault="00CD5102">
            <w:pPr>
              <w:keepNext/>
              <w:tabs>
                <w:tab w:val="left" w:pos="489"/>
                <w:tab w:val="left" w:pos="817"/>
              </w:tabs>
              <w:spacing w:before="55" w:after="30"/>
              <w:jc w:val="right"/>
            </w:pPr>
            <w:r>
              <w:rPr>
                <w:b/>
                <w:color w:val="000000"/>
                <w:sz w:val="18"/>
              </w:rPr>
              <w:tab/>
              <w:t>630</w:t>
            </w:r>
            <w:r>
              <w:rPr>
                <w:b/>
                <w:color w:val="000000"/>
                <w:sz w:val="18"/>
              </w:rPr>
              <w:tab/>
            </w:r>
          </w:p>
        </w:tc>
      </w:tr>
      <w:tr w:rsidR="00C56203" w14:paraId="1C9E32F8" w14:textId="77777777">
        <w:trPr>
          <w:cantSplit/>
          <w:trHeight w:hRule="exact" w:val="285"/>
        </w:trPr>
        <w:tc>
          <w:tcPr>
            <w:tcW w:w="8160" w:type="dxa"/>
            <w:gridSpan w:val="2"/>
            <w:tcBorders>
              <w:top w:val="nil"/>
              <w:left w:val="nil"/>
              <w:bottom w:val="nil"/>
              <w:right w:val="nil"/>
            </w:tcBorders>
            <w:shd w:val="clear" w:color="auto" w:fill="CCEEFF"/>
            <w:tcMar>
              <w:top w:w="0" w:type="dxa"/>
              <w:left w:w="53" w:type="dxa"/>
              <w:bottom w:w="0" w:type="dxa"/>
              <w:right w:w="53" w:type="dxa"/>
            </w:tcMar>
            <w:vAlign w:val="bottom"/>
          </w:tcPr>
          <w:p w14:paraId="1AC366C0" w14:textId="77777777" w:rsidR="00C56203" w:rsidRDefault="00CD5102">
            <w:pPr>
              <w:keepNext/>
              <w:spacing w:before="75" w:after="30"/>
            </w:pPr>
            <w:r>
              <w:rPr>
                <w:color w:val="000000"/>
                <w:sz w:val="18"/>
              </w:rPr>
              <w:t>Adjustments: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54986B3" w14:textId="77777777" w:rsidR="00C56203" w:rsidRDefault="00C56203">
            <w:pPr>
              <w:keepNext/>
            </w:pPr>
          </w:p>
        </w:tc>
        <w:tc>
          <w:tcPr>
            <w:tcW w:w="885" w:type="dxa"/>
            <w:tcBorders>
              <w:top w:val="nil"/>
              <w:left w:val="nil"/>
              <w:bottom w:val="nil"/>
              <w:right w:val="nil"/>
            </w:tcBorders>
            <w:shd w:val="clear" w:color="auto" w:fill="CCEEFF"/>
            <w:tcMar>
              <w:top w:w="0" w:type="dxa"/>
              <w:left w:w="0" w:type="dxa"/>
              <w:bottom w:w="0" w:type="dxa"/>
              <w:right w:w="0" w:type="dxa"/>
            </w:tcMar>
            <w:vAlign w:val="bottom"/>
          </w:tcPr>
          <w:p w14:paraId="00C16EA7" w14:textId="77777777" w:rsidR="00C56203" w:rsidRDefault="00C56203">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7BEA62E" w14:textId="77777777" w:rsidR="00C56203" w:rsidRDefault="00C56203">
            <w:pPr>
              <w:keepNext/>
            </w:pPr>
          </w:p>
        </w:tc>
        <w:tc>
          <w:tcPr>
            <w:tcW w:w="885" w:type="dxa"/>
            <w:tcBorders>
              <w:top w:val="nil"/>
              <w:left w:val="nil"/>
              <w:bottom w:val="nil"/>
              <w:right w:val="nil"/>
            </w:tcBorders>
            <w:shd w:val="clear" w:color="auto" w:fill="CCEEFF"/>
            <w:tcMar>
              <w:top w:w="0" w:type="dxa"/>
              <w:left w:w="0" w:type="dxa"/>
              <w:bottom w:w="0" w:type="dxa"/>
              <w:right w:w="0" w:type="dxa"/>
            </w:tcMar>
            <w:vAlign w:val="bottom"/>
          </w:tcPr>
          <w:p w14:paraId="07F9FE52" w14:textId="77777777" w:rsidR="00C56203" w:rsidRDefault="00C56203">
            <w:pPr>
              <w:keepNext/>
            </w:pPr>
          </w:p>
        </w:tc>
      </w:tr>
      <w:tr w:rsidR="00C56203" w14:paraId="1078FF19" w14:textId="77777777">
        <w:trPr>
          <w:cantSplit/>
          <w:trHeight w:hRule="exact" w:val="285"/>
        </w:trPr>
        <w:tc>
          <w:tcPr>
            <w:tcW w:w="195" w:type="dxa"/>
            <w:tcBorders>
              <w:top w:val="nil"/>
              <w:left w:val="nil"/>
              <w:bottom w:val="nil"/>
              <w:right w:val="nil"/>
            </w:tcBorders>
            <w:shd w:val="clear" w:color="auto" w:fill="FFFFFF"/>
            <w:tcMar>
              <w:top w:w="0" w:type="dxa"/>
              <w:left w:w="0" w:type="dxa"/>
              <w:bottom w:w="0" w:type="dxa"/>
              <w:right w:w="0" w:type="dxa"/>
            </w:tcMar>
            <w:vAlign w:val="bottom"/>
          </w:tcPr>
          <w:p w14:paraId="7C162580" w14:textId="77777777" w:rsidR="00C56203" w:rsidRDefault="00C56203">
            <w:pPr>
              <w:keepNext/>
            </w:pPr>
          </w:p>
        </w:tc>
        <w:tc>
          <w:tcPr>
            <w:tcW w:w="7965" w:type="dxa"/>
            <w:tcBorders>
              <w:top w:val="nil"/>
              <w:left w:val="nil"/>
              <w:bottom w:val="nil"/>
              <w:right w:val="nil"/>
            </w:tcBorders>
            <w:shd w:val="clear" w:color="auto" w:fill="FFFFFF"/>
            <w:tcMar>
              <w:top w:w="0" w:type="dxa"/>
              <w:left w:w="53" w:type="dxa"/>
              <w:bottom w:w="0" w:type="dxa"/>
              <w:right w:w="53" w:type="dxa"/>
            </w:tcMar>
            <w:vAlign w:val="bottom"/>
          </w:tcPr>
          <w:p w14:paraId="78A99A0B" w14:textId="77777777" w:rsidR="00C56203" w:rsidRDefault="00CD5102">
            <w:pPr>
              <w:keepNext/>
              <w:spacing w:before="75" w:after="30"/>
              <w:ind w:left="90" w:hanging="90"/>
            </w:pPr>
            <w:r>
              <w:rPr>
                <w:color w:val="000000"/>
                <w:sz w:val="18"/>
              </w:rPr>
              <w:t>Asset impairments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D8787DE" w14:textId="77777777" w:rsidR="00C56203" w:rsidRDefault="00C56203">
            <w:pPr>
              <w:keepNext/>
            </w:pP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73740A77" w14:textId="77777777" w:rsidR="00C56203" w:rsidRDefault="00CD5102">
            <w:pPr>
              <w:keepNext/>
              <w:tabs>
                <w:tab w:val="left" w:pos="579"/>
                <w:tab w:val="left" w:pos="817"/>
              </w:tabs>
              <w:spacing w:before="75" w:after="30"/>
              <w:jc w:val="right"/>
            </w:pPr>
            <w:r>
              <w:rPr>
                <w:color w:val="000000"/>
                <w:sz w:val="18"/>
              </w:rPr>
              <w:tab/>
              <w:t>13</w:t>
            </w:r>
            <w:r>
              <w:rPr>
                <w:color w:val="000000"/>
                <w:sz w:val="18"/>
              </w:rPr>
              <w:tab/>
            </w: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45C2679F" w14:textId="77777777" w:rsidR="00C56203" w:rsidRDefault="00C56203">
            <w:pPr>
              <w:keepNext/>
              <w:spacing w:before="75" w:after="30"/>
            </w:pP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4E0E2A49" w14:textId="77777777" w:rsidR="00C56203" w:rsidRDefault="00CD5102">
            <w:pPr>
              <w:keepNext/>
              <w:tabs>
                <w:tab w:val="left" w:pos="669"/>
                <w:tab w:val="left" w:pos="817"/>
              </w:tabs>
              <w:spacing w:before="75" w:after="30"/>
              <w:jc w:val="right"/>
            </w:pPr>
            <w:r>
              <w:rPr>
                <w:color w:val="000000"/>
                <w:sz w:val="18"/>
              </w:rPr>
              <w:tab/>
              <w:t>8</w:t>
            </w:r>
            <w:r>
              <w:rPr>
                <w:color w:val="000000"/>
                <w:sz w:val="18"/>
              </w:rPr>
              <w:tab/>
            </w:r>
          </w:p>
        </w:tc>
      </w:tr>
      <w:tr w:rsidR="00C56203" w14:paraId="6F64D958" w14:textId="77777777">
        <w:trPr>
          <w:cantSplit/>
          <w:trHeight w:hRule="exact" w:val="285"/>
        </w:trPr>
        <w:tc>
          <w:tcPr>
            <w:tcW w:w="195" w:type="dxa"/>
            <w:tcBorders>
              <w:top w:val="nil"/>
              <w:left w:val="nil"/>
              <w:bottom w:val="nil"/>
              <w:right w:val="nil"/>
            </w:tcBorders>
            <w:shd w:val="clear" w:color="auto" w:fill="CCEEFF"/>
            <w:tcMar>
              <w:top w:w="0" w:type="dxa"/>
              <w:left w:w="0" w:type="dxa"/>
              <w:bottom w:w="0" w:type="dxa"/>
              <w:right w:w="0" w:type="dxa"/>
            </w:tcMar>
            <w:vAlign w:val="bottom"/>
          </w:tcPr>
          <w:p w14:paraId="0CDF2DFD" w14:textId="77777777" w:rsidR="00C56203" w:rsidRDefault="00C56203">
            <w:pPr>
              <w:keepNext/>
            </w:pPr>
          </w:p>
        </w:tc>
        <w:tc>
          <w:tcPr>
            <w:tcW w:w="7965" w:type="dxa"/>
            <w:tcBorders>
              <w:top w:val="nil"/>
              <w:left w:val="nil"/>
              <w:bottom w:val="nil"/>
              <w:right w:val="nil"/>
            </w:tcBorders>
            <w:shd w:val="clear" w:color="auto" w:fill="CCEEFF"/>
            <w:tcMar>
              <w:top w:w="0" w:type="dxa"/>
              <w:left w:w="53" w:type="dxa"/>
              <w:bottom w:w="0" w:type="dxa"/>
              <w:right w:w="53" w:type="dxa"/>
            </w:tcMar>
            <w:vAlign w:val="bottom"/>
          </w:tcPr>
          <w:p w14:paraId="68F3F675" w14:textId="77777777" w:rsidR="00C56203" w:rsidRDefault="00CD5102">
            <w:pPr>
              <w:keepNext/>
              <w:spacing w:before="75" w:after="30"/>
            </w:pPr>
            <w:r>
              <w:rPr>
                <w:color w:val="000000"/>
                <w:sz w:val="18"/>
              </w:rPr>
              <w:t>Restructuring, integration and transformation costs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242E581" w14:textId="77777777" w:rsidR="00C56203" w:rsidRDefault="00C56203">
            <w:pPr>
              <w:keepNext/>
            </w:pPr>
          </w:p>
        </w:tc>
        <w:tc>
          <w:tcPr>
            <w:tcW w:w="885" w:type="dxa"/>
            <w:tcBorders>
              <w:top w:val="nil"/>
              <w:left w:val="nil"/>
              <w:bottom w:val="nil"/>
              <w:right w:val="nil"/>
            </w:tcBorders>
            <w:shd w:val="clear" w:color="auto" w:fill="CCEEFF"/>
            <w:tcMar>
              <w:top w:w="0" w:type="dxa"/>
              <w:left w:w="0" w:type="dxa"/>
              <w:bottom w:w="0" w:type="dxa"/>
              <w:right w:w="15" w:type="dxa"/>
            </w:tcMar>
            <w:vAlign w:val="bottom"/>
          </w:tcPr>
          <w:p w14:paraId="0B6B8180" w14:textId="77777777" w:rsidR="00C56203" w:rsidRDefault="00CD5102">
            <w:pPr>
              <w:keepNext/>
              <w:tabs>
                <w:tab w:val="left" w:pos="579"/>
                <w:tab w:val="left" w:pos="817"/>
              </w:tabs>
              <w:spacing w:before="75" w:after="30"/>
              <w:jc w:val="right"/>
            </w:pPr>
            <w:r>
              <w:rPr>
                <w:color w:val="000000"/>
                <w:sz w:val="18"/>
              </w:rPr>
              <w:tab/>
              <w:t>27</w:t>
            </w:r>
            <w:r>
              <w:rPr>
                <w:color w:val="000000"/>
                <w:sz w:val="18"/>
              </w:rPr>
              <w:tab/>
            </w: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3653B3E3" w14:textId="77777777" w:rsidR="00C56203" w:rsidRDefault="00C56203">
            <w:pPr>
              <w:keepNext/>
              <w:spacing w:before="75" w:after="30"/>
            </w:pPr>
          </w:p>
        </w:tc>
        <w:tc>
          <w:tcPr>
            <w:tcW w:w="885" w:type="dxa"/>
            <w:tcBorders>
              <w:top w:val="nil"/>
              <w:left w:val="nil"/>
              <w:bottom w:val="nil"/>
              <w:right w:val="nil"/>
            </w:tcBorders>
            <w:shd w:val="clear" w:color="auto" w:fill="CCEEFF"/>
            <w:tcMar>
              <w:top w:w="0" w:type="dxa"/>
              <w:left w:w="0" w:type="dxa"/>
              <w:bottom w:w="0" w:type="dxa"/>
              <w:right w:w="15" w:type="dxa"/>
            </w:tcMar>
            <w:vAlign w:val="bottom"/>
          </w:tcPr>
          <w:p w14:paraId="4428E1A2" w14:textId="77777777" w:rsidR="00C56203" w:rsidRDefault="00CD5102">
            <w:pPr>
              <w:keepNext/>
              <w:tabs>
                <w:tab w:val="left" w:pos="669"/>
                <w:tab w:val="left" w:pos="817"/>
              </w:tabs>
              <w:spacing w:before="75" w:after="30"/>
              <w:jc w:val="right"/>
            </w:pPr>
            <w:r>
              <w:rPr>
                <w:color w:val="000000"/>
                <w:sz w:val="18"/>
              </w:rPr>
              <w:tab/>
              <w:t>3</w:t>
            </w:r>
            <w:r>
              <w:rPr>
                <w:color w:val="000000"/>
                <w:sz w:val="18"/>
              </w:rPr>
              <w:tab/>
            </w:r>
          </w:p>
        </w:tc>
      </w:tr>
      <w:tr w:rsidR="00C56203" w14:paraId="4D92CE63" w14:textId="77777777">
        <w:trPr>
          <w:cantSplit/>
          <w:trHeight w:hRule="exact" w:val="285"/>
        </w:trPr>
        <w:tc>
          <w:tcPr>
            <w:tcW w:w="195" w:type="dxa"/>
            <w:tcBorders>
              <w:top w:val="nil"/>
              <w:left w:val="nil"/>
              <w:bottom w:val="nil"/>
              <w:right w:val="nil"/>
            </w:tcBorders>
            <w:shd w:val="clear" w:color="auto" w:fill="FFFFFF"/>
            <w:tcMar>
              <w:top w:w="0" w:type="dxa"/>
              <w:left w:w="0" w:type="dxa"/>
              <w:bottom w:w="0" w:type="dxa"/>
              <w:right w:w="0" w:type="dxa"/>
            </w:tcMar>
            <w:vAlign w:val="bottom"/>
          </w:tcPr>
          <w:p w14:paraId="0AF2E87A" w14:textId="77777777" w:rsidR="00C56203" w:rsidRDefault="00C56203">
            <w:pPr>
              <w:keepNext/>
            </w:pPr>
          </w:p>
        </w:tc>
        <w:tc>
          <w:tcPr>
            <w:tcW w:w="7965" w:type="dxa"/>
            <w:tcBorders>
              <w:top w:val="nil"/>
              <w:left w:val="nil"/>
              <w:bottom w:val="nil"/>
              <w:right w:val="nil"/>
            </w:tcBorders>
            <w:shd w:val="clear" w:color="auto" w:fill="FFFFFF"/>
            <w:tcMar>
              <w:top w:w="0" w:type="dxa"/>
              <w:left w:w="53" w:type="dxa"/>
              <w:bottom w:w="0" w:type="dxa"/>
              <w:right w:w="53" w:type="dxa"/>
            </w:tcMar>
            <w:vAlign w:val="bottom"/>
          </w:tcPr>
          <w:p w14:paraId="23CD4C31" w14:textId="77777777" w:rsidR="00C56203" w:rsidRDefault="00CD5102">
            <w:pPr>
              <w:keepNext/>
              <w:spacing w:before="75" w:after="30"/>
              <w:ind w:left="90" w:hanging="90"/>
            </w:pPr>
            <w:r>
              <w:rPr>
                <w:color w:val="000000"/>
                <w:sz w:val="18"/>
              </w:rPr>
              <w:t xml:space="preserve">Acquisition-related costs and </w:t>
            </w:r>
            <w:r>
              <w:rPr>
                <w:color w:val="000000"/>
                <w:sz w:val="18"/>
              </w:rPr>
              <w:t>adjustments (excluding amortization of intangible assets)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5F0AC4D" w14:textId="77777777" w:rsidR="00C56203" w:rsidRDefault="00C56203">
            <w:pPr>
              <w:keepNext/>
            </w:pP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4D0EB7CD" w14:textId="77777777" w:rsidR="00C56203" w:rsidRDefault="00CD5102">
            <w:pPr>
              <w:keepNext/>
              <w:tabs>
                <w:tab w:val="left" w:pos="579"/>
                <w:tab w:val="left" w:pos="817"/>
              </w:tabs>
              <w:spacing w:before="75" w:after="30"/>
              <w:jc w:val="right"/>
            </w:pPr>
            <w:r>
              <w:rPr>
                <w:color w:val="000000"/>
                <w:sz w:val="18"/>
              </w:rPr>
              <w:tab/>
              <w:t>31</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14:paraId="48AE054B" w14:textId="77777777" w:rsidR="00C56203" w:rsidRDefault="00C56203">
            <w:pPr>
              <w:keepNext/>
              <w:spacing w:before="75" w:after="30"/>
              <w:jc w:val="right"/>
            </w:pP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570DF592" w14:textId="77777777" w:rsidR="00C56203" w:rsidRDefault="00CD5102">
            <w:pPr>
              <w:keepNext/>
              <w:tabs>
                <w:tab w:val="left" w:pos="669"/>
                <w:tab w:val="left" w:pos="817"/>
              </w:tabs>
              <w:spacing w:before="75" w:after="30"/>
              <w:jc w:val="right"/>
            </w:pPr>
            <w:r>
              <w:rPr>
                <w:color w:val="000000"/>
                <w:sz w:val="18"/>
              </w:rPr>
              <w:tab/>
              <w:t>3</w:t>
            </w:r>
            <w:r>
              <w:rPr>
                <w:color w:val="000000"/>
                <w:sz w:val="18"/>
              </w:rPr>
              <w:tab/>
            </w:r>
          </w:p>
        </w:tc>
      </w:tr>
      <w:tr w:rsidR="00C56203" w14:paraId="6493DDDE" w14:textId="77777777">
        <w:trPr>
          <w:cantSplit/>
          <w:trHeight w:hRule="exact" w:val="285"/>
        </w:trPr>
        <w:tc>
          <w:tcPr>
            <w:tcW w:w="195" w:type="dxa"/>
            <w:tcBorders>
              <w:top w:val="nil"/>
              <w:left w:val="nil"/>
              <w:bottom w:val="nil"/>
              <w:right w:val="nil"/>
            </w:tcBorders>
            <w:shd w:val="clear" w:color="auto" w:fill="CCEEFF"/>
            <w:tcMar>
              <w:top w:w="0" w:type="dxa"/>
              <w:left w:w="0" w:type="dxa"/>
              <w:bottom w:w="0" w:type="dxa"/>
              <w:right w:w="0" w:type="dxa"/>
            </w:tcMar>
            <w:vAlign w:val="bottom"/>
          </w:tcPr>
          <w:p w14:paraId="14047878" w14:textId="77777777" w:rsidR="00C56203" w:rsidRDefault="00C56203">
            <w:pPr>
              <w:keepNext/>
            </w:pPr>
          </w:p>
        </w:tc>
        <w:tc>
          <w:tcPr>
            <w:tcW w:w="7965" w:type="dxa"/>
            <w:tcBorders>
              <w:top w:val="nil"/>
              <w:left w:val="nil"/>
              <w:bottom w:val="nil"/>
              <w:right w:val="nil"/>
            </w:tcBorders>
            <w:shd w:val="clear" w:color="auto" w:fill="CCEEFF"/>
            <w:tcMar>
              <w:top w:w="0" w:type="dxa"/>
              <w:left w:w="53" w:type="dxa"/>
              <w:bottom w:w="0" w:type="dxa"/>
              <w:right w:w="53" w:type="dxa"/>
            </w:tcMar>
            <w:vAlign w:val="bottom"/>
          </w:tcPr>
          <w:p w14:paraId="0A8E5888" w14:textId="77777777" w:rsidR="00C56203" w:rsidRDefault="00CD5102">
            <w:pPr>
              <w:keepNext/>
              <w:spacing w:before="75" w:after="30"/>
            </w:pPr>
            <w:r>
              <w:rPr>
                <w:color w:val="000000"/>
                <w:sz w:val="18"/>
              </w:rPr>
              <w:t>Share-based compensation</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1E71115" w14:textId="77777777" w:rsidR="00C56203" w:rsidRDefault="00C56203">
            <w:pPr>
              <w:keepNext/>
            </w:pPr>
          </w:p>
        </w:tc>
        <w:tc>
          <w:tcPr>
            <w:tcW w:w="885" w:type="dxa"/>
            <w:tcBorders>
              <w:top w:val="nil"/>
              <w:left w:val="nil"/>
              <w:bottom w:val="nil"/>
              <w:right w:val="nil"/>
            </w:tcBorders>
            <w:shd w:val="clear" w:color="auto" w:fill="CCEEFF"/>
            <w:tcMar>
              <w:top w:w="0" w:type="dxa"/>
              <w:left w:w="0" w:type="dxa"/>
              <w:bottom w:w="0" w:type="dxa"/>
              <w:right w:w="15" w:type="dxa"/>
            </w:tcMar>
            <w:vAlign w:val="bottom"/>
          </w:tcPr>
          <w:p w14:paraId="68870487" w14:textId="77777777" w:rsidR="00C56203" w:rsidRDefault="00CD5102">
            <w:pPr>
              <w:keepNext/>
              <w:tabs>
                <w:tab w:val="left" w:pos="579"/>
                <w:tab w:val="left" w:pos="817"/>
              </w:tabs>
              <w:spacing w:before="75" w:after="30"/>
              <w:jc w:val="right"/>
            </w:pPr>
            <w:r>
              <w:rPr>
                <w:color w:val="000000"/>
                <w:sz w:val="18"/>
              </w:rPr>
              <w:tab/>
              <w:t>41</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14:paraId="1EC5AE33" w14:textId="77777777" w:rsidR="00C56203" w:rsidRDefault="00C56203">
            <w:pPr>
              <w:keepNext/>
              <w:spacing w:before="75" w:after="30"/>
              <w:jc w:val="right"/>
            </w:pPr>
          </w:p>
        </w:tc>
        <w:tc>
          <w:tcPr>
            <w:tcW w:w="885" w:type="dxa"/>
            <w:tcBorders>
              <w:top w:val="nil"/>
              <w:left w:val="nil"/>
              <w:bottom w:val="nil"/>
              <w:right w:val="nil"/>
            </w:tcBorders>
            <w:shd w:val="clear" w:color="auto" w:fill="CCEEFF"/>
            <w:tcMar>
              <w:top w:w="0" w:type="dxa"/>
              <w:left w:w="0" w:type="dxa"/>
              <w:bottom w:w="0" w:type="dxa"/>
              <w:right w:w="15" w:type="dxa"/>
            </w:tcMar>
            <w:vAlign w:val="bottom"/>
          </w:tcPr>
          <w:p w14:paraId="20B8975F" w14:textId="77777777" w:rsidR="00C56203" w:rsidRDefault="00CD5102">
            <w:pPr>
              <w:keepNext/>
              <w:tabs>
                <w:tab w:val="left" w:pos="579"/>
                <w:tab w:val="left" w:pos="817"/>
              </w:tabs>
              <w:spacing w:before="75" w:after="30"/>
              <w:jc w:val="right"/>
            </w:pPr>
            <w:r>
              <w:rPr>
                <w:color w:val="000000"/>
                <w:sz w:val="18"/>
              </w:rPr>
              <w:tab/>
              <w:t>32</w:t>
            </w:r>
            <w:r>
              <w:rPr>
                <w:color w:val="000000"/>
                <w:sz w:val="18"/>
              </w:rPr>
              <w:tab/>
            </w:r>
          </w:p>
        </w:tc>
      </w:tr>
      <w:tr w:rsidR="00C56203" w14:paraId="1CA21FDC" w14:textId="77777777">
        <w:trPr>
          <w:cantSplit/>
          <w:trHeight w:hRule="exact" w:val="285"/>
        </w:trPr>
        <w:tc>
          <w:tcPr>
            <w:tcW w:w="195" w:type="dxa"/>
            <w:tcBorders>
              <w:top w:val="nil"/>
              <w:left w:val="nil"/>
              <w:bottom w:val="nil"/>
              <w:right w:val="nil"/>
            </w:tcBorders>
            <w:shd w:val="clear" w:color="auto" w:fill="FFFFFF"/>
            <w:tcMar>
              <w:top w:w="0" w:type="dxa"/>
              <w:left w:w="0" w:type="dxa"/>
              <w:bottom w:w="0" w:type="dxa"/>
              <w:right w:w="0" w:type="dxa"/>
            </w:tcMar>
            <w:vAlign w:val="bottom"/>
          </w:tcPr>
          <w:p w14:paraId="17B37CFF" w14:textId="77777777" w:rsidR="00C56203" w:rsidRDefault="00C56203">
            <w:pPr>
              <w:keepNext/>
            </w:pPr>
          </w:p>
        </w:tc>
        <w:tc>
          <w:tcPr>
            <w:tcW w:w="7965" w:type="dxa"/>
            <w:tcBorders>
              <w:top w:val="nil"/>
              <w:left w:val="nil"/>
              <w:bottom w:val="nil"/>
              <w:right w:val="nil"/>
            </w:tcBorders>
            <w:shd w:val="clear" w:color="auto" w:fill="FFFFFF"/>
            <w:tcMar>
              <w:top w:w="0" w:type="dxa"/>
              <w:left w:w="53" w:type="dxa"/>
              <w:bottom w:w="0" w:type="dxa"/>
              <w:right w:w="53" w:type="dxa"/>
            </w:tcMar>
            <w:vAlign w:val="bottom"/>
          </w:tcPr>
          <w:p w14:paraId="5BCEF2F7" w14:textId="77777777" w:rsidR="00C56203" w:rsidRDefault="00CD5102">
            <w:pPr>
              <w:keepNext/>
              <w:spacing w:before="75" w:after="30"/>
            </w:pPr>
            <w:r>
              <w:rPr>
                <w:color w:val="000000"/>
                <w:sz w:val="18"/>
              </w:rPr>
              <w:t>Separation costs, separation-related costs, IPO costs and IPO-related costs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D4BCDA4" w14:textId="77777777" w:rsidR="00C56203" w:rsidRDefault="00C56203">
            <w:pPr>
              <w:keepNext/>
            </w:pP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501CD33C" w14:textId="77777777" w:rsidR="00C56203" w:rsidRDefault="00CD5102">
            <w:pPr>
              <w:keepNext/>
              <w:tabs>
                <w:tab w:val="left" w:pos="669"/>
                <w:tab w:val="left" w:pos="817"/>
              </w:tabs>
              <w:spacing w:before="75" w:after="30"/>
              <w:jc w:val="right"/>
            </w:pPr>
            <w:r>
              <w:rPr>
                <w:color w:val="000000"/>
                <w:sz w:val="18"/>
              </w:rPr>
              <w:tab/>
              <w:t>7</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15" w:type="dxa"/>
            </w:tcMar>
            <w:vAlign w:val="bottom"/>
          </w:tcPr>
          <w:p w14:paraId="7CE089A6" w14:textId="77777777" w:rsidR="00C56203" w:rsidRDefault="00C56203">
            <w:pPr>
              <w:keepNext/>
              <w:spacing w:before="75" w:after="30"/>
              <w:jc w:val="right"/>
            </w:pP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4D0D91E0" w14:textId="77777777" w:rsidR="00C56203" w:rsidRDefault="00CD5102">
            <w:pPr>
              <w:keepNext/>
              <w:tabs>
                <w:tab w:val="left" w:pos="579"/>
                <w:tab w:val="left" w:pos="817"/>
              </w:tabs>
              <w:spacing w:before="75" w:after="30"/>
              <w:jc w:val="right"/>
            </w:pPr>
            <w:r>
              <w:rPr>
                <w:color w:val="000000"/>
                <w:sz w:val="18"/>
              </w:rPr>
              <w:tab/>
              <w:t>34</w:t>
            </w:r>
            <w:r>
              <w:rPr>
                <w:color w:val="000000"/>
                <w:sz w:val="18"/>
              </w:rPr>
              <w:tab/>
            </w:r>
          </w:p>
        </w:tc>
      </w:tr>
      <w:tr w:rsidR="00C56203" w14:paraId="0B740914" w14:textId="77777777">
        <w:trPr>
          <w:cantSplit/>
          <w:trHeight w:hRule="exact" w:val="285"/>
        </w:trPr>
        <w:tc>
          <w:tcPr>
            <w:tcW w:w="195" w:type="dxa"/>
            <w:tcBorders>
              <w:top w:val="nil"/>
              <w:left w:val="nil"/>
              <w:bottom w:val="nil"/>
              <w:right w:val="nil"/>
            </w:tcBorders>
            <w:shd w:val="clear" w:color="auto" w:fill="CCEEFF"/>
            <w:tcMar>
              <w:top w:w="0" w:type="dxa"/>
              <w:left w:w="0" w:type="dxa"/>
              <w:bottom w:w="0" w:type="dxa"/>
              <w:right w:w="0" w:type="dxa"/>
            </w:tcMar>
            <w:vAlign w:val="bottom"/>
          </w:tcPr>
          <w:p w14:paraId="12ACFA77" w14:textId="77777777" w:rsidR="00C56203" w:rsidRDefault="00C56203">
            <w:pPr>
              <w:keepNext/>
            </w:pPr>
          </w:p>
        </w:tc>
        <w:tc>
          <w:tcPr>
            <w:tcW w:w="7965" w:type="dxa"/>
            <w:tcBorders>
              <w:top w:val="nil"/>
              <w:left w:val="nil"/>
              <w:bottom w:val="nil"/>
              <w:right w:val="nil"/>
            </w:tcBorders>
            <w:shd w:val="clear" w:color="auto" w:fill="CCEEFF"/>
            <w:tcMar>
              <w:top w:w="0" w:type="dxa"/>
              <w:left w:w="53" w:type="dxa"/>
              <w:bottom w:w="0" w:type="dxa"/>
              <w:right w:w="53" w:type="dxa"/>
            </w:tcMar>
            <w:vAlign w:val="bottom"/>
          </w:tcPr>
          <w:p w14:paraId="11115BE9" w14:textId="77777777" w:rsidR="00C56203" w:rsidRDefault="00CD5102">
            <w:pPr>
              <w:keepNext/>
              <w:spacing w:before="75" w:after="30"/>
            </w:pPr>
            <w:r>
              <w:rPr>
                <w:color w:val="000000"/>
                <w:sz w:val="18"/>
              </w:rPr>
              <w:t>Other adjustments: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1FFA15B" w14:textId="77777777" w:rsidR="00C56203" w:rsidRDefault="00C56203">
            <w:pPr>
              <w:keepNext/>
            </w:pPr>
          </w:p>
        </w:tc>
        <w:tc>
          <w:tcPr>
            <w:tcW w:w="885" w:type="dxa"/>
            <w:tcBorders>
              <w:top w:val="nil"/>
              <w:left w:val="nil"/>
              <w:bottom w:val="nil"/>
              <w:right w:val="nil"/>
            </w:tcBorders>
            <w:shd w:val="clear" w:color="auto" w:fill="CCEEFF"/>
            <w:tcMar>
              <w:top w:w="0" w:type="dxa"/>
              <w:left w:w="0" w:type="dxa"/>
              <w:bottom w:w="0" w:type="dxa"/>
              <w:right w:w="0" w:type="dxa"/>
            </w:tcMar>
            <w:vAlign w:val="bottom"/>
          </w:tcPr>
          <w:p w14:paraId="26DE043D" w14:textId="77777777" w:rsidR="00C56203" w:rsidRDefault="00C56203">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E556C62" w14:textId="77777777" w:rsidR="00C56203" w:rsidRDefault="00C56203">
            <w:pPr>
              <w:keepNext/>
            </w:pPr>
          </w:p>
        </w:tc>
        <w:tc>
          <w:tcPr>
            <w:tcW w:w="885" w:type="dxa"/>
            <w:tcBorders>
              <w:top w:val="nil"/>
              <w:left w:val="nil"/>
              <w:bottom w:val="nil"/>
              <w:right w:val="nil"/>
            </w:tcBorders>
            <w:shd w:val="clear" w:color="auto" w:fill="CCEEFF"/>
            <w:tcMar>
              <w:top w:w="0" w:type="dxa"/>
              <w:left w:w="0" w:type="dxa"/>
              <w:bottom w:w="0" w:type="dxa"/>
              <w:right w:w="0" w:type="dxa"/>
            </w:tcMar>
            <w:vAlign w:val="bottom"/>
          </w:tcPr>
          <w:p w14:paraId="1E2BA560" w14:textId="77777777" w:rsidR="00C56203" w:rsidRDefault="00C56203">
            <w:pPr>
              <w:keepNext/>
            </w:pPr>
          </w:p>
        </w:tc>
      </w:tr>
      <w:tr w:rsidR="00C56203" w14:paraId="6E221704" w14:textId="77777777">
        <w:trPr>
          <w:cantSplit/>
          <w:trHeight w:hRule="exact" w:val="285"/>
        </w:trPr>
        <w:tc>
          <w:tcPr>
            <w:tcW w:w="195" w:type="dxa"/>
            <w:tcBorders>
              <w:top w:val="nil"/>
              <w:left w:val="nil"/>
              <w:bottom w:val="nil"/>
              <w:right w:val="nil"/>
            </w:tcBorders>
            <w:shd w:val="clear" w:color="auto" w:fill="FFFFFF"/>
            <w:tcMar>
              <w:top w:w="0" w:type="dxa"/>
              <w:left w:w="0" w:type="dxa"/>
              <w:bottom w:w="0" w:type="dxa"/>
              <w:right w:w="0" w:type="dxa"/>
            </w:tcMar>
            <w:vAlign w:val="bottom"/>
          </w:tcPr>
          <w:p w14:paraId="7D8CF664" w14:textId="77777777" w:rsidR="00C56203" w:rsidRDefault="00C56203">
            <w:pPr>
              <w:keepNext/>
            </w:pPr>
          </w:p>
        </w:tc>
        <w:tc>
          <w:tcPr>
            <w:tcW w:w="7965" w:type="dxa"/>
            <w:tcBorders>
              <w:top w:val="nil"/>
              <w:left w:val="nil"/>
              <w:bottom w:val="nil"/>
              <w:right w:val="nil"/>
            </w:tcBorders>
            <w:shd w:val="clear" w:color="auto" w:fill="FFFFFF"/>
            <w:tcMar>
              <w:top w:w="0" w:type="dxa"/>
              <w:left w:w="53" w:type="dxa"/>
              <w:bottom w:w="0" w:type="dxa"/>
              <w:right w:w="53" w:type="dxa"/>
            </w:tcMar>
            <w:vAlign w:val="bottom"/>
          </w:tcPr>
          <w:p w14:paraId="23D54806" w14:textId="77777777" w:rsidR="00C56203" w:rsidRDefault="00CD5102">
            <w:pPr>
              <w:keepNext/>
              <w:spacing w:before="75" w:after="30"/>
              <w:ind w:left="135"/>
            </w:pPr>
            <w:r>
              <w:rPr>
                <w:color w:val="000000"/>
                <w:sz w:val="18"/>
              </w:rPr>
              <w:t xml:space="preserve">Litigation and other </w:t>
            </w:r>
            <w:r>
              <w:rPr>
                <w:color w:val="000000"/>
                <w:sz w:val="18"/>
              </w:rPr>
              <w:t>matters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838E505" w14:textId="77777777" w:rsidR="00C56203" w:rsidRDefault="00C56203">
            <w:pPr>
              <w:keepNext/>
            </w:pP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49B6DEA9" w14:textId="77777777" w:rsidR="00C56203" w:rsidRDefault="00CD5102">
            <w:pPr>
              <w:keepNext/>
              <w:tabs>
                <w:tab w:val="left" w:pos="589"/>
              </w:tabs>
              <w:spacing w:before="75" w:after="30"/>
              <w:jc w:val="right"/>
            </w:pPr>
            <w:r>
              <w:rPr>
                <w:color w:val="000000"/>
                <w:sz w:val="18"/>
              </w:rPr>
              <w:tab/>
              <w:t>(8)</w:t>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14:paraId="0788DE2D" w14:textId="77777777" w:rsidR="00C56203" w:rsidRDefault="00C56203">
            <w:pPr>
              <w:keepNext/>
              <w:spacing w:before="75" w:after="30"/>
              <w:jc w:val="right"/>
            </w:pP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28C02397" w14:textId="77777777" w:rsidR="00C56203" w:rsidRDefault="00CD5102">
            <w:pPr>
              <w:keepNext/>
              <w:tabs>
                <w:tab w:val="left" w:pos="589"/>
              </w:tabs>
              <w:spacing w:before="75" w:after="30"/>
              <w:jc w:val="right"/>
            </w:pPr>
            <w:r>
              <w:rPr>
                <w:color w:val="000000"/>
                <w:sz w:val="18"/>
              </w:rPr>
              <w:tab/>
              <w:t>(1)</w:t>
            </w:r>
          </w:p>
        </w:tc>
      </w:tr>
      <w:tr w:rsidR="00C56203" w14:paraId="685AA616" w14:textId="77777777">
        <w:trPr>
          <w:cantSplit/>
          <w:trHeight w:hRule="exact" w:val="285"/>
        </w:trPr>
        <w:tc>
          <w:tcPr>
            <w:tcW w:w="195" w:type="dxa"/>
            <w:tcBorders>
              <w:top w:val="nil"/>
              <w:left w:val="nil"/>
              <w:bottom w:val="nil"/>
              <w:right w:val="nil"/>
            </w:tcBorders>
            <w:shd w:val="clear" w:color="auto" w:fill="CCEEFF"/>
            <w:tcMar>
              <w:top w:w="0" w:type="dxa"/>
              <w:left w:w="0" w:type="dxa"/>
              <w:bottom w:w="0" w:type="dxa"/>
              <w:right w:w="0" w:type="dxa"/>
            </w:tcMar>
            <w:vAlign w:val="bottom"/>
          </w:tcPr>
          <w:p w14:paraId="2CD9F961" w14:textId="77777777" w:rsidR="00C56203" w:rsidRDefault="00C56203">
            <w:pPr>
              <w:keepNext/>
            </w:pPr>
          </w:p>
        </w:tc>
        <w:tc>
          <w:tcPr>
            <w:tcW w:w="7965" w:type="dxa"/>
            <w:tcBorders>
              <w:top w:val="nil"/>
              <w:left w:val="nil"/>
              <w:bottom w:val="nil"/>
              <w:right w:val="nil"/>
            </w:tcBorders>
            <w:shd w:val="clear" w:color="auto" w:fill="CCEEFF"/>
            <w:tcMar>
              <w:top w:w="0" w:type="dxa"/>
              <w:left w:w="53" w:type="dxa"/>
              <w:bottom w:w="0" w:type="dxa"/>
              <w:right w:w="53" w:type="dxa"/>
            </w:tcMar>
            <w:vAlign w:val="bottom"/>
          </w:tcPr>
          <w:p w14:paraId="4140BAB5" w14:textId="77777777" w:rsidR="00C56203" w:rsidRDefault="00CD5102">
            <w:pPr>
              <w:keepNext/>
              <w:spacing w:before="75" w:after="30"/>
              <w:ind w:left="135"/>
            </w:pPr>
            <w:r>
              <w:rPr>
                <w:color w:val="000000"/>
                <w:sz w:val="18"/>
              </w:rPr>
              <w:t>IT infrastructure investment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B477BA2" w14:textId="77777777" w:rsidR="00C56203" w:rsidRDefault="00C56203">
            <w:pPr>
              <w:keepNext/>
            </w:pPr>
          </w:p>
        </w:tc>
        <w:tc>
          <w:tcPr>
            <w:tcW w:w="885" w:type="dxa"/>
            <w:tcBorders>
              <w:top w:val="nil"/>
              <w:left w:val="nil"/>
              <w:bottom w:val="nil"/>
              <w:right w:val="nil"/>
            </w:tcBorders>
            <w:shd w:val="clear" w:color="auto" w:fill="CCEEFF"/>
            <w:tcMar>
              <w:top w:w="0" w:type="dxa"/>
              <w:left w:w="0" w:type="dxa"/>
              <w:bottom w:w="0" w:type="dxa"/>
              <w:right w:w="15" w:type="dxa"/>
            </w:tcMar>
            <w:vAlign w:val="bottom"/>
          </w:tcPr>
          <w:p w14:paraId="305ED370" w14:textId="77777777" w:rsidR="00C56203" w:rsidRDefault="00CD5102">
            <w:pPr>
              <w:keepNext/>
              <w:tabs>
                <w:tab w:val="left" w:pos="669"/>
                <w:tab w:val="left" w:pos="817"/>
              </w:tabs>
              <w:spacing w:before="75" w:after="30"/>
              <w:jc w:val="right"/>
            </w:pPr>
            <w:r>
              <w:rPr>
                <w:color w:val="000000"/>
                <w:sz w:val="18"/>
              </w:rPr>
              <w:tab/>
              <w:t>7</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14:paraId="40E24495" w14:textId="77777777" w:rsidR="00C56203" w:rsidRDefault="00C56203">
            <w:pPr>
              <w:keepNext/>
              <w:spacing w:before="75" w:after="30"/>
              <w:jc w:val="right"/>
            </w:pPr>
          </w:p>
        </w:tc>
        <w:tc>
          <w:tcPr>
            <w:tcW w:w="885" w:type="dxa"/>
            <w:tcBorders>
              <w:top w:val="nil"/>
              <w:left w:val="nil"/>
              <w:bottom w:val="nil"/>
              <w:right w:val="nil"/>
            </w:tcBorders>
            <w:shd w:val="clear" w:color="auto" w:fill="CCEEFF"/>
            <w:tcMar>
              <w:top w:w="0" w:type="dxa"/>
              <w:left w:w="0" w:type="dxa"/>
              <w:bottom w:w="0" w:type="dxa"/>
              <w:right w:w="15" w:type="dxa"/>
            </w:tcMar>
            <w:vAlign w:val="bottom"/>
          </w:tcPr>
          <w:p w14:paraId="436DDA40" w14:textId="77777777" w:rsidR="00C56203" w:rsidRDefault="00CD5102">
            <w:pPr>
              <w:keepNext/>
              <w:tabs>
                <w:tab w:val="left" w:pos="669"/>
                <w:tab w:val="left" w:pos="817"/>
              </w:tabs>
              <w:spacing w:before="75" w:after="30"/>
              <w:jc w:val="right"/>
            </w:pPr>
            <w:r>
              <w:rPr>
                <w:color w:val="000000"/>
                <w:sz w:val="18"/>
              </w:rPr>
              <w:tab/>
              <w:t>5</w:t>
            </w:r>
            <w:r>
              <w:rPr>
                <w:color w:val="000000"/>
                <w:sz w:val="18"/>
              </w:rPr>
              <w:tab/>
            </w:r>
          </w:p>
        </w:tc>
      </w:tr>
      <w:tr w:rsidR="00C56203" w14:paraId="5D4783BC" w14:textId="77777777">
        <w:trPr>
          <w:cantSplit/>
          <w:trHeight w:hRule="exact" w:val="285"/>
        </w:trPr>
        <w:tc>
          <w:tcPr>
            <w:tcW w:w="195" w:type="dxa"/>
            <w:tcBorders>
              <w:top w:val="nil"/>
              <w:left w:val="nil"/>
              <w:bottom w:val="nil"/>
              <w:right w:val="nil"/>
            </w:tcBorders>
            <w:shd w:val="clear" w:color="auto" w:fill="FFFFFF"/>
            <w:tcMar>
              <w:top w:w="0" w:type="dxa"/>
              <w:left w:w="0" w:type="dxa"/>
              <w:bottom w:w="0" w:type="dxa"/>
              <w:right w:w="0" w:type="dxa"/>
            </w:tcMar>
            <w:vAlign w:val="bottom"/>
          </w:tcPr>
          <w:p w14:paraId="78A275DA" w14:textId="77777777" w:rsidR="00C56203" w:rsidRDefault="00C56203">
            <w:pPr>
              <w:keepNext/>
            </w:pPr>
          </w:p>
        </w:tc>
        <w:tc>
          <w:tcPr>
            <w:tcW w:w="7965" w:type="dxa"/>
            <w:tcBorders>
              <w:top w:val="nil"/>
              <w:left w:val="nil"/>
              <w:bottom w:val="nil"/>
              <w:right w:val="nil"/>
            </w:tcBorders>
            <w:shd w:val="clear" w:color="auto" w:fill="FFFFFF"/>
            <w:tcMar>
              <w:top w:w="0" w:type="dxa"/>
              <w:left w:w="53" w:type="dxa"/>
              <w:bottom w:w="0" w:type="dxa"/>
              <w:right w:w="53" w:type="dxa"/>
            </w:tcMar>
            <w:vAlign w:val="bottom"/>
          </w:tcPr>
          <w:p w14:paraId="0B902090" w14:textId="77777777" w:rsidR="00C56203" w:rsidRDefault="00CD5102">
            <w:pPr>
              <w:keepNext/>
              <w:spacing w:before="75" w:after="30"/>
              <w:ind w:left="135"/>
              <w:rPr>
                <w:sz w:val="18"/>
              </w:rPr>
            </w:pPr>
            <w:r>
              <w:rPr>
                <w:sz w:val="18"/>
              </w:rPr>
              <w:t xml:space="preserve">Legal and other professional fees </w:t>
            </w:r>
            <w:r>
              <w:rPr>
                <w:sz w:val="18"/>
                <w:vertAlign w:val="superscript"/>
              </w:rPr>
              <w:t>(a)</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33DEB3C" w14:textId="77777777" w:rsidR="00C56203" w:rsidRDefault="00C56203">
            <w:pPr>
              <w:keepNext/>
            </w:pP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69763C1A" w14:textId="77777777" w:rsidR="00C56203" w:rsidRDefault="00CD5102">
            <w:pPr>
              <w:keepNext/>
              <w:tabs>
                <w:tab w:val="left" w:pos="669"/>
                <w:tab w:val="left" w:pos="817"/>
              </w:tabs>
              <w:spacing w:before="75" w:after="30"/>
              <w:jc w:val="right"/>
            </w:pPr>
            <w:r>
              <w:rPr>
                <w:color w:val="000000"/>
                <w:sz w:val="18"/>
              </w:rPr>
              <w:tab/>
              <w:t>3</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14:paraId="77ECB371" w14:textId="77777777" w:rsidR="00C56203" w:rsidRDefault="00C56203">
            <w:pPr>
              <w:keepNext/>
              <w:spacing w:before="75" w:after="30"/>
              <w:jc w:val="right"/>
            </w:pP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4EACFBDF" w14:textId="77777777" w:rsidR="00C56203" w:rsidRDefault="00CD5102">
            <w:pPr>
              <w:keepNext/>
              <w:tabs>
                <w:tab w:val="left" w:pos="579"/>
                <w:tab w:val="left" w:pos="817"/>
              </w:tabs>
              <w:spacing w:before="75" w:after="30"/>
              <w:jc w:val="right"/>
            </w:pPr>
            <w:r>
              <w:rPr>
                <w:color w:val="000000"/>
                <w:sz w:val="18"/>
              </w:rPr>
              <w:tab/>
              <w:t>15</w:t>
            </w:r>
            <w:r>
              <w:rPr>
                <w:color w:val="000000"/>
                <w:sz w:val="18"/>
              </w:rPr>
              <w:tab/>
            </w:r>
          </w:p>
        </w:tc>
      </w:tr>
      <w:tr w:rsidR="00C56203" w14:paraId="7BCE91E0" w14:textId="77777777">
        <w:trPr>
          <w:cantSplit/>
          <w:trHeight w:hRule="exact" w:val="285"/>
        </w:trPr>
        <w:tc>
          <w:tcPr>
            <w:tcW w:w="195" w:type="dxa"/>
            <w:tcBorders>
              <w:top w:val="nil"/>
              <w:left w:val="nil"/>
              <w:bottom w:val="nil"/>
              <w:right w:val="nil"/>
            </w:tcBorders>
            <w:shd w:val="clear" w:color="auto" w:fill="CCEEFF"/>
            <w:tcMar>
              <w:top w:w="0" w:type="dxa"/>
              <w:left w:w="0" w:type="dxa"/>
              <w:bottom w:w="0" w:type="dxa"/>
              <w:right w:w="0" w:type="dxa"/>
            </w:tcMar>
            <w:vAlign w:val="bottom"/>
          </w:tcPr>
          <w:p w14:paraId="1B95A874" w14:textId="77777777" w:rsidR="00C56203" w:rsidRDefault="00C56203">
            <w:pPr>
              <w:keepNext/>
            </w:pPr>
          </w:p>
        </w:tc>
        <w:tc>
          <w:tcPr>
            <w:tcW w:w="7965" w:type="dxa"/>
            <w:tcBorders>
              <w:top w:val="nil"/>
              <w:left w:val="nil"/>
              <w:bottom w:val="nil"/>
              <w:right w:val="nil"/>
            </w:tcBorders>
            <w:shd w:val="clear" w:color="auto" w:fill="CCEEFF"/>
            <w:tcMar>
              <w:top w:w="0" w:type="dxa"/>
              <w:left w:w="53" w:type="dxa"/>
              <w:bottom w:w="0" w:type="dxa"/>
              <w:right w:w="53" w:type="dxa"/>
            </w:tcMar>
            <w:vAlign w:val="bottom"/>
          </w:tcPr>
          <w:p w14:paraId="576C25DB" w14:textId="77777777" w:rsidR="00C56203" w:rsidRDefault="00CD5102">
            <w:pPr>
              <w:keepNext/>
              <w:spacing w:before="75" w:after="30"/>
              <w:ind w:left="135"/>
            </w:pPr>
            <w:r>
              <w:rPr>
                <w:color w:val="000000"/>
                <w:sz w:val="18"/>
              </w:rPr>
              <w:t>Other</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AF539D8" w14:textId="77777777" w:rsidR="00C56203" w:rsidRDefault="00C56203">
            <w:pPr>
              <w:keepNext/>
            </w:pPr>
          </w:p>
        </w:tc>
        <w:tc>
          <w:tcPr>
            <w:tcW w:w="8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CB8F3E6" w14:textId="77777777" w:rsidR="00C56203" w:rsidRDefault="00CD5102">
            <w:pPr>
              <w:keepNext/>
              <w:tabs>
                <w:tab w:val="left" w:pos="579"/>
                <w:tab w:val="left" w:pos="817"/>
              </w:tabs>
              <w:spacing w:before="7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14:paraId="3E71B611" w14:textId="77777777" w:rsidR="00C56203" w:rsidRDefault="00C56203">
            <w:pPr>
              <w:keepNext/>
              <w:spacing w:before="75" w:after="30"/>
              <w:jc w:val="right"/>
            </w:pPr>
          </w:p>
        </w:tc>
        <w:tc>
          <w:tcPr>
            <w:tcW w:w="8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B627927" w14:textId="77777777" w:rsidR="00C56203" w:rsidRDefault="00CD5102">
            <w:pPr>
              <w:keepNext/>
              <w:tabs>
                <w:tab w:val="left" w:pos="669"/>
                <w:tab w:val="left" w:pos="817"/>
              </w:tabs>
              <w:spacing w:before="75" w:after="30"/>
              <w:jc w:val="right"/>
            </w:pPr>
            <w:r>
              <w:rPr>
                <w:color w:val="000000"/>
                <w:sz w:val="18"/>
              </w:rPr>
              <w:tab/>
              <w:t>6</w:t>
            </w:r>
            <w:r>
              <w:rPr>
                <w:color w:val="000000"/>
                <w:sz w:val="18"/>
              </w:rPr>
              <w:tab/>
            </w:r>
          </w:p>
        </w:tc>
      </w:tr>
      <w:tr w:rsidR="00C56203" w14:paraId="71E14BE2" w14:textId="77777777">
        <w:trPr>
          <w:cantSplit/>
          <w:trHeight w:hRule="exact" w:val="285"/>
        </w:trPr>
        <w:tc>
          <w:tcPr>
            <w:tcW w:w="8160" w:type="dxa"/>
            <w:gridSpan w:val="2"/>
            <w:tcBorders>
              <w:top w:val="nil"/>
              <w:left w:val="nil"/>
              <w:bottom w:val="nil"/>
              <w:right w:val="nil"/>
            </w:tcBorders>
            <w:shd w:val="clear" w:color="auto" w:fill="FFFFFF"/>
            <w:tcMar>
              <w:top w:w="0" w:type="dxa"/>
              <w:left w:w="53" w:type="dxa"/>
              <w:bottom w:w="0" w:type="dxa"/>
              <w:right w:w="53" w:type="dxa"/>
            </w:tcMar>
            <w:vAlign w:val="bottom"/>
          </w:tcPr>
          <w:p w14:paraId="3EBF2DDE" w14:textId="77777777" w:rsidR="00C56203" w:rsidRDefault="00CD5102">
            <w:pPr>
              <w:keepNext/>
              <w:spacing w:before="55" w:after="30"/>
            </w:pPr>
            <w:r>
              <w:rPr>
                <w:b/>
                <w:color w:val="000000"/>
                <w:sz w:val="18"/>
              </w:rPr>
              <w:t>Adjusted EBITDA (non-GAAP)</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74F8247" w14:textId="77777777" w:rsidR="00C56203" w:rsidRDefault="00C56203">
            <w:pPr>
              <w:keepNext/>
            </w:pPr>
          </w:p>
        </w:tc>
        <w:tc>
          <w:tcPr>
            <w:tcW w:w="88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5045B575" w14:textId="77777777" w:rsidR="00C56203" w:rsidRDefault="00CD5102">
            <w:pPr>
              <w:keepNext/>
              <w:tabs>
                <w:tab w:val="left" w:pos="489"/>
                <w:tab w:val="left" w:pos="817"/>
              </w:tabs>
              <w:spacing w:before="55" w:after="30"/>
              <w:jc w:val="right"/>
            </w:pPr>
            <w:r>
              <w:rPr>
                <w:b/>
                <w:color w:val="000000"/>
                <w:sz w:val="18"/>
              </w:rPr>
              <w:tab/>
              <w:t>605</w:t>
            </w:r>
            <w:r>
              <w:rPr>
                <w:b/>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D4F3747" w14:textId="77777777" w:rsidR="00C56203" w:rsidRDefault="00C56203">
            <w:pPr>
              <w:keepNext/>
            </w:pPr>
          </w:p>
        </w:tc>
        <w:tc>
          <w:tcPr>
            <w:tcW w:w="88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308563E" w14:textId="77777777" w:rsidR="00C56203" w:rsidRDefault="00CD5102">
            <w:pPr>
              <w:keepNext/>
              <w:tabs>
                <w:tab w:val="left" w:pos="489"/>
                <w:tab w:val="left" w:pos="817"/>
              </w:tabs>
              <w:spacing w:before="55" w:after="30"/>
              <w:jc w:val="right"/>
            </w:pPr>
            <w:r>
              <w:rPr>
                <w:b/>
                <w:color w:val="000000"/>
                <w:sz w:val="18"/>
              </w:rPr>
              <w:tab/>
              <w:t>735</w:t>
            </w:r>
            <w:r>
              <w:rPr>
                <w:b/>
                <w:color w:val="000000"/>
                <w:sz w:val="18"/>
              </w:rPr>
              <w:tab/>
            </w:r>
          </w:p>
        </w:tc>
      </w:tr>
      <w:tr w:rsidR="00C56203" w14:paraId="619072D8" w14:textId="77777777">
        <w:trPr>
          <w:cantSplit/>
          <w:trHeight w:hRule="exact" w:val="285"/>
        </w:trPr>
        <w:tc>
          <w:tcPr>
            <w:tcW w:w="8160" w:type="dxa"/>
            <w:gridSpan w:val="2"/>
            <w:tcBorders>
              <w:top w:val="nil"/>
              <w:left w:val="nil"/>
              <w:bottom w:val="nil"/>
              <w:right w:val="nil"/>
            </w:tcBorders>
            <w:shd w:val="clear" w:color="auto" w:fill="CCEEFF"/>
            <w:tcMar>
              <w:top w:w="0" w:type="dxa"/>
              <w:left w:w="53" w:type="dxa"/>
              <w:bottom w:w="0" w:type="dxa"/>
              <w:right w:w="53" w:type="dxa"/>
            </w:tcMar>
            <w:vAlign w:val="bottom"/>
          </w:tcPr>
          <w:p w14:paraId="6B290241" w14:textId="77777777" w:rsidR="00C56203" w:rsidRDefault="00CD5102">
            <w:pPr>
              <w:keepNext/>
              <w:spacing w:before="75" w:after="30"/>
              <w:ind w:left="30"/>
              <w:rPr>
                <w:sz w:val="18"/>
              </w:rPr>
            </w:pPr>
            <w:r>
              <w:rPr>
                <w:sz w:val="18"/>
              </w:rPr>
              <w:t xml:space="preserve">Adjusted EBITDA attributable to noncontrolling interest (non-GAAP) </w:t>
            </w:r>
            <w:r>
              <w:rPr>
                <w:sz w:val="18"/>
                <w:vertAlign w:val="superscript"/>
              </w:rPr>
              <w:t>(b)</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F4870C6" w14:textId="77777777" w:rsidR="00C56203" w:rsidRDefault="00C56203">
            <w:pPr>
              <w:keepNext/>
            </w:pPr>
          </w:p>
        </w:tc>
        <w:tc>
          <w:tcPr>
            <w:tcW w:w="8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91B2AD4" w14:textId="77777777" w:rsidR="00C56203" w:rsidRDefault="00CD5102">
            <w:pPr>
              <w:keepNext/>
              <w:tabs>
                <w:tab w:val="left" w:pos="499"/>
              </w:tabs>
              <w:spacing w:before="75" w:after="30"/>
              <w:jc w:val="right"/>
            </w:pPr>
            <w:r>
              <w:rPr>
                <w:color w:val="000000"/>
                <w:sz w:val="18"/>
              </w:rPr>
              <w:tab/>
              <w:t>(17)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246EB1E" w14:textId="77777777" w:rsidR="00C56203" w:rsidRDefault="00C56203">
            <w:pPr>
              <w:keepNext/>
            </w:pPr>
          </w:p>
        </w:tc>
        <w:tc>
          <w:tcPr>
            <w:tcW w:w="8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5B6D183" w14:textId="77777777" w:rsidR="00C56203" w:rsidRDefault="00CD5102">
            <w:pPr>
              <w:keepNext/>
              <w:tabs>
                <w:tab w:val="left" w:pos="589"/>
              </w:tabs>
              <w:spacing w:before="75" w:after="30"/>
              <w:jc w:val="right"/>
            </w:pPr>
            <w:r>
              <w:rPr>
                <w:color w:val="000000"/>
                <w:sz w:val="18"/>
              </w:rPr>
              <w:tab/>
              <w:t>(3)</w:t>
            </w:r>
          </w:p>
        </w:tc>
      </w:tr>
      <w:tr w:rsidR="00C56203" w14:paraId="33775A59" w14:textId="77777777">
        <w:trPr>
          <w:cantSplit/>
          <w:trHeight w:hRule="exact" w:val="285"/>
        </w:trPr>
        <w:tc>
          <w:tcPr>
            <w:tcW w:w="8160" w:type="dxa"/>
            <w:gridSpan w:val="2"/>
            <w:tcBorders>
              <w:top w:val="nil"/>
              <w:left w:val="nil"/>
              <w:bottom w:val="nil"/>
              <w:right w:val="nil"/>
            </w:tcBorders>
            <w:shd w:val="clear" w:color="auto" w:fill="FFFFFF"/>
            <w:tcMar>
              <w:top w:w="0" w:type="dxa"/>
              <w:left w:w="53" w:type="dxa"/>
              <w:bottom w:w="0" w:type="dxa"/>
              <w:right w:w="53" w:type="dxa"/>
            </w:tcMar>
            <w:vAlign w:val="bottom"/>
          </w:tcPr>
          <w:p w14:paraId="7D92A3A7" w14:textId="77777777" w:rsidR="00C56203" w:rsidRDefault="00CD5102">
            <w:pPr>
              <w:spacing w:before="55" w:after="30"/>
            </w:pPr>
            <w:r>
              <w:rPr>
                <w:b/>
                <w:color w:val="000000"/>
                <w:sz w:val="18"/>
              </w:rPr>
              <w:t>Adjusted EBITDA attributable to Bausch Health Companies Inc. (non-GAAP)</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D9D400A" w14:textId="77777777" w:rsidR="00C56203" w:rsidRDefault="00C56203"/>
        </w:tc>
        <w:tc>
          <w:tcPr>
            <w:tcW w:w="8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4AEC1F0" w14:textId="77777777" w:rsidR="00C56203" w:rsidRDefault="00CD5102">
            <w:pPr>
              <w:tabs>
                <w:tab w:val="left" w:pos="489"/>
                <w:tab w:val="left" w:pos="817"/>
              </w:tabs>
              <w:spacing w:before="55" w:after="30"/>
              <w:jc w:val="right"/>
            </w:pPr>
            <w:r>
              <w:rPr>
                <w:b/>
                <w:color w:val="000000"/>
                <w:sz w:val="18"/>
              </w:rPr>
              <w:t>$</w:t>
            </w:r>
            <w:r>
              <w:rPr>
                <w:b/>
                <w:color w:val="000000"/>
                <w:sz w:val="18"/>
              </w:rPr>
              <w:tab/>
              <w:t>588</w:t>
            </w:r>
            <w:r>
              <w:rPr>
                <w:b/>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F52C2DF" w14:textId="77777777" w:rsidR="00C56203" w:rsidRDefault="00C56203"/>
        </w:tc>
        <w:tc>
          <w:tcPr>
            <w:tcW w:w="8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50A9EB4" w14:textId="77777777" w:rsidR="00C56203" w:rsidRDefault="00CD5102">
            <w:pPr>
              <w:tabs>
                <w:tab w:val="left" w:pos="489"/>
                <w:tab w:val="left" w:pos="817"/>
              </w:tabs>
              <w:spacing w:before="55" w:after="30"/>
              <w:jc w:val="right"/>
            </w:pPr>
            <w:r>
              <w:rPr>
                <w:b/>
                <w:color w:val="000000"/>
                <w:sz w:val="18"/>
              </w:rPr>
              <w:t>$</w:t>
            </w:r>
            <w:r>
              <w:rPr>
                <w:b/>
                <w:color w:val="000000"/>
                <w:sz w:val="18"/>
              </w:rPr>
              <w:tab/>
              <w:t>732</w:t>
            </w:r>
            <w:r>
              <w:rPr>
                <w:b/>
                <w:color w:val="000000"/>
                <w:sz w:val="18"/>
              </w:rPr>
              <w:tab/>
            </w:r>
          </w:p>
        </w:tc>
      </w:tr>
    </w:tbl>
    <w:p w14:paraId="04D1E506" w14:textId="77777777" w:rsidR="00C56203" w:rsidRDefault="00CD5102">
      <w:pPr>
        <w:spacing w:before="60" w:line="288" w:lineRule="auto"/>
        <w:ind w:left="270" w:hanging="270"/>
        <w:jc w:val="both"/>
        <w:rPr>
          <w:sz w:val="17"/>
        </w:rPr>
      </w:pPr>
      <w:r>
        <w:rPr>
          <w:sz w:val="17"/>
        </w:rPr>
        <w:t xml:space="preserve">(a) Legal and other professional fees incurred during the </w:t>
      </w:r>
      <w:r>
        <w:rPr>
          <w:color w:val="000000"/>
          <w:sz w:val="17"/>
        </w:rPr>
        <w:t xml:space="preserve">three months ended </w:t>
      </w:r>
      <w:r>
        <w:rPr>
          <w:color w:val="000000"/>
          <w:sz w:val="17"/>
        </w:rPr>
        <w:t>March 31, 2023 and 2022</w:t>
      </w:r>
      <w:r>
        <w:rPr>
          <w:sz w:val="17"/>
        </w:rPr>
        <w:t xml:space="preserve"> in connection with recent legal and governmental proceedings, investigations and information requests related to, among other matters, our distribution, marketing, pricing, disclosure and accounting practices.</w:t>
      </w:r>
    </w:p>
    <w:p w14:paraId="034BBEBF" w14:textId="77777777" w:rsidR="00C56203" w:rsidRDefault="00CD5102">
      <w:pPr>
        <w:spacing w:before="60" w:after="120" w:line="288" w:lineRule="auto"/>
        <w:ind w:left="270" w:hanging="270"/>
        <w:jc w:val="both"/>
        <w:rPr>
          <w:sz w:val="17"/>
        </w:rPr>
      </w:pPr>
      <w:r>
        <w:rPr>
          <w:sz w:val="17"/>
        </w:rPr>
        <w:t>(b</w:t>
      </w:r>
      <w:r>
        <w:rPr>
          <w:sz w:val="17"/>
        </w:rPr>
        <w:t>) Adjusted EBITDA attributable to noncontrolling interest (non-GAAP) is Net loss (income) attributable to noncontrolling interest adjusted for the noncontrolling interest portion of the adjustments above as follows: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7822"/>
        <w:gridCol w:w="60"/>
        <w:gridCol w:w="895"/>
        <w:gridCol w:w="126"/>
        <w:gridCol w:w="895"/>
      </w:tblGrid>
      <w:tr w:rsidR="00C56203" w14:paraId="32AD7FBC" w14:textId="77777777">
        <w:trPr>
          <w:cantSplit/>
          <w:trHeight w:hRule="exact" w:val="240"/>
        </w:trPr>
        <w:tc>
          <w:tcPr>
            <w:tcW w:w="285" w:type="dxa"/>
            <w:tcBorders>
              <w:top w:val="nil"/>
              <w:left w:val="nil"/>
              <w:bottom w:val="nil"/>
              <w:right w:val="nil"/>
            </w:tcBorders>
            <w:tcMar>
              <w:top w:w="0" w:type="dxa"/>
              <w:left w:w="0" w:type="dxa"/>
              <w:bottom w:w="0" w:type="dxa"/>
              <w:right w:w="0" w:type="dxa"/>
            </w:tcMar>
            <w:vAlign w:val="bottom"/>
          </w:tcPr>
          <w:p w14:paraId="0BE15545" w14:textId="77777777" w:rsidR="00C56203" w:rsidRDefault="00C56203">
            <w:pPr>
              <w:keepNext/>
            </w:pPr>
          </w:p>
        </w:tc>
        <w:tc>
          <w:tcPr>
            <w:tcW w:w="7875" w:type="dxa"/>
            <w:tcBorders>
              <w:top w:val="nil"/>
              <w:left w:val="nil"/>
              <w:bottom w:val="nil"/>
              <w:right w:val="nil"/>
            </w:tcBorders>
            <w:tcMar>
              <w:top w:w="0" w:type="dxa"/>
              <w:left w:w="0" w:type="dxa"/>
              <w:bottom w:w="0" w:type="dxa"/>
              <w:right w:w="0" w:type="dxa"/>
            </w:tcMar>
            <w:vAlign w:val="bottom"/>
          </w:tcPr>
          <w:p w14:paraId="5E90EE2A" w14:textId="77777777" w:rsidR="00C56203" w:rsidRDefault="00C56203">
            <w:pPr>
              <w:keepNext/>
            </w:pPr>
          </w:p>
        </w:tc>
        <w:tc>
          <w:tcPr>
            <w:tcW w:w="60" w:type="dxa"/>
            <w:tcBorders>
              <w:top w:val="nil"/>
              <w:left w:val="nil"/>
              <w:bottom w:val="nil"/>
              <w:right w:val="nil"/>
            </w:tcBorders>
            <w:tcMar>
              <w:top w:w="0" w:type="dxa"/>
              <w:left w:w="0" w:type="dxa"/>
              <w:bottom w:w="0" w:type="dxa"/>
              <w:right w:w="0" w:type="dxa"/>
            </w:tcMar>
            <w:vAlign w:val="bottom"/>
          </w:tcPr>
          <w:p w14:paraId="790DB7A2" w14:textId="77777777" w:rsidR="00C56203" w:rsidRDefault="00C56203">
            <w:pPr>
              <w:keepNext/>
            </w:pPr>
          </w:p>
        </w:tc>
        <w:tc>
          <w:tcPr>
            <w:tcW w:w="1860" w:type="dxa"/>
            <w:gridSpan w:val="3"/>
            <w:tcBorders>
              <w:top w:val="nil"/>
              <w:left w:val="nil"/>
              <w:bottom w:val="nil"/>
              <w:right w:val="nil"/>
            </w:tcBorders>
            <w:tcMar>
              <w:top w:w="0" w:type="dxa"/>
              <w:left w:w="53" w:type="dxa"/>
              <w:bottom w:w="0" w:type="dxa"/>
              <w:right w:w="53" w:type="dxa"/>
            </w:tcMar>
            <w:vAlign w:val="bottom"/>
          </w:tcPr>
          <w:p w14:paraId="1E4AB279" w14:textId="77777777" w:rsidR="00C56203" w:rsidRDefault="00CD5102">
            <w:pPr>
              <w:keepNext/>
              <w:spacing w:before="75" w:after="30"/>
              <w:jc w:val="center"/>
            </w:pPr>
            <w:r>
              <w:rPr>
                <w:b/>
                <w:color w:val="000000"/>
                <w:sz w:val="17"/>
              </w:rPr>
              <w:t>Three Months Ended</w:t>
            </w:r>
          </w:p>
        </w:tc>
      </w:tr>
      <w:tr w:rsidR="00C56203" w14:paraId="1F9B7E65" w14:textId="77777777">
        <w:trPr>
          <w:cantSplit/>
          <w:trHeight w:hRule="exact" w:val="240"/>
        </w:trPr>
        <w:tc>
          <w:tcPr>
            <w:tcW w:w="285" w:type="dxa"/>
            <w:tcBorders>
              <w:top w:val="nil"/>
              <w:left w:val="nil"/>
              <w:bottom w:val="nil"/>
              <w:right w:val="nil"/>
            </w:tcBorders>
            <w:tcMar>
              <w:top w:w="0" w:type="dxa"/>
              <w:left w:w="0" w:type="dxa"/>
              <w:bottom w:w="0" w:type="dxa"/>
              <w:right w:w="0" w:type="dxa"/>
            </w:tcMar>
            <w:vAlign w:val="bottom"/>
          </w:tcPr>
          <w:p w14:paraId="450A167B" w14:textId="77777777" w:rsidR="00C56203" w:rsidRDefault="00C56203">
            <w:pPr>
              <w:keepNext/>
            </w:pPr>
          </w:p>
        </w:tc>
        <w:tc>
          <w:tcPr>
            <w:tcW w:w="7875" w:type="dxa"/>
            <w:tcBorders>
              <w:top w:val="nil"/>
              <w:left w:val="nil"/>
              <w:bottom w:val="nil"/>
              <w:right w:val="nil"/>
            </w:tcBorders>
            <w:tcMar>
              <w:top w:w="0" w:type="dxa"/>
              <w:left w:w="0" w:type="dxa"/>
              <w:bottom w:w="0" w:type="dxa"/>
              <w:right w:w="0" w:type="dxa"/>
            </w:tcMar>
            <w:vAlign w:val="bottom"/>
          </w:tcPr>
          <w:p w14:paraId="2F0D3597" w14:textId="77777777" w:rsidR="00C56203" w:rsidRDefault="00C56203">
            <w:pPr>
              <w:keepNext/>
            </w:pPr>
          </w:p>
        </w:tc>
        <w:tc>
          <w:tcPr>
            <w:tcW w:w="60" w:type="dxa"/>
            <w:tcBorders>
              <w:top w:val="nil"/>
              <w:left w:val="nil"/>
              <w:bottom w:val="nil"/>
              <w:right w:val="nil"/>
            </w:tcBorders>
            <w:tcMar>
              <w:top w:w="0" w:type="dxa"/>
              <w:left w:w="0" w:type="dxa"/>
              <w:bottom w:w="0" w:type="dxa"/>
              <w:right w:w="0" w:type="dxa"/>
            </w:tcMar>
            <w:vAlign w:val="bottom"/>
          </w:tcPr>
          <w:p w14:paraId="28CDB195" w14:textId="77777777" w:rsidR="00C56203" w:rsidRDefault="00C56203">
            <w:pPr>
              <w:keepNext/>
            </w:pPr>
          </w:p>
        </w:tc>
        <w:tc>
          <w:tcPr>
            <w:tcW w:w="1860" w:type="dxa"/>
            <w:gridSpan w:val="3"/>
            <w:tcBorders>
              <w:top w:val="nil"/>
              <w:left w:val="nil"/>
              <w:bottom w:val="single" w:sz="8" w:space="0" w:color="000000"/>
              <w:right w:val="nil"/>
            </w:tcBorders>
            <w:tcMar>
              <w:top w:w="0" w:type="dxa"/>
              <w:left w:w="53" w:type="dxa"/>
              <w:bottom w:w="0" w:type="dxa"/>
              <w:right w:w="53" w:type="dxa"/>
            </w:tcMar>
            <w:vAlign w:val="bottom"/>
          </w:tcPr>
          <w:p w14:paraId="76225ECB" w14:textId="77777777" w:rsidR="00C56203" w:rsidRDefault="00CD5102">
            <w:pPr>
              <w:keepNext/>
              <w:spacing w:before="75" w:after="30"/>
              <w:jc w:val="center"/>
            </w:pPr>
            <w:r>
              <w:rPr>
                <w:b/>
                <w:color w:val="000000"/>
                <w:sz w:val="17"/>
              </w:rPr>
              <w:t>March 31,</w:t>
            </w:r>
          </w:p>
        </w:tc>
      </w:tr>
      <w:tr w:rsidR="00C56203" w14:paraId="347D567A" w14:textId="77777777">
        <w:trPr>
          <w:cantSplit/>
          <w:trHeight w:hRule="exact" w:val="240"/>
        </w:trPr>
        <w:tc>
          <w:tcPr>
            <w:tcW w:w="8160" w:type="dxa"/>
            <w:gridSpan w:val="2"/>
            <w:tcBorders>
              <w:top w:val="nil"/>
              <w:left w:val="nil"/>
              <w:bottom w:val="nil"/>
              <w:right w:val="nil"/>
            </w:tcBorders>
            <w:tcMar>
              <w:top w:w="0" w:type="dxa"/>
              <w:left w:w="53" w:type="dxa"/>
              <w:bottom w:w="0" w:type="dxa"/>
              <w:right w:w="53" w:type="dxa"/>
            </w:tcMar>
            <w:vAlign w:val="bottom"/>
          </w:tcPr>
          <w:p w14:paraId="2B4CAADB" w14:textId="77777777" w:rsidR="00C56203" w:rsidRDefault="00CD5102">
            <w:pPr>
              <w:keepNext/>
              <w:spacing w:before="55" w:after="30"/>
            </w:pPr>
            <w:r>
              <w:rPr>
                <w:i/>
                <w:color w:val="000000"/>
                <w:sz w:val="17"/>
              </w:rPr>
              <w:t>(in millions)</w:t>
            </w:r>
          </w:p>
        </w:tc>
        <w:tc>
          <w:tcPr>
            <w:tcW w:w="60" w:type="dxa"/>
            <w:tcBorders>
              <w:top w:val="nil"/>
              <w:left w:val="nil"/>
              <w:bottom w:val="nil"/>
              <w:right w:val="nil"/>
            </w:tcBorders>
            <w:tcMar>
              <w:top w:w="0" w:type="dxa"/>
              <w:left w:w="0" w:type="dxa"/>
              <w:bottom w:w="0" w:type="dxa"/>
              <w:right w:w="0" w:type="dxa"/>
            </w:tcMar>
            <w:vAlign w:val="bottom"/>
          </w:tcPr>
          <w:p w14:paraId="374355F2" w14:textId="77777777" w:rsidR="00C56203" w:rsidRDefault="00C56203">
            <w:pPr>
              <w:keepNext/>
            </w:pPr>
          </w:p>
        </w:tc>
        <w:tc>
          <w:tcPr>
            <w:tcW w:w="900" w:type="dxa"/>
            <w:tcBorders>
              <w:top w:val="nil"/>
              <w:left w:val="nil"/>
              <w:bottom w:val="single" w:sz="8" w:space="0" w:color="000000"/>
              <w:right w:val="nil"/>
            </w:tcBorders>
            <w:tcMar>
              <w:top w:w="0" w:type="dxa"/>
              <w:left w:w="53" w:type="dxa"/>
              <w:bottom w:w="0" w:type="dxa"/>
              <w:right w:w="53" w:type="dxa"/>
            </w:tcMar>
            <w:vAlign w:val="bottom"/>
          </w:tcPr>
          <w:p w14:paraId="2D44FC35" w14:textId="77777777" w:rsidR="00C56203" w:rsidRDefault="00CD5102">
            <w:pPr>
              <w:keepNext/>
              <w:spacing w:before="55" w:after="30"/>
              <w:jc w:val="center"/>
            </w:pPr>
            <w:r>
              <w:rPr>
                <w:b/>
                <w:color w:val="000000"/>
                <w:sz w:val="17"/>
              </w:rPr>
              <w:t>2023</w:t>
            </w:r>
          </w:p>
        </w:tc>
        <w:tc>
          <w:tcPr>
            <w:tcW w:w="60" w:type="dxa"/>
            <w:tcBorders>
              <w:top w:val="single" w:sz="8" w:space="0" w:color="000000"/>
              <w:left w:val="nil"/>
              <w:bottom w:val="nil"/>
              <w:right w:val="nil"/>
            </w:tcBorders>
            <w:tcMar>
              <w:top w:w="0" w:type="dxa"/>
              <w:left w:w="53" w:type="dxa"/>
              <w:bottom w:w="0" w:type="dxa"/>
              <w:right w:w="53" w:type="dxa"/>
            </w:tcMar>
            <w:vAlign w:val="bottom"/>
          </w:tcPr>
          <w:p w14:paraId="4A8C482F" w14:textId="77777777" w:rsidR="00C56203" w:rsidRDefault="00C56203">
            <w:pPr>
              <w:keepNext/>
              <w:spacing w:before="55" w:after="30"/>
            </w:pPr>
          </w:p>
        </w:tc>
        <w:tc>
          <w:tcPr>
            <w:tcW w:w="90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02B9FF21" w14:textId="77777777" w:rsidR="00C56203" w:rsidRDefault="00CD5102">
            <w:pPr>
              <w:keepNext/>
              <w:spacing w:before="55" w:after="30"/>
              <w:jc w:val="center"/>
            </w:pPr>
            <w:r>
              <w:rPr>
                <w:b/>
                <w:color w:val="000000"/>
                <w:sz w:val="17"/>
              </w:rPr>
              <w:t>2022</w:t>
            </w:r>
          </w:p>
        </w:tc>
      </w:tr>
      <w:tr w:rsidR="00C56203" w14:paraId="485D22C2" w14:textId="77777777">
        <w:trPr>
          <w:cantSplit/>
          <w:trHeight w:hRule="exact" w:val="240"/>
        </w:trPr>
        <w:tc>
          <w:tcPr>
            <w:tcW w:w="8160" w:type="dxa"/>
            <w:gridSpan w:val="2"/>
            <w:tcBorders>
              <w:top w:val="nil"/>
              <w:left w:val="nil"/>
              <w:bottom w:val="nil"/>
              <w:right w:val="nil"/>
            </w:tcBorders>
            <w:shd w:val="clear" w:color="auto" w:fill="CCEEFF"/>
            <w:tcMar>
              <w:top w:w="0" w:type="dxa"/>
              <w:left w:w="53" w:type="dxa"/>
              <w:bottom w:w="0" w:type="dxa"/>
              <w:right w:w="53" w:type="dxa"/>
            </w:tcMar>
            <w:vAlign w:val="bottom"/>
          </w:tcPr>
          <w:p w14:paraId="476B56B8" w14:textId="77777777" w:rsidR="00C56203" w:rsidRDefault="00CD5102">
            <w:pPr>
              <w:keepNext/>
              <w:spacing w:before="55" w:after="30"/>
            </w:pPr>
            <w:r>
              <w:rPr>
                <w:b/>
                <w:color w:val="000000"/>
                <w:sz w:val="17"/>
              </w:rPr>
              <w:t>Net loss (income) attributable to noncontrolling interest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BEABDDC" w14:textId="77777777" w:rsidR="00C56203" w:rsidRDefault="00C56203">
            <w:pPr>
              <w:keepNext/>
            </w:pPr>
          </w:p>
        </w:tc>
        <w:tc>
          <w:tcPr>
            <w:tcW w:w="9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782AC23" w14:textId="77777777" w:rsidR="00C56203" w:rsidRDefault="00CD5102">
            <w:pPr>
              <w:keepNext/>
              <w:tabs>
                <w:tab w:val="left" w:pos="692"/>
                <w:tab w:val="left" w:pos="832"/>
              </w:tabs>
              <w:spacing w:before="55" w:after="30"/>
              <w:jc w:val="right"/>
            </w:pPr>
            <w:r>
              <w:rPr>
                <w:b/>
                <w:color w:val="000000"/>
                <w:sz w:val="17"/>
              </w:rPr>
              <w:t>$</w:t>
            </w:r>
            <w:r>
              <w:rPr>
                <w:b/>
                <w:color w:val="000000"/>
                <w:sz w:val="17"/>
              </w:rPr>
              <w:tab/>
              <w:t>8</w:t>
            </w:r>
            <w:r>
              <w:rPr>
                <w:b/>
                <w:color w:val="000000"/>
                <w:sz w:val="17"/>
              </w:rPr>
              <w:tab/>
            </w: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6B12A76F" w14:textId="77777777" w:rsidR="00C56203" w:rsidRDefault="00C56203">
            <w:pPr>
              <w:keepNext/>
              <w:spacing w:before="55" w:after="30"/>
            </w:pPr>
          </w:p>
        </w:tc>
        <w:tc>
          <w:tcPr>
            <w:tcW w:w="9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5AE3CBE" w14:textId="77777777" w:rsidR="00C56203" w:rsidRDefault="00CD5102">
            <w:pPr>
              <w:keepNext/>
              <w:tabs>
                <w:tab w:val="left" w:pos="616"/>
              </w:tabs>
              <w:spacing w:before="55" w:after="30"/>
              <w:jc w:val="right"/>
            </w:pPr>
            <w:r>
              <w:rPr>
                <w:b/>
                <w:color w:val="000000"/>
                <w:sz w:val="17"/>
              </w:rPr>
              <w:t>$</w:t>
            </w:r>
            <w:r>
              <w:rPr>
                <w:b/>
                <w:color w:val="000000"/>
                <w:sz w:val="17"/>
              </w:rPr>
              <w:tab/>
              <w:t>(3)</w:t>
            </w:r>
          </w:p>
        </w:tc>
      </w:tr>
      <w:tr w:rsidR="00C56203" w14:paraId="0B0983BC" w14:textId="77777777">
        <w:trPr>
          <w:cantSplit/>
          <w:trHeight w:hRule="exact" w:val="240"/>
        </w:trPr>
        <w:tc>
          <w:tcPr>
            <w:tcW w:w="8160" w:type="dxa"/>
            <w:gridSpan w:val="2"/>
            <w:tcBorders>
              <w:top w:val="nil"/>
              <w:left w:val="nil"/>
              <w:bottom w:val="nil"/>
              <w:right w:val="nil"/>
            </w:tcBorders>
            <w:shd w:val="clear" w:color="auto" w:fill="FFFFFF"/>
            <w:tcMar>
              <w:top w:w="0" w:type="dxa"/>
              <w:left w:w="53" w:type="dxa"/>
              <w:bottom w:w="0" w:type="dxa"/>
              <w:right w:w="53" w:type="dxa"/>
            </w:tcMar>
            <w:vAlign w:val="bottom"/>
          </w:tcPr>
          <w:p w14:paraId="380B4F3C" w14:textId="77777777" w:rsidR="00C56203" w:rsidRDefault="00CD5102">
            <w:pPr>
              <w:keepNext/>
              <w:spacing w:before="75" w:after="30"/>
            </w:pPr>
            <w:r>
              <w:rPr>
                <w:color w:val="000000"/>
                <w:sz w:val="17"/>
              </w:rPr>
              <w:t>Noncontrolling interest portion of adjustments for:</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4EB73B6" w14:textId="77777777" w:rsidR="00C56203" w:rsidRDefault="00C56203">
            <w:pPr>
              <w:keepNext/>
            </w:pPr>
          </w:p>
        </w:tc>
        <w:tc>
          <w:tcPr>
            <w:tcW w:w="900" w:type="dxa"/>
            <w:tcBorders>
              <w:top w:val="nil"/>
              <w:left w:val="nil"/>
              <w:bottom w:val="nil"/>
              <w:right w:val="nil"/>
            </w:tcBorders>
            <w:shd w:val="clear" w:color="auto" w:fill="FFFFFF"/>
            <w:tcMar>
              <w:top w:w="0" w:type="dxa"/>
              <w:left w:w="0" w:type="dxa"/>
              <w:bottom w:w="0" w:type="dxa"/>
              <w:right w:w="0" w:type="dxa"/>
            </w:tcMar>
            <w:vAlign w:val="bottom"/>
          </w:tcPr>
          <w:p w14:paraId="77C2C875" w14:textId="77777777" w:rsidR="00C56203" w:rsidRDefault="00C56203">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6912B51" w14:textId="77777777" w:rsidR="00C56203" w:rsidRDefault="00C56203">
            <w:pPr>
              <w:keepNext/>
            </w:pPr>
          </w:p>
        </w:tc>
        <w:tc>
          <w:tcPr>
            <w:tcW w:w="900" w:type="dxa"/>
            <w:tcBorders>
              <w:top w:val="nil"/>
              <w:left w:val="nil"/>
              <w:bottom w:val="nil"/>
              <w:right w:val="nil"/>
            </w:tcBorders>
            <w:shd w:val="clear" w:color="auto" w:fill="FFFFFF"/>
            <w:tcMar>
              <w:top w:w="0" w:type="dxa"/>
              <w:left w:w="0" w:type="dxa"/>
              <w:bottom w:w="0" w:type="dxa"/>
              <w:right w:w="0" w:type="dxa"/>
            </w:tcMar>
            <w:vAlign w:val="bottom"/>
          </w:tcPr>
          <w:p w14:paraId="0A376AD1" w14:textId="77777777" w:rsidR="00C56203" w:rsidRDefault="00C56203">
            <w:pPr>
              <w:keepNext/>
            </w:pPr>
          </w:p>
        </w:tc>
      </w:tr>
      <w:tr w:rsidR="00C56203" w14:paraId="0A530892" w14:textId="77777777">
        <w:trPr>
          <w:cantSplit/>
          <w:trHeight w:hRule="exact" w:val="240"/>
        </w:trPr>
        <w:tc>
          <w:tcPr>
            <w:tcW w:w="285" w:type="dxa"/>
            <w:tcBorders>
              <w:top w:val="nil"/>
              <w:left w:val="nil"/>
              <w:bottom w:val="nil"/>
              <w:right w:val="nil"/>
            </w:tcBorders>
            <w:shd w:val="clear" w:color="auto" w:fill="CCEEFF"/>
            <w:tcMar>
              <w:top w:w="0" w:type="dxa"/>
              <w:left w:w="0" w:type="dxa"/>
              <w:bottom w:w="0" w:type="dxa"/>
              <w:right w:w="0" w:type="dxa"/>
            </w:tcMar>
            <w:vAlign w:val="bottom"/>
          </w:tcPr>
          <w:p w14:paraId="070F726E" w14:textId="77777777" w:rsidR="00C56203" w:rsidRDefault="00C56203">
            <w:pPr>
              <w:keepNext/>
            </w:pPr>
          </w:p>
        </w:tc>
        <w:tc>
          <w:tcPr>
            <w:tcW w:w="7875" w:type="dxa"/>
            <w:tcBorders>
              <w:top w:val="nil"/>
              <w:left w:val="nil"/>
              <w:bottom w:val="nil"/>
              <w:right w:val="nil"/>
            </w:tcBorders>
            <w:shd w:val="clear" w:color="auto" w:fill="CCEEFF"/>
            <w:tcMar>
              <w:top w:w="0" w:type="dxa"/>
              <w:left w:w="53" w:type="dxa"/>
              <w:bottom w:w="0" w:type="dxa"/>
              <w:right w:w="53" w:type="dxa"/>
            </w:tcMar>
            <w:vAlign w:val="bottom"/>
          </w:tcPr>
          <w:p w14:paraId="76A5A319" w14:textId="77777777" w:rsidR="00C56203" w:rsidRDefault="00CD5102">
            <w:pPr>
              <w:keepNext/>
              <w:spacing w:before="75" w:after="30"/>
            </w:pPr>
            <w:r>
              <w:rPr>
                <w:color w:val="000000"/>
                <w:sz w:val="17"/>
              </w:rPr>
              <w:t>Interest expense, net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B6EFEAD" w14:textId="77777777" w:rsidR="00C56203" w:rsidRDefault="00C56203">
            <w:pPr>
              <w:keepNext/>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14:paraId="7C2D11C7" w14:textId="77777777" w:rsidR="00C56203" w:rsidRDefault="00CD5102">
            <w:pPr>
              <w:keepNext/>
              <w:tabs>
                <w:tab w:val="left" w:pos="616"/>
              </w:tabs>
              <w:spacing w:before="75" w:after="30"/>
              <w:jc w:val="right"/>
            </w:pPr>
            <w:r>
              <w:rPr>
                <w:color w:val="000000"/>
                <w:sz w:val="17"/>
              </w:rPr>
              <w:tab/>
              <w:t>(6)</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81004D0" w14:textId="77777777" w:rsidR="00C56203" w:rsidRDefault="00C56203">
            <w:pPr>
              <w:keepNext/>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14:paraId="499593C7" w14:textId="77777777" w:rsidR="00C56203" w:rsidRDefault="00CD5102">
            <w:pPr>
              <w:keepNext/>
              <w:tabs>
                <w:tab w:val="left" w:pos="607"/>
                <w:tab w:val="left" w:pos="832"/>
              </w:tabs>
              <w:spacing w:before="75" w:after="30"/>
              <w:jc w:val="right"/>
            </w:pPr>
            <w:r>
              <w:rPr>
                <w:color w:val="000000"/>
                <w:sz w:val="17"/>
              </w:rPr>
              <w:tab/>
              <w:t>—</w:t>
            </w:r>
            <w:r>
              <w:rPr>
                <w:color w:val="000000"/>
                <w:sz w:val="17"/>
              </w:rPr>
              <w:tab/>
            </w:r>
          </w:p>
        </w:tc>
      </w:tr>
      <w:tr w:rsidR="00C56203" w14:paraId="729B9900" w14:textId="77777777">
        <w:trPr>
          <w:cantSplit/>
          <w:trHeight w:hRule="exact" w:val="240"/>
        </w:trPr>
        <w:tc>
          <w:tcPr>
            <w:tcW w:w="285" w:type="dxa"/>
            <w:tcBorders>
              <w:top w:val="nil"/>
              <w:left w:val="nil"/>
              <w:bottom w:val="nil"/>
              <w:right w:val="nil"/>
            </w:tcBorders>
            <w:shd w:val="clear" w:color="auto" w:fill="FFFFFF"/>
            <w:tcMar>
              <w:top w:w="0" w:type="dxa"/>
              <w:left w:w="0" w:type="dxa"/>
              <w:bottom w:w="0" w:type="dxa"/>
              <w:right w:w="0" w:type="dxa"/>
            </w:tcMar>
            <w:vAlign w:val="bottom"/>
          </w:tcPr>
          <w:p w14:paraId="2E7C8342" w14:textId="77777777" w:rsidR="00C56203" w:rsidRDefault="00C56203">
            <w:pPr>
              <w:keepNext/>
            </w:pPr>
          </w:p>
        </w:tc>
        <w:tc>
          <w:tcPr>
            <w:tcW w:w="7875" w:type="dxa"/>
            <w:tcBorders>
              <w:top w:val="nil"/>
              <w:left w:val="nil"/>
              <w:bottom w:val="nil"/>
              <w:right w:val="nil"/>
            </w:tcBorders>
            <w:shd w:val="clear" w:color="auto" w:fill="FFFFFF"/>
            <w:tcMar>
              <w:top w:w="0" w:type="dxa"/>
              <w:left w:w="53" w:type="dxa"/>
              <w:bottom w:w="0" w:type="dxa"/>
              <w:right w:w="53" w:type="dxa"/>
            </w:tcMar>
            <w:vAlign w:val="bottom"/>
          </w:tcPr>
          <w:p w14:paraId="79C459FC" w14:textId="77777777" w:rsidR="00C56203" w:rsidRDefault="00CD5102">
            <w:pPr>
              <w:keepNext/>
              <w:spacing w:before="75" w:after="30"/>
            </w:pPr>
            <w:r>
              <w:rPr>
                <w:color w:val="000000"/>
                <w:sz w:val="17"/>
              </w:rPr>
              <w:t>Depreciation and amortization</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CBCFEAC" w14:textId="77777777" w:rsidR="00C56203" w:rsidRDefault="00C56203">
            <w:pPr>
              <w:keepNext/>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14:paraId="7982FC80" w14:textId="77777777" w:rsidR="00C56203" w:rsidRDefault="00CD5102">
            <w:pPr>
              <w:keepNext/>
              <w:tabs>
                <w:tab w:val="left" w:pos="531"/>
              </w:tabs>
              <w:spacing w:before="75" w:after="30"/>
              <w:jc w:val="right"/>
            </w:pPr>
            <w:r>
              <w:rPr>
                <w:color w:val="000000"/>
                <w:sz w:val="17"/>
              </w:rPr>
              <w:tab/>
              <w:t>(10)</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11DA99F" w14:textId="77777777" w:rsidR="00C56203" w:rsidRDefault="00C56203">
            <w:pPr>
              <w:keepNext/>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14:paraId="5A00FA9F" w14:textId="77777777" w:rsidR="00C56203" w:rsidRDefault="00CD5102">
            <w:pPr>
              <w:keepNext/>
              <w:tabs>
                <w:tab w:val="left" w:pos="607"/>
                <w:tab w:val="left" w:pos="832"/>
              </w:tabs>
              <w:spacing w:before="75" w:after="30"/>
              <w:jc w:val="right"/>
            </w:pPr>
            <w:r>
              <w:rPr>
                <w:color w:val="000000"/>
                <w:sz w:val="17"/>
              </w:rPr>
              <w:tab/>
              <w:t>—</w:t>
            </w:r>
            <w:r>
              <w:rPr>
                <w:color w:val="000000"/>
                <w:sz w:val="17"/>
              </w:rPr>
              <w:tab/>
            </w:r>
          </w:p>
        </w:tc>
      </w:tr>
      <w:tr w:rsidR="00C56203" w14:paraId="623A6AE0" w14:textId="77777777">
        <w:trPr>
          <w:cantSplit/>
          <w:trHeight w:hRule="exact" w:val="240"/>
        </w:trPr>
        <w:tc>
          <w:tcPr>
            <w:tcW w:w="285" w:type="dxa"/>
            <w:tcBorders>
              <w:top w:val="nil"/>
              <w:left w:val="nil"/>
              <w:bottom w:val="nil"/>
              <w:right w:val="nil"/>
            </w:tcBorders>
            <w:shd w:val="clear" w:color="auto" w:fill="CCEEFF"/>
            <w:tcMar>
              <w:top w:w="0" w:type="dxa"/>
              <w:left w:w="0" w:type="dxa"/>
              <w:bottom w:w="0" w:type="dxa"/>
              <w:right w:w="0" w:type="dxa"/>
            </w:tcMar>
            <w:vAlign w:val="bottom"/>
          </w:tcPr>
          <w:p w14:paraId="56497CC6" w14:textId="77777777" w:rsidR="00C56203" w:rsidRDefault="00C56203">
            <w:pPr>
              <w:keepNext/>
            </w:pPr>
          </w:p>
        </w:tc>
        <w:tc>
          <w:tcPr>
            <w:tcW w:w="7875" w:type="dxa"/>
            <w:tcBorders>
              <w:top w:val="nil"/>
              <w:left w:val="nil"/>
              <w:bottom w:val="nil"/>
              <w:right w:val="nil"/>
            </w:tcBorders>
            <w:shd w:val="clear" w:color="auto" w:fill="CCEEFF"/>
            <w:tcMar>
              <w:top w:w="0" w:type="dxa"/>
              <w:left w:w="53" w:type="dxa"/>
              <w:bottom w:w="0" w:type="dxa"/>
              <w:right w:w="53" w:type="dxa"/>
            </w:tcMar>
            <w:vAlign w:val="bottom"/>
          </w:tcPr>
          <w:p w14:paraId="5C44A7CC" w14:textId="77777777" w:rsidR="00C56203" w:rsidRDefault="00CD5102">
            <w:pPr>
              <w:keepNext/>
              <w:spacing w:before="75" w:after="30"/>
            </w:pPr>
            <w:r>
              <w:rPr>
                <w:color w:val="000000"/>
                <w:sz w:val="17"/>
              </w:rPr>
              <w:t xml:space="preserve">All other </w:t>
            </w:r>
            <w:r>
              <w:rPr>
                <w:color w:val="000000"/>
                <w:sz w:val="17"/>
              </w:rPr>
              <w:t>adjustments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0E61E37" w14:textId="77777777" w:rsidR="00C56203" w:rsidRDefault="00C56203">
            <w:pPr>
              <w:keepNext/>
            </w:pPr>
          </w:p>
        </w:tc>
        <w:tc>
          <w:tcPr>
            <w:tcW w:w="9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7220D68" w14:textId="77777777" w:rsidR="00C56203" w:rsidRDefault="00CD5102">
            <w:pPr>
              <w:keepNext/>
              <w:tabs>
                <w:tab w:val="left" w:pos="616"/>
              </w:tabs>
              <w:spacing w:before="75" w:after="30"/>
              <w:jc w:val="right"/>
            </w:pPr>
            <w:r>
              <w:rPr>
                <w:color w:val="000000"/>
                <w:sz w:val="17"/>
              </w:rPr>
              <w:tab/>
              <w:t>(9)</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069180F" w14:textId="77777777" w:rsidR="00C56203" w:rsidRDefault="00C56203">
            <w:pPr>
              <w:keepNext/>
            </w:pPr>
          </w:p>
        </w:tc>
        <w:tc>
          <w:tcPr>
            <w:tcW w:w="9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ACCEA04" w14:textId="77777777" w:rsidR="00C56203" w:rsidRDefault="00CD5102">
            <w:pPr>
              <w:keepNext/>
              <w:tabs>
                <w:tab w:val="left" w:pos="607"/>
                <w:tab w:val="left" w:pos="832"/>
              </w:tabs>
              <w:spacing w:before="75" w:after="30"/>
              <w:jc w:val="right"/>
            </w:pPr>
            <w:r>
              <w:rPr>
                <w:color w:val="000000"/>
                <w:sz w:val="17"/>
              </w:rPr>
              <w:tab/>
              <w:t>—</w:t>
            </w:r>
            <w:r>
              <w:rPr>
                <w:color w:val="000000"/>
                <w:sz w:val="17"/>
              </w:rPr>
              <w:tab/>
            </w:r>
          </w:p>
        </w:tc>
      </w:tr>
      <w:tr w:rsidR="00C56203" w14:paraId="2920B782" w14:textId="77777777">
        <w:trPr>
          <w:cantSplit/>
          <w:trHeight w:hRule="exact" w:val="240"/>
        </w:trPr>
        <w:tc>
          <w:tcPr>
            <w:tcW w:w="8160" w:type="dxa"/>
            <w:gridSpan w:val="2"/>
            <w:tcBorders>
              <w:top w:val="nil"/>
              <w:left w:val="nil"/>
              <w:bottom w:val="nil"/>
              <w:right w:val="nil"/>
            </w:tcBorders>
            <w:shd w:val="clear" w:color="auto" w:fill="FFFFFF"/>
            <w:tcMar>
              <w:top w:w="0" w:type="dxa"/>
              <w:left w:w="53" w:type="dxa"/>
              <w:bottom w:w="0" w:type="dxa"/>
              <w:right w:w="53" w:type="dxa"/>
            </w:tcMar>
            <w:vAlign w:val="bottom"/>
          </w:tcPr>
          <w:p w14:paraId="762301E4" w14:textId="77777777" w:rsidR="00C56203" w:rsidRDefault="00CD5102">
            <w:pPr>
              <w:spacing w:before="55" w:after="30"/>
            </w:pPr>
            <w:r>
              <w:rPr>
                <w:b/>
                <w:color w:val="000000"/>
                <w:sz w:val="17"/>
              </w:rPr>
              <w:t>Adjusted EBITDA attributable to noncontrolling interest (non-GAAP)</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80C84F6" w14:textId="77777777" w:rsidR="00C56203" w:rsidRDefault="00C56203"/>
        </w:tc>
        <w:tc>
          <w:tcPr>
            <w:tcW w:w="9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3559208" w14:textId="77777777" w:rsidR="00C56203" w:rsidRDefault="00CD5102">
            <w:pPr>
              <w:tabs>
                <w:tab w:val="left" w:pos="531"/>
              </w:tabs>
              <w:spacing w:before="55" w:after="30"/>
              <w:jc w:val="right"/>
            </w:pPr>
            <w:r>
              <w:rPr>
                <w:b/>
                <w:color w:val="000000"/>
                <w:sz w:val="17"/>
              </w:rPr>
              <w:t>$</w:t>
            </w:r>
            <w:r>
              <w:rPr>
                <w:b/>
                <w:color w:val="000000"/>
                <w:sz w:val="17"/>
              </w:rPr>
              <w:tab/>
              <w:t>(17)</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4D00D62" w14:textId="77777777" w:rsidR="00C56203" w:rsidRDefault="00C56203"/>
        </w:tc>
        <w:tc>
          <w:tcPr>
            <w:tcW w:w="9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C9E1F3A" w14:textId="77777777" w:rsidR="00C56203" w:rsidRDefault="00CD5102">
            <w:pPr>
              <w:tabs>
                <w:tab w:val="left" w:pos="616"/>
              </w:tabs>
              <w:spacing w:before="55" w:after="30"/>
              <w:jc w:val="right"/>
            </w:pPr>
            <w:r>
              <w:rPr>
                <w:b/>
                <w:color w:val="000000"/>
                <w:sz w:val="17"/>
              </w:rPr>
              <w:t>$</w:t>
            </w:r>
            <w:r>
              <w:rPr>
                <w:b/>
                <w:color w:val="000000"/>
                <w:sz w:val="17"/>
              </w:rPr>
              <w:tab/>
              <w:t>(3)</w:t>
            </w:r>
          </w:p>
        </w:tc>
      </w:tr>
    </w:tbl>
    <w:p w14:paraId="672CBBFC" w14:textId="77777777" w:rsidR="00C56203" w:rsidRDefault="00CD5102">
      <w:pPr>
        <w:spacing w:line="288" w:lineRule="auto"/>
        <w:jc w:val="center"/>
        <w:rPr>
          <w:sz w:val="10"/>
        </w:rPr>
      </w:pPr>
      <w:r>
        <w:rPr>
          <w:sz w:val="2"/>
        </w:rPr>
        <w:br w:type="page"/>
      </w: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0"/>
        <w:gridCol w:w="645"/>
        <w:gridCol w:w="60"/>
        <w:gridCol w:w="705"/>
        <w:gridCol w:w="60"/>
        <w:gridCol w:w="765"/>
        <w:gridCol w:w="60"/>
        <w:gridCol w:w="645"/>
        <w:gridCol w:w="60"/>
        <w:gridCol w:w="645"/>
        <w:gridCol w:w="75"/>
        <w:gridCol w:w="975"/>
        <w:gridCol w:w="75"/>
        <w:gridCol w:w="660"/>
        <w:gridCol w:w="75"/>
        <w:gridCol w:w="525"/>
        <w:gridCol w:w="60"/>
        <w:gridCol w:w="495"/>
        <w:gridCol w:w="75"/>
        <w:gridCol w:w="525"/>
        <w:gridCol w:w="75"/>
        <w:gridCol w:w="495"/>
      </w:tblGrid>
      <w:tr w:rsidR="00C56203" w14:paraId="71A12BA3" w14:textId="77777777">
        <w:trPr>
          <w:cantSplit/>
          <w:trHeight w:hRule="exact" w:val="285"/>
          <w:jc w:val="center"/>
        </w:trPr>
        <w:tc>
          <w:tcPr>
            <w:tcW w:w="5295" w:type="dxa"/>
            <w:gridSpan w:val="10"/>
            <w:tcBorders>
              <w:top w:val="nil"/>
              <w:left w:val="nil"/>
              <w:bottom w:val="nil"/>
              <w:right w:val="nil"/>
            </w:tcBorders>
            <w:tcMar>
              <w:top w:w="0" w:type="dxa"/>
              <w:left w:w="53" w:type="dxa"/>
              <w:bottom w:w="0" w:type="dxa"/>
              <w:right w:w="53" w:type="dxa"/>
            </w:tcMar>
            <w:vAlign w:val="bottom"/>
          </w:tcPr>
          <w:p w14:paraId="3A349082" w14:textId="77777777" w:rsidR="00C56203" w:rsidRDefault="00CD5102">
            <w:pPr>
              <w:keepNext/>
              <w:spacing w:before="75" w:after="30"/>
            </w:pPr>
            <w:r>
              <w:rPr>
                <w:b/>
                <w:color w:val="000000"/>
                <w:sz w:val="16"/>
              </w:rPr>
              <w:lastRenderedPageBreak/>
              <w:t>Bausch Health Companies Inc.</w:t>
            </w:r>
          </w:p>
        </w:tc>
        <w:tc>
          <w:tcPr>
            <w:tcW w:w="645" w:type="dxa"/>
            <w:tcBorders>
              <w:top w:val="nil"/>
              <w:left w:val="nil"/>
              <w:bottom w:val="nil"/>
              <w:right w:val="nil"/>
            </w:tcBorders>
            <w:tcMar>
              <w:top w:w="0" w:type="dxa"/>
              <w:left w:w="0" w:type="dxa"/>
              <w:bottom w:w="0" w:type="dxa"/>
              <w:right w:w="0" w:type="dxa"/>
            </w:tcMar>
            <w:vAlign w:val="bottom"/>
          </w:tcPr>
          <w:p w14:paraId="0D989C87"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32B99D98" w14:textId="77777777" w:rsidR="00C56203" w:rsidRDefault="00C56203">
            <w:pPr>
              <w:keepNext/>
            </w:pPr>
          </w:p>
        </w:tc>
        <w:tc>
          <w:tcPr>
            <w:tcW w:w="975" w:type="dxa"/>
            <w:tcBorders>
              <w:top w:val="nil"/>
              <w:left w:val="nil"/>
              <w:bottom w:val="nil"/>
              <w:right w:val="nil"/>
            </w:tcBorders>
            <w:tcMar>
              <w:top w:w="0" w:type="dxa"/>
              <w:left w:w="0" w:type="dxa"/>
              <w:bottom w:w="0" w:type="dxa"/>
              <w:right w:w="0" w:type="dxa"/>
            </w:tcMar>
            <w:vAlign w:val="bottom"/>
          </w:tcPr>
          <w:p w14:paraId="15DF8CB0"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3C2505D1" w14:textId="77777777" w:rsidR="00C56203" w:rsidRDefault="00C56203">
            <w:pPr>
              <w:keepNext/>
            </w:pPr>
          </w:p>
        </w:tc>
        <w:tc>
          <w:tcPr>
            <w:tcW w:w="660" w:type="dxa"/>
            <w:tcBorders>
              <w:top w:val="nil"/>
              <w:left w:val="nil"/>
              <w:bottom w:val="nil"/>
              <w:right w:val="nil"/>
            </w:tcBorders>
            <w:tcMar>
              <w:top w:w="0" w:type="dxa"/>
              <w:left w:w="0" w:type="dxa"/>
              <w:bottom w:w="0" w:type="dxa"/>
              <w:right w:w="0" w:type="dxa"/>
            </w:tcMar>
            <w:vAlign w:val="bottom"/>
          </w:tcPr>
          <w:p w14:paraId="735D0082"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51E97668" w14:textId="77777777" w:rsidR="00C56203" w:rsidRDefault="00C56203">
            <w:pPr>
              <w:keepNext/>
            </w:pPr>
          </w:p>
        </w:tc>
        <w:tc>
          <w:tcPr>
            <w:tcW w:w="525" w:type="dxa"/>
            <w:tcBorders>
              <w:top w:val="nil"/>
              <w:left w:val="nil"/>
              <w:bottom w:val="nil"/>
              <w:right w:val="nil"/>
            </w:tcBorders>
            <w:tcMar>
              <w:top w:w="0" w:type="dxa"/>
              <w:left w:w="0" w:type="dxa"/>
              <w:bottom w:w="0" w:type="dxa"/>
              <w:right w:w="0" w:type="dxa"/>
            </w:tcMar>
            <w:vAlign w:val="bottom"/>
          </w:tcPr>
          <w:p w14:paraId="0470654D" w14:textId="77777777" w:rsidR="00C56203" w:rsidRDefault="00C56203">
            <w:pPr>
              <w:keepNext/>
            </w:pPr>
          </w:p>
        </w:tc>
        <w:tc>
          <w:tcPr>
            <w:tcW w:w="60" w:type="dxa"/>
            <w:tcBorders>
              <w:top w:val="nil"/>
              <w:left w:val="nil"/>
              <w:bottom w:val="nil"/>
              <w:right w:val="nil"/>
            </w:tcBorders>
            <w:tcMar>
              <w:top w:w="0" w:type="dxa"/>
              <w:left w:w="0" w:type="dxa"/>
              <w:bottom w:w="0" w:type="dxa"/>
              <w:right w:w="0" w:type="dxa"/>
            </w:tcMar>
            <w:vAlign w:val="bottom"/>
          </w:tcPr>
          <w:p w14:paraId="66EAF591" w14:textId="77777777" w:rsidR="00C56203" w:rsidRDefault="00C56203">
            <w:pPr>
              <w:keepNext/>
            </w:pPr>
          </w:p>
        </w:tc>
        <w:tc>
          <w:tcPr>
            <w:tcW w:w="495" w:type="dxa"/>
            <w:tcBorders>
              <w:top w:val="nil"/>
              <w:left w:val="nil"/>
              <w:bottom w:val="nil"/>
              <w:right w:val="nil"/>
            </w:tcBorders>
            <w:tcMar>
              <w:top w:w="0" w:type="dxa"/>
              <w:left w:w="0" w:type="dxa"/>
              <w:bottom w:w="0" w:type="dxa"/>
              <w:right w:w="0" w:type="dxa"/>
            </w:tcMar>
            <w:vAlign w:val="bottom"/>
          </w:tcPr>
          <w:p w14:paraId="5EDB9729"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2942F7C8" w14:textId="77777777" w:rsidR="00C56203" w:rsidRDefault="00C56203">
            <w:pPr>
              <w:keepNext/>
            </w:pPr>
          </w:p>
        </w:tc>
        <w:tc>
          <w:tcPr>
            <w:tcW w:w="1095" w:type="dxa"/>
            <w:gridSpan w:val="3"/>
            <w:tcBorders>
              <w:top w:val="nil"/>
              <w:left w:val="nil"/>
              <w:bottom w:val="nil"/>
              <w:right w:val="nil"/>
            </w:tcBorders>
            <w:tcMar>
              <w:top w:w="0" w:type="dxa"/>
              <w:left w:w="0" w:type="dxa"/>
              <w:bottom w:w="0" w:type="dxa"/>
              <w:right w:w="53" w:type="dxa"/>
            </w:tcMar>
            <w:vAlign w:val="bottom"/>
          </w:tcPr>
          <w:p w14:paraId="09287F1D" w14:textId="77777777" w:rsidR="00C56203" w:rsidRDefault="00CD5102">
            <w:pPr>
              <w:keepNext/>
              <w:spacing w:before="75" w:after="30"/>
              <w:jc w:val="right"/>
            </w:pPr>
            <w:r>
              <w:rPr>
                <w:b/>
                <w:color w:val="000000"/>
                <w:sz w:val="16"/>
              </w:rPr>
              <w:t>Table 3</w:t>
            </w:r>
          </w:p>
        </w:tc>
      </w:tr>
      <w:tr w:rsidR="00C56203" w14:paraId="44A58626" w14:textId="77777777">
        <w:trPr>
          <w:cantSplit/>
          <w:trHeight w:hRule="exact" w:val="285"/>
          <w:jc w:val="center"/>
        </w:trPr>
        <w:tc>
          <w:tcPr>
            <w:tcW w:w="5295" w:type="dxa"/>
            <w:gridSpan w:val="10"/>
            <w:tcBorders>
              <w:top w:val="nil"/>
              <w:left w:val="nil"/>
              <w:bottom w:val="nil"/>
              <w:right w:val="nil"/>
            </w:tcBorders>
            <w:tcMar>
              <w:top w:w="0" w:type="dxa"/>
              <w:left w:w="53" w:type="dxa"/>
              <w:bottom w:w="0" w:type="dxa"/>
              <w:right w:w="53" w:type="dxa"/>
            </w:tcMar>
            <w:vAlign w:val="bottom"/>
          </w:tcPr>
          <w:p w14:paraId="4F13FD95" w14:textId="77777777" w:rsidR="00C56203" w:rsidRDefault="00CD5102">
            <w:pPr>
              <w:keepNext/>
              <w:spacing w:before="75" w:after="30"/>
            </w:pPr>
            <w:r>
              <w:rPr>
                <w:b/>
                <w:color w:val="000000"/>
                <w:sz w:val="16"/>
              </w:rPr>
              <w:t xml:space="preserve">Organic Growth (non-GAAP) - by Segment </w:t>
            </w:r>
          </w:p>
        </w:tc>
        <w:tc>
          <w:tcPr>
            <w:tcW w:w="645" w:type="dxa"/>
            <w:tcBorders>
              <w:top w:val="nil"/>
              <w:left w:val="nil"/>
              <w:bottom w:val="nil"/>
              <w:right w:val="nil"/>
            </w:tcBorders>
            <w:tcMar>
              <w:top w:w="0" w:type="dxa"/>
              <w:left w:w="0" w:type="dxa"/>
              <w:bottom w:w="0" w:type="dxa"/>
              <w:right w:w="0" w:type="dxa"/>
            </w:tcMar>
            <w:vAlign w:val="bottom"/>
          </w:tcPr>
          <w:p w14:paraId="4CF41039"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4A1F4568" w14:textId="77777777" w:rsidR="00C56203" w:rsidRDefault="00C56203">
            <w:pPr>
              <w:keepNext/>
            </w:pPr>
          </w:p>
        </w:tc>
        <w:tc>
          <w:tcPr>
            <w:tcW w:w="975" w:type="dxa"/>
            <w:tcBorders>
              <w:top w:val="nil"/>
              <w:left w:val="nil"/>
              <w:bottom w:val="nil"/>
              <w:right w:val="nil"/>
            </w:tcBorders>
            <w:tcMar>
              <w:top w:w="0" w:type="dxa"/>
              <w:left w:w="0" w:type="dxa"/>
              <w:bottom w:w="0" w:type="dxa"/>
              <w:right w:w="0" w:type="dxa"/>
            </w:tcMar>
            <w:vAlign w:val="bottom"/>
          </w:tcPr>
          <w:p w14:paraId="2CB6736F"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6E773C31" w14:textId="77777777" w:rsidR="00C56203" w:rsidRDefault="00C56203">
            <w:pPr>
              <w:keepNext/>
            </w:pPr>
          </w:p>
        </w:tc>
        <w:tc>
          <w:tcPr>
            <w:tcW w:w="660" w:type="dxa"/>
            <w:tcBorders>
              <w:top w:val="nil"/>
              <w:left w:val="nil"/>
              <w:bottom w:val="nil"/>
              <w:right w:val="nil"/>
            </w:tcBorders>
            <w:tcMar>
              <w:top w:w="0" w:type="dxa"/>
              <w:left w:w="0" w:type="dxa"/>
              <w:bottom w:w="0" w:type="dxa"/>
              <w:right w:w="0" w:type="dxa"/>
            </w:tcMar>
            <w:vAlign w:val="bottom"/>
          </w:tcPr>
          <w:p w14:paraId="6F4D1FF4"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7CCFD317" w14:textId="77777777" w:rsidR="00C56203" w:rsidRDefault="00C56203">
            <w:pPr>
              <w:keepNext/>
            </w:pPr>
          </w:p>
        </w:tc>
        <w:tc>
          <w:tcPr>
            <w:tcW w:w="525" w:type="dxa"/>
            <w:tcBorders>
              <w:top w:val="nil"/>
              <w:left w:val="nil"/>
              <w:bottom w:val="nil"/>
              <w:right w:val="nil"/>
            </w:tcBorders>
            <w:tcMar>
              <w:top w:w="0" w:type="dxa"/>
              <w:left w:w="0" w:type="dxa"/>
              <w:bottom w:w="0" w:type="dxa"/>
              <w:right w:w="0" w:type="dxa"/>
            </w:tcMar>
            <w:vAlign w:val="bottom"/>
          </w:tcPr>
          <w:p w14:paraId="4BE21882" w14:textId="77777777" w:rsidR="00C56203" w:rsidRDefault="00C56203">
            <w:pPr>
              <w:keepNext/>
            </w:pPr>
          </w:p>
        </w:tc>
        <w:tc>
          <w:tcPr>
            <w:tcW w:w="60" w:type="dxa"/>
            <w:tcBorders>
              <w:top w:val="nil"/>
              <w:left w:val="nil"/>
              <w:bottom w:val="nil"/>
              <w:right w:val="nil"/>
            </w:tcBorders>
            <w:tcMar>
              <w:top w:w="0" w:type="dxa"/>
              <w:left w:w="0" w:type="dxa"/>
              <w:bottom w:w="0" w:type="dxa"/>
              <w:right w:w="0" w:type="dxa"/>
            </w:tcMar>
            <w:vAlign w:val="bottom"/>
          </w:tcPr>
          <w:p w14:paraId="3BD31682" w14:textId="77777777" w:rsidR="00C56203" w:rsidRDefault="00C56203">
            <w:pPr>
              <w:keepNext/>
            </w:pPr>
          </w:p>
        </w:tc>
        <w:tc>
          <w:tcPr>
            <w:tcW w:w="495" w:type="dxa"/>
            <w:tcBorders>
              <w:top w:val="nil"/>
              <w:left w:val="nil"/>
              <w:bottom w:val="nil"/>
              <w:right w:val="nil"/>
            </w:tcBorders>
            <w:tcMar>
              <w:top w:w="0" w:type="dxa"/>
              <w:left w:w="0" w:type="dxa"/>
              <w:bottom w:w="0" w:type="dxa"/>
              <w:right w:w="0" w:type="dxa"/>
            </w:tcMar>
            <w:vAlign w:val="bottom"/>
          </w:tcPr>
          <w:p w14:paraId="2C13468E"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7A867A71" w14:textId="77777777" w:rsidR="00C56203" w:rsidRDefault="00C56203">
            <w:pPr>
              <w:keepNext/>
            </w:pPr>
          </w:p>
        </w:tc>
        <w:tc>
          <w:tcPr>
            <w:tcW w:w="525" w:type="dxa"/>
            <w:tcBorders>
              <w:top w:val="nil"/>
              <w:left w:val="nil"/>
              <w:bottom w:val="nil"/>
              <w:right w:val="nil"/>
            </w:tcBorders>
            <w:tcMar>
              <w:top w:w="0" w:type="dxa"/>
              <w:left w:w="0" w:type="dxa"/>
              <w:bottom w:w="0" w:type="dxa"/>
              <w:right w:w="0" w:type="dxa"/>
            </w:tcMar>
            <w:vAlign w:val="bottom"/>
          </w:tcPr>
          <w:p w14:paraId="14143E7C"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67ADD138" w14:textId="77777777" w:rsidR="00C56203" w:rsidRDefault="00C56203">
            <w:pPr>
              <w:keepNext/>
            </w:pPr>
          </w:p>
        </w:tc>
        <w:tc>
          <w:tcPr>
            <w:tcW w:w="495" w:type="dxa"/>
            <w:tcBorders>
              <w:top w:val="nil"/>
              <w:left w:val="nil"/>
              <w:bottom w:val="nil"/>
              <w:right w:val="nil"/>
            </w:tcBorders>
            <w:tcMar>
              <w:top w:w="0" w:type="dxa"/>
              <w:left w:w="0" w:type="dxa"/>
              <w:bottom w:w="0" w:type="dxa"/>
              <w:right w:w="0" w:type="dxa"/>
            </w:tcMar>
            <w:vAlign w:val="bottom"/>
          </w:tcPr>
          <w:p w14:paraId="124037B3" w14:textId="77777777" w:rsidR="00C56203" w:rsidRDefault="00C56203">
            <w:pPr>
              <w:keepNext/>
            </w:pPr>
          </w:p>
        </w:tc>
      </w:tr>
      <w:tr w:rsidR="00C56203" w14:paraId="7DCB2408" w14:textId="77777777">
        <w:trPr>
          <w:cantSplit/>
          <w:trHeight w:hRule="exact" w:val="285"/>
          <w:jc w:val="center"/>
        </w:trPr>
        <w:tc>
          <w:tcPr>
            <w:tcW w:w="5295" w:type="dxa"/>
            <w:gridSpan w:val="10"/>
            <w:tcBorders>
              <w:top w:val="nil"/>
              <w:left w:val="nil"/>
              <w:bottom w:val="nil"/>
              <w:right w:val="nil"/>
            </w:tcBorders>
            <w:tcMar>
              <w:top w:w="0" w:type="dxa"/>
              <w:left w:w="53" w:type="dxa"/>
              <w:bottom w:w="0" w:type="dxa"/>
              <w:right w:w="53" w:type="dxa"/>
            </w:tcMar>
            <w:vAlign w:val="bottom"/>
          </w:tcPr>
          <w:p w14:paraId="1D183B85" w14:textId="77777777" w:rsidR="00C56203" w:rsidRDefault="00CD5102">
            <w:pPr>
              <w:keepNext/>
              <w:spacing w:before="75" w:after="30"/>
            </w:pPr>
            <w:r>
              <w:rPr>
                <w:b/>
                <w:color w:val="000000"/>
                <w:sz w:val="16"/>
              </w:rPr>
              <w:t xml:space="preserve">For the Three Months Ended March 31, 2023 </w:t>
            </w:r>
            <w:r>
              <w:rPr>
                <w:b/>
                <w:color w:val="000000"/>
                <w:sz w:val="16"/>
              </w:rPr>
              <w:t>and 2022</w:t>
            </w:r>
          </w:p>
        </w:tc>
        <w:tc>
          <w:tcPr>
            <w:tcW w:w="645" w:type="dxa"/>
            <w:tcBorders>
              <w:top w:val="nil"/>
              <w:left w:val="nil"/>
              <w:bottom w:val="nil"/>
              <w:right w:val="nil"/>
            </w:tcBorders>
            <w:tcMar>
              <w:top w:w="0" w:type="dxa"/>
              <w:left w:w="0" w:type="dxa"/>
              <w:bottom w:w="0" w:type="dxa"/>
              <w:right w:w="0" w:type="dxa"/>
            </w:tcMar>
            <w:vAlign w:val="bottom"/>
          </w:tcPr>
          <w:p w14:paraId="45B01D61"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1063F7B2" w14:textId="77777777" w:rsidR="00C56203" w:rsidRDefault="00C56203">
            <w:pPr>
              <w:keepNext/>
            </w:pPr>
          </w:p>
        </w:tc>
        <w:tc>
          <w:tcPr>
            <w:tcW w:w="975" w:type="dxa"/>
            <w:tcBorders>
              <w:top w:val="nil"/>
              <w:left w:val="nil"/>
              <w:bottom w:val="nil"/>
              <w:right w:val="nil"/>
            </w:tcBorders>
            <w:tcMar>
              <w:top w:w="0" w:type="dxa"/>
              <w:left w:w="0" w:type="dxa"/>
              <w:bottom w:w="0" w:type="dxa"/>
              <w:right w:w="0" w:type="dxa"/>
            </w:tcMar>
            <w:vAlign w:val="bottom"/>
          </w:tcPr>
          <w:p w14:paraId="662218E4"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4521C9A1" w14:textId="77777777" w:rsidR="00C56203" w:rsidRDefault="00C56203">
            <w:pPr>
              <w:keepNext/>
            </w:pPr>
          </w:p>
        </w:tc>
        <w:tc>
          <w:tcPr>
            <w:tcW w:w="660" w:type="dxa"/>
            <w:tcBorders>
              <w:top w:val="nil"/>
              <w:left w:val="nil"/>
              <w:bottom w:val="nil"/>
              <w:right w:val="nil"/>
            </w:tcBorders>
            <w:tcMar>
              <w:top w:w="0" w:type="dxa"/>
              <w:left w:w="0" w:type="dxa"/>
              <w:bottom w:w="0" w:type="dxa"/>
              <w:right w:w="0" w:type="dxa"/>
            </w:tcMar>
            <w:vAlign w:val="bottom"/>
          </w:tcPr>
          <w:p w14:paraId="3C41076C"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25C67D39" w14:textId="77777777" w:rsidR="00C56203" w:rsidRDefault="00C56203">
            <w:pPr>
              <w:keepNext/>
            </w:pPr>
          </w:p>
        </w:tc>
        <w:tc>
          <w:tcPr>
            <w:tcW w:w="525" w:type="dxa"/>
            <w:tcBorders>
              <w:top w:val="nil"/>
              <w:left w:val="nil"/>
              <w:bottom w:val="nil"/>
              <w:right w:val="nil"/>
            </w:tcBorders>
            <w:tcMar>
              <w:top w:w="0" w:type="dxa"/>
              <w:left w:w="0" w:type="dxa"/>
              <w:bottom w:w="0" w:type="dxa"/>
              <w:right w:w="0" w:type="dxa"/>
            </w:tcMar>
            <w:vAlign w:val="bottom"/>
          </w:tcPr>
          <w:p w14:paraId="4ABEB605" w14:textId="77777777" w:rsidR="00C56203" w:rsidRDefault="00C56203">
            <w:pPr>
              <w:keepNext/>
            </w:pPr>
          </w:p>
        </w:tc>
        <w:tc>
          <w:tcPr>
            <w:tcW w:w="60" w:type="dxa"/>
            <w:tcBorders>
              <w:top w:val="nil"/>
              <w:left w:val="nil"/>
              <w:bottom w:val="nil"/>
              <w:right w:val="nil"/>
            </w:tcBorders>
            <w:tcMar>
              <w:top w:w="0" w:type="dxa"/>
              <w:left w:w="0" w:type="dxa"/>
              <w:bottom w:w="0" w:type="dxa"/>
              <w:right w:w="0" w:type="dxa"/>
            </w:tcMar>
            <w:vAlign w:val="bottom"/>
          </w:tcPr>
          <w:p w14:paraId="1159AE25" w14:textId="77777777" w:rsidR="00C56203" w:rsidRDefault="00C56203">
            <w:pPr>
              <w:keepNext/>
            </w:pPr>
          </w:p>
        </w:tc>
        <w:tc>
          <w:tcPr>
            <w:tcW w:w="495" w:type="dxa"/>
            <w:tcBorders>
              <w:top w:val="nil"/>
              <w:left w:val="nil"/>
              <w:bottom w:val="nil"/>
              <w:right w:val="nil"/>
            </w:tcBorders>
            <w:tcMar>
              <w:top w:w="0" w:type="dxa"/>
              <w:left w:w="0" w:type="dxa"/>
              <w:bottom w:w="0" w:type="dxa"/>
              <w:right w:w="0" w:type="dxa"/>
            </w:tcMar>
            <w:vAlign w:val="bottom"/>
          </w:tcPr>
          <w:p w14:paraId="387A6A21"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4B463FAA" w14:textId="77777777" w:rsidR="00C56203" w:rsidRDefault="00C56203">
            <w:pPr>
              <w:keepNext/>
            </w:pPr>
          </w:p>
        </w:tc>
        <w:tc>
          <w:tcPr>
            <w:tcW w:w="525" w:type="dxa"/>
            <w:tcBorders>
              <w:top w:val="nil"/>
              <w:left w:val="nil"/>
              <w:bottom w:val="nil"/>
              <w:right w:val="nil"/>
            </w:tcBorders>
            <w:tcMar>
              <w:top w:w="0" w:type="dxa"/>
              <w:left w:w="0" w:type="dxa"/>
              <w:bottom w:w="0" w:type="dxa"/>
              <w:right w:w="0" w:type="dxa"/>
            </w:tcMar>
            <w:vAlign w:val="bottom"/>
          </w:tcPr>
          <w:p w14:paraId="61054821"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22ACFEFE" w14:textId="77777777" w:rsidR="00C56203" w:rsidRDefault="00C56203">
            <w:pPr>
              <w:keepNext/>
            </w:pPr>
          </w:p>
        </w:tc>
        <w:tc>
          <w:tcPr>
            <w:tcW w:w="495" w:type="dxa"/>
            <w:tcBorders>
              <w:top w:val="nil"/>
              <w:left w:val="nil"/>
              <w:bottom w:val="nil"/>
              <w:right w:val="nil"/>
            </w:tcBorders>
            <w:tcMar>
              <w:top w:w="0" w:type="dxa"/>
              <w:left w:w="0" w:type="dxa"/>
              <w:bottom w:w="0" w:type="dxa"/>
              <w:right w:w="0" w:type="dxa"/>
            </w:tcMar>
            <w:vAlign w:val="bottom"/>
          </w:tcPr>
          <w:p w14:paraId="61BF2A6B" w14:textId="77777777" w:rsidR="00C56203" w:rsidRDefault="00C56203">
            <w:pPr>
              <w:keepNext/>
            </w:pPr>
          </w:p>
        </w:tc>
      </w:tr>
      <w:tr w:rsidR="00C56203" w14:paraId="3E39D484" w14:textId="77777777">
        <w:trPr>
          <w:cantSplit/>
          <w:trHeight w:hRule="exact" w:val="285"/>
          <w:jc w:val="center"/>
        </w:trPr>
        <w:tc>
          <w:tcPr>
            <w:tcW w:w="2235" w:type="dxa"/>
            <w:tcBorders>
              <w:top w:val="nil"/>
              <w:left w:val="nil"/>
              <w:bottom w:val="nil"/>
              <w:right w:val="nil"/>
            </w:tcBorders>
            <w:tcMar>
              <w:top w:w="0" w:type="dxa"/>
              <w:left w:w="53" w:type="dxa"/>
              <w:bottom w:w="0" w:type="dxa"/>
              <w:right w:w="53" w:type="dxa"/>
            </w:tcMar>
            <w:vAlign w:val="bottom"/>
          </w:tcPr>
          <w:p w14:paraId="75324CF3" w14:textId="77777777" w:rsidR="00C56203" w:rsidRDefault="00CD5102">
            <w:pPr>
              <w:keepNext/>
              <w:spacing w:before="75" w:after="30"/>
            </w:pPr>
            <w:r>
              <w:rPr>
                <w:b/>
                <w:color w:val="000000"/>
                <w:sz w:val="16"/>
              </w:rPr>
              <w:t>(unaudited)</w:t>
            </w:r>
          </w:p>
        </w:tc>
        <w:tc>
          <w:tcPr>
            <w:tcW w:w="60" w:type="dxa"/>
            <w:tcBorders>
              <w:top w:val="nil"/>
              <w:left w:val="nil"/>
              <w:bottom w:val="nil"/>
              <w:right w:val="nil"/>
            </w:tcBorders>
            <w:tcMar>
              <w:top w:w="0" w:type="dxa"/>
              <w:left w:w="0" w:type="dxa"/>
              <w:bottom w:w="0" w:type="dxa"/>
              <w:right w:w="0" w:type="dxa"/>
            </w:tcMar>
            <w:vAlign w:val="bottom"/>
          </w:tcPr>
          <w:p w14:paraId="25BF04D5" w14:textId="77777777" w:rsidR="00C56203" w:rsidRDefault="00C56203">
            <w:pPr>
              <w:keepNext/>
            </w:pPr>
          </w:p>
        </w:tc>
        <w:tc>
          <w:tcPr>
            <w:tcW w:w="645" w:type="dxa"/>
            <w:tcBorders>
              <w:top w:val="nil"/>
              <w:left w:val="nil"/>
              <w:bottom w:val="nil"/>
              <w:right w:val="nil"/>
            </w:tcBorders>
            <w:tcMar>
              <w:top w:w="0" w:type="dxa"/>
              <w:left w:w="0" w:type="dxa"/>
              <w:bottom w:w="0" w:type="dxa"/>
              <w:right w:w="0" w:type="dxa"/>
            </w:tcMar>
            <w:vAlign w:val="bottom"/>
          </w:tcPr>
          <w:p w14:paraId="2C293147" w14:textId="77777777" w:rsidR="00C56203" w:rsidRDefault="00C56203">
            <w:pPr>
              <w:keepNext/>
            </w:pPr>
          </w:p>
        </w:tc>
        <w:tc>
          <w:tcPr>
            <w:tcW w:w="60" w:type="dxa"/>
            <w:tcBorders>
              <w:top w:val="nil"/>
              <w:left w:val="nil"/>
              <w:bottom w:val="nil"/>
              <w:right w:val="nil"/>
            </w:tcBorders>
            <w:tcMar>
              <w:top w:w="0" w:type="dxa"/>
              <w:left w:w="0" w:type="dxa"/>
              <w:bottom w:w="0" w:type="dxa"/>
              <w:right w:w="0" w:type="dxa"/>
            </w:tcMar>
            <w:vAlign w:val="bottom"/>
          </w:tcPr>
          <w:p w14:paraId="435438B9" w14:textId="77777777" w:rsidR="00C56203" w:rsidRDefault="00C56203">
            <w:pPr>
              <w:keepNext/>
            </w:pPr>
          </w:p>
        </w:tc>
        <w:tc>
          <w:tcPr>
            <w:tcW w:w="705" w:type="dxa"/>
            <w:tcBorders>
              <w:top w:val="nil"/>
              <w:left w:val="nil"/>
              <w:bottom w:val="nil"/>
              <w:right w:val="nil"/>
            </w:tcBorders>
            <w:tcMar>
              <w:top w:w="0" w:type="dxa"/>
              <w:left w:w="0" w:type="dxa"/>
              <w:bottom w:w="0" w:type="dxa"/>
              <w:right w:w="0" w:type="dxa"/>
            </w:tcMar>
            <w:vAlign w:val="bottom"/>
          </w:tcPr>
          <w:p w14:paraId="1110F96F" w14:textId="77777777" w:rsidR="00C56203" w:rsidRDefault="00C56203">
            <w:pPr>
              <w:keepNext/>
            </w:pPr>
          </w:p>
        </w:tc>
        <w:tc>
          <w:tcPr>
            <w:tcW w:w="60" w:type="dxa"/>
            <w:tcBorders>
              <w:top w:val="nil"/>
              <w:left w:val="nil"/>
              <w:bottom w:val="nil"/>
              <w:right w:val="nil"/>
            </w:tcBorders>
            <w:tcMar>
              <w:top w:w="0" w:type="dxa"/>
              <w:left w:w="0" w:type="dxa"/>
              <w:bottom w:w="0" w:type="dxa"/>
              <w:right w:w="0" w:type="dxa"/>
            </w:tcMar>
            <w:vAlign w:val="bottom"/>
          </w:tcPr>
          <w:p w14:paraId="533DE433" w14:textId="77777777" w:rsidR="00C56203" w:rsidRDefault="00C56203">
            <w:pPr>
              <w:keepNext/>
            </w:pPr>
          </w:p>
        </w:tc>
        <w:tc>
          <w:tcPr>
            <w:tcW w:w="765" w:type="dxa"/>
            <w:tcBorders>
              <w:top w:val="nil"/>
              <w:left w:val="nil"/>
              <w:bottom w:val="nil"/>
              <w:right w:val="nil"/>
            </w:tcBorders>
            <w:tcMar>
              <w:top w:w="0" w:type="dxa"/>
              <w:left w:w="0" w:type="dxa"/>
              <w:bottom w:w="0" w:type="dxa"/>
              <w:right w:w="0" w:type="dxa"/>
            </w:tcMar>
            <w:vAlign w:val="bottom"/>
          </w:tcPr>
          <w:p w14:paraId="0868604F" w14:textId="77777777" w:rsidR="00C56203" w:rsidRDefault="00C56203">
            <w:pPr>
              <w:keepNext/>
            </w:pPr>
          </w:p>
        </w:tc>
        <w:tc>
          <w:tcPr>
            <w:tcW w:w="60" w:type="dxa"/>
            <w:tcBorders>
              <w:top w:val="nil"/>
              <w:left w:val="nil"/>
              <w:bottom w:val="nil"/>
              <w:right w:val="nil"/>
            </w:tcBorders>
            <w:tcMar>
              <w:top w:w="0" w:type="dxa"/>
              <w:left w:w="0" w:type="dxa"/>
              <w:bottom w:w="0" w:type="dxa"/>
              <w:right w:w="0" w:type="dxa"/>
            </w:tcMar>
            <w:vAlign w:val="bottom"/>
          </w:tcPr>
          <w:p w14:paraId="274359C4" w14:textId="77777777" w:rsidR="00C56203" w:rsidRDefault="00C56203">
            <w:pPr>
              <w:keepNext/>
            </w:pPr>
          </w:p>
        </w:tc>
        <w:tc>
          <w:tcPr>
            <w:tcW w:w="645" w:type="dxa"/>
            <w:tcBorders>
              <w:top w:val="nil"/>
              <w:left w:val="nil"/>
              <w:bottom w:val="nil"/>
              <w:right w:val="nil"/>
            </w:tcBorders>
            <w:tcMar>
              <w:top w:w="0" w:type="dxa"/>
              <w:left w:w="0" w:type="dxa"/>
              <w:bottom w:w="0" w:type="dxa"/>
              <w:right w:w="0" w:type="dxa"/>
            </w:tcMar>
            <w:vAlign w:val="bottom"/>
          </w:tcPr>
          <w:p w14:paraId="5DD78E57" w14:textId="77777777" w:rsidR="00C56203" w:rsidRDefault="00C56203">
            <w:pPr>
              <w:keepNext/>
            </w:pPr>
          </w:p>
        </w:tc>
        <w:tc>
          <w:tcPr>
            <w:tcW w:w="60" w:type="dxa"/>
            <w:tcBorders>
              <w:top w:val="nil"/>
              <w:left w:val="nil"/>
              <w:bottom w:val="nil"/>
              <w:right w:val="nil"/>
            </w:tcBorders>
            <w:tcMar>
              <w:top w:w="0" w:type="dxa"/>
              <w:left w:w="0" w:type="dxa"/>
              <w:bottom w:w="0" w:type="dxa"/>
              <w:right w:w="0" w:type="dxa"/>
            </w:tcMar>
            <w:vAlign w:val="bottom"/>
          </w:tcPr>
          <w:p w14:paraId="317C8D27" w14:textId="77777777" w:rsidR="00C56203" w:rsidRDefault="00C56203">
            <w:pPr>
              <w:keepNext/>
            </w:pPr>
          </w:p>
        </w:tc>
        <w:tc>
          <w:tcPr>
            <w:tcW w:w="645" w:type="dxa"/>
            <w:tcBorders>
              <w:top w:val="nil"/>
              <w:left w:val="nil"/>
              <w:bottom w:val="nil"/>
              <w:right w:val="nil"/>
            </w:tcBorders>
            <w:tcMar>
              <w:top w:w="0" w:type="dxa"/>
              <w:left w:w="0" w:type="dxa"/>
              <w:bottom w:w="0" w:type="dxa"/>
              <w:right w:w="0" w:type="dxa"/>
            </w:tcMar>
            <w:vAlign w:val="bottom"/>
          </w:tcPr>
          <w:p w14:paraId="123FDA14"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369DDAA0" w14:textId="77777777" w:rsidR="00C56203" w:rsidRDefault="00C56203">
            <w:pPr>
              <w:keepNext/>
            </w:pPr>
          </w:p>
        </w:tc>
        <w:tc>
          <w:tcPr>
            <w:tcW w:w="975" w:type="dxa"/>
            <w:tcBorders>
              <w:top w:val="nil"/>
              <w:left w:val="nil"/>
              <w:bottom w:val="nil"/>
              <w:right w:val="nil"/>
            </w:tcBorders>
            <w:tcMar>
              <w:top w:w="0" w:type="dxa"/>
              <w:left w:w="0" w:type="dxa"/>
              <w:bottom w:w="0" w:type="dxa"/>
              <w:right w:w="0" w:type="dxa"/>
            </w:tcMar>
            <w:vAlign w:val="bottom"/>
          </w:tcPr>
          <w:p w14:paraId="60D91027"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024D94D1" w14:textId="77777777" w:rsidR="00C56203" w:rsidRDefault="00C56203">
            <w:pPr>
              <w:keepNext/>
            </w:pPr>
          </w:p>
        </w:tc>
        <w:tc>
          <w:tcPr>
            <w:tcW w:w="660" w:type="dxa"/>
            <w:tcBorders>
              <w:top w:val="nil"/>
              <w:left w:val="nil"/>
              <w:bottom w:val="nil"/>
              <w:right w:val="nil"/>
            </w:tcBorders>
            <w:tcMar>
              <w:top w:w="0" w:type="dxa"/>
              <w:left w:w="0" w:type="dxa"/>
              <w:bottom w:w="0" w:type="dxa"/>
              <w:right w:w="0" w:type="dxa"/>
            </w:tcMar>
            <w:vAlign w:val="bottom"/>
          </w:tcPr>
          <w:p w14:paraId="7552D7EF"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0632ED02" w14:textId="77777777" w:rsidR="00C56203" w:rsidRDefault="00C56203">
            <w:pPr>
              <w:keepNext/>
            </w:pPr>
          </w:p>
        </w:tc>
        <w:tc>
          <w:tcPr>
            <w:tcW w:w="525" w:type="dxa"/>
            <w:tcBorders>
              <w:top w:val="nil"/>
              <w:left w:val="nil"/>
              <w:bottom w:val="nil"/>
              <w:right w:val="nil"/>
            </w:tcBorders>
            <w:tcMar>
              <w:top w:w="0" w:type="dxa"/>
              <w:left w:w="0" w:type="dxa"/>
              <w:bottom w:w="0" w:type="dxa"/>
              <w:right w:w="0" w:type="dxa"/>
            </w:tcMar>
            <w:vAlign w:val="bottom"/>
          </w:tcPr>
          <w:p w14:paraId="6ABB0F9C" w14:textId="77777777" w:rsidR="00C56203" w:rsidRDefault="00C56203">
            <w:pPr>
              <w:keepNext/>
            </w:pPr>
          </w:p>
        </w:tc>
        <w:tc>
          <w:tcPr>
            <w:tcW w:w="60" w:type="dxa"/>
            <w:tcBorders>
              <w:top w:val="nil"/>
              <w:left w:val="nil"/>
              <w:bottom w:val="nil"/>
              <w:right w:val="nil"/>
            </w:tcBorders>
            <w:tcMar>
              <w:top w:w="0" w:type="dxa"/>
              <w:left w:w="0" w:type="dxa"/>
              <w:bottom w:w="0" w:type="dxa"/>
              <w:right w:w="0" w:type="dxa"/>
            </w:tcMar>
            <w:vAlign w:val="bottom"/>
          </w:tcPr>
          <w:p w14:paraId="2552C21E" w14:textId="77777777" w:rsidR="00C56203" w:rsidRDefault="00C56203">
            <w:pPr>
              <w:keepNext/>
            </w:pPr>
          </w:p>
        </w:tc>
        <w:tc>
          <w:tcPr>
            <w:tcW w:w="495" w:type="dxa"/>
            <w:tcBorders>
              <w:top w:val="nil"/>
              <w:left w:val="nil"/>
              <w:bottom w:val="nil"/>
              <w:right w:val="nil"/>
            </w:tcBorders>
            <w:tcMar>
              <w:top w:w="0" w:type="dxa"/>
              <w:left w:w="0" w:type="dxa"/>
              <w:bottom w:w="0" w:type="dxa"/>
              <w:right w:w="0" w:type="dxa"/>
            </w:tcMar>
            <w:vAlign w:val="bottom"/>
          </w:tcPr>
          <w:p w14:paraId="72EDC8B2"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27393FAA" w14:textId="77777777" w:rsidR="00C56203" w:rsidRDefault="00C56203">
            <w:pPr>
              <w:keepNext/>
            </w:pPr>
          </w:p>
        </w:tc>
        <w:tc>
          <w:tcPr>
            <w:tcW w:w="525" w:type="dxa"/>
            <w:tcBorders>
              <w:top w:val="nil"/>
              <w:left w:val="nil"/>
              <w:bottom w:val="nil"/>
              <w:right w:val="nil"/>
            </w:tcBorders>
            <w:tcMar>
              <w:top w:w="0" w:type="dxa"/>
              <w:left w:w="0" w:type="dxa"/>
              <w:bottom w:w="0" w:type="dxa"/>
              <w:right w:w="0" w:type="dxa"/>
            </w:tcMar>
            <w:vAlign w:val="bottom"/>
          </w:tcPr>
          <w:p w14:paraId="5A4C1EEB"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354B061F" w14:textId="77777777" w:rsidR="00C56203" w:rsidRDefault="00C56203">
            <w:pPr>
              <w:keepNext/>
            </w:pPr>
          </w:p>
        </w:tc>
        <w:tc>
          <w:tcPr>
            <w:tcW w:w="495" w:type="dxa"/>
            <w:tcBorders>
              <w:top w:val="nil"/>
              <w:left w:val="nil"/>
              <w:bottom w:val="nil"/>
              <w:right w:val="nil"/>
            </w:tcBorders>
            <w:tcMar>
              <w:top w:w="0" w:type="dxa"/>
              <w:left w:w="0" w:type="dxa"/>
              <w:bottom w:w="0" w:type="dxa"/>
              <w:right w:w="0" w:type="dxa"/>
            </w:tcMar>
            <w:vAlign w:val="bottom"/>
          </w:tcPr>
          <w:p w14:paraId="1A36AA8E" w14:textId="77777777" w:rsidR="00C56203" w:rsidRDefault="00C56203">
            <w:pPr>
              <w:keepNext/>
            </w:pPr>
          </w:p>
        </w:tc>
      </w:tr>
      <w:tr w:rsidR="00C56203" w14:paraId="6A26BB5F" w14:textId="77777777">
        <w:trPr>
          <w:cantSplit/>
          <w:trHeight w:hRule="exact" w:val="285"/>
          <w:jc w:val="center"/>
        </w:trPr>
        <w:tc>
          <w:tcPr>
            <w:tcW w:w="2235" w:type="dxa"/>
            <w:tcBorders>
              <w:top w:val="nil"/>
              <w:left w:val="nil"/>
              <w:bottom w:val="nil"/>
              <w:right w:val="nil"/>
            </w:tcBorders>
            <w:tcMar>
              <w:top w:w="0" w:type="dxa"/>
              <w:left w:w="0" w:type="dxa"/>
              <w:bottom w:w="0" w:type="dxa"/>
              <w:right w:w="0" w:type="dxa"/>
            </w:tcMar>
            <w:vAlign w:val="bottom"/>
          </w:tcPr>
          <w:p w14:paraId="4B9A9801" w14:textId="77777777" w:rsidR="00C56203" w:rsidRDefault="00C56203">
            <w:pPr>
              <w:keepNext/>
            </w:pPr>
          </w:p>
        </w:tc>
        <w:tc>
          <w:tcPr>
            <w:tcW w:w="60" w:type="dxa"/>
            <w:tcBorders>
              <w:top w:val="nil"/>
              <w:left w:val="nil"/>
              <w:bottom w:val="nil"/>
              <w:right w:val="nil"/>
            </w:tcBorders>
            <w:tcMar>
              <w:top w:w="0" w:type="dxa"/>
              <w:left w:w="0" w:type="dxa"/>
              <w:bottom w:w="0" w:type="dxa"/>
              <w:right w:w="0" w:type="dxa"/>
            </w:tcMar>
            <w:vAlign w:val="bottom"/>
          </w:tcPr>
          <w:p w14:paraId="04C64638" w14:textId="77777777" w:rsidR="00C56203" w:rsidRDefault="00C56203">
            <w:pPr>
              <w:keepNext/>
            </w:pPr>
          </w:p>
        </w:tc>
        <w:tc>
          <w:tcPr>
            <w:tcW w:w="5430" w:type="dxa"/>
            <w:gridSpan w:val="13"/>
            <w:tcBorders>
              <w:top w:val="nil"/>
              <w:left w:val="nil"/>
              <w:bottom w:val="nil"/>
              <w:right w:val="nil"/>
            </w:tcBorders>
            <w:tcMar>
              <w:top w:w="0" w:type="dxa"/>
              <w:left w:w="53" w:type="dxa"/>
              <w:bottom w:w="0" w:type="dxa"/>
              <w:right w:w="53" w:type="dxa"/>
            </w:tcMar>
            <w:vAlign w:val="bottom"/>
          </w:tcPr>
          <w:p w14:paraId="45807C61" w14:textId="77777777" w:rsidR="00C56203" w:rsidRDefault="00CD5102">
            <w:pPr>
              <w:keepNext/>
              <w:spacing w:before="75" w:after="30"/>
              <w:jc w:val="center"/>
            </w:pPr>
            <w:r>
              <w:rPr>
                <w:b/>
                <w:color w:val="000000"/>
                <w:sz w:val="16"/>
              </w:rPr>
              <w:t>Calculation of Organic Revenue for the Three Months Ended</w:t>
            </w:r>
          </w:p>
        </w:tc>
        <w:tc>
          <w:tcPr>
            <w:tcW w:w="75" w:type="dxa"/>
            <w:tcBorders>
              <w:top w:val="nil"/>
              <w:left w:val="nil"/>
              <w:bottom w:val="nil"/>
              <w:right w:val="nil"/>
            </w:tcBorders>
            <w:tcMar>
              <w:top w:w="0" w:type="dxa"/>
              <w:left w:w="0" w:type="dxa"/>
              <w:bottom w:w="0" w:type="dxa"/>
              <w:right w:w="0" w:type="dxa"/>
            </w:tcMar>
            <w:vAlign w:val="bottom"/>
          </w:tcPr>
          <w:p w14:paraId="6D306B41" w14:textId="77777777" w:rsidR="00C56203" w:rsidRDefault="00C56203">
            <w:pPr>
              <w:keepNext/>
            </w:pPr>
          </w:p>
        </w:tc>
        <w:tc>
          <w:tcPr>
            <w:tcW w:w="525" w:type="dxa"/>
            <w:tcBorders>
              <w:top w:val="nil"/>
              <w:left w:val="nil"/>
              <w:bottom w:val="nil"/>
              <w:right w:val="nil"/>
            </w:tcBorders>
            <w:tcMar>
              <w:top w:w="0" w:type="dxa"/>
              <w:left w:w="0" w:type="dxa"/>
              <w:bottom w:w="0" w:type="dxa"/>
              <w:right w:w="0" w:type="dxa"/>
            </w:tcMar>
            <w:vAlign w:val="bottom"/>
          </w:tcPr>
          <w:p w14:paraId="758F8A88" w14:textId="77777777" w:rsidR="00C56203" w:rsidRDefault="00C56203">
            <w:pPr>
              <w:keepNext/>
            </w:pPr>
          </w:p>
        </w:tc>
        <w:tc>
          <w:tcPr>
            <w:tcW w:w="60" w:type="dxa"/>
            <w:tcBorders>
              <w:top w:val="nil"/>
              <w:left w:val="nil"/>
              <w:bottom w:val="nil"/>
              <w:right w:val="nil"/>
            </w:tcBorders>
            <w:tcMar>
              <w:top w:w="0" w:type="dxa"/>
              <w:left w:w="0" w:type="dxa"/>
              <w:bottom w:w="0" w:type="dxa"/>
              <w:right w:w="0" w:type="dxa"/>
            </w:tcMar>
            <w:vAlign w:val="bottom"/>
          </w:tcPr>
          <w:p w14:paraId="1EC26F3B" w14:textId="77777777" w:rsidR="00C56203" w:rsidRDefault="00C56203">
            <w:pPr>
              <w:keepNext/>
            </w:pPr>
          </w:p>
        </w:tc>
        <w:tc>
          <w:tcPr>
            <w:tcW w:w="495" w:type="dxa"/>
            <w:tcBorders>
              <w:top w:val="nil"/>
              <w:left w:val="nil"/>
              <w:bottom w:val="nil"/>
              <w:right w:val="nil"/>
            </w:tcBorders>
            <w:tcMar>
              <w:top w:w="0" w:type="dxa"/>
              <w:left w:w="0" w:type="dxa"/>
              <w:bottom w:w="0" w:type="dxa"/>
              <w:right w:w="0" w:type="dxa"/>
            </w:tcMar>
            <w:vAlign w:val="bottom"/>
          </w:tcPr>
          <w:p w14:paraId="2431EC99"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2A4E6BF8" w14:textId="77777777" w:rsidR="00C56203" w:rsidRDefault="00C56203">
            <w:pPr>
              <w:keepNext/>
            </w:pPr>
          </w:p>
        </w:tc>
        <w:tc>
          <w:tcPr>
            <w:tcW w:w="525" w:type="dxa"/>
            <w:tcBorders>
              <w:top w:val="nil"/>
              <w:left w:val="nil"/>
              <w:bottom w:val="nil"/>
              <w:right w:val="nil"/>
            </w:tcBorders>
            <w:tcMar>
              <w:top w:w="0" w:type="dxa"/>
              <w:left w:w="0" w:type="dxa"/>
              <w:bottom w:w="0" w:type="dxa"/>
              <w:right w:w="0" w:type="dxa"/>
            </w:tcMar>
            <w:vAlign w:val="bottom"/>
          </w:tcPr>
          <w:p w14:paraId="1D90E063"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59FD00E4" w14:textId="77777777" w:rsidR="00C56203" w:rsidRDefault="00C56203">
            <w:pPr>
              <w:keepNext/>
            </w:pPr>
          </w:p>
        </w:tc>
        <w:tc>
          <w:tcPr>
            <w:tcW w:w="495" w:type="dxa"/>
            <w:tcBorders>
              <w:top w:val="nil"/>
              <w:left w:val="nil"/>
              <w:bottom w:val="nil"/>
              <w:right w:val="nil"/>
            </w:tcBorders>
            <w:tcMar>
              <w:top w:w="0" w:type="dxa"/>
              <w:left w:w="0" w:type="dxa"/>
              <w:bottom w:w="0" w:type="dxa"/>
              <w:right w:w="0" w:type="dxa"/>
            </w:tcMar>
            <w:vAlign w:val="bottom"/>
          </w:tcPr>
          <w:p w14:paraId="5A181D3E" w14:textId="77777777" w:rsidR="00C56203" w:rsidRDefault="00C56203">
            <w:pPr>
              <w:keepNext/>
            </w:pPr>
          </w:p>
        </w:tc>
      </w:tr>
      <w:tr w:rsidR="00C56203" w14:paraId="741CA99E" w14:textId="77777777">
        <w:trPr>
          <w:cantSplit/>
          <w:trHeight w:hRule="exact" w:val="420"/>
          <w:jc w:val="center"/>
        </w:trPr>
        <w:tc>
          <w:tcPr>
            <w:tcW w:w="2235" w:type="dxa"/>
            <w:tcBorders>
              <w:top w:val="nil"/>
              <w:left w:val="nil"/>
              <w:bottom w:val="nil"/>
              <w:right w:val="nil"/>
            </w:tcBorders>
            <w:tcMar>
              <w:top w:w="0" w:type="dxa"/>
              <w:left w:w="53" w:type="dxa"/>
              <w:bottom w:w="0" w:type="dxa"/>
              <w:right w:w="53" w:type="dxa"/>
            </w:tcMar>
            <w:vAlign w:val="bottom"/>
          </w:tcPr>
          <w:p w14:paraId="6AEF2245" w14:textId="77777777" w:rsidR="00C56203" w:rsidRDefault="00CD5102">
            <w:pPr>
              <w:keepNext/>
              <w:spacing w:before="55" w:after="30"/>
            </w:pPr>
            <w:r>
              <w:rPr>
                <w:b/>
                <w:color w:val="000000"/>
                <w:sz w:val="16"/>
              </w:rPr>
              <w:t> </w:t>
            </w:r>
          </w:p>
        </w:tc>
        <w:tc>
          <w:tcPr>
            <w:tcW w:w="60" w:type="dxa"/>
            <w:tcBorders>
              <w:top w:val="nil"/>
              <w:left w:val="nil"/>
              <w:bottom w:val="nil"/>
              <w:right w:val="nil"/>
            </w:tcBorders>
            <w:tcMar>
              <w:top w:w="0" w:type="dxa"/>
              <w:left w:w="0" w:type="dxa"/>
              <w:bottom w:w="0" w:type="dxa"/>
              <w:right w:w="0" w:type="dxa"/>
            </w:tcMar>
            <w:vAlign w:val="bottom"/>
          </w:tcPr>
          <w:p w14:paraId="7302AD72" w14:textId="77777777" w:rsidR="00C56203" w:rsidRDefault="00C56203">
            <w:pPr>
              <w:keepNext/>
            </w:pPr>
          </w:p>
        </w:tc>
        <w:tc>
          <w:tcPr>
            <w:tcW w:w="2940" w:type="dxa"/>
            <w:gridSpan w:val="7"/>
            <w:tcBorders>
              <w:top w:val="single" w:sz="8" w:space="0" w:color="000000"/>
              <w:left w:val="nil"/>
              <w:bottom w:val="nil"/>
              <w:right w:val="nil"/>
            </w:tcBorders>
            <w:tcMar>
              <w:top w:w="0" w:type="dxa"/>
              <w:left w:w="53" w:type="dxa"/>
              <w:bottom w:w="0" w:type="dxa"/>
              <w:right w:w="53" w:type="dxa"/>
            </w:tcMar>
            <w:vAlign w:val="bottom"/>
          </w:tcPr>
          <w:p w14:paraId="48C4DC55" w14:textId="77777777" w:rsidR="00C56203" w:rsidRDefault="00CD5102">
            <w:pPr>
              <w:keepNext/>
              <w:spacing w:before="55" w:after="30"/>
              <w:jc w:val="center"/>
            </w:pPr>
            <w:r>
              <w:rPr>
                <w:b/>
                <w:color w:val="000000"/>
                <w:sz w:val="16"/>
              </w:rPr>
              <w:t>March 31, 2023</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434594B3" w14:textId="77777777" w:rsidR="00C56203" w:rsidRDefault="00C56203">
            <w:pPr>
              <w:keepNext/>
            </w:pPr>
          </w:p>
        </w:tc>
        <w:tc>
          <w:tcPr>
            <w:tcW w:w="2430" w:type="dxa"/>
            <w:gridSpan w:val="5"/>
            <w:tcBorders>
              <w:top w:val="single" w:sz="8" w:space="0" w:color="000000"/>
              <w:left w:val="nil"/>
              <w:bottom w:val="single" w:sz="8" w:space="0" w:color="000000"/>
              <w:right w:val="nil"/>
            </w:tcBorders>
            <w:tcMar>
              <w:top w:w="0" w:type="dxa"/>
              <w:left w:w="53" w:type="dxa"/>
              <w:bottom w:w="0" w:type="dxa"/>
              <w:right w:w="53" w:type="dxa"/>
            </w:tcMar>
            <w:vAlign w:val="bottom"/>
          </w:tcPr>
          <w:p w14:paraId="5F667F7A" w14:textId="77777777" w:rsidR="00C56203" w:rsidRDefault="00CD5102">
            <w:pPr>
              <w:keepNext/>
              <w:spacing w:before="55" w:after="30"/>
              <w:jc w:val="center"/>
            </w:pPr>
            <w:r>
              <w:rPr>
                <w:b/>
                <w:color w:val="000000"/>
                <w:sz w:val="16"/>
              </w:rPr>
              <w:t>March 31, 2022</w:t>
            </w:r>
          </w:p>
        </w:tc>
        <w:tc>
          <w:tcPr>
            <w:tcW w:w="75" w:type="dxa"/>
            <w:tcBorders>
              <w:top w:val="nil"/>
              <w:left w:val="nil"/>
              <w:bottom w:val="nil"/>
              <w:right w:val="nil"/>
            </w:tcBorders>
            <w:tcMar>
              <w:top w:w="0" w:type="dxa"/>
              <w:left w:w="0" w:type="dxa"/>
              <w:bottom w:w="0" w:type="dxa"/>
              <w:right w:w="0" w:type="dxa"/>
            </w:tcMar>
            <w:vAlign w:val="bottom"/>
          </w:tcPr>
          <w:p w14:paraId="7A354D19" w14:textId="77777777" w:rsidR="00C56203" w:rsidRDefault="00C56203">
            <w:pPr>
              <w:keepNext/>
            </w:pPr>
          </w:p>
        </w:tc>
        <w:tc>
          <w:tcPr>
            <w:tcW w:w="1080" w:type="dxa"/>
            <w:gridSpan w:val="3"/>
            <w:vMerge w:val="restart"/>
            <w:tcBorders>
              <w:top w:val="nil"/>
              <w:left w:val="nil"/>
              <w:bottom w:val="nil"/>
              <w:right w:val="nil"/>
            </w:tcBorders>
            <w:tcMar>
              <w:top w:w="0" w:type="dxa"/>
              <w:left w:w="53" w:type="dxa"/>
              <w:bottom w:w="0" w:type="dxa"/>
              <w:right w:w="53" w:type="dxa"/>
            </w:tcMar>
            <w:vAlign w:val="bottom"/>
          </w:tcPr>
          <w:p w14:paraId="69DBB9DB" w14:textId="77777777" w:rsidR="00C56203" w:rsidRDefault="00CD5102">
            <w:pPr>
              <w:keepNext/>
              <w:spacing w:before="55"/>
              <w:jc w:val="center"/>
            </w:pPr>
            <w:r>
              <w:rPr>
                <w:b/>
                <w:color w:val="000000"/>
                <w:sz w:val="12"/>
              </w:rPr>
              <w:t>Change in</w:t>
            </w:r>
          </w:p>
          <w:p w14:paraId="2D75F77A" w14:textId="77777777" w:rsidR="00C56203" w:rsidRDefault="00CD5102">
            <w:pPr>
              <w:spacing w:after="30"/>
              <w:jc w:val="center"/>
            </w:pPr>
            <w:r>
              <w:rPr>
                <w:b/>
                <w:color w:val="000000"/>
                <w:sz w:val="12"/>
              </w:rPr>
              <w:t>GAAP Revenues</w:t>
            </w:r>
          </w:p>
        </w:tc>
        <w:tc>
          <w:tcPr>
            <w:tcW w:w="75" w:type="dxa"/>
            <w:tcBorders>
              <w:top w:val="nil"/>
              <w:left w:val="nil"/>
              <w:bottom w:val="nil"/>
              <w:right w:val="nil"/>
            </w:tcBorders>
            <w:tcMar>
              <w:top w:w="0" w:type="dxa"/>
              <w:left w:w="0" w:type="dxa"/>
              <w:bottom w:w="0" w:type="dxa"/>
              <w:right w:w="0" w:type="dxa"/>
            </w:tcMar>
            <w:vAlign w:val="bottom"/>
          </w:tcPr>
          <w:p w14:paraId="21A3D2E5" w14:textId="77777777" w:rsidR="00C56203" w:rsidRDefault="00C56203">
            <w:pPr>
              <w:keepNext/>
            </w:pPr>
          </w:p>
        </w:tc>
        <w:tc>
          <w:tcPr>
            <w:tcW w:w="1095" w:type="dxa"/>
            <w:gridSpan w:val="3"/>
            <w:vMerge w:val="restart"/>
            <w:tcBorders>
              <w:top w:val="nil"/>
              <w:left w:val="nil"/>
              <w:bottom w:val="nil"/>
              <w:right w:val="nil"/>
            </w:tcBorders>
            <w:tcMar>
              <w:top w:w="0" w:type="dxa"/>
              <w:left w:w="53" w:type="dxa"/>
              <w:bottom w:w="0" w:type="dxa"/>
              <w:right w:w="53" w:type="dxa"/>
            </w:tcMar>
            <w:vAlign w:val="bottom"/>
          </w:tcPr>
          <w:p w14:paraId="24DE7149" w14:textId="77777777" w:rsidR="00C56203" w:rsidRDefault="00CD5102">
            <w:pPr>
              <w:keepNext/>
              <w:spacing w:before="55"/>
              <w:jc w:val="center"/>
            </w:pPr>
            <w:r>
              <w:rPr>
                <w:b/>
                <w:color w:val="000000"/>
                <w:sz w:val="12"/>
              </w:rPr>
              <w:t>Change in</w:t>
            </w:r>
          </w:p>
          <w:p w14:paraId="04ACCC0C" w14:textId="77777777" w:rsidR="00C56203" w:rsidRDefault="00CD5102">
            <w:pPr>
              <w:spacing w:after="30"/>
              <w:jc w:val="center"/>
            </w:pPr>
            <w:r>
              <w:rPr>
                <w:b/>
                <w:color w:val="000000"/>
                <w:sz w:val="12"/>
              </w:rPr>
              <w:t>Organic Revenue</w:t>
            </w:r>
          </w:p>
        </w:tc>
      </w:tr>
      <w:tr w:rsidR="00C56203" w14:paraId="4E6F0E16" w14:textId="77777777">
        <w:trPr>
          <w:cantSplit/>
          <w:trHeight w:hRule="exact" w:val="480"/>
          <w:jc w:val="center"/>
        </w:trPr>
        <w:tc>
          <w:tcPr>
            <w:tcW w:w="2235" w:type="dxa"/>
            <w:tcBorders>
              <w:top w:val="nil"/>
              <w:left w:val="nil"/>
              <w:bottom w:val="nil"/>
              <w:right w:val="nil"/>
            </w:tcBorders>
            <w:tcMar>
              <w:top w:w="0" w:type="dxa"/>
              <w:left w:w="0" w:type="dxa"/>
              <w:bottom w:w="0" w:type="dxa"/>
              <w:right w:w="0" w:type="dxa"/>
            </w:tcMar>
            <w:vAlign w:val="bottom"/>
          </w:tcPr>
          <w:p w14:paraId="0AA41A9F" w14:textId="77777777" w:rsidR="00C56203" w:rsidRDefault="00C56203">
            <w:pPr>
              <w:keepNext/>
            </w:pPr>
          </w:p>
        </w:tc>
        <w:tc>
          <w:tcPr>
            <w:tcW w:w="60" w:type="dxa"/>
            <w:tcBorders>
              <w:top w:val="nil"/>
              <w:left w:val="nil"/>
              <w:bottom w:val="nil"/>
              <w:right w:val="nil"/>
            </w:tcBorders>
            <w:tcMar>
              <w:top w:w="0" w:type="dxa"/>
              <w:left w:w="0" w:type="dxa"/>
              <w:bottom w:w="0" w:type="dxa"/>
              <w:right w:w="0" w:type="dxa"/>
            </w:tcMar>
            <w:vAlign w:val="bottom"/>
          </w:tcPr>
          <w:p w14:paraId="549E01EE" w14:textId="77777777" w:rsidR="00C56203" w:rsidRDefault="00C56203">
            <w:pPr>
              <w:keepNext/>
            </w:pPr>
          </w:p>
        </w:tc>
        <w:tc>
          <w:tcPr>
            <w:tcW w:w="645" w:type="dxa"/>
            <w:vMerge w:val="restart"/>
            <w:tcBorders>
              <w:top w:val="single" w:sz="8" w:space="0" w:color="000000"/>
              <w:left w:val="nil"/>
              <w:bottom w:val="nil"/>
              <w:right w:val="nil"/>
            </w:tcBorders>
            <w:tcMar>
              <w:top w:w="0" w:type="dxa"/>
              <w:left w:w="53" w:type="dxa"/>
              <w:bottom w:w="0" w:type="dxa"/>
              <w:right w:w="53" w:type="dxa"/>
            </w:tcMar>
            <w:vAlign w:val="bottom"/>
          </w:tcPr>
          <w:p w14:paraId="4CBCDBD4" w14:textId="77777777" w:rsidR="00C56203" w:rsidRDefault="00CD5102">
            <w:pPr>
              <w:keepNext/>
              <w:spacing w:before="55"/>
              <w:jc w:val="center"/>
            </w:pPr>
            <w:r>
              <w:rPr>
                <w:b/>
                <w:color w:val="000000"/>
                <w:sz w:val="12"/>
              </w:rPr>
              <w:t>Revenue</w:t>
            </w:r>
          </w:p>
          <w:p w14:paraId="044A4217" w14:textId="77777777" w:rsidR="00C56203" w:rsidRDefault="00CD5102">
            <w:pPr>
              <w:jc w:val="center"/>
            </w:pPr>
            <w:r>
              <w:rPr>
                <w:b/>
                <w:color w:val="000000"/>
                <w:sz w:val="12"/>
              </w:rPr>
              <w:t>as</w:t>
            </w:r>
          </w:p>
          <w:p w14:paraId="2FD61950" w14:textId="77777777" w:rsidR="00C56203" w:rsidRDefault="00CD5102">
            <w:pPr>
              <w:spacing w:after="30"/>
              <w:jc w:val="center"/>
            </w:pPr>
            <w:r>
              <w:rPr>
                <w:b/>
                <w:color w:val="000000"/>
                <w:sz w:val="12"/>
              </w:rPr>
              <w:t>Reported</w:t>
            </w:r>
          </w:p>
        </w:tc>
        <w:tc>
          <w:tcPr>
            <w:tcW w:w="60" w:type="dxa"/>
            <w:vMerge w:val="restart"/>
            <w:tcBorders>
              <w:top w:val="single" w:sz="8" w:space="0" w:color="000000"/>
              <w:left w:val="nil"/>
              <w:bottom w:val="nil"/>
              <w:right w:val="nil"/>
            </w:tcBorders>
            <w:tcMar>
              <w:top w:w="0" w:type="dxa"/>
              <w:left w:w="0" w:type="dxa"/>
              <w:bottom w:w="0" w:type="dxa"/>
              <w:right w:w="0" w:type="dxa"/>
            </w:tcMar>
            <w:vAlign w:val="bottom"/>
          </w:tcPr>
          <w:p w14:paraId="4395EB4D" w14:textId="77777777" w:rsidR="00C56203" w:rsidRDefault="00C56203">
            <w:pPr>
              <w:keepNext/>
            </w:pPr>
          </w:p>
        </w:tc>
        <w:tc>
          <w:tcPr>
            <w:tcW w:w="705" w:type="dxa"/>
            <w:vMerge w:val="restart"/>
            <w:tcBorders>
              <w:top w:val="single" w:sz="8" w:space="0" w:color="000000"/>
              <w:left w:val="nil"/>
              <w:bottom w:val="nil"/>
              <w:right w:val="nil"/>
            </w:tcBorders>
            <w:tcMar>
              <w:top w:w="0" w:type="dxa"/>
              <w:left w:w="53" w:type="dxa"/>
              <w:bottom w:w="0" w:type="dxa"/>
              <w:right w:w="53" w:type="dxa"/>
            </w:tcMar>
            <w:vAlign w:val="bottom"/>
          </w:tcPr>
          <w:p w14:paraId="6970CF9F" w14:textId="77777777" w:rsidR="00C56203" w:rsidRDefault="00CD5102">
            <w:pPr>
              <w:keepNext/>
              <w:spacing w:before="55" w:after="30"/>
              <w:jc w:val="center"/>
              <w:rPr>
                <w:b/>
                <w:sz w:val="12"/>
              </w:rPr>
            </w:pPr>
            <w:r>
              <w:rPr>
                <w:b/>
                <w:sz w:val="12"/>
              </w:rPr>
              <w:t xml:space="preserve">Changes in Exchange Rates </w:t>
            </w:r>
            <w:r>
              <w:rPr>
                <w:b/>
                <w:sz w:val="12"/>
                <w:vertAlign w:val="superscript"/>
              </w:rPr>
              <w:t>(a)</w:t>
            </w:r>
          </w:p>
        </w:tc>
        <w:tc>
          <w:tcPr>
            <w:tcW w:w="60" w:type="dxa"/>
            <w:vMerge w:val="restart"/>
            <w:tcBorders>
              <w:top w:val="single" w:sz="8" w:space="0" w:color="000000"/>
              <w:left w:val="nil"/>
              <w:bottom w:val="nil"/>
              <w:right w:val="nil"/>
            </w:tcBorders>
            <w:tcMar>
              <w:top w:w="0" w:type="dxa"/>
              <w:left w:w="0" w:type="dxa"/>
              <w:bottom w:w="0" w:type="dxa"/>
              <w:right w:w="0" w:type="dxa"/>
            </w:tcMar>
            <w:vAlign w:val="bottom"/>
          </w:tcPr>
          <w:p w14:paraId="27DA011F" w14:textId="77777777" w:rsidR="00C56203" w:rsidRDefault="00C56203">
            <w:pPr>
              <w:keepNext/>
            </w:pPr>
          </w:p>
        </w:tc>
        <w:tc>
          <w:tcPr>
            <w:tcW w:w="765" w:type="dxa"/>
            <w:vMerge w:val="restart"/>
            <w:tcBorders>
              <w:top w:val="single" w:sz="8" w:space="0" w:color="000000"/>
              <w:left w:val="nil"/>
              <w:bottom w:val="nil"/>
              <w:right w:val="nil"/>
            </w:tcBorders>
            <w:tcMar>
              <w:top w:w="0" w:type="dxa"/>
              <w:left w:w="53" w:type="dxa"/>
              <w:bottom w:w="0" w:type="dxa"/>
              <w:right w:w="53" w:type="dxa"/>
            </w:tcMar>
            <w:vAlign w:val="bottom"/>
          </w:tcPr>
          <w:p w14:paraId="7169CD7D" w14:textId="77777777" w:rsidR="00C56203" w:rsidRDefault="00CD5102">
            <w:pPr>
              <w:keepNext/>
              <w:spacing w:before="55" w:after="30"/>
              <w:jc w:val="center"/>
            </w:pPr>
            <w:r>
              <w:rPr>
                <w:b/>
                <w:color w:val="000000"/>
                <w:sz w:val="12"/>
              </w:rPr>
              <w:t>Acquisitions</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02FD1C57" w14:textId="77777777" w:rsidR="00C56203" w:rsidRDefault="00C56203">
            <w:pPr>
              <w:keepNext/>
            </w:pPr>
          </w:p>
        </w:tc>
        <w:tc>
          <w:tcPr>
            <w:tcW w:w="645" w:type="dxa"/>
            <w:vMerge w:val="restart"/>
            <w:tcBorders>
              <w:top w:val="single" w:sz="8" w:space="0" w:color="000000"/>
              <w:left w:val="nil"/>
              <w:bottom w:val="nil"/>
              <w:right w:val="nil"/>
            </w:tcBorders>
            <w:tcMar>
              <w:top w:w="0" w:type="dxa"/>
              <w:left w:w="53" w:type="dxa"/>
              <w:bottom w:w="0" w:type="dxa"/>
              <w:right w:w="53" w:type="dxa"/>
            </w:tcMar>
            <w:vAlign w:val="bottom"/>
          </w:tcPr>
          <w:p w14:paraId="4334E6AF" w14:textId="77777777" w:rsidR="00C56203" w:rsidRDefault="00CD5102">
            <w:pPr>
              <w:keepNext/>
              <w:spacing w:before="55"/>
              <w:jc w:val="center"/>
              <w:rPr>
                <w:b/>
                <w:sz w:val="12"/>
              </w:rPr>
            </w:pPr>
            <w:r>
              <w:rPr>
                <w:b/>
                <w:sz w:val="12"/>
              </w:rPr>
              <w:t>Organic Revenue</w:t>
            </w:r>
          </w:p>
          <w:p w14:paraId="5F82A071" w14:textId="77777777" w:rsidR="00C56203" w:rsidRDefault="00CD5102">
            <w:pPr>
              <w:spacing w:after="30"/>
              <w:jc w:val="center"/>
              <w:rPr>
                <w:b/>
                <w:sz w:val="12"/>
              </w:rPr>
            </w:pPr>
            <w:r>
              <w:rPr>
                <w:b/>
                <w:sz w:val="12"/>
              </w:rPr>
              <w:t>(Non-GAAP)</w:t>
            </w:r>
            <w:r>
              <w:rPr>
                <w:b/>
                <w:sz w:val="12"/>
                <w:vertAlign w:val="superscript"/>
              </w:rPr>
              <w:t xml:space="preserve"> (b)</w:t>
            </w:r>
          </w:p>
        </w:tc>
        <w:tc>
          <w:tcPr>
            <w:tcW w:w="60" w:type="dxa"/>
            <w:vMerge w:val="restart"/>
            <w:tcBorders>
              <w:top w:val="nil"/>
              <w:left w:val="nil"/>
              <w:bottom w:val="nil"/>
              <w:right w:val="nil"/>
            </w:tcBorders>
            <w:tcMar>
              <w:top w:w="0" w:type="dxa"/>
              <w:left w:w="0" w:type="dxa"/>
              <w:bottom w:w="0" w:type="dxa"/>
              <w:right w:w="0" w:type="dxa"/>
            </w:tcMar>
            <w:vAlign w:val="bottom"/>
          </w:tcPr>
          <w:p w14:paraId="3151E9DD" w14:textId="77777777" w:rsidR="00C56203" w:rsidRDefault="00C56203">
            <w:pPr>
              <w:keepNext/>
            </w:pPr>
          </w:p>
        </w:tc>
        <w:tc>
          <w:tcPr>
            <w:tcW w:w="645" w:type="dxa"/>
            <w:vMerge w:val="restart"/>
            <w:tcBorders>
              <w:top w:val="nil"/>
              <w:left w:val="nil"/>
              <w:bottom w:val="nil"/>
              <w:right w:val="nil"/>
            </w:tcBorders>
            <w:tcMar>
              <w:top w:w="0" w:type="dxa"/>
              <w:left w:w="53" w:type="dxa"/>
              <w:bottom w:w="0" w:type="dxa"/>
              <w:right w:w="53" w:type="dxa"/>
            </w:tcMar>
            <w:vAlign w:val="bottom"/>
          </w:tcPr>
          <w:p w14:paraId="2E85A2D2" w14:textId="77777777" w:rsidR="00C56203" w:rsidRDefault="00CD5102">
            <w:pPr>
              <w:keepNext/>
              <w:spacing w:before="55"/>
              <w:jc w:val="center"/>
            </w:pPr>
            <w:r>
              <w:rPr>
                <w:b/>
                <w:color w:val="000000"/>
                <w:sz w:val="12"/>
              </w:rPr>
              <w:t>Revenue</w:t>
            </w:r>
          </w:p>
          <w:p w14:paraId="57C41C78" w14:textId="77777777" w:rsidR="00C56203" w:rsidRDefault="00CD5102">
            <w:pPr>
              <w:jc w:val="center"/>
            </w:pPr>
            <w:r>
              <w:rPr>
                <w:b/>
                <w:color w:val="000000"/>
                <w:sz w:val="12"/>
              </w:rPr>
              <w:t>as</w:t>
            </w:r>
          </w:p>
          <w:p w14:paraId="1984FAB1" w14:textId="77777777" w:rsidR="00C56203" w:rsidRDefault="00CD5102">
            <w:pPr>
              <w:spacing w:after="30"/>
              <w:jc w:val="center"/>
            </w:pPr>
            <w:r>
              <w:rPr>
                <w:b/>
                <w:color w:val="000000"/>
                <w:sz w:val="12"/>
              </w:rPr>
              <w:t>Reported</w:t>
            </w:r>
          </w:p>
        </w:tc>
        <w:tc>
          <w:tcPr>
            <w:tcW w:w="75" w:type="dxa"/>
            <w:vMerge w:val="restart"/>
            <w:tcBorders>
              <w:top w:val="nil"/>
              <w:left w:val="nil"/>
              <w:bottom w:val="nil"/>
              <w:right w:val="nil"/>
            </w:tcBorders>
            <w:tcMar>
              <w:top w:w="0" w:type="dxa"/>
              <w:left w:w="0" w:type="dxa"/>
              <w:bottom w:w="0" w:type="dxa"/>
              <w:right w:w="0" w:type="dxa"/>
            </w:tcMar>
            <w:vAlign w:val="bottom"/>
          </w:tcPr>
          <w:p w14:paraId="1D921CA3" w14:textId="77777777" w:rsidR="00C56203" w:rsidRDefault="00C56203">
            <w:pPr>
              <w:keepNext/>
            </w:pPr>
          </w:p>
        </w:tc>
        <w:tc>
          <w:tcPr>
            <w:tcW w:w="975" w:type="dxa"/>
            <w:vMerge w:val="restart"/>
            <w:tcBorders>
              <w:top w:val="nil"/>
              <w:left w:val="nil"/>
              <w:bottom w:val="nil"/>
              <w:right w:val="nil"/>
            </w:tcBorders>
            <w:tcMar>
              <w:top w:w="0" w:type="dxa"/>
              <w:left w:w="53" w:type="dxa"/>
              <w:bottom w:w="0" w:type="dxa"/>
              <w:right w:w="53" w:type="dxa"/>
            </w:tcMar>
            <w:vAlign w:val="bottom"/>
          </w:tcPr>
          <w:p w14:paraId="096165DF" w14:textId="77777777" w:rsidR="00C56203" w:rsidRDefault="00CD5102">
            <w:pPr>
              <w:keepNext/>
              <w:spacing w:before="55"/>
              <w:jc w:val="center"/>
            </w:pPr>
            <w:r>
              <w:rPr>
                <w:b/>
                <w:color w:val="000000"/>
                <w:sz w:val="12"/>
              </w:rPr>
              <w:t xml:space="preserve">Divestitures </w:t>
            </w:r>
          </w:p>
          <w:p w14:paraId="788DC884" w14:textId="77777777" w:rsidR="00C56203" w:rsidRDefault="00CD5102">
            <w:pPr>
              <w:spacing w:after="30"/>
              <w:jc w:val="center"/>
            </w:pPr>
            <w:r>
              <w:rPr>
                <w:b/>
                <w:color w:val="000000"/>
                <w:sz w:val="12"/>
              </w:rPr>
              <w:t>and Discontinuations</w:t>
            </w:r>
          </w:p>
        </w:tc>
        <w:tc>
          <w:tcPr>
            <w:tcW w:w="75" w:type="dxa"/>
            <w:vMerge w:val="restart"/>
            <w:tcBorders>
              <w:top w:val="nil"/>
              <w:left w:val="nil"/>
              <w:bottom w:val="nil"/>
              <w:right w:val="nil"/>
            </w:tcBorders>
            <w:tcMar>
              <w:top w:w="0" w:type="dxa"/>
              <w:left w:w="0" w:type="dxa"/>
              <w:bottom w:w="0" w:type="dxa"/>
              <w:right w:w="0" w:type="dxa"/>
            </w:tcMar>
            <w:vAlign w:val="bottom"/>
          </w:tcPr>
          <w:p w14:paraId="72526C1B" w14:textId="77777777" w:rsidR="00C56203" w:rsidRDefault="00C56203">
            <w:pPr>
              <w:keepNext/>
            </w:pPr>
          </w:p>
        </w:tc>
        <w:tc>
          <w:tcPr>
            <w:tcW w:w="660" w:type="dxa"/>
            <w:vMerge w:val="restart"/>
            <w:tcBorders>
              <w:top w:val="nil"/>
              <w:left w:val="nil"/>
              <w:bottom w:val="nil"/>
              <w:right w:val="nil"/>
            </w:tcBorders>
            <w:tcMar>
              <w:top w:w="0" w:type="dxa"/>
              <w:left w:w="53" w:type="dxa"/>
              <w:bottom w:w="0" w:type="dxa"/>
              <w:right w:w="53" w:type="dxa"/>
            </w:tcMar>
            <w:vAlign w:val="bottom"/>
          </w:tcPr>
          <w:p w14:paraId="5F0A4743" w14:textId="77777777" w:rsidR="00C56203" w:rsidRDefault="00CD5102">
            <w:pPr>
              <w:keepNext/>
              <w:spacing w:before="55" w:after="30"/>
              <w:jc w:val="center"/>
              <w:rPr>
                <w:b/>
                <w:sz w:val="12"/>
              </w:rPr>
            </w:pPr>
            <w:r>
              <w:rPr>
                <w:b/>
                <w:sz w:val="12"/>
              </w:rPr>
              <w:t>Organic Revenue (Non-GAAP)</w:t>
            </w:r>
            <w:r>
              <w:rPr>
                <w:b/>
                <w:sz w:val="12"/>
                <w:vertAlign w:val="superscript"/>
              </w:rPr>
              <w:t xml:space="preserve"> (b)</w:t>
            </w:r>
          </w:p>
        </w:tc>
        <w:tc>
          <w:tcPr>
            <w:tcW w:w="75" w:type="dxa"/>
            <w:vMerge w:val="restart"/>
            <w:tcBorders>
              <w:top w:val="nil"/>
              <w:left w:val="nil"/>
              <w:bottom w:val="nil"/>
              <w:right w:val="nil"/>
            </w:tcBorders>
            <w:tcMar>
              <w:top w:w="0" w:type="dxa"/>
              <w:left w:w="0" w:type="dxa"/>
              <w:bottom w:w="0" w:type="dxa"/>
              <w:right w:w="0" w:type="dxa"/>
            </w:tcMar>
            <w:vAlign w:val="bottom"/>
          </w:tcPr>
          <w:p w14:paraId="285CAE22" w14:textId="77777777" w:rsidR="00C56203" w:rsidRDefault="00C56203">
            <w:pPr>
              <w:keepNext/>
            </w:pPr>
          </w:p>
        </w:tc>
        <w:tc>
          <w:tcPr>
            <w:tcW w:w="1080" w:type="dxa"/>
            <w:gridSpan w:val="3"/>
            <w:vMerge/>
            <w:tcBorders>
              <w:top w:val="nil"/>
              <w:left w:val="nil"/>
              <w:bottom w:val="single" w:sz="8" w:space="0" w:color="000000"/>
              <w:right w:val="nil"/>
            </w:tcBorders>
          </w:tcPr>
          <w:p w14:paraId="06910B32"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05674387" w14:textId="77777777" w:rsidR="00C56203" w:rsidRDefault="00C56203">
            <w:pPr>
              <w:keepNext/>
            </w:pPr>
          </w:p>
        </w:tc>
        <w:tc>
          <w:tcPr>
            <w:tcW w:w="1095" w:type="dxa"/>
            <w:gridSpan w:val="3"/>
            <w:vMerge/>
            <w:tcBorders>
              <w:top w:val="nil"/>
              <w:left w:val="nil"/>
              <w:bottom w:val="single" w:sz="8" w:space="0" w:color="000000"/>
              <w:right w:val="nil"/>
            </w:tcBorders>
          </w:tcPr>
          <w:p w14:paraId="659634A8" w14:textId="77777777" w:rsidR="00C56203" w:rsidRDefault="00C56203">
            <w:pPr>
              <w:keepNext/>
            </w:pPr>
          </w:p>
        </w:tc>
      </w:tr>
      <w:tr w:rsidR="00C56203" w14:paraId="22B972FD" w14:textId="77777777">
        <w:trPr>
          <w:cantSplit/>
          <w:trHeight w:hRule="exact" w:val="255"/>
          <w:jc w:val="center"/>
        </w:trPr>
        <w:tc>
          <w:tcPr>
            <w:tcW w:w="2235" w:type="dxa"/>
            <w:tcBorders>
              <w:top w:val="nil"/>
              <w:left w:val="nil"/>
              <w:bottom w:val="single" w:sz="8" w:space="0" w:color="000000"/>
              <w:right w:val="nil"/>
            </w:tcBorders>
            <w:tcMar>
              <w:top w:w="0" w:type="dxa"/>
              <w:left w:w="53" w:type="dxa"/>
              <w:bottom w:w="0" w:type="dxa"/>
              <w:right w:w="53" w:type="dxa"/>
            </w:tcMar>
            <w:vAlign w:val="bottom"/>
          </w:tcPr>
          <w:p w14:paraId="157C41E7" w14:textId="77777777" w:rsidR="00C56203" w:rsidRDefault="00CD5102">
            <w:pPr>
              <w:keepNext/>
              <w:spacing w:before="55" w:after="30"/>
            </w:pPr>
            <w:r>
              <w:rPr>
                <w:i/>
                <w:color w:val="000000"/>
                <w:sz w:val="14"/>
              </w:rPr>
              <w:t>(in millions)</w:t>
            </w:r>
          </w:p>
        </w:tc>
        <w:tc>
          <w:tcPr>
            <w:tcW w:w="60" w:type="dxa"/>
            <w:tcBorders>
              <w:top w:val="nil"/>
              <w:left w:val="nil"/>
              <w:bottom w:val="nil"/>
              <w:right w:val="nil"/>
            </w:tcBorders>
            <w:tcMar>
              <w:top w:w="0" w:type="dxa"/>
              <w:left w:w="0" w:type="dxa"/>
              <w:bottom w:w="0" w:type="dxa"/>
              <w:right w:w="0" w:type="dxa"/>
            </w:tcMar>
            <w:vAlign w:val="bottom"/>
          </w:tcPr>
          <w:p w14:paraId="5AF90193" w14:textId="77777777" w:rsidR="00C56203" w:rsidRDefault="00C56203">
            <w:pPr>
              <w:keepNext/>
            </w:pPr>
          </w:p>
        </w:tc>
        <w:tc>
          <w:tcPr>
            <w:tcW w:w="645" w:type="dxa"/>
            <w:vMerge/>
            <w:tcBorders>
              <w:top w:val="nil"/>
              <w:left w:val="nil"/>
              <w:bottom w:val="single" w:sz="8" w:space="0" w:color="000000"/>
              <w:right w:val="nil"/>
            </w:tcBorders>
          </w:tcPr>
          <w:p w14:paraId="1DBE4942" w14:textId="77777777" w:rsidR="00C56203" w:rsidRDefault="00C56203">
            <w:pPr>
              <w:keepNext/>
            </w:pPr>
          </w:p>
        </w:tc>
        <w:tc>
          <w:tcPr>
            <w:tcW w:w="60" w:type="dxa"/>
            <w:vMerge/>
            <w:tcBorders>
              <w:top w:val="nil"/>
              <w:left w:val="nil"/>
              <w:bottom w:val="nil"/>
              <w:right w:val="nil"/>
            </w:tcBorders>
          </w:tcPr>
          <w:p w14:paraId="280D2F30" w14:textId="77777777" w:rsidR="00C56203" w:rsidRDefault="00C56203">
            <w:pPr>
              <w:keepNext/>
            </w:pPr>
          </w:p>
        </w:tc>
        <w:tc>
          <w:tcPr>
            <w:tcW w:w="705" w:type="dxa"/>
            <w:vMerge/>
            <w:tcBorders>
              <w:top w:val="nil"/>
              <w:left w:val="nil"/>
              <w:bottom w:val="single" w:sz="8" w:space="0" w:color="000000"/>
              <w:right w:val="nil"/>
            </w:tcBorders>
          </w:tcPr>
          <w:p w14:paraId="1CD7FF7C" w14:textId="77777777" w:rsidR="00C56203" w:rsidRDefault="00C56203">
            <w:pPr>
              <w:keepNext/>
            </w:pPr>
          </w:p>
        </w:tc>
        <w:tc>
          <w:tcPr>
            <w:tcW w:w="60" w:type="dxa"/>
            <w:vMerge/>
            <w:tcBorders>
              <w:top w:val="nil"/>
              <w:left w:val="nil"/>
              <w:bottom w:val="nil"/>
              <w:right w:val="nil"/>
            </w:tcBorders>
          </w:tcPr>
          <w:p w14:paraId="2570F09F" w14:textId="77777777" w:rsidR="00C56203" w:rsidRDefault="00C56203">
            <w:pPr>
              <w:keepNext/>
            </w:pPr>
          </w:p>
        </w:tc>
        <w:tc>
          <w:tcPr>
            <w:tcW w:w="765" w:type="dxa"/>
            <w:vMerge/>
            <w:tcBorders>
              <w:top w:val="nil"/>
              <w:left w:val="nil"/>
              <w:bottom w:val="single" w:sz="8" w:space="0" w:color="000000"/>
              <w:right w:val="nil"/>
            </w:tcBorders>
          </w:tcPr>
          <w:p w14:paraId="78CBBC8E" w14:textId="77777777" w:rsidR="00C56203" w:rsidRDefault="00C56203">
            <w:pPr>
              <w:keepNext/>
            </w:pPr>
          </w:p>
        </w:tc>
        <w:tc>
          <w:tcPr>
            <w:tcW w:w="60" w:type="dxa"/>
            <w:tcBorders>
              <w:top w:val="nil"/>
              <w:left w:val="nil"/>
              <w:bottom w:val="nil"/>
              <w:right w:val="nil"/>
            </w:tcBorders>
            <w:tcMar>
              <w:top w:w="0" w:type="dxa"/>
              <w:left w:w="0" w:type="dxa"/>
              <w:bottom w:w="0" w:type="dxa"/>
              <w:right w:w="0" w:type="dxa"/>
            </w:tcMar>
            <w:vAlign w:val="bottom"/>
          </w:tcPr>
          <w:p w14:paraId="3B0D87A7" w14:textId="77777777" w:rsidR="00C56203" w:rsidRDefault="00C56203">
            <w:pPr>
              <w:keepNext/>
            </w:pPr>
          </w:p>
        </w:tc>
        <w:tc>
          <w:tcPr>
            <w:tcW w:w="645" w:type="dxa"/>
            <w:vMerge/>
            <w:tcBorders>
              <w:top w:val="nil"/>
              <w:left w:val="nil"/>
              <w:bottom w:val="single" w:sz="8" w:space="0" w:color="000000"/>
              <w:right w:val="nil"/>
            </w:tcBorders>
          </w:tcPr>
          <w:p w14:paraId="1119D315" w14:textId="77777777" w:rsidR="00C56203" w:rsidRDefault="00C56203">
            <w:pPr>
              <w:keepNext/>
            </w:pPr>
          </w:p>
        </w:tc>
        <w:tc>
          <w:tcPr>
            <w:tcW w:w="60" w:type="dxa"/>
            <w:vMerge/>
            <w:tcBorders>
              <w:top w:val="nil"/>
              <w:left w:val="nil"/>
              <w:bottom w:val="nil"/>
              <w:right w:val="nil"/>
            </w:tcBorders>
          </w:tcPr>
          <w:p w14:paraId="26C3960F" w14:textId="77777777" w:rsidR="00C56203" w:rsidRDefault="00C56203">
            <w:pPr>
              <w:keepNext/>
            </w:pPr>
          </w:p>
        </w:tc>
        <w:tc>
          <w:tcPr>
            <w:tcW w:w="645" w:type="dxa"/>
            <w:vMerge/>
            <w:tcBorders>
              <w:top w:val="nil"/>
              <w:left w:val="nil"/>
              <w:bottom w:val="single" w:sz="8" w:space="0" w:color="000000"/>
              <w:right w:val="nil"/>
            </w:tcBorders>
          </w:tcPr>
          <w:p w14:paraId="38609797" w14:textId="77777777" w:rsidR="00C56203" w:rsidRDefault="00C56203">
            <w:pPr>
              <w:keepNext/>
            </w:pPr>
          </w:p>
        </w:tc>
        <w:tc>
          <w:tcPr>
            <w:tcW w:w="75" w:type="dxa"/>
            <w:vMerge/>
            <w:tcBorders>
              <w:top w:val="nil"/>
              <w:left w:val="nil"/>
              <w:bottom w:val="nil"/>
              <w:right w:val="nil"/>
            </w:tcBorders>
          </w:tcPr>
          <w:p w14:paraId="6CA44309" w14:textId="77777777" w:rsidR="00C56203" w:rsidRDefault="00C56203">
            <w:pPr>
              <w:keepNext/>
            </w:pPr>
          </w:p>
        </w:tc>
        <w:tc>
          <w:tcPr>
            <w:tcW w:w="975" w:type="dxa"/>
            <w:vMerge/>
            <w:tcBorders>
              <w:top w:val="nil"/>
              <w:left w:val="nil"/>
              <w:bottom w:val="single" w:sz="8" w:space="0" w:color="000000"/>
              <w:right w:val="nil"/>
            </w:tcBorders>
          </w:tcPr>
          <w:p w14:paraId="74AC9F89" w14:textId="77777777" w:rsidR="00C56203" w:rsidRDefault="00C56203">
            <w:pPr>
              <w:keepNext/>
            </w:pPr>
          </w:p>
        </w:tc>
        <w:tc>
          <w:tcPr>
            <w:tcW w:w="75" w:type="dxa"/>
            <w:vMerge/>
            <w:tcBorders>
              <w:top w:val="nil"/>
              <w:left w:val="nil"/>
              <w:bottom w:val="nil"/>
              <w:right w:val="nil"/>
            </w:tcBorders>
          </w:tcPr>
          <w:p w14:paraId="1D7140EF" w14:textId="77777777" w:rsidR="00C56203" w:rsidRDefault="00C56203">
            <w:pPr>
              <w:keepNext/>
            </w:pPr>
          </w:p>
        </w:tc>
        <w:tc>
          <w:tcPr>
            <w:tcW w:w="660" w:type="dxa"/>
            <w:vMerge/>
            <w:tcBorders>
              <w:top w:val="nil"/>
              <w:left w:val="nil"/>
              <w:bottom w:val="single" w:sz="8" w:space="0" w:color="000000"/>
              <w:right w:val="nil"/>
            </w:tcBorders>
          </w:tcPr>
          <w:p w14:paraId="1CD4D589" w14:textId="77777777" w:rsidR="00C56203" w:rsidRDefault="00C56203">
            <w:pPr>
              <w:keepNext/>
            </w:pPr>
          </w:p>
        </w:tc>
        <w:tc>
          <w:tcPr>
            <w:tcW w:w="75" w:type="dxa"/>
            <w:vMerge/>
            <w:tcBorders>
              <w:top w:val="nil"/>
              <w:left w:val="nil"/>
              <w:bottom w:val="nil"/>
              <w:right w:val="nil"/>
            </w:tcBorders>
          </w:tcPr>
          <w:p w14:paraId="2C10B1E7" w14:textId="77777777" w:rsidR="00C56203" w:rsidRDefault="00C56203">
            <w:pPr>
              <w:keepNext/>
            </w:pPr>
          </w:p>
        </w:tc>
        <w:tc>
          <w:tcPr>
            <w:tcW w:w="52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1785A930" w14:textId="77777777" w:rsidR="00C56203" w:rsidRDefault="00CD5102">
            <w:pPr>
              <w:keepNext/>
              <w:spacing w:before="55" w:after="30"/>
              <w:jc w:val="center"/>
            </w:pPr>
            <w:r>
              <w:rPr>
                <w:b/>
                <w:color w:val="000000"/>
                <w:sz w:val="12"/>
              </w:rPr>
              <w:t>Amount</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7DB847BD" w14:textId="77777777" w:rsidR="00C56203" w:rsidRDefault="00C56203">
            <w:pPr>
              <w:keepNext/>
            </w:pPr>
          </w:p>
        </w:tc>
        <w:tc>
          <w:tcPr>
            <w:tcW w:w="4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21A50B6F" w14:textId="77777777" w:rsidR="00C56203" w:rsidRDefault="00CD5102">
            <w:pPr>
              <w:keepNext/>
              <w:spacing w:before="55" w:after="30"/>
              <w:jc w:val="center"/>
            </w:pPr>
            <w:r>
              <w:rPr>
                <w:b/>
                <w:color w:val="000000"/>
                <w:sz w:val="12"/>
              </w:rPr>
              <w:t>Pct.</w:t>
            </w:r>
          </w:p>
        </w:tc>
        <w:tc>
          <w:tcPr>
            <w:tcW w:w="75" w:type="dxa"/>
            <w:tcBorders>
              <w:top w:val="nil"/>
              <w:left w:val="nil"/>
              <w:bottom w:val="nil"/>
              <w:right w:val="nil"/>
            </w:tcBorders>
            <w:tcMar>
              <w:top w:w="0" w:type="dxa"/>
              <w:left w:w="0" w:type="dxa"/>
              <w:bottom w:w="0" w:type="dxa"/>
              <w:right w:w="0" w:type="dxa"/>
            </w:tcMar>
            <w:vAlign w:val="bottom"/>
          </w:tcPr>
          <w:p w14:paraId="53B458D8" w14:textId="77777777" w:rsidR="00C56203" w:rsidRDefault="00C56203">
            <w:pPr>
              <w:keepNext/>
            </w:pPr>
          </w:p>
        </w:tc>
        <w:tc>
          <w:tcPr>
            <w:tcW w:w="52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48C14729" w14:textId="77777777" w:rsidR="00C56203" w:rsidRDefault="00CD5102">
            <w:pPr>
              <w:keepNext/>
              <w:spacing w:before="55" w:after="30"/>
              <w:jc w:val="center"/>
            </w:pPr>
            <w:r>
              <w:rPr>
                <w:b/>
                <w:color w:val="000000"/>
                <w:sz w:val="12"/>
              </w:rPr>
              <w:t>Amount</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39D3D0ED" w14:textId="77777777" w:rsidR="00C56203" w:rsidRDefault="00C56203">
            <w:pPr>
              <w:keepNext/>
            </w:pPr>
          </w:p>
        </w:tc>
        <w:tc>
          <w:tcPr>
            <w:tcW w:w="4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0E02F68F" w14:textId="77777777" w:rsidR="00C56203" w:rsidRDefault="00CD5102">
            <w:pPr>
              <w:keepNext/>
              <w:spacing w:before="55" w:after="30"/>
              <w:jc w:val="center"/>
            </w:pPr>
            <w:r>
              <w:rPr>
                <w:b/>
                <w:color w:val="000000"/>
                <w:sz w:val="12"/>
              </w:rPr>
              <w:t>Pct.</w:t>
            </w:r>
          </w:p>
        </w:tc>
      </w:tr>
      <w:tr w:rsidR="00C56203" w14:paraId="173CB80F" w14:textId="77777777">
        <w:trPr>
          <w:cantSplit/>
          <w:trHeight w:hRule="exact" w:val="465"/>
          <w:jc w:val="center"/>
        </w:trPr>
        <w:tc>
          <w:tcPr>
            <w:tcW w:w="2235"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14:paraId="3F7D1FBD" w14:textId="77777777" w:rsidR="00C56203" w:rsidRDefault="00CD5102">
            <w:pPr>
              <w:keepNext/>
              <w:spacing w:before="55"/>
            </w:pPr>
            <w:r>
              <w:rPr>
                <w:b/>
                <w:color w:val="000000"/>
                <w:sz w:val="16"/>
              </w:rPr>
              <w:t>Bausch Health</w:t>
            </w:r>
          </w:p>
          <w:p w14:paraId="3E37689B" w14:textId="77777777" w:rsidR="00C56203" w:rsidRDefault="00CD5102">
            <w:pPr>
              <w:spacing w:after="30"/>
            </w:pPr>
            <w:r>
              <w:rPr>
                <w:b/>
                <w:color w:val="000000"/>
                <w:sz w:val="16"/>
              </w:rPr>
              <w:t>(excl. B+L)</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EB4DF11" w14:textId="77777777" w:rsidR="00C56203" w:rsidRDefault="00C56203">
            <w:pPr>
              <w:keepNext/>
            </w:pPr>
          </w:p>
        </w:tc>
        <w:tc>
          <w:tcPr>
            <w:tcW w:w="64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2BDE8A6F" w14:textId="77777777" w:rsidR="00C56203" w:rsidRDefault="00C56203">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3719686" w14:textId="77777777" w:rsidR="00C56203" w:rsidRDefault="00C56203">
            <w:pPr>
              <w:keepNext/>
            </w:pPr>
          </w:p>
        </w:tc>
        <w:tc>
          <w:tcPr>
            <w:tcW w:w="70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07A85020" w14:textId="77777777" w:rsidR="00C56203" w:rsidRDefault="00C56203">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F168D00" w14:textId="77777777" w:rsidR="00C56203" w:rsidRDefault="00C56203">
            <w:pPr>
              <w:keepNext/>
            </w:pPr>
          </w:p>
        </w:tc>
        <w:tc>
          <w:tcPr>
            <w:tcW w:w="76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F2C2DBC" w14:textId="77777777" w:rsidR="00C56203" w:rsidRDefault="00C56203">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CE38559" w14:textId="77777777" w:rsidR="00C56203" w:rsidRDefault="00C56203">
            <w:pPr>
              <w:keepNext/>
            </w:pPr>
          </w:p>
        </w:tc>
        <w:tc>
          <w:tcPr>
            <w:tcW w:w="64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1F7F9182" w14:textId="77777777" w:rsidR="00C56203" w:rsidRDefault="00C56203">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BFDEA76" w14:textId="77777777" w:rsidR="00C56203" w:rsidRDefault="00C56203">
            <w:pPr>
              <w:keepNext/>
            </w:pPr>
          </w:p>
        </w:tc>
        <w:tc>
          <w:tcPr>
            <w:tcW w:w="64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5718A096"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6D56DBC" w14:textId="77777777" w:rsidR="00C56203" w:rsidRDefault="00C56203">
            <w:pPr>
              <w:keepNext/>
            </w:pPr>
          </w:p>
        </w:tc>
        <w:tc>
          <w:tcPr>
            <w:tcW w:w="9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24DFBDEF"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6863E3C" w14:textId="77777777" w:rsidR="00C56203" w:rsidRDefault="00C56203">
            <w:pPr>
              <w:keepNext/>
            </w:pPr>
          </w:p>
        </w:tc>
        <w:tc>
          <w:tcPr>
            <w:tcW w:w="66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570E576A"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C3C729F" w14:textId="77777777" w:rsidR="00C56203" w:rsidRDefault="00C56203">
            <w:pPr>
              <w:keepNext/>
            </w:pPr>
          </w:p>
        </w:tc>
        <w:tc>
          <w:tcPr>
            <w:tcW w:w="52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160613EF" w14:textId="77777777" w:rsidR="00C56203" w:rsidRDefault="00C56203">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3766F5" w14:textId="77777777" w:rsidR="00C56203" w:rsidRDefault="00C56203">
            <w:pPr>
              <w:keepNext/>
            </w:pPr>
          </w:p>
        </w:tc>
        <w:tc>
          <w:tcPr>
            <w:tcW w:w="49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22758226"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10EA7AE" w14:textId="77777777" w:rsidR="00C56203" w:rsidRDefault="00C56203">
            <w:pPr>
              <w:keepNext/>
            </w:pPr>
          </w:p>
        </w:tc>
        <w:tc>
          <w:tcPr>
            <w:tcW w:w="52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A436758"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6E09076" w14:textId="77777777" w:rsidR="00C56203" w:rsidRDefault="00C56203">
            <w:pPr>
              <w:keepNext/>
            </w:pPr>
          </w:p>
        </w:tc>
        <w:tc>
          <w:tcPr>
            <w:tcW w:w="49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012AB26" w14:textId="77777777" w:rsidR="00C56203" w:rsidRDefault="00C56203">
            <w:pPr>
              <w:keepNext/>
            </w:pPr>
          </w:p>
        </w:tc>
      </w:tr>
      <w:tr w:rsidR="00C56203" w14:paraId="6D661E46" w14:textId="77777777">
        <w:trPr>
          <w:cantSplit/>
          <w:trHeight w:hRule="exact" w:val="285"/>
          <w:jc w:val="center"/>
        </w:trPr>
        <w:tc>
          <w:tcPr>
            <w:tcW w:w="2235" w:type="dxa"/>
            <w:tcBorders>
              <w:top w:val="nil"/>
              <w:left w:val="nil"/>
              <w:bottom w:val="nil"/>
              <w:right w:val="nil"/>
            </w:tcBorders>
            <w:shd w:val="clear" w:color="auto" w:fill="CCEEFF"/>
            <w:tcMar>
              <w:top w:w="0" w:type="dxa"/>
              <w:left w:w="53" w:type="dxa"/>
              <w:bottom w:w="0" w:type="dxa"/>
              <w:right w:w="53" w:type="dxa"/>
            </w:tcMar>
            <w:vAlign w:val="bottom"/>
          </w:tcPr>
          <w:p w14:paraId="0F6DD69E" w14:textId="77777777" w:rsidR="00C56203" w:rsidRDefault="00CD5102">
            <w:pPr>
              <w:keepNext/>
              <w:spacing w:before="75" w:after="30"/>
              <w:ind w:left="120"/>
            </w:pPr>
            <w:r>
              <w:rPr>
                <w:b/>
                <w:color w:val="000000"/>
                <w:sz w:val="16"/>
              </w:rPr>
              <w:t>Salix</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3CF2399" w14:textId="77777777" w:rsidR="00C56203" w:rsidRDefault="00C56203">
            <w:pPr>
              <w:keepNext/>
            </w:pPr>
          </w:p>
        </w:tc>
        <w:tc>
          <w:tcPr>
            <w:tcW w:w="6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C9560E6" w14:textId="77777777" w:rsidR="00C56203" w:rsidRDefault="00CD5102">
            <w:pPr>
              <w:keepNext/>
              <w:tabs>
                <w:tab w:val="left" w:pos="286"/>
                <w:tab w:val="left" w:pos="577"/>
              </w:tabs>
              <w:spacing w:before="75" w:after="30"/>
              <w:jc w:val="right"/>
            </w:pPr>
            <w:r>
              <w:rPr>
                <w:color w:val="000000"/>
                <w:sz w:val="16"/>
              </w:rPr>
              <w:t>$</w:t>
            </w:r>
            <w:r>
              <w:rPr>
                <w:color w:val="000000"/>
                <w:sz w:val="16"/>
              </w:rPr>
              <w:tab/>
              <w:t>496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9B339DC" w14:textId="77777777" w:rsidR="00C56203" w:rsidRDefault="00C56203">
            <w:pPr>
              <w:keepNext/>
            </w:pPr>
          </w:p>
        </w:tc>
        <w:tc>
          <w:tcPr>
            <w:tcW w:w="7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BBF92BF" w14:textId="77777777" w:rsidR="00C56203" w:rsidRDefault="00CD5102">
            <w:pPr>
              <w:keepNext/>
              <w:tabs>
                <w:tab w:val="left" w:pos="426"/>
                <w:tab w:val="left" w:pos="637"/>
              </w:tabs>
              <w:spacing w:before="75" w:after="30"/>
              <w:jc w:val="right"/>
            </w:pPr>
            <w:r>
              <w:rPr>
                <w:color w:val="000000"/>
                <w:sz w:val="16"/>
              </w:rPr>
              <w:t>$</w:t>
            </w:r>
            <w:r>
              <w:rPr>
                <w:color w:val="000000"/>
                <w:sz w:val="16"/>
              </w:rPr>
              <w:tab/>
            </w:r>
            <w:r>
              <w:rPr>
                <w:color w:val="000000"/>
                <w:sz w:val="16"/>
              </w:rPr>
              <w:t>—</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F6DA3D1" w14:textId="77777777" w:rsidR="00C56203" w:rsidRDefault="00C56203">
            <w:pPr>
              <w:keepNext/>
            </w:pPr>
          </w:p>
        </w:tc>
        <w:tc>
          <w:tcPr>
            <w:tcW w:w="76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C3281A3" w14:textId="77777777" w:rsidR="00C56203" w:rsidRDefault="00CD5102">
            <w:pPr>
              <w:keepNext/>
              <w:tabs>
                <w:tab w:val="left" w:pos="486"/>
                <w:tab w:val="left" w:pos="697"/>
              </w:tabs>
              <w:spacing w:before="75" w:after="30"/>
              <w:jc w:val="right"/>
            </w:pPr>
            <w:r>
              <w:rPr>
                <w:color w:val="000000"/>
                <w:sz w:val="16"/>
              </w:rPr>
              <w:t>$</w:t>
            </w:r>
            <w:r>
              <w:rPr>
                <w:color w:val="000000"/>
                <w:sz w:val="16"/>
              </w:rPr>
              <w:tab/>
              <w:t>—</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8A415AB" w14:textId="77777777" w:rsidR="00C56203" w:rsidRDefault="00C56203">
            <w:pPr>
              <w:keepNext/>
            </w:pPr>
          </w:p>
        </w:tc>
        <w:tc>
          <w:tcPr>
            <w:tcW w:w="6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9E01797" w14:textId="77777777" w:rsidR="00C56203" w:rsidRDefault="00CD5102">
            <w:pPr>
              <w:keepNext/>
              <w:tabs>
                <w:tab w:val="left" w:pos="286"/>
                <w:tab w:val="left" w:pos="577"/>
              </w:tabs>
              <w:spacing w:before="75" w:after="30"/>
              <w:jc w:val="right"/>
            </w:pPr>
            <w:r>
              <w:rPr>
                <w:color w:val="000000"/>
                <w:sz w:val="16"/>
              </w:rPr>
              <w:t>$</w:t>
            </w:r>
            <w:r>
              <w:rPr>
                <w:color w:val="000000"/>
                <w:sz w:val="16"/>
              </w:rPr>
              <w:tab/>
              <w:t>496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4F5C6DB" w14:textId="77777777" w:rsidR="00C56203" w:rsidRDefault="00C56203">
            <w:pPr>
              <w:keepNext/>
            </w:pPr>
          </w:p>
        </w:tc>
        <w:tc>
          <w:tcPr>
            <w:tcW w:w="6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3DAB8F1" w14:textId="77777777" w:rsidR="00C56203" w:rsidRDefault="00CD5102">
            <w:pPr>
              <w:keepNext/>
              <w:tabs>
                <w:tab w:val="left" w:pos="286"/>
                <w:tab w:val="left" w:pos="577"/>
              </w:tabs>
              <w:spacing w:before="75" w:after="30"/>
              <w:jc w:val="right"/>
            </w:pPr>
            <w:r>
              <w:rPr>
                <w:color w:val="000000"/>
                <w:sz w:val="16"/>
              </w:rPr>
              <w:t>$</w:t>
            </w:r>
            <w:r>
              <w:rPr>
                <w:color w:val="000000"/>
                <w:sz w:val="16"/>
              </w:rPr>
              <w:tab/>
              <w:t>464</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8F5D948" w14:textId="77777777" w:rsidR="00C56203" w:rsidRDefault="00C56203">
            <w:pPr>
              <w:keepNext/>
            </w:pPr>
          </w:p>
        </w:tc>
        <w:tc>
          <w:tcPr>
            <w:tcW w:w="97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A9D6FEE" w14:textId="77777777" w:rsidR="00C56203" w:rsidRDefault="00CD5102">
            <w:pPr>
              <w:keepNext/>
              <w:tabs>
                <w:tab w:val="left" w:pos="696"/>
                <w:tab w:val="left" w:pos="907"/>
              </w:tabs>
              <w:spacing w:before="75" w:after="30"/>
              <w:jc w:val="right"/>
            </w:pPr>
            <w:r>
              <w:rPr>
                <w:color w:val="000000"/>
                <w:sz w:val="16"/>
              </w:rPr>
              <w:t>$</w:t>
            </w:r>
            <w:r>
              <w:rPr>
                <w:color w:val="000000"/>
                <w:sz w:val="16"/>
              </w:rPr>
              <w:tab/>
              <w:t>—</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4DBCFF6" w14:textId="77777777" w:rsidR="00C56203" w:rsidRDefault="00C56203">
            <w:pPr>
              <w:keepNext/>
            </w:pPr>
          </w:p>
        </w:tc>
        <w:tc>
          <w:tcPr>
            <w:tcW w:w="6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FC5C351" w14:textId="77777777" w:rsidR="00C56203" w:rsidRDefault="00CD5102">
            <w:pPr>
              <w:keepNext/>
              <w:tabs>
                <w:tab w:val="left" w:pos="301"/>
                <w:tab w:val="left" w:pos="592"/>
              </w:tabs>
              <w:spacing w:before="75" w:after="30"/>
              <w:jc w:val="right"/>
            </w:pPr>
            <w:r>
              <w:rPr>
                <w:color w:val="000000"/>
                <w:sz w:val="16"/>
              </w:rPr>
              <w:t>$</w:t>
            </w:r>
            <w:r>
              <w:rPr>
                <w:color w:val="000000"/>
                <w:sz w:val="16"/>
              </w:rPr>
              <w:tab/>
              <w:t>464</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0E2E80B" w14:textId="77777777" w:rsidR="00C56203" w:rsidRDefault="00C56203">
            <w:pPr>
              <w:keepNext/>
            </w:pPr>
          </w:p>
        </w:tc>
        <w:tc>
          <w:tcPr>
            <w:tcW w:w="52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BECE43C" w14:textId="77777777" w:rsidR="00C56203" w:rsidRDefault="00CD5102">
            <w:pPr>
              <w:keepNext/>
              <w:tabs>
                <w:tab w:val="left" w:pos="246"/>
                <w:tab w:val="left" w:pos="457"/>
              </w:tabs>
              <w:spacing w:before="75" w:after="30"/>
              <w:jc w:val="right"/>
            </w:pPr>
            <w:r>
              <w:rPr>
                <w:color w:val="000000"/>
                <w:sz w:val="16"/>
              </w:rPr>
              <w:t>$</w:t>
            </w:r>
            <w:r>
              <w:rPr>
                <w:color w:val="000000"/>
                <w:sz w:val="16"/>
              </w:rPr>
              <w:tab/>
              <w:t>32</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9FC9D8C" w14:textId="77777777" w:rsidR="00C56203" w:rsidRDefault="00C56203">
            <w:pPr>
              <w:keepNext/>
            </w:pPr>
          </w:p>
        </w:tc>
        <w:tc>
          <w:tcPr>
            <w:tcW w:w="495" w:type="dxa"/>
            <w:tcBorders>
              <w:top w:val="nil"/>
              <w:left w:val="nil"/>
              <w:bottom w:val="nil"/>
              <w:right w:val="nil"/>
            </w:tcBorders>
            <w:shd w:val="clear" w:color="auto" w:fill="CCEEFF"/>
            <w:tcMar>
              <w:top w:w="0" w:type="dxa"/>
              <w:left w:w="0" w:type="dxa"/>
              <w:bottom w:w="0" w:type="dxa"/>
              <w:right w:w="15" w:type="dxa"/>
            </w:tcMar>
            <w:vAlign w:val="bottom"/>
          </w:tcPr>
          <w:p w14:paraId="4B34F633" w14:textId="77777777" w:rsidR="00C56203" w:rsidRDefault="00CD5102">
            <w:pPr>
              <w:keepNext/>
              <w:tabs>
                <w:tab w:val="left" w:pos="1"/>
                <w:tab w:val="left" w:pos="136"/>
              </w:tabs>
              <w:spacing w:before="75" w:after="30"/>
              <w:jc w:val="right"/>
            </w:pPr>
            <w:r>
              <w:rPr>
                <w:color w:val="000000"/>
                <w:sz w:val="16"/>
              </w:rPr>
              <w:tab/>
              <w:t>7</w:t>
            </w:r>
            <w:r>
              <w:rPr>
                <w:color w:val="000000"/>
                <w:sz w:val="16"/>
              </w:rPr>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9D5E369" w14:textId="77777777" w:rsidR="00C56203" w:rsidRDefault="00C56203">
            <w:pPr>
              <w:keepNext/>
            </w:pPr>
          </w:p>
        </w:tc>
        <w:tc>
          <w:tcPr>
            <w:tcW w:w="52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D8207AA" w14:textId="77777777" w:rsidR="00C56203" w:rsidRDefault="00CD5102">
            <w:pPr>
              <w:keepNext/>
              <w:tabs>
                <w:tab w:val="left" w:pos="246"/>
                <w:tab w:val="left" w:pos="457"/>
              </w:tabs>
              <w:spacing w:before="75" w:after="30"/>
              <w:jc w:val="right"/>
            </w:pPr>
            <w:r>
              <w:rPr>
                <w:color w:val="000000"/>
                <w:sz w:val="16"/>
              </w:rPr>
              <w:t>$</w:t>
            </w:r>
            <w:r>
              <w:rPr>
                <w:color w:val="000000"/>
                <w:sz w:val="16"/>
              </w:rPr>
              <w:tab/>
              <w:t>32</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06CDA66" w14:textId="77777777" w:rsidR="00C56203" w:rsidRDefault="00C56203">
            <w:pPr>
              <w:keepNext/>
            </w:pPr>
          </w:p>
        </w:tc>
        <w:tc>
          <w:tcPr>
            <w:tcW w:w="495" w:type="dxa"/>
            <w:tcBorders>
              <w:top w:val="nil"/>
              <w:left w:val="nil"/>
              <w:bottom w:val="nil"/>
              <w:right w:val="nil"/>
            </w:tcBorders>
            <w:shd w:val="clear" w:color="auto" w:fill="CCEEFF"/>
            <w:tcMar>
              <w:top w:w="0" w:type="dxa"/>
              <w:left w:w="0" w:type="dxa"/>
              <w:bottom w:w="0" w:type="dxa"/>
              <w:right w:w="15" w:type="dxa"/>
            </w:tcMar>
            <w:vAlign w:val="bottom"/>
          </w:tcPr>
          <w:p w14:paraId="1B036C80" w14:textId="77777777" w:rsidR="00C56203" w:rsidRDefault="00CD5102">
            <w:pPr>
              <w:keepNext/>
              <w:tabs>
                <w:tab w:val="left" w:pos="1"/>
                <w:tab w:val="left" w:pos="136"/>
              </w:tabs>
              <w:spacing w:before="75" w:after="30"/>
              <w:jc w:val="right"/>
            </w:pPr>
            <w:r>
              <w:rPr>
                <w:color w:val="000000"/>
                <w:sz w:val="16"/>
              </w:rPr>
              <w:tab/>
              <w:t>7</w:t>
            </w:r>
            <w:r>
              <w:rPr>
                <w:color w:val="000000"/>
                <w:sz w:val="16"/>
              </w:rPr>
              <w:tab/>
              <w:t>%</w:t>
            </w:r>
          </w:p>
        </w:tc>
      </w:tr>
      <w:tr w:rsidR="00C56203" w14:paraId="51232325" w14:textId="77777777">
        <w:trPr>
          <w:cantSplit/>
          <w:trHeight w:hRule="exact" w:val="285"/>
          <w:jc w:val="center"/>
        </w:trPr>
        <w:tc>
          <w:tcPr>
            <w:tcW w:w="2235" w:type="dxa"/>
            <w:tcBorders>
              <w:top w:val="nil"/>
              <w:left w:val="nil"/>
              <w:bottom w:val="nil"/>
              <w:right w:val="nil"/>
            </w:tcBorders>
            <w:shd w:val="clear" w:color="auto" w:fill="FFFFFF"/>
            <w:tcMar>
              <w:top w:w="0" w:type="dxa"/>
              <w:left w:w="0" w:type="dxa"/>
              <w:bottom w:w="0" w:type="dxa"/>
              <w:right w:w="0" w:type="dxa"/>
            </w:tcMar>
            <w:vAlign w:val="bottom"/>
          </w:tcPr>
          <w:p w14:paraId="01A450FB" w14:textId="77777777" w:rsidR="00C56203" w:rsidRDefault="00C56203">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7C34FE1" w14:textId="77777777" w:rsidR="00C56203" w:rsidRDefault="00C56203">
            <w:pPr>
              <w:keepNext/>
            </w:pPr>
          </w:p>
        </w:tc>
        <w:tc>
          <w:tcPr>
            <w:tcW w:w="64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3ADC220A" w14:textId="77777777" w:rsidR="00C56203" w:rsidRDefault="00C56203">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A129A8F" w14:textId="77777777" w:rsidR="00C56203" w:rsidRDefault="00C56203">
            <w:pPr>
              <w:keepNext/>
            </w:pPr>
          </w:p>
        </w:tc>
        <w:tc>
          <w:tcPr>
            <w:tcW w:w="70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26C035AB" w14:textId="77777777" w:rsidR="00C56203" w:rsidRDefault="00C56203">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6D7B32B" w14:textId="77777777" w:rsidR="00C56203" w:rsidRDefault="00C56203">
            <w:pPr>
              <w:keepNext/>
            </w:pPr>
          </w:p>
        </w:tc>
        <w:tc>
          <w:tcPr>
            <w:tcW w:w="76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0C014E7E" w14:textId="77777777" w:rsidR="00C56203" w:rsidRDefault="00C56203">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92CF165" w14:textId="77777777" w:rsidR="00C56203" w:rsidRDefault="00C56203">
            <w:pPr>
              <w:keepNext/>
            </w:pPr>
          </w:p>
        </w:tc>
        <w:tc>
          <w:tcPr>
            <w:tcW w:w="64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3C357D51" w14:textId="77777777" w:rsidR="00C56203" w:rsidRDefault="00C56203">
            <w:pPr>
              <w:keepNext/>
              <w:spacing w:before="55"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B156D28" w14:textId="77777777" w:rsidR="00C56203" w:rsidRDefault="00C56203">
            <w:pPr>
              <w:keepNext/>
            </w:pPr>
          </w:p>
        </w:tc>
        <w:tc>
          <w:tcPr>
            <w:tcW w:w="64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3009847A"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82C1A5A" w14:textId="77777777" w:rsidR="00C56203" w:rsidRDefault="00C56203">
            <w:pPr>
              <w:keepNext/>
            </w:pPr>
          </w:p>
        </w:tc>
        <w:tc>
          <w:tcPr>
            <w:tcW w:w="9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4EFBED53"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1CC6218" w14:textId="77777777" w:rsidR="00C56203" w:rsidRDefault="00C56203">
            <w:pPr>
              <w:keepNext/>
            </w:pPr>
          </w:p>
        </w:tc>
        <w:tc>
          <w:tcPr>
            <w:tcW w:w="66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08DBFD80"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A98D59D" w14:textId="77777777" w:rsidR="00C56203" w:rsidRDefault="00C56203">
            <w:pPr>
              <w:keepNext/>
            </w:pPr>
          </w:p>
        </w:tc>
        <w:tc>
          <w:tcPr>
            <w:tcW w:w="52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5447D821" w14:textId="77777777" w:rsidR="00C56203" w:rsidRDefault="00C56203">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33B39A3" w14:textId="77777777" w:rsidR="00C56203" w:rsidRDefault="00C56203">
            <w:pPr>
              <w:keepNext/>
            </w:pPr>
          </w:p>
        </w:tc>
        <w:tc>
          <w:tcPr>
            <w:tcW w:w="495" w:type="dxa"/>
            <w:tcBorders>
              <w:top w:val="nil"/>
              <w:left w:val="nil"/>
              <w:bottom w:val="nil"/>
              <w:right w:val="nil"/>
            </w:tcBorders>
            <w:shd w:val="clear" w:color="auto" w:fill="FFFFFF"/>
            <w:tcMar>
              <w:top w:w="0" w:type="dxa"/>
              <w:left w:w="0" w:type="dxa"/>
              <w:bottom w:w="0" w:type="dxa"/>
              <w:right w:w="0" w:type="dxa"/>
            </w:tcMar>
            <w:vAlign w:val="bottom"/>
          </w:tcPr>
          <w:p w14:paraId="721EFF46"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A341133" w14:textId="77777777" w:rsidR="00C56203" w:rsidRDefault="00C56203">
            <w:pPr>
              <w:keepNext/>
            </w:pPr>
          </w:p>
        </w:tc>
        <w:tc>
          <w:tcPr>
            <w:tcW w:w="52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2A84933E"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B117077" w14:textId="77777777" w:rsidR="00C56203" w:rsidRDefault="00C56203">
            <w:pPr>
              <w:keepNext/>
            </w:pPr>
          </w:p>
        </w:tc>
        <w:tc>
          <w:tcPr>
            <w:tcW w:w="495" w:type="dxa"/>
            <w:tcBorders>
              <w:top w:val="nil"/>
              <w:left w:val="nil"/>
              <w:bottom w:val="nil"/>
              <w:right w:val="nil"/>
            </w:tcBorders>
            <w:shd w:val="clear" w:color="auto" w:fill="FFFFFF"/>
            <w:tcMar>
              <w:top w:w="0" w:type="dxa"/>
              <w:left w:w="0" w:type="dxa"/>
              <w:bottom w:w="0" w:type="dxa"/>
              <w:right w:w="0" w:type="dxa"/>
            </w:tcMar>
            <w:vAlign w:val="bottom"/>
          </w:tcPr>
          <w:p w14:paraId="27144EE3" w14:textId="77777777" w:rsidR="00C56203" w:rsidRDefault="00C56203">
            <w:pPr>
              <w:keepNext/>
            </w:pPr>
          </w:p>
        </w:tc>
      </w:tr>
      <w:tr w:rsidR="00C56203" w14:paraId="0C8A19EA" w14:textId="77777777">
        <w:trPr>
          <w:cantSplit/>
          <w:trHeight w:hRule="exact" w:val="285"/>
          <w:jc w:val="center"/>
        </w:trPr>
        <w:tc>
          <w:tcPr>
            <w:tcW w:w="2235" w:type="dxa"/>
            <w:tcBorders>
              <w:top w:val="nil"/>
              <w:left w:val="nil"/>
              <w:bottom w:val="nil"/>
              <w:right w:val="nil"/>
            </w:tcBorders>
            <w:shd w:val="clear" w:color="auto" w:fill="CCEEFF"/>
            <w:tcMar>
              <w:top w:w="0" w:type="dxa"/>
              <w:left w:w="53" w:type="dxa"/>
              <w:bottom w:w="0" w:type="dxa"/>
              <w:right w:w="53" w:type="dxa"/>
            </w:tcMar>
            <w:vAlign w:val="bottom"/>
          </w:tcPr>
          <w:p w14:paraId="4C08239F" w14:textId="77777777" w:rsidR="00C56203" w:rsidRDefault="00CD5102">
            <w:pPr>
              <w:keepNext/>
              <w:spacing w:before="75" w:after="30"/>
              <w:ind w:left="120"/>
            </w:pPr>
            <w:r>
              <w:rPr>
                <w:b/>
                <w:color w:val="000000"/>
                <w:sz w:val="16"/>
              </w:rPr>
              <w:t>International</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F4B7B27" w14:textId="77777777" w:rsidR="00C56203" w:rsidRDefault="00C56203">
            <w:pPr>
              <w:keepNext/>
            </w:pPr>
          </w:p>
        </w:tc>
        <w:tc>
          <w:tcPr>
            <w:tcW w:w="6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DC072B1" w14:textId="77777777" w:rsidR="00C56203" w:rsidRDefault="00CD5102">
            <w:pPr>
              <w:keepNext/>
              <w:tabs>
                <w:tab w:val="left" w:pos="286"/>
                <w:tab w:val="left" w:pos="577"/>
              </w:tabs>
              <w:spacing w:before="75" w:after="30"/>
              <w:jc w:val="right"/>
            </w:pPr>
            <w:r>
              <w:rPr>
                <w:color w:val="000000"/>
                <w:sz w:val="16"/>
              </w:rPr>
              <w:tab/>
              <w:t>247</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AFCBCF4" w14:textId="77777777" w:rsidR="00C56203" w:rsidRDefault="00C56203">
            <w:pPr>
              <w:keepNext/>
            </w:pPr>
          </w:p>
        </w:tc>
        <w:tc>
          <w:tcPr>
            <w:tcW w:w="7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CE9AF82" w14:textId="77777777" w:rsidR="00C56203" w:rsidRDefault="00CD5102">
            <w:pPr>
              <w:keepNext/>
              <w:tabs>
                <w:tab w:val="left" w:pos="506"/>
                <w:tab w:val="left" w:pos="637"/>
              </w:tabs>
              <w:spacing w:before="75" w:after="30"/>
              <w:jc w:val="right"/>
            </w:pPr>
            <w:r>
              <w:rPr>
                <w:color w:val="000000"/>
                <w:sz w:val="16"/>
              </w:rPr>
              <w:tab/>
              <w:t>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BFF0A62" w14:textId="77777777" w:rsidR="00C56203" w:rsidRDefault="00C56203">
            <w:pPr>
              <w:keepNext/>
            </w:pPr>
          </w:p>
        </w:tc>
        <w:tc>
          <w:tcPr>
            <w:tcW w:w="76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23E2AB1" w14:textId="77777777" w:rsidR="00C56203" w:rsidRDefault="00CD5102">
            <w:pPr>
              <w:keepNext/>
              <w:tabs>
                <w:tab w:val="left" w:pos="486"/>
                <w:tab w:val="left" w:pos="69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5F8A105" w14:textId="77777777" w:rsidR="00C56203" w:rsidRDefault="00C56203">
            <w:pPr>
              <w:keepNext/>
            </w:pPr>
          </w:p>
        </w:tc>
        <w:tc>
          <w:tcPr>
            <w:tcW w:w="6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E45F2B1" w14:textId="77777777" w:rsidR="00C56203" w:rsidRDefault="00CD5102">
            <w:pPr>
              <w:keepNext/>
              <w:tabs>
                <w:tab w:val="left" w:pos="286"/>
                <w:tab w:val="left" w:pos="577"/>
              </w:tabs>
              <w:spacing w:before="75" w:after="30"/>
              <w:jc w:val="right"/>
            </w:pPr>
            <w:r>
              <w:rPr>
                <w:color w:val="000000"/>
                <w:sz w:val="16"/>
              </w:rPr>
              <w:t>$</w:t>
            </w:r>
            <w:r>
              <w:rPr>
                <w:color w:val="000000"/>
                <w:sz w:val="16"/>
              </w:rPr>
              <w:tab/>
              <w:t>253</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C7C3AC7" w14:textId="77777777" w:rsidR="00C56203" w:rsidRDefault="00C56203">
            <w:pPr>
              <w:keepNext/>
            </w:pPr>
          </w:p>
        </w:tc>
        <w:tc>
          <w:tcPr>
            <w:tcW w:w="6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4E7D343" w14:textId="77777777" w:rsidR="00C56203" w:rsidRDefault="00CD5102">
            <w:pPr>
              <w:keepNext/>
              <w:tabs>
                <w:tab w:val="left" w:pos="286"/>
                <w:tab w:val="left" w:pos="577"/>
              </w:tabs>
              <w:spacing w:before="75" w:after="30"/>
              <w:jc w:val="right"/>
            </w:pPr>
            <w:r>
              <w:rPr>
                <w:color w:val="000000"/>
                <w:sz w:val="16"/>
              </w:rPr>
              <w:tab/>
              <w:t>244</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CA08B8D" w14:textId="77777777" w:rsidR="00C56203" w:rsidRDefault="00C56203">
            <w:pPr>
              <w:keepNext/>
            </w:pPr>
          </w:p>
        </w:tc>
        <w:tc>
          <w:tcPr>
            <w:tcW w:w="97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61694BD" w14:textId="77777777" w:rsidR="00C56203" w:rsidRDefault="00CD5102">
            <w:pPr>
              <w:keepNext/>
              <w:tabs>
                <w:tab w:val="left" w:pos="702"/>
              </w:tabs>
              <w:spacing w:before="75" w:after="30"/>
              <w:jc w:val="right"/>
            </w:pPr>
            <w:r>
              <w:rPr>
                <w:color w:val="000000"/>
                <w:sz w:val="16"/>
              </w:rPr>
              <w:tab/>
              <w:t>(3)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B54DB71" w14:textId="77777777" w:rsidR="00C56203" w:rsidRDefault="00C56203">
            <w:pPr>
              <w:keepNext/>
            </w:pPr>
          </w:p>
        </w:tc>
        <w:tc>
          <w:tcPr>
            <w:tcW w:w="6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1737484" w14:textId="77777777" w:rsidR="00C56203" w:rsidRDefault="00CD5102">
            <w:pPr>
              <w:keepNext/>
              <w:tabs>
                <w:tab w:val="left" w:pos="301"/>
                <w:tab w:val="left" w:pos="592"/>
              </w:tabs>
              <w:spacing w:before="75" w:after="30"/>
              <w:jc w:val="right"/>
            </w:pPr>
            <w:r>
              <w:rPr>
                <w:color w:val="000000"/>
                <w:sz w:val="16"/>
              </w:rPr>
              <w:tab/>
              <w:t>241</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549A62C" w14:textId="77777777" w:rsidR="00C56203" w:rsidRDefault="00C56203">
            <w:pPr>
              <w:keepNext/>
            </w:pPr>
          </w:p>
        </w:tc>
        <w:tc>
          <w:tcPr>
            <w:tcW w:w="52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578C4FF" w14:textId="77777777" w:rsidR="00C56203" w:rsidRDefault="00CD5102">
            <w:pPr>
              <w:keepNext/>
              <w:tabs>
                <w:tab w:val="left" w:pos="326"/>
                <w:tab w:val="left" w:pos="457"/>
              </w:tabs>
              <w:spacing w:before="75" w:after="30"/>
              <w:jc w:val="right"/>
            </w:pPr>
            <w:r>
              <w:rPr>
                <w:color w:val="000000"/>
                <w:sz w:val="16"/>
              </w:rPr>
              <w:tab/>
              <w:t>3</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52A35DD" w14:textId="77777777" w:rsidR="00C56203" w:rsidRDefault="00C56203">
            <w:pPr>
              <w:keepNext/>
            </w:pPr>
          </w:p>
        </w:tc>
        <w:tc>
          <w:tcPr>
            <w:tcW w:w="495" w:type="dxa"/>
            <w:tcBorders>
              <w:top w:val="nil"/>
              <w:left w:val="nil"/>
              <w:bottom w:val="nil"/>
              <w:right w:val="nil"/>
            </w:tcBorders>
            <w:shd w:val="clear" w:color="auto" w:fill="CCEEFF"/>
            <w:tcMar>
              <w:top w:w="0" w:type="dxa"/>
              <w:left w:w="0" w:type="dxa"/>
              <w:bottom w:w="0" w:type="dxa"/>
              <w:right w:w="15" w:type="dxa"/>
            </w:tcMar>
            <w:vAlign w:val="bottom"/>
          </w:tcPr>
          <w:p w14:paraId="6F614735" w14:textId="77777777" w:rsidR="00C56203" w:rsidRDefault="00CD5102">
            <w:pPr>
              <w:keepNext/>
              <w:tabs>
                <w:tab w:val="left" w:pos="1"/>
                <w:tab w:val="left" w:pos="136"/>
              </w:tabs>
              <w:spacing w:before="75" w:after="30"/>
              <w:jc w:val="right"/>
            </w:pPr>
            <w:r>
              <w:rPr>
                <w:color w:val="000000"/>
                <w:sz w:val="16"/>
              </w:rPr>
              <w:tab/>
              <w:t>1</w:t>
            </w:r>
            <w:r>
              <w:rPr>
                <w:color w:val="000000"/>
                <w:sz w:val="16"/>
              </w:rPr>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1F5BA10" w14:textId="77777777" w:rsidR="00C56203" w:rsidRDefault="00C56203">
            <w:pPr>
              <w:keepNext/>
            </w:pPr>
          </w:p>
        </w:tc>
        <w:tc>
          <w:tcPr>
            <w:tcW w:w="52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AEFAA64" w14:textId="77777777" w:rsidR="00C56203" w:rsidRDefault="00CD5102">
            <w:pPr>
              <w:keepNext/>
              <w:tabs>
                <w:tab w:val="left" w:pos="246"/>
                <w:tab w:val="left" w:pos="457"/>
              </w:tabs>
              <w:spacing w:before="75" w:after="30"/>
              <w:jc w:val="right"/>
            </w:pPr>
            <w:r>
              <w:rPr>
                <w:color w:val="000000"/>
                <w:sz w:val="16"/>
              </w:rPr>
              <w:tab/>
              <w:t>12</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768891B" w14:textId="77777777" w:rsidR="00C56203" w:rsidRDefault="00C56203">
            <w:pPr>
              <w:keepNext/>
            </w:pPr>
          </w:p>
        </w:tc>
        <w:tc>
          <w:tcPr>
            <w:tcW w:w="495" w:type="dxa"/>
            <w:tcBorders>
              <w:top w:val="nil"/>
              <w:left w:val="nil"/>
              <w:bottom w:val="nil"/>
              <w:right w:val="nil"/>
            </w:tcBorders>
            <w:shd w:val="clear" w:color="auto" w:fill="CCEEFF"/>
            <w:tcMar>
              <w:top w:w="0" w:type="dxa"/>
              <w:left w:w="0" w:type="dxa"/>
              <w:bottom w:w="0" w:type="dxa"/>
              <w:right w:w="15" w:type="dxa"/>
            </w:tcMar>
            <w:vAlign w:val="bottom"/>
          </w:tcPr>
          <w:p w14:paraId="3060CC4B" w14:textId="77777777" w:rsidR="00C56203" w:rsidRDefault="00CD5102">
            <w:pPr>
              <w:keepNext/>
              <w:tabs>
                <w:tab w:val="left" w:pos="1"/>
                <w:tab w:val="left" w:pos="136"/>
              </w:tabs>
              <w:spacing w:before="75" w:after="30"/>
              <w:jc w:val="right"/>
            </w:pPr>
            <w:r>
              <w:rPr>
                <w:color w:val="000000"/>
                <w:sz w:val="16"/>
              </w:rPr>
              <w:tab/>
              <w:t>5</w:t>
            </w:r>
            <w:r>
              <w:rPr>
                <w:color w:val="000000"/>
                <w:sz w:val="16"/>
              </w:rPr>
              <w:tab/>
              <w:t>%</w:t>
            </w:r>
          </w:p>
        </w:tc>
      </w:tr>
      <w:tr w:rsidR="00C56203" w14:paraId="53ED91DE" w14:textId="77777777">
        <w:trPr>
          <w:cantSplit/>
          <w:trHeight w:hRule="exact" w:val="285"/>
          <w:jc w:val="center"/>
        </w:trPr>
        <w:tc>
          <w:tcPr>
            <w:tcW w:w="2235" w:type="dxa"/>
            <w:tcBorders>
              <w:top w:val="nil"/>
              <w:left w:val="nil"/>
              <w:bottom w:val="nil"/>
              <w:right w:val="nil"/>
            </w:tcBorders>
            <w:shd w:val="clear" w:color="auto" w:fill="FFFFFF"/>
            <w:tcMar>
              <w:top w:w="0" w:type="dxa"/>
              <w:left w:w="0" w:type="dxa"/>
              <w:bottom w:w="0" w:type="dxa"/>
              <w:right w:w="0" w:type="dxa"/>
            </w:tcMar>
            <w:vAlign w:val="bottom"/>
          </w:tcPr>
          <w:p w14:paraId="2910D01F" w14:textId="77777777" w:rsidR="00C56203" w:rsidRDefault="00C56203">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50CEBE3" w14:textId="77777777" w:rsidR="00C56203" w:rsidRDefault="00C56203">
            <w:pPr>
              <w:keepNext/>
            </w:pPr>
          </w:p>
        </w:tc>
        <w:tc>
          <w:tcPr>
            <w:tcW w:w="64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5BC226E6" w14:textId="77777777" w:rsidR="00C56203" w:rsidRDefault="00C56203">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25B31AD" w14:textId="77777777" w:rsidR="00C56203" w:rsidRDefault="00C56203">
            <w:pPr>
              <w:keepNext/>
            </w:pPr>
          </w:p>
        </w:tc>
        <w:tc>
          <w:tcPr>
            <w:tcW w:w="70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3F8D97CF" w14:textId="77777777" w:rsidR="00C56203" w:rsidRDefault="00C56203">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605B17F" w14:textId="77777777" w:rsidR="00C56203" w:rsidRDefault="00C56203">
            <w:pPr>
              <w:keepNext/>
            </w:pPr>
          </w:p>
        </w:tc>
        <w:tc>
          <w:tcPr>
            <w:tcW w:w="76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1377320D" w14:textId="77777777" w:rsidR="00C56203" w:rsidRDefault="00C56203">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EC7D930" w14:textId="77777777" w:rsidR="00C56203" w:rsidRDefault="00C56203">
            <w:pPr>
              <w:keepNext/>
            </w:pPr>
          </w:p>
        </w:tc>
        <w:tc>
          <w:tcPr>
            <w:tcW w:w="64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33E3F6AE" w14:textId="77777777" w:rsidR="00C56203" w:rsidRDefault="00C56203">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B7B4ECC" w14:textId="77777777" w:rsidR="00C56203" w:rsidRDefault="00C56203">
            <w:pPr>
              <w:keepNext/>
            </w:pPr>
          </w:p>
        </w:tc>
        <w:tc>
          <w:tcPr>
            <w:tcW w:w="64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548ABCED"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97EC19D" w14:textId="77777777" w:rsidR="00C56203" w:rsidRDefault="00C56203">
            <w:pPr>
              <w:keepNext/>
            </w:pPr>
          </w:p>
        </w:tc>
        <w:tc>
          <w:tcPr>
            <w:tcW w:w="9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3ED684FE"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6B8DFC3" w14:textId="77777777" w:rsidR="00C56203" w:rsidRDefault="00C56203">
            <w:pPr>
              <w:keepNext/>
            </w:pPr>
          </w:p>
        </w:tc>
        <w:tc>
          <w:tcPr>
            <w:tcW w:w="66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3D6D0D5D"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BA6743E" w14:textId="77777777" w:rsidR="00C56203" w:rsidRDefault="00C56203">
            <w:pPr>
              <w:keepNext/>
            </w:pPr>
          </w:p>
        </w:tc>
        <w:tc>
          <w:tcPr>
            <w:tcW w:w="52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5BC61EA0" w14:textId="77777777" w:rsidR="00C56203" w:rsidRDefault="00C56203">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A91D17D" w14:textId="77777777" w:rsidR="00C56203" w:rsidRDefault="00C56203">
            <w:pPr>
              <w:keepNext/>
            </w:pPr>
          </w:p>
        </w:tc>
        <w:tc>
          <w:tcPr>
            <w:tcW w:w="495" w:type="dxa"/>
            <w:tcBorders>
              <w:top w:val="nil"/>
              <w:left w:val="nil"/>
              <w:bottom w:val="nil"/>
              <w:right w:val="nil"/>
            </w:tcBorders>
            <w:shd w:val="clear" w:color="auto" w:fill="FFFFFF"/>
            <w:tcMar>
              <w:top w:w="0" w:type="dxa"/>
              <w:left w:w="0" w:type="dxa"/>
              <w:bottom w:w="0" w:type="dxa"/>
              <w:right w:w="0" w:type="dxa"/>
            </w:tcMar>
            <w:vAlign w:val="bottom"/>
          </w:tcPr>
          <w:p w14:paraId="271EA1CC"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D31CC79" w14:textId="77777777" w:rsidR="00C56203" w:rsidRDefault="00C56203">
            <w:pPr>
              <w:keepNext/>
            </w:pPr>
          </w:p>
        </w:tc>
        <w:tc>
          <w:tcPr>
            <w:tcW w:w="52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5A7E3517"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6C7AC37" w14:textId="77777777" w:rsidR="00C56203" w:rsidRDefault="00C56203">
            <w:pPr>
              <w:keepNext/>
            </w:pPr>
          </w:p>
        </w:tc>
        <w:tc>
          <w:tcPr>
            <w:tcW w:w="495" w:type="dxa"/>
            <w:tcBorders>
              <w:top w:val="nil"/>
              <w:left w:val="nil"/>
              <w:bottom w:val="nil"/>
              <w:right w:val="nil"/>
            </w:tcBorders>
            <w:shd w:val="clear" w:color="auto" w:fill="FFFFFF"/>
            <w:tcMar>
              <w:top w:w="0" w:type="dxa"/>
              <w:left w:w="0" w:type="dxa"/>
              <w:bottom w:w="0" w:type="dxa"/>
              <w:right w:w="0" w:type="dxa"/>
            </w:tcMar>
            <w:vAlign w:val="bottom"/>
          </w:tcPr>
          <w:p w14:paraId="2526934C" w14:textId="77777777" w:rsidR="00C56203" w:rsidRDefault="00C56203">
            <w:pPr>
              <w:keepNext/>
            </w:pPr>
          </w:p>
        </w:tc>
      </w:tr>
      <w:tr w:rsidR="00C56203" w14:paraId="3D7B53AA" w14:textId="77777777">
        <w:trPr>
          <w:cantSplit/>
          <w:trHeight w:hRule="exact" w:val="285"/>
          <w:jc w:val="center"/>
        </w:trPr>
        <w:tc>
          <w:tcPr>
            <w:tcW w:w="2235" w:type="dxa"/>
            <w:tcBorders>
              <w:top w:val="nil"/>
              <w:left w:val="nil"/>
              <w:bottom w:val="nil"/>
              <w:right w:val="nil"/>
            </w:tcBorders>
            <w:shd w:val="clear" w:color="auto" w:fill="CCEEFF"/>
            <w:tcMar>
              <w:top w:w="0" w:type="dxa"/>
              <w:left w:w="53" w:type="dxa"/>
              <w:bottom w:w="0" w:type="dxa"/>
              <w:right w:w="53" w:type="dxa"/>
            </w:tcMar>
            <w:vAlign w:val="bottom"/>
          </w:tcPr>
          <w:p w14:paraId="5C01C185" w14:textId="77777777" w:rsidR="00C56203" w:rsidRDefault="00CD5102">
            <w:pPr>
              <w:keepNext/>
              <w:spacing w:before="75" w:after="30"/>
              <w:ind w:left="120"/>
            </w:pPr>
            <w:proofErr w:type="spellStart"/>
            <w:r>
              <w:rPr>
                <w:b/>
                <w:color w:val="000000"/>
                <w:sz w:val="16"/>
              </w:rPr>
              <w:t>Solta</w:t>
            </w:r>
            <w:proofErr w:type="spellEnd"/>
            <w:r>
              <w:rPr>
                <w:b/>
                <w:color w:val="000000"/>
                <w:sz w:val="16"/>
              </w:rPr>
              <w:t xml:space="preserve"> Medical</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A69FD48" w14:textId="77777777" w:rsidR="00C56203" w:rsidRDefault="00C56203">
            <w:pPr>
              <w:keepNext/>
            </w:pPr>
          </w:p>
        </w:tc>
        <w:tc>
          <w:tcPr>
            <w:tcW w:w="6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F26978F" w14:textId="77777777" w:rsidR="00C56203" w:rsidRDefault="00CD5102">
            <w:pPr>
              <w:keepNext/>
              <w:tabs>
                <w:tab w:val="left" w:pos="366"/>
                <w:tab w:val="left" w:pos="577"/>
              </w:tabs>
              <w:spacing w:before="75" w:after="30"/>
              <w:jc w:val="right"/>
            </w:pPr>
            <w:r>
              <w:rPr>
                <w:color w:val="000000"/>
                <w:sz w:val="16"/>
              </w:rPr>
              <w:tab/>
              <w:t>73</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6913212" w14:textId="77777777" w:rsidR="00C56203" w:rsidRDefault="00C56203">
            <w:pPr>
              <w:keepNext/>
            </w:pPr>
          </w:p>
        </w:tc>
        <w:tc>
          <w:tcPr>
            <w:tcW w:w="7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B3AD6AB" w14:textId="77777777" w:rsidR="00C56203" w:rsidRDefault="00CD5102">
            <w:pPr>
              <w:keepNext/>
              <w:tabs>
                <w:tab w:val="left" w:pos="506"/>
                <w:tab w:val="left" w:pos="637"/>
              </w:tabs>
              <w:spacing w:before="75" w:after="30"/>
              <w:jc w:val="right"/>
            </w:pPr>
            <w:r>
              <w:rPr>
                <w:color w:val="000000"/>
                <w:sz w:val="16"/>
              </w:rPr>
              <w:tab/>
              <w:t>3</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B4A612C" w14:textId="77777777" w:rsidR="00C56203" w:rsidRDefault="00C56203">
            <w:pPr>
              <w:keepNext/>
            </w:pPr>
          </w:p>
        </w:tc>
        <w:tc>
          <w:tcPr>
            <w:tcW w:w="76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F7EA2FB" w14:textId="77777777" w:rsidR="00C56203" w:rsidRDefault="00CD5102">
            <w:pPr>
              <w:keepNext/>
              <w:tabs>
                <w:tab w:val="left" w:pos="486"/>
                <w:tab w:val="left" w:pos="69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83F7AC2" w14:textId="77777777" w:rsidR="00C56203" w:rsidRDefault="00C56203">
            <w:pPr>
              <w:keepNext/>
            </w:pPr>
          </w:p>
        </w:tc>
        <w:tc>
          <w:tcPr>
            <w:tcW w:w="6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6553CD0" w14:textId="77777777" w:rsidR="00C56203" w:rsidRDefault="00CD5102">
            <w:pPr>
              <w:keepNext/>
              <w:tabs>
                <w:tab w:val="left" w:pos="366"/>
                <w:tab w:val="left" w:pos="577"/>
              </w:tabs>
              <w:spacing w:before="75" w:after="30"/>
              <w:jc w:val="right"/>
            </w:pPr>
            <w:r>
              <w:rPr>
                <w:color w:val="000000"/>
                <w:sz w:val="16"/>
              </w:rPr>
              <w:t>$</w:t>
            </w:r>
            <w:r>
              <w:rPr>
                <w:color w:val="000000"/>
                <w:sz w:val="16"/>
              </w:rPr>
              <w:tab/>
              <w:t>76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F0AFDAF" w14:textId="77777777" w:rsidR="00C56203" w:rsidRDefault="00C56203">
            <w:pPr>
              <w:keepNext/>
            </w:pPr>
          </w:p>
        </w:tc>
        <w:tc>
          <w:tcPr>
            <w:tcW w:w="6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3B301CF" w14:textId="77777777" w:rsidR="00C56203" w:rsidRDefault="00CD5102">
            <w:pPr>
              <w:keepNext/>
              <w:tabs>
                <w:tab w:val="left" w:pos="366"/>
                <w:tab w:val="left" w:pos="577"/>
              </w:tabs>
              <w:spacing w:before="75" w:after="30"/>
              <w:jc w:val="right"/>
            </w:pPr>
            <w:r>
              <w:rPr>
                <w:color w:val="000000"/>
                <w:sz w:val="16"/>
              </w:rPr>
              <w:tab/>
              <w:t>72</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55936DF" w14:textId="77777777" w:rsidR="00C56203" w:rsidRDefault="00C56203">
            <w:pPr>
              <w:keepNext/>
            </w:pPr>
          </w:p>
        </w:tc>
        <w:tc>
          <w:tcPr>
            <w:tcW w:w="97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A9AC63A" w14:textId="77777777" w:rsidR="00C56203" w:rsidRDefault="00CD5102">
            <w:pPr>
              <w:keepNext/>
              <w:tabs>
                <w:tab w:val="left" w:pos="696"/>
                <w:tab w:val="left" w:pos="907"/>
              </w:tabs>
              <w:spacing w:before="75" w:after="30"/>
              <w:jc w:val="right"/>
            </w:pPr>
            <w:r>
              <w:rPr>
                <w:color w:val="000000"/>
                <w:sz w:val="16"/>
              </w:rPr>
              <w:tab/>
              <w:t>—</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EB38845" w14:textId="77777777" w:rsidR="00C56203" w:rsidRDefault="00C56203">
            <w:pPr>
              <w:keepNext/>
            </w:pPr>
          </w:p>
        </w:tc>
        <w:tc>
          <w:tcPr>
            <w:tcW w:w="6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87F99CE" w14:textId="77777777" w:rsidR="00C56203" w:rsidRDefault="00CD5102">
            <w:pPr>
              <w:keepNext/>
              <w:tabs>
                <w:tab w:val="left" w:pos="381"/>
                <w:tab w:val="left" w:pos="592"/>
              </w:tabs>
              <w:spacing w:before="75" w:after="30"/>
              <w:jc w:val="right"/>
            </w:pPr>
            <w:r>
              <w:rPr>
                <w:color w:val="000000"/>
                <w:sz w:val="16"/>
              </w:rPr>
              <w:tab/>
              <w:t>72</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23C4C67" w14:textId="77777777" w:rsidR="00C56203" w:rsidRDefault="00C56203">
            <w:pPr>
              <w:keepNext/>
            </w:pPr>
          </w:p>
        </w:tc>
        <w:tc>
          <w:tcPr>
            <w:tcW w:w="52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E4BD9B8" w14:textId="77777777" w:rsidR="00C56203" w:rsidRDefault="00CD5102">
            <w:pPr>
              <w:keepNext/>
              <w:tabs>
                <w:tab w:val="left" w:pos="326"/>
                <w:tab w:val="left" w:pos="457"/>
              </w:tabs>
              <w:spacing w:before="75" w:after="30"/>
              <w:jc w:val="right"/>
            </w:pPr>
            <w:r>
              <w:rPr>
                <w:color w:val="000000"/>
                <w:sz w:val="16"/>
              </w:rPr>
              <w:tab/>
              <w:t>1</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EEC3A90" w14:textId="77777777" w:rsidR="00C56203" w:rsidRDefault="00C56203">
            <w:pPr>
              <w:keepNext/>
            </w:pPr>
          </w:p>
        </w:tc>
        <w:tc>
          <w:tcPr>
            <w:tcW w:w="495" w:type="dxa"/>
            <w:tcBorders>
              <w:top w:val="nil"/>
              <w:left w:val="nil"/>
              <w:bottom w:val="nil"/>
              <w:right w:val="nil"/>
            </w:tcBorders>
            <w:shd w:val="clear" w:color="auto" w:fill="CCEEFF"/>
            <w:tcMar>
              <w:top w:w="0" w:type="dxa"/>
              <w:left w:w="0" w:type="dxa"/>
              <w:bottom w:w="0" w:type="dxa"/>
              <w:right w:w="15" w:type="dxa"/>
            </w:tcMar>
            <w:vAlign w:val="bottom"/>
          </w:tcPr>
          <w:p w14:paraId="578F9488" w14:textId="77777777" w:rsidR="00C56203" w:rsidRDefault="00CD5102">
            <w:pPr>
              <w:keepNext/>
              <w:tabs>
                <w:tab w:val="left" w:pos="1"/>
                <w:tab w:val="left" w:pos="136"/>
              </w:tabs>
              <w:spacing w:before="75" w:after="30"/>
              <w:jc w:val="right"/>
            </w:pPr>
            <w:r>
              <w:rPr>
                <w:color w:val="000000"/>
                <w:sz w:val="16"/>
              </w:rPr>
              <w:tab/>
              <w:t>1</w:t>
            </w:r>
            <w:r>
              <w:rPr>
                <w:color w:val="000000"/>
                <w:sz w:val="16"/>
              </w:rPr>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A4206AA" w14:textId="77777777" w:rsidR="00C56203" w:rsidRDefault="00C56203">
            <w:pPr>
              <w:keepNext/>
            </w:pPr>
          </w:p>
        </w:tc>
        <w:tc>
          <w:tcPr>
            <w:tcW w:w="52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20678C2" w14:textId="77777777" w:rsidR="00C56203" w:rsidRDefault="00CD5102">
            <w:pPr>
              <w:keepNext/>
              <w:tabs>
                <w:tab w:val="left" w:pos="326"/>
                <w:tab w:val="left" w:pos="457"/>
              </w:tabs>
              <w:spacing w:before="75" w:after="30"/>
              <w:jc w:val="right"/>
            </w:pPr>
            <w:r>
              <w:rPr>
                <w:color w:val="000000"/>
                <w:sz w:val="16"/>
              </w:rPr>
              <w:tab/>
              <w:t>4</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D536B84" w14:textId="77777777" w:rsidR="00C56203" w:rsidRDefault="00C56203">
            <w:pPr>
              <w:keepNext/>
            </w:pPr>
          </w:p>
        </w:tc>
        <w:tc>
          <w:tcPr>
            <w:tcW w:w="495" w:type="dxa"/>
            <w:tcBorders>
              <w:top w:val="nil"/>
              <w:left w:val="nil"/>
              <w:bottom w:val="nil"/>
              <w:right w:val="nil"/>
            </w:tcBorders>
            <w:shd w:val="clear" w:color="auto" w:fill="CCEEFF"/>
            <w:tcMar>
              <w:top w:w="0" w:type="dxa"/>
              <w:left w:w="0" w:type="dxa"/>
              <w:bottom w:w="0" w:type="dxa"/>
              <w:right w:w="15" w:type="dxa"/>
            </w:tcMar>
            <w:vAlign w:val="bottom"/>
          </w:tcPr>
          <w:p w14:paraId="245073E8" w14:textId="77777777" w:rsidR="00C56203" w:rsidRDefault="00CD5102">
            <w:pPr>
              <w:keepNext/>
              <w:tabs>
                <w:tab w:val="left" w:pos="1"/>
                <w:tab w:val="left" w:pos="136"/>
              </w:tabs>
              <w:spacing w:before="75" w:after="30"/>
              <w:jc w:val="right"/>
            </w:pPr>
            <w:r>
              <w:rPr>
                <w:color w:val="000000"/>
                <w:sz w:val="16"/>
              </w:rPr>
              <w:tab/>
              <w:t>6</w:t>
            </w:r>
            <w:r>
              <w:rPr>
                <w:color w:val="000000"/>
                <w:sz w:val="16"/>
              </w:rPr>
              <w:tab/>
              <w:t>%</w:t>
            </w:r>
          </w:p>
        </w:tc>
      </w:tr>
      <w:tr w:rsidR="00C56203" w14:paraId="786D9B86" w14:textId="77777777">
        <w:trPr>
          <w:cantSplit/>
          <w:trHeight w:hRule="exact" w:val="285"/>
          <w:jc w:val="center"/>
        </w:trPr>
        <w:tc>
          <w:tcPr>
            <w:tcW w:w="2235" w:type="dxa"/>
            <w:tcBorders>
              <w:top w:val="nil"/>
              <w:left w:val="nil"/>
              <w:bottom w:val="nil"/>
              <w:right w:val="nil"/>
            </w:tcBorders>
            <w:shd w:val="clear" w:color="auto" w:fill="FFFFFF"/>
            <w:tcMar>
              <w:top w:w="0" w:type="dxa"/>
              <w:left w:w="0" w:type="dxa"/>
              <w:bottom w:w="0" w:type="dxa"/>
              <w:right w:w="0" w:type="dxa"/>
            </w:tcMar>
            <w:vAlign w:val="bottom"/>
          </w:tcPr>
          <w:p w14:paraId="3F456611" w14:textId="77777777" w:rsidR="00C56203" w:rsidRDefault="00C56203">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46974B0" w14:textId="77777777" w:rsidR="00C56203" w:rsidRDefault="00C56203">
            <w:pPr>
              <w:keepNext/>
            </w:pPr>
          </w:p>
        </w:tc>
        <w:tc>
          <w:tcPr>
            <w:tcW w:w="64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3CAE6DF6" w14:textId="77777777" w:rsidR="00C56203" w:rsidRDefault="00C56203">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ABD5109" w14:textId="77777777" w:rsidR="00C56203" w:rsidRDefault="00C56203">
            <w:pPr>
              <w:keepNext/>
            </w:pPr>
          </w:p>
        </w:tc>
        <w:tc>
          <w:tcPr>
            <w:tcW w:w="70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1BDA7181" w14:textId="77777777" w:rsidR="00C56203" w:rsidRDefault="00C56203">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6413449" w14:textId="77777777" w:rsidR="00C56203" w:rsidRDefault="00C56203">
            <w:pPr>
              <w:keepNext/>
            </w:pPr>
          </w:p>
        </w:tc>
        <w:tc>
          <w:tcPr>
            <w:tcW w:w="76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2E7FA6DE" w14:textId="77777777" w:rsidR="00C56203" w:rsidRDefault="00C56203">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2315E06" w14:textId="77777777" w:rsidR="00C56203" w:rsidRDefault="00C56203">
            <w:pPr>
              <w:keepNext/>
            </w:pPr>
          </w:p>
        </w:tc>
        <w:tc>
          <w:tcPr>
            <w:tcW w:w="64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6AF1020A" w14:textId="77777777" w:rsidR="00C56203" w:rsidRDefault="00C56203">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AE82F32" w14:textId="77777777" w:rsidR="00C56203" w:rsidRDefault="00C56203">
            <w:pPr>
              <w:keepNext/>
            </w:pPr>
          </w:p>
        </w:tc>
        <w:tc>
          <w:tcPr>
            <w:tcW w:w="64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8676ADA"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27B174C" w14:textId="77777777" w:rsidR="00C56203" w:rsidRDefault="00C56203">
            <w:pPr>
              <w:keepNext/>
            </w:pPr>
          </w:p>
        </w:tc>
        <w:tc>
          <w:tcPr>
            <w:tcW w:w="9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373979E1"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3057A37" w14:textId="77777777" w:rsidR="00C56203" w:rsidRDefault="00C56203">
            <w:pPr>
              <w:keepNext/>
            </w:pPr>
          </w:p>
        </w:tc>
        <w:tc>
          <w:tcPr>
            <w:tcW w:w="66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42E62C6"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2903B1E" w14:textId="77777777" w:rsidR="00C56203" w:rsidRDefault="00C56203">
            <w:pPr>
              <w:keepNext/>
            </w:pPr>
          </w:p>
        </w:tc>
        <w:tc>
          <w:tcPr>
            <w:tcW w:w="52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6238CB08" w14:textId="77777777" w:rsidR="00C56203" w:rsidRDefault="00C56203">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7D1E9A4" w14:textId="77777777" w:rsidR="00C56203" w:rsidRDefault="00C56203">
            <w:pPr>
              <w:keepNext/>
            </w:pPr>
          </w:p>
        </w:tc>
        <w:tc>
          <w:tcPr>
            <w:tcW w:w="495" w:type="dxa"/>
            <w:tcBorders>
              <w:top w:val="nil"/>
              <w:left w:val="nil"/>
              <w:bottom w:val="nil"/>
              <w:right w:val="nil"/>
            </w:tcBorders>
            <w:shd w:val="clear" w:color="auto" w:fill="FFFFFF"/>
            <w:tcMar>
              <w:top w:w="0" w:type="dxa"/>
              <w:left w:w="0" w:type="dxa"/>
              <w:bottom w:w="0" w:type="dxa"/>
              <w:right w:w="0" w:type="dxa"/>
            </w:tcMar>
            <w:vAlign w:val="bottom"/>
          </w:tcPr>
          <w:p w14:paraId="0AFD1C76"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B399337" w14:textId="77777777" w:rsidR="00C56203" w:rsidRDefault="00C56203">
            <w:pPr>
              <w:keepNext/>
            </w:pPr>
          </w:p>
        </w:tc>
        <w:tc>
          <w:tcPr>
            <w:tcW w:w="52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5AD16F3C"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FA52ADD" w14:textId="77777777" w:rsidR="00C56203" w:rsidRDefault="00C56203">
            <w:pPr>
              <w:keepNext/>
            </w:pPr>
          </w:p>
        </w:tc>
        <w:tc>
          <w:tcPr>
            <w:tcW w:w="495" w:type="dxa"/>
            <w:tcBorders>
              <w:top w:val="nil"/>
              <w:left w:val="nil"/>
              <w:bottom w:val="nil"/>
              <w:right w:val="nil"/>
            </w:tcBorders>
            <w:shd w:val="clear" w:color="auto" w:fill="FFFFFF"/>
            <w:tcMar>
              <w:top w:w="0" w:type="dxa"/>
              <w:left w:w="0" w:type="dxa"/>
              <w:bottom w:w="0" w:type="dxa"/>
              <w:right w:w="0" w:type="dxa"/>
            </w:tcMar>
            <w:vAlign w:val="bottom"/>
          </w:tcPr>
          <w:p w14:paraId="6E6A207F" w14:textId="77777777" w:rsidR="00C56203" w:rsidRDefault="00C56203">
            <w:pPr>
              <w:keepNext/>
            </w:pPr>
          </w:p>
        </w:tc>
      </w:tr>
      <w:tr w:rsidR="00C56203" w14:paraId="54369590" w14:textId="77777777">
        <w:trPr>
          <w:cantSplit/>
          <w:trHeight w:hRule="exact" w:val="285"/>
          <w:jc w:val="center"/>
        </w:trPr>
        <w:tc>
          <w:tcPr>
            <w:tcW w:w="2235" w:type="dxa"/>
            <w:tcBorders>
              <w:top w:val="nil"/>
              <w:left w:val="nil"/>
              <w:bottom w:val="nil"/>
              <w:right w:val="nil"/>
            </w:tcBorders>
            <w:shd w:val="clear" w:color="auto" w:fill="CCEEFF"/>
            <w:tcMar>
              <w:top w:w="0" w:type="dxa"/>
              <w:left w:w="53" w:type="dxa"/>
              <w:bottom w:w="0" w:type="dxa"/>
              <w:right w:w="53" w:type="dxa"/>
            </w:tcMar>
            <w:vAlign w:val="bottom"/>
          </w:tcPr>
          <w:p w14:paraId="1FF45965" w14:textId="77777777" w:rsidR="00C56203" w:rsidRDefault="00CD5102">
            <w:pPr>
              <w:keepNext/>
              <w:spacing w:before="75" w:after="30"/>
              <w:ind w:left="120"/>
            </w:pPr>
            <w:r>
              <w:rPr>
                <w:b/>
                <w:color w:val="000000"/>
                <w:sz w:val="16"/>
              </w:rPr>
              <w:t>Diversified</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C1638F3" w14:textId="77777777" w:rsidR="00C56203" w:rsidRDefault="00C56203">
            <w:pPr>
              <w:keepNext/>
            </w:pPr>
          </w:p>
        </w:tc>
        <w:tc>
          <w:tcPr>
            <w:tcW w:w="645" w:type="dxa"/>
            <w:tcBorders>
              <w:top w:val="nil"/>
              <w:left w:val="nil"/>
              <w:bottom w:val="nil"/>
              <w:right w:val="nil"/>
            </w:tcBorders>
            <w:shd w:val="clear" w:color="auto" w:fill="CCEEFF"/>
            <w:tcMar>
              <w:top w:w="0" w:type="dxa"/>
              <w:left w:w="0" w:type="dxa"/>
              <w:bottom w:w="0" w:type="dxa"/>
              <w:right w:w="0" w:type="dxa"/>
            </w:tcMar>
            <w:vAlign w:val="bottom"/>
          </w:tcPr>
          <w:p w14:paraId="7B93CA7E" w14:textId="77777777" w:rsidR="00C56203" w:rsidRDefault="00C56203">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FCC4CAA" w14:textId="77777777" w:rsidR="00C56203" w:rsidRDefault="00C56203">
            <w:pPr>
              <w:keepNext/>
            </w:pPr>
          </w:p>
        </w:tc>
        <w:tc>
          <w:tcPr>
            <w:tcW w:w="705" w:type="dxa"/>
            <w:tcBorders>
              <w:top w:val="nil"/>
              <w:left w:val="nil"/>
              <w:bottom w:val="nil"/>
              <w:right w:val="nil"/>
            </w:tcBorders>
            <w:shd w:val="clear" w:color="auto" w:fill="CCEEFF"/>
            <w:tcMar>
              <w:top w:w="0" w:type="dxa"/>
              <w:left w:w="0" w:type="dxa"/>
              <w:bottom w:w="0" w:type="dxa"/>
              <w:right w:w="0" w:type="dxa"/>
            </w:tcMar>
            <w:vAlign w:val="bottom"/>
          </w:tcPr>
          <w:p w14:paraId="0BA61092" w14:textId="77777777" w:rsidR="00C56203" w:rsidRDefault="00C56203">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CD6596C" w14:textId="77777777" w:rsidR="00C56203" w:rsidRDefault="00C56203">
            <w:pPr>
              <w:keepNext/>
            </w:pPr>
          </w:p>
        </w:tc>
        <w:tc>
          <w:tcPr>
            <w:tcW w:w="765" w:type="dxa"/>
            <w:tcBorders>
              <w:top w:val="nil"/>
              <w:left w:val="nil"/>
              <w:bottom w:val="nil"/>
              <w:right w:val="nil"/>
            </w:tcBorders>
            <w:shd w:val="clear" w:color="auto" w:fill="CCEEFF"/>
            <w:tcMar>
              <w:top w:w="0" w:type="dxa"/>
              <w:left w:w="0" w:type="dxa"/>
              <w:bottom w:w="0" w:type="dxa"/>
              <w:right w:w="0" w:type="dxa"/>
            </w:tcMar>
            <w:vAlign w:val="bottom"/>
          </w:tcPr>
          <w:p w14:paraId="463180C4" w14:textId="77777777" w:rsidR="00C56203" w:rsidRDefault="00C56203">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425B4D8" w14:textId="77777777" w:rsidR="00C56203" w:rsidRDefault="00C56203">
            <w:pPr>
              <w:keepNext/>
            </w:pPr>
          </w:p>
        </w:tc>
        <w:tc>
          <w:tcPr>
            <w:tcW w:w="645" w:type="dxa"/>
            <w:tcBorders>
              <w:top w:val="nil"/>
              <w:left w:val="nil"/>
              <w:bottom w:val="nil"/>
              <w:right w:val="nil"/>
            </w:tcBorders>
            <w:shd w:val="clear" w:color="auto" w:fill="CCEEFF"/>
            <w:tcMar>
              <w:top w:w="0" w:type="dxa"/>
              <w:left w:w="0" w:type="dxa"/>
              <w:bottom w:w="0" w:type="dxa"/>
              <w:right w:w="0" w:type="dxa"/>
            </w:tcMar>
            <w:vAlign w:val="bottom"/>
          </w:tcPr>
          <w:p w14:paraId="6597B3E9" w14:textId="77777777" w:rsidR="00C56203" w:rsidRDefault="00C56203">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7DDCBC9" w14:textId="77777777" w:rsidR="00C56203" w:rsidRDefault="00C56203">
            <w:pPr>
              <w:keepNext/>
            </w:pPr>
          </w:p>
        </w:tc>
        <w:tc>
          <w:tcPr>
            <w:tcW w:w="645" w:type="dxa"/>
            <w:tcBorders>
              <w:top w:val="nil"/>
              <w:left w:val="nil"/>
              <w:bottom w:val="nil"/>
              <w:right w:val="nil"/>
            </w:tcBorders>
            <w:shd w:val="clear" w:color="auto" w:fill="CCEEFF"/>
            <w:tcMar>
              <w:top w:w="0" w:type="dxa"/>
              <w:left w:w="0" w:type="dxa"/>
              <w:bottom w:w="0" w:type="dxa"/>
              <w:right w:w="0" w:type="dxa"/>
            </w:tcMar>
            <w:vAlign w:val="bottom"/>
          </w:tcPr>
          <w:p w14:paraId="62DFA533" w14:textId="77777777" w:rsidR="00C56203" w:rsidRDefault="00C56203">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8D184CC" w14:textId="77777777" w:rsidR="00C56203" w:rsidRDefault="00C56203">
            <w:pPr>
              <w:keepNext/>
            </w:pPr>
          </w:p>
        </w:tc>
        <w:tc>
          <w:tcPr>
            <w:tcW w:w="975" w:type="dxa"/>
            <w:tcBorders>
              <w:top w:val="nil"/>
              <w:left w:val="nil"/>
              <w:bottom w:val="nil"/>
              <w:right w:val="nil"/>
            </w:tcBorders>
            <w:shd w:val="clear" w:color="auto" w:fill="CCEEFF"/>
            <w:tcMar>
              <w:top w:w="0" w:type="dxa"/>
              <w:left w:w="0" w:type="dxa"/>
              <w:bottom w:w="0" w:type="dxa"/>
              <w:right w:w="0" w:type="dxa"/>
            </w:tcMar>
            <w:vAlign w:val="bottom"/>
          </w:tcPr>
          <w:p w14:paraId="58E055D5" w14:textId="77777777" w:rsidR="00C56203" w:rsidRDefault="00C56203">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149B069" w14:textId="77777777" w:rsidR="00C56203" w:rsidRDefault="00C56203">
            <w:pPr>
              <w:keepNext/>
            </w:pPr>
          </w:p>
        </w:tc>
        <w:tc>
          <w:tcPr>
            <w:tcW w:w="660" w:type="dxa"/>
            <w:tcBorders>
              <w:top w:val="nil"/>
              <w:left w:val="nil"/>
              <w:bottom w:val="nil"/>
              <w:right w:val="nil"/>
            </w:tcBorders>
            <w:shd w:val="clear" w:color="auto" w:fill="CCEEFF"/>
            <w:tcMar>
              <w:top w:w="0" w:type="dxa"/>
              <w:left w:w="0" w:type="dxa"/>
              <w:bottom w:w="0" w:type="dxa"/>
              <w:right w:w="0" w:type="dxa"/>
            </w:tcMar>
            <w:vAlign w:val="bottom"/>
          </w:tcPr>
          <w:p w14:paraId="7301726D" w14:textId="77777777" w:rsidR="00C56203" w:rsidRDefault="00C56203">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98FA7FA" w14:textId="77777777" w:rsidR="00C56203" w:rsidRDefault="00C56203">
            <w:pPr>
              <w:keepNext/>
            </w:pPr>
          </w:p>
        </w:tc>
        <w:tc>
          <w:tcPr>
            <w:tcW w:w="525" w:type="dxa"/>
            <w:tcBorders>
              <w:top w:val="nil"/>
              <w:left w:val="nil"/>
              <w:bottom w:val="nil"/>
              <w:right w:val="nil"/>
            </w:tcBorders>
            <w:shd w:val="clear" w:color="auto" w:fill="CCEEFF"/>
            <w:tcMar>
              <w:top w:w="0" w:type="dxa"/>
              <w:left w:w="0" w:type="dxa"/>
              <w:bottom w:w="0" w:type="dxa"/>
              <w:right w:w="0" w:type="dxa"/>
            </w:tcMar>
            <w:vAlign w:val="bottom"/>
          </w:tcPr>
          <w:p w14:paraId="372BD659" w14:textId="77777777" w:rsidR="00C56203" w:rsidRDefault="00C56203">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7CAD479" w14:textId="77777777" w:rsidR="00C56203" w:rsidRDefault="00C56203">
            <w:pPr>
              <w:keepNext/>
            </w:pPr>
          </w:p>
        </w:tc>
        <w:tc>
          <w:tcPr>
            <w:tcW w:w="495" w:type="dxa"/>
            <w:tcBorders>
              <w:top w:val="nil"/>
              <w:left w:val="nil"/>
              <w:bottom w:val="nil"/>
              <w:right w:val="nil"/>
            </w:tcBorders>
            <w:shd w:val="clear" w:color="auto" w:fill="CCEEFF"/>
            <w:tcMar>
              <w:top w:w="0" w:type="dxa"/>
              <w:left w:w="0" w:type="dxa"/>
              <w:bottom w:w="0" w:type="dxa"/>
              <w:right w:w="0" w:type="dxa"/>
            </w:tcMar>
            <w:vAlign w:val="bottom"/>
          </w:tcPr>
          <w:p w14:paraId="2B45EC04" w14:textId="77777777" w:rsidR="00C56203" w:rsidRDefault="00C56203">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47C28ED" w14:textId="77777777" w:rsidR="00C56203" w:rsidRDefault="00C56203">
            <w:pPr>
              <w:keepNext/>
            </w:pPr>
          </w:p>
        </w:tc>
        <w:tc>
          <w:tcPr>
            <w:tcW w:w="525" w:type="dxa"/>
            <w:tcBorders>
              <w:top w:val="nil"/>
              <w:left w:val="nil"/>
              <w:bottom w:val="nil"/>
              <w:right w:val="nil"/>
            </w:tcBorders>
            <w:shd w:val="clear" w:color="auto" w:fill="CCEEFF"/>
            <w:tcMar>
              <w:top w:w="0" w:type="dxa"/>
              <w:left w:w="0" w:type="dxa"/>
              <w:bottom w:w="0" w:type="dxa"/>
              <w:right w:w="0" w:type="dxa"/>
            </w:tcMar>
            <w:vAlign w:val="bottom"/>
          </w:tcPr>
          <w:p w14:paraId="1A3ACCEA" w14:textId="77777777" w:rsidR="00C56203" w:rsidRDefault="00C56203">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CD3E50E" w14:textId="77777777" w:rsidR="00C56203" w:rsidRDefault="00C56203">
            <w:pPr>
              <w:keepNext/>
            </w:pPr>
          </w:p>
        </w:tc>
        <w:tc>
          <w:tcPr>
            <w:tcW w:w="495" w:type="dxa"/>
            <w:tcBorders>
              <w:top w:val="nil"/>
              <w:left w:val="nil"/>
              <w:bottom w:val="nil"/>
              <w:right w:val="nil"/>
            </w:tcBorders>
            <w:shd w:val="clear" w:color="auto" w:fill="CCEEFF"/>
            <w:tcMar>
              <w:top w:w="0" w:type="dxa"/>
              <w:left w:w="0" w:type="dxa"/>
              <w:bottom w:w="0" w:type="dxa"/>
              <w:right w:w="0" w:type="dxa"/>
            </w:tcMar>
            <w:vAlign w:val="bottom"/>
          </w:tcPr>
          <w:p w14:paraId="48071ED4" w14:textId="77777777" w:rsidR="00C56203" w:rsidRDefault="00C56203">
            <w:pPr>
              <w:keepNext/>
            </w:pPr>
          </w:p>
        </w:tc>
      </w:tr>
      <w:tr w:rsidR="00C56203" w14:paraId="2AE9572E" w14:textId="77777777">
        <w:trPr>
          <w:cantSplit/>
          <w:trHeight w:hRule="exact" w:val="285"/>
          <w:jc w:val="center"/>
        </w:trPr>
        <w:tc>
          <w:tcPr>
            <w:tcW w:w="2235" w:type="dxa"/>
            <w:tcBorders>
              <w:top w:val="nil"/>
              <w:left w:val="nil"/>
              <w:bottom w:val="nil"/>
              <w:right w:val="nil"/>
            </w:tcBorders>
            <w:shd w:val="clear" w:color="auto" w:fill="FFFFFF"/>
            <w:tcMar>
              <w:top w:w="0" w:type="dxa"/>
              <w:left w:w="53" w:type="dxa"/>
              <w:bottom w:w="0" w:type="dxa"/>
              <w:right w:w="53" w:type="dxa"/>
            </w:tcMar>
            <w:vAlign w:val="bottom"/>
          </w:tcPr>
          <w:p w14:paraId="4D149A64" w14:textId="77777777" w:rsidR="00C56203" w:rsidRDefault="00CD5102">
            <w:pPr>
              <w:keepNext/>
              <w:spacing w:before="75" w:after="30"/>
              <w:ind w:left="180"/>
            </w:pPr>
            <w:r>
              <w:rPr>
                <w:color w:val="000000"/>
                <w:sz w:val="16"/>
              </w:rPr>
              <w:t>Neuro</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A73C971" w14:textId="77777777" w:rsidR="00C56203" w:rsidRDefault="00C56203">
            <w:pPr>
              <w:keepNext/>
            </w:pPr>
          </w:p>
        </w:tc>
        <w:tc>
          <w:tcPr>
            <w:tcW w:w="645" w:type="dxa"/>
            <w:tcBorders>
              <w:top w:val="nil"/>
              <w:left w:val="nil"/>
              <w:bottom w:val="nil"/>
              <w:right w:val="nil"/>
            </w:tcBorders>
            <w:shd w:val="clear" w:color="auto" w:fill="FFFFFF"/>
            <w:tcMar>
              <w:top w:w="0" w:type="dxa"/>
              <w:left w:w="0" w:type="dxa"/>
              <w:bottom w:w="0" w:type="dxa"/>
              <w:right w:w="15" w:type="dxa"/>
            </w:tcMar>
            <w:vAlign w:val="bottom"/>
          </w:tcPr>
          <w:p w14:paraId="3703C918" w14:textId="77777777" w:rsidR="00C56203" w:rsidRDefault="00CD5102">
            <w:pPr>
              <w:keepNext/>
              <w:tabs>
                <w:tab w:val="left" w:pos="286"/>
                <w:tab w:val="left" w:pos="577"/>
              </w:tabs>
              <w:spacing w:before="75" w:after="30"/>
              <w:jc w:val="right"/>
            </w:pPr>
            <w:r>
              <w:rPr>
                <w:color w:val="000000"/>
                <w:sz w:val="16"/>
              </w:rPr>
              <w:tab/>
              <w:t>102</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7467DC7" w14:textId="77777777" w:rsidR="00C56203" w:rsidRDefault="00C56203">
            <w:pPr>
              <w:keepNext/>
            </w:pPr>
          </w:p>
        </w:tc>
        <w:tc>
          <w:tcPr>
            <w:tcW w:w="705" w:type="dxa"/>
            <w:tcBorders>
              <w:top w:val="nil"/>
              <w:left w:val="nil"/>
              <w:bottom w:val="nil"/>
              <w:right w:val="nil"/>
            </w:tcBorders>
            <w:shd w:val="clear" w:color="auto" w:fill="FFFFFF"/>
            <w:tcMar>
              <w:top w:w="0" w:type="dxa"/>
              <w:left w:w="0" w:type="dxa"/>
              <w:bottom w:w="0" w:type="dxa"/>
              <w:right w:w="15" w:type="dxa"/>
            </w:tcMar>
            <w:vAlign w:val="bottom"/>
          </w:tcPr>
          <w:p w14:paraId="56540FE3" w14:textId="77777777" w:rsidR="00C56203" w:rsidRDefault="00CD5102">
            <w:pPr>
              <w:keepNext/>
              <w:tabs>
                <w:tab w:val="left" w:pos="426"/>
                <w:tab w:val="left" w:pos="63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1F25413" w14:textId="77777777" w:rsidR="00C56203" w:rsidRDefault="00C56203">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bottom"/>
          </w:tcPr>
          <w:p w14:paraId="78904A38" w14:textId="77777777" w:rsidR="00C56203" w:rsidRDefault="00CD5102">
            <w:pPr>
              <w:keepNext/>
              <w:tabs>
                <w:tab w:val="left" w:pos="486"/>
                <w:tab w:val="left" w:pos="69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27C4725" w14:textId="77777777" w:rsidR="00C56203" w:rsidRDefault="00C56203">
            <w:pPr>
              <w:keepNext/>
            </w:pPr>
          </w:p>
        </w:tc>
        <w:tc>
          <w:tcPr>
            <w:tcW w:w="645" w:type="dxa"/>
            <w:tcBorders>
              <w:top w:val="nil"/>
              <w:left w:val="nil"/>
              <w:bottom w:val="nil"/>
              <w:right w:val="nil"/>
            </w:tcBorders>
            <w:shd w:val="clear" w:color="auto" w:fill="FFFFFF"/>
            <w:tcMar>
              <w:top w:w="0" w:type="dxa"/>
              <w:left w:w="0" w:type="dxa"/>
              <w:bottom w:w="0" w:type="dxa"/>
              <w:right w:w="15" w:type="dxa"/>
            </w:tcMar>
            <w:vAlign w:val="bottom"/>
          </w:tcPr>
          <w:p w14:paraId="04C23993" w14:textId="77777777" w:rsidR="00C56203" w:rsidRDefault="00CD5102">
            <w:pPr>
              <w:keepNext/>
              <w:tabs>
                <w:tab w:val="left" w:pos="286"/>
                <w:tab w:val="left" w:pos="577"/>
              </w:tabs>
              <w:spacing w:before="75" w:after="30"/>
              <w:jc w:val="right"/>
            </w:pPr>
            <w:r>
              <w:rPr>
                <w:color w:val="000000"/>
                <w:sz w:val="16"/>
              </w:rPr>
              <w:tab/>
              <w:t>102</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A277BCB" w14:textId="77777777" w:rsidR="00C56203" w:rsidRDefault="00C56203">
            <w:pPr>
              <w:keepNext/>
            </w:pPr>
          </w:p>
        </w:tc>
        <w:tc>
          <w:tcPr>
            <w:tcW w:w="645" w:type="dxa"/>
            <w:tcBorders>
              <w:top w:val="nil"/>
              <w:left w:val="nil"/>
              <w:bottom w:val="nil"/>
              <w:right w:val="nil"/>
            </w:tcBorders>
            <w:shd w:val="clear" w:color="auto" w:fill="FFFFFF"/>
            <w:tcMar>
              <w:top w:w="0" w:type="dxa"/>
              <w:left w:w="0" w:type="dxa"/>
              <w:bottom w:w="0" w:type="dxa"/>
              <w:right w:w="15" w:type="dxa"/>
            </w:tcMar>
            <w:vAlign w:val="bottom"/>
          </w:tcPr>
          <w:p w14:paraId="47C4E7D9" w14:textId="77777777" w:rsidR="00C56203" w:rsidRDefault="00CD5102">
            <w:pPr>
              <w:keepNext/>
              <w:tabs>
                <w:tab w:val="left" w:pos="286"/>
                <w:tab w:val="left" w:pos="577"/>
              </w:tabs>
              <w:spacing w:before="75" w:after="30"/>
              <w:jc w:val="right"/>
            </w:pPr>
            <w:r>
              <w:rPr>
                <w:color w:val="000000"/>
                <w:sz w:val="16"/>
              </w:rPr>
              <w:tab/>
              <w:t>128</w:t>
            </w:r>
            <w:r>
              <w:rPr>
                <w:color w:val="000000"/>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7FF4626" w14:textId="77777777" w:rsidR="00C56203" w:rsidRDefault="00C56203">
            <w:pPr>
              <w:keepNext/>
            </w:pP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4733033C" w14:textId="77777777" w:rsidR="00C56203" w:rsidRDefault="00CD5102">
            <w:pPr>
              <w:keepNext/>
              <w:tabs>
                <w:tab w:val="left" w:pos="696"/>
                <w:tab w:val="left" w:pos="907"/>
              </w:tabs>
              <w:spacing w:before="75" w:after="30"/>
              <w:jc w:val="right"/>
            </w:pPr>
            <w:r>
              <w:rPr>
                <w:color w:val="000000"/>
                <w:sz w:val="16"/>
              </w:rPr>
              <w:tab/>
              <w:t>—</w:t>
            </w:r>
            <w:r>
              <w:rPr>
                <w:color w:val="000000"/>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B0FF010" w14:textId="77777777" w:rsidR="00C56203" w:rsidRDefault="00C56203">
            <w:pPr>
              <w:keepNext/>
            </w:pPr>
          </w:p>
        </w:tc>
        <w:tc>
          <w:tcPr>
            <w:tcW w:w="660" w:type="dxa"/>
            <w:tcBorders>
              <w:top w:val="nil"/>
              <w:left w:val="nil"/>
              <w:bottom w:val="nil"/>
              <w:right w:val="nil"/>
            </w:tcBorders>
            <w:shd w:val="clear" w:color="auto" w:fill="FFFFFF"/>
            <w:tcMar>
              <w:top w:w="0" w:type="dxa"/>
              <w:left w:w="0" w:type="dxa"/>
              <w:bottom w:w="0" w:type="dxa"/>
              <w:right w:w="15" w:type="dxa"/>
            </w:tcMar>
            <w:vAlign w:val="bottom"/>
          </w:tcPr>
          <w:p w14:paraId="7D79526D" w14:textId="77777777" w:rsidR="00C56203" w:rsidRDefault="00CD5102">
            <w:pPr>
              <w:keepNext/>
              <w:tabs>
                <w:tab w:val="left" w:pos="301"/>
                <w:tab w:val="left" w:pos="592"/>
              </w:tabs>
              <w:spacing w:before="75" w:after="30"/>
              <w:jc w:val="right"/>
            </w:pPr>
            <w:r>
              <w:rPr>
                <w:color w:val="000000"/>
                <w:sz w:val="16"/>
              </w:rPr>
              <w:tab/>
              <w:t>128</w:t>
            </w:r>
            <w:r>
              <w:rPr>
                <w:color w:val="000000"/>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25C1DC7" w14:textId="77777777" w:rsidR="00C56203" w:rsidRDefault="00C56203">
            <w:pPr>
              <w:keepNext/>
            </w:pPr>
          </w:p>
        </w:tc>
        <w:tc>
          <w:tcPr>
            <w:tcW w:w="525" w:type="dxa"/>
            <w:tcBorders>
              <w:top w:val="nil"/>
              <w:left w:val="nil"/>
              <w:bottom w:val="nil"/>
              <w:right w:val="nil"/>
            </w:tcBorders>
            <w:shd w:val="clear" w:color="auto" w:fill="FFFFFF"/>
            <w:tcMar>
              <w:top w:w="0" w:type="dxa"/>
              <w:left w:w="0" w:type="dxa"/>
              <w:bottom w:w="0" w:type="dxa"/>
              <w:right w:w="15" w:type="dxa"/>
            </w:tcMar>
            <w:vAlign w:val="bottom"/>
          </w:tcPr>
          <w:p w14:paraId="12EF30A4" w14:textId="77777777" w:rsidR="00C56203" w:rsidRDefault="00CD5102">
            <w:pPr>
              <w:keepNext/>
              <w:tabs>
                <w:tab w:val="left" w:pos="172"/>
              </w:tabs>
              <w:spacing w:before="75" w:after="30"/>
              <w:jc w:val="right"/>
            </w:pPr>
            <w:r>
              <w:rPr>
                <w:color w:val="000000"/>
                <w:sz w:val="16"/>
              </w:rPr>
              <w:tab/>
              <w:t>(26)</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D29B2C8" w14:textId="77777777" w:rsidR="00C56203" w:rsidRDefault="00C56203">
            <w:pPr>
              <w:keepNext/>
            </w:pPr>
          </w:p>
        </w:tc>
        <w:tc>
          <w:tcPr>
            <w:tcW w:w="495" w:type="dxa"/>
            <w:tcBorders>
              <w:top w:val="nil"/>
              <w:left w:val="nil"/>
              <w:bottom w:val="nil"/>
              <w:right w:val="nil"/>
            </w:tcBorders>
            <w:shd w:val="clear" w:color="auto" w:fill="FFFFFF"/>
            <w:tcMar>
              <w:top w:w="0" w:type="dxa"/>
              <w:left w:w="0" w:type="dxa"/>
              <w:bottom w:w="0" w:type="dxa"/>
              <w:right w:w="15" w:type="dxa"/>
            </w:tcMar>
            <w:vAlign w:val="bottom"/>
          </w:tcPr>
          <w:p w14:paraId="43BC8D21" w14:textId="77777777" w:rsidR="00C56203" w:rsidRDefault="00CD5102">
            <w:pPr>
              <w:keepNext/>
              <w:tabs>
                <w:tab w:val="left" w:pos="1"/>
                <w:tab w:val="left" w:pos="269"/>
              </w:tabs>
              <w:spacing w:before="75" w:after="30"/>
              <w:jc w:val="right"/>
            </w:pPr>
            <w:r>
              <w:rPr>
                <w:color w:val="000000"/>
                <w:sz w:val="16"/>
              </w:rPr>
              <w:tab/>
              <w:t>(20)</w:t>
            </w:r>
            <w:r>
              <w:rPr>
                <w:color w:val="000000"/>
                <w:sz w:val="16"/>
              </w:rPr>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37F092D" w14:textId="77777777" w:rsidR="00C56203" w:rsidRDefault="00C56203">
            <w:pPr>
              <w:keepNext/>
            </w:pPr>
          </w:p>
        </w:tc>
        <w:tc>
          <w:tcPr>
            <w:tcW w:w="525" w:type="dxa"/>
            <w:tcBorders>
              <w:top w:val="nil"/>
              <w:left w:val="nil"/>
              <w:bottom w:val="nil"/>
              <w:right w:val="nil"/>
            </w:tcBorders>
            <w:shd w:val="clear" w:color="auto" w:fill="FFFFFF"/>
            <w:tcMar>
              <w:top w:w="0" w:type="dxa"/>
              <w:left w:w="0" w:type="dxa"/>
              <w:bottom w:w="0" w:type="dxa"/>
              <w:right w:w="15" w:type="dxa"/>
            </w:tcMar>
            <w:vAlign w:val="bottom"/>
          </w:tcPr>
          <w:p w14:paraId="2B8FC330" w14:textId="77777777" w:rsidR="00C56203" w:rsidRDefault="00CD5102">
            <w:pPr>
              <w:keepNext/>
              <w:tabs>
                <w:tab w:val="left" w:pos="172"/>
              </w:tabs>
              <w:spacing w:before="75" w:after="30"/>
              <w:jc w:val="right"/>
            </w:pPr>
            <w:r>
              <w:rPr>
                <w:color w:val="000000"/>
                <w:sz w:val="16"/>
              </w:rPr>
              <w:tab/>
              <w:t>(26)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53FD8FC" w14:textId="77777777" w:rsidR="00C56203" w:rsidRDefault="00C56203">
            <w:pPr>
              <w:keepNext/>
            </w:pPr>
          </w:p>
        </w:tc>
        <w:tc>
          <w:tcPr>
            <w:tcW w:w="495" w:type="dxa"/>
            <w:tcBorders>
              <w:top w:val="nil"/>
              <w:left w:val="nil"/>
              <w:bottom w:val="nil"/>
              <w:right w:val="nil"/>
            </w:tcBorders>
            <w:shd w:val="clear" w:color="auto" w:fill="FFFFFF"/>
            <w:tcMar>
              <w:top w:w="0" w:type="dxa"/>
              <w:left w:w="0" w:type="dxa"/>
              <w:bottom w:w="0" w:type="dxa"/>
              <w:right w:w="15" w:type="dxa"/>
            </w:tcMar>
            <w:vAlign w:val="bottom"/>
          </w:tcPr>
          <w:p w14:paraId="3D741F80" w14:textId="77777777" w:rsidR="00C56203" w:rsidRDefault="00CD5102">
            <w:pPr>
              <w:keepNext/>
              <w:tabs>
                <w:tab w:val="left" w:pos="1"/>
                <w:tab w:val="left" w:pos="269"/>
              </w:tabs>
              <w:spacing w:before="75" w:after="30"/>
              <w:jc w:val="right"/>
            </w:pPr>
            <w:r>
              <w:rPr>
                <w:color w:val="000000"/>
                <w:sz w:val="16"/>
              </w:rPr>
              <w:tab/>
              <w:t>(20)</w:t>
            </w:r>
            <w:r>
              <w:rPr>
                <w:color w:val="000000"/>
                <w:sz w:val="16"/>
              </w:rPr>
              <w:tab/>
              <w:t>%</w:t>
            </w:r>
          </w:p>
        </w:tc>
      </w:tr>
      <w:tr w:rsidR="00C56203" w14:paraId="325F8513" w14:textId="77777777">
        <w:trPr>
          <w:cantSplit/>
          <w:trHeight w:hRule="exact" w:val="285"/>
          <w:jc w:val="center"/>
        </w:trPr>
        <w:tc>
          <w:tcPr>
            <w:tcW w:w="2235" w:type="dxa"/>
            <w:tcBorders>
              <w:top w:val="nil"/>
              <w:left w:val="nil"/>
              <w:bottom w:val="nil"/>
              <w:right w:val="nil"/>
            </w:tcBorders>
            <w:shd w:val="clear" w:color="auto" w:fill="CCEEFF"/>
            <w:tcMar>
              <w:top w:w="0" w:type="dxa"/>
              <w:left w:w="53" w:type="dxa"/>
              <w:bottom w:w="0" w:type="dxa"/>
              <w:right w:w="53" w:type="dxa"/>
            </w:tcMar>
            <w:vAlign w:val="bottom"/>
          </w:tcPr>
          <w:p w14:paraId="54C245D8" w14:textId="77777777" w:rsidR="00C56203" w:rsidRDefault="00CD5102">
            <w:pPr>
              <w:keepNext/>
              <w:spacing w:before="75" w:after="30"/>
              <w:ind w:left="180"/>
            </w:pPr>
            <w:r>
              <w:rPr>
                <w:color w:val="000000"/>
                <w:sz w:val="16"/>
              </w:rPr>
              <w:t>Dermatology</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BFE49E8" w14:textId="77777777" w:rsidR="00C56203" w:rsidRDefault="00C56203">
            <w:pPr>
              <w:keepNext/>
            </w:pPr>
          </w:p>
        </w:tc>
        <w:tc>
          <w:tcPr>
            <w:tcW w:w="645" w:type="dxa"/>
            <w:tcBorders>
              <w:top w:val="nil"/>
              <w:left w:val="nil"/>
              <w:bottom w:val="nil"/>
              <w:right w:val="nil"/>
            </w:tcBorders>
            <w:shd w:val="clear" w:color="auto" w:fill="CCEEFF"/>
            <w:tcMar>
              <w:top w:w="0" w:type="dxa"/>
              <w:left w:w="0" w:type="dxa"/>
              <w:bottom w:w="0" w:type="dxa"/>
              <w:right w:w="15" w:type="dxa"/>
            </w:tcMar>
            <w:vAlign w:val="bottom"/>
          </w:tcPr>
          <w:p w14:paraId="25662C57" w14:textId="77777777" w:rsidR="00C56203" w:rsidRDefault="00CD5102">
            <w:pPr>
              <w:keepNext/>
              <w:tabs>
                <w:tab w:val="left" w:pos="366"/>
                <w:tab w:val="left" w:pos="577"/>
              </w:tabs>
              <w:spacing w:before="75" w:after="30"/>
              <w:jc w:val="right"/>
            </w:pPr>
            <w:r>
              <w:rPr>
                <w:color w:val="000000"/>
                <w:sz w:val="16"/>
              </w:rPr>
              <w:tab/>
              <w:t>43</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BBFBE06" w14:textId="77777777" w:rsidR="00C56203" w:rsidRDefault="00C56203">
            <w:pPr>
              <w:keepNext/>
            </w:pPr>
          </w:p>
        </w:tc>
        <w:tc>
          <w:tcPr>
            <w:tcW w:w="705" w:type="dxa"/>
            <w:tcBorders>
              <w:top w:val="nil"/>
              <w:left w:val="nil"/>
              <w:bottom w:val="nil"/>
              <w:right w:val="nil"/>
            </w:tcBorders>
            <w:shd w:val="clear" w:color="auto" w:fill="CCEEFF"/>
            <w:tcMar>
              <w:top w:w="0" w:type="dxa"/>
              <w:left w:w="0" w:type="dxa"/>
              <w:bottom w:w="0" w:type="dxa"/>
              <w:right w:w="15" w:type="dxa"/>
            </w:tcMar>
            <w:vAlign w:val="bottom"/>
          </w:tcPr>
          <w:p w14:paraId="65E9E3C3" w14:textId="77777777" w:rsidR="00C56203" w:rsidRDefault="00CD5102">
            <w:pPr>
              <w:keepNext/>
              <w:tabs>
                <w:tab w:val="left" w:pos="426"/>
                <w:tab w:val="left" w:pos="63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8D3AC25" w14:textId="77777777" w:rsidR="00C56203" w:rsidRDefault="00C56203">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bottom"/>
          </w:tcPr>
          <w:p w14:paraId="4B7FEE64" w14:textId="77777777" w:rsidR="00C56203" w:rsidRDefault="00CD5102">
            <w:pPr>
              <w:keepNext/>
              <w:tabs>
                <w:tab w:val="left" w:pos="486"/>
                <w:tab w:val="left" w:pos="69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5E96233" w14:textId="77777777" w:rsidR="00C56203" w:rsidRDefault="00C56203">
            <w:pPr>
              <w:keepNext/>
            </w:pPr>
          </w:p>
        </w:tc>
        <w:tc>
          <w:tcPr>
            <w:tcW w:w="645" w:type="dxa"/>
            <w:tcBorders>
              <w:top w:val="nil"/>
              <w:left w:val="nil"/>
              <w:bottom w:val="nil"/>
              <w:right w:val="nil"/>
            </w:tcBorders>
            <w:shd w:val="clear" w:color="auto" w:fill="CCEEFF"/>
            <w:tcMar>
              <w:top w:w="0" w:type="dxa"/>
              <w:left w:w="0" w:type="dxa"/>
              <w:bottom w:w="0" w:type="dxa"/>
              <w:right w:w="15" w:type="dxa"/>
            </w:tcMar>
            <w:vAlign w:val="bottom"/>
          </w:tcPr>
          <w:p w14:paraId="6568F945" w14:textId="77777777" w:rsidR="00C56203" w:rsidRDefault="00CD5102">
            <w:pPr>
              <w:keepNext/>
              <w:tabs>
                <w:tab w:val="left" w:pos="366"/>
                <w:tab w:val="left" w:pos="577"/>
              </w:tabs>
              <w:spacing w:before="75" w:after="30"/>
              <w:jc w:val="right"/>
            </w:pPr>
            <w:r>
              <w:rPr>
                <w:color w:val="000000"/>
                <w:sz w:val="16"/>
              </w:rPr>
              <w:tab/>
              <w:t>43</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72FB57F" w14:textId="77777777" w:rsidR="00C56203" w:rsidRDefault="00C56203">
            <w:pPr>
              <w:keepNext/>
            </w:pPr>
          </w:p>
        </w:tc>
        <w:tc>
          <w:tcPr>
            <w:tcW w:w="645" w:type="dxa"/>
            <w:tcBorders>
              <w:top w:val="nil"/>
              <w:left w:val="nil"/>
              <w:bottom w:val="nil"/>
              <w:right w:val="nil"/>
            </w:tcBorders>
            <w:shd w:val="clear" w:color="auto" w:fill="CCEEFF"/>
            <w:tcMar>
              <w:top w:w="0" w:type="dxa"/>
              <w:left w:w="0" w:type="dxa"/>
              <w:bottom w:w="0" w:type="dxa"/>
              <w:right w:w="15" w:type="dxa"/>
            </w:tcMar>
            <w:vAlign w:val="bottom"/>
          </w:tcPr>
          <w:p w14:paraId="4C526C0E" w14:textId="77777777" w:rsidR="00C56203" w:rsidRDefault="00CD5102">
            <w:pPr>
              <w:keepNext/>
              <w:tabs>
                <w:tab w:val="left" w:pos="366"/>
                <w:tab w:val="left" w:pos="577"/>
              </w:tabs>
              <w:spacing w:before="75" w:after="30"/>
              <w:jc w:val="right"/>
            </w:pPr>
            <w:r>
              <w:rPr>
                <w:color w:val="000000"/>
                <w:sz w:val="16"/>
              </w:rPr>
              <w:tab/>
              <w:t>59</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108214B" w14:textId="77777777" w:rsidR="00C56203" w:rsidRDefault="00C56203">
            <w:pPr>
              <w:keepNext/>
            </w:pPr>
          </w:p>
        </w:tc>
        <w:tc>
          <w:tcPr>
            <w:tcW w:w="975" w:type="dxa"/>
            <w:tcBorders>
              <w:top w:val="nil"/>
              <w:left w:val="nil"/>
              <w:bottom w:val="nil"/>
              <w:right w:val="nil"/>
            </w:tcBorders>
            <w:shd w:val="clear" w:color="auto" w:fill="CCEEFF"/>
            <w:tcMar>
              <w:top w:w="0" w:type="dxa"/>
              <w:left w:w="0" w:type="dxa"/>
              <w:bottom w:w="0" w:type="dxa"/>
              <w:right w:w="15" w:type="dxa"/>
            </w:tcMar>
            <w:vAlign w:val="bottom"/>
          </w:tcPr>
          <w:p w14:paraId="7FF1E34E" w14:textId="77777777" w:rsidR="00C56203" w:rsidRDefault="00CD5102">
            <w:pPr>
              <w:keepNext/>
              <w:tabs>
                <w:tab w:val="left" w:pos="696"/>
                <w:tab w:val="left" w:pos="907"/>
              </w:tabs>
              <w:spacing w:before="75" w:after="30"/>
              <w:jc w:val="right"/>
            </w:pPr>
            <w:r>
              <w:rPr>
                <w:color w:val="000000"/>
                <w:sz w:val="16"/>
              </w:rPr>
              <w:tab/>
              <w:t>—</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DAA15DA" w14:textId="77777777" w:rsidR="00C56203" w:rsidRDefault="00C56203">
            <w:pPr>
              <w:keepNext/>
            </w:pPr>
          </w:p>
        </w:tc>
        <w:tc>
          <w:tcPr>
            <w:tcW w:w="660" w:type="dxa"/>
            <w:tcBorders>
              <w:top w:val="nil"/>
              <w:left w:val="nil"/>
              <w:bottom w:val="nil"/>
              <w:right w:val="nil"/>
            </w:tcBorders>
            <w:shd w:val="clear" w:color="auto" w:fill="CCEEFF"/>
            <w:tcMar>
              <w:top w:w="0" w:type="dxa"/>
              <w:left w:w="0" w:type="dxa"/>
              <w:bottom w:w="0" w:type="dxa"/>
              <w:right w:w="15" w:type="dxa"/>
            </w:tcMar>
            <w:vAlign w:val="bottom"/>
          </w:tcPr>
          <w:p w14:paraId="01154968" w14:textId="77777777" w:rsidR="00C56203" w:rsidRDefault="00CD5102">
            <w:pPr>
              <w:keepNext/>
              <w:tabs>
                <w:tab w:val="left" w:pos="381"/>
                <w:tab w:val="left" w:pos="592"/>
              </w:tabs>
              <w:spacing w:before="75" w:after="30"/>
              <w:jc w:val="right"/>
            </w:pPr>
            <w:r>
              <w:rPr>
                <w:color w:val="000000"/>
                <w:sz w:val="16"/>
              </w:rPr>
              <w:tab/>
              <w:t>59</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8ADBBFA" w14:textId="77777777" w:rsidR="00C56203" w:rsidRDefault="00C56203">
            <w:pPr>
              <w:keepNext/>
            </w:pPr>
          </w:p>
        </w:tc>
        <w:tc>
          <w:tcPr>
            <w:tcW w:w="525" w:type="dxa"/>
            <w:tcBorders>
              <w:top w:val="nil"/>
              <w:left w:val="nil"/>
              <w:bottom w:val="nil"/>
              <w:right w:val="nil"/>
            </w:tcBorders>
            <w:shd w:val="clear" w:color="auto" w:fill="CCEEFF"/>
            <w:tcMar>
              <w:top w:w="0" w:type="dxa"/>
              <w:left w:w="0" w:type="dxa"/>
              <w:bottom w:w="0" w:type="dxa"/>
              <w:right w:w="15" w:type="dxa"/>
            </w:tcMar>
            <w:vAlign w:val="bottom"/>
          </w:tcPr>
          <w:p w14:paraId="2C112B35" w14:textId="77777777" w:rsidR="00C56203" w:rsidRDefault="00CD5102">
            <w:pPr>
              <w:keepNext/>
              <w:tabs>
                <w:tab w:val="left" w:pos="172"/>
              </w:tabs>
              <w:spacing w:before="75" w:after="30"/>
              <w:jc w:val="right"/>
            </w:pPr>
            <w:r>
              <w:rPr>
                <w:color w:val="000000"/>
                <w:sz w:val="16"/>
              </w:rPr>
              <w:tab/>
              <w:t>(16)</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9B356E0" w14:textId="77777777" w:rsidR="00C56203" w:rsidRDefault="00C56203">
            <w:pPr>
              <w:keepNext/>
            </w:pPr>
          </w:p>
        </w:tc>
        <w:tc>
          <w:tcPr>
            <w:tcW w:w="495" w:type="dxa"/>
            <w:tcBorders>
              <w:top w:val="nil"/>
              <w:left w:val="nil"/>
              <w:bottom w:val="nil"/>
              <w:right w:val="nil"/>
            </w:tcBorders>
            <w:shd w:val="clear" w:color="auto" w:fill="CCEEFF"/>
            <w:tcMar>
              <w:top w:w="0" w:type="dxa"/>
              <w:left w:w="0" w:type="dxa"/>
              <w:bottom w:w="0" w:type="dxa"/>
              <w:right w:w="15" w:type="dxa"/>
            </w:tcMar>
            <w:vAlign w:val="bottom"/>
          </w:tcPr>
          <w:p w14:paraId="60189D90" w14:textId="77777777" w:rsidR="00C56203" w:rsidRDefault="00CD5102">
            <w:pPr>
              <w:keepNext/>
              <w:tabs>
                <w:tab w:val="left" w:pos="1"/>
                <w:tab w:val="left" w:pos="269"/>
              </w:tabs>
              <w:spacing w:before="75" w:after="30"/>
              <w:jc w:val="right"/>
            </w:pPr>
            <w:r>
              <w:rPr>
                <w:color w:val="000000"/>
                <w:sz w:val="16"/>
              </w:rPr>
              <w:tab/>
              <w:t>(27)</w:t>
            </w:r>
            <w:r>
              <w:rPr>
                <w:color w:val="000000"/>
                <w:sz w:val="16"/>
              </w:rPr>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B6178C4" w14:textId="77777777" w:rsidR="00C56203" w:rsidRDefault="00C56203">
            <w:pPr>
              <w:keepNext/>
            </w:pPr>
          </w:p>
        </w:tc>
        <w:tc>
          <w:tcPr>
            <w:tcW w:w="525" w:type="dxa"/>
            <w:tcBorders>
              <w:top w:val="nil"/>
              <w:left w:val="nil"/>
              <w:bottom w:val="nil"/>
              <w:right w:val="nil"/>
            </w:tcBorders>
            <w:shd w:val="clear" w:color="auto" w:fill="CCEEFF"/>
            <w:tcMar>
              <w:top w:w="0" w:type="dxa"/>
              <w:left w:w="0" w:type="dxa"/>
              <w:bottom w:w="0" w:type="dxa"/>
              <w:right w:w="15" w:type="dxa"/>
            </w:tcMar>
            <w:vAlign w:val="bottom"/>
          </w:tcPr>
          <w:p w14:paraId="5562B219" w14:textId="77777777" w:rsidR="00C56203" w:rsidRDefault="00CD5102">
            <w:pPr>
              <w:keepNext/>
              <w:tabs>
                <w:tab w:val="left" w:pos="172"/>
              </w:tabs>
              <w:spacing w:before="75" w:after="30"/>
              <w:jc w:val="right"/>
            </w:pPr>
            <w:r>
              <w:rPr>
                <w:color w:val="000000"/>
                <w:sz w:val="16"/>
              </w:rPr>
              <w:tab/>
              <w:t>(16)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6573A14" w14:textId="77777777" w:rsidR="00C56203" w:rsidRDefault="00C56203">
            <w:pPr>
              <w:keepNext/>
            </w:pPr>
          </w:p>
        </w:tc>
        <w:tc>
          <w:tcPr>
            <w:tcW w:w="495" w:type="dxa"/>
            <w:tcBorders>
              <w:top w:val="nil"/>
              <w:left w:val="nil"/>
              <w:bottom w:val="nil"/>
              <w:right w:val="nil"/>
            </w:tcBorders>
            <w:shd w:val="clear" w:color="auto" w:fill="CCEEFF"/>
            <w:tcMar>
              <w:top w:w="0" w:type="dxa"/>
              <w:left w:w="0" w:type="dxa"/>
              <w:bottom w:w="0" w:type="dxa"/>
              <w:right w:w="15" w:type="dxa"/>
            </w:tcMar>
            <w:vAlign w:val="bottom"/>
          </w:tcPr>
          <w:p w14:paraId="1B5BF8AB" w14:textId="77777777" w:rsidR="00C56203" w:rsidRDefault="00CD5102">
            <w:pPr>
              <w:keepNext/>
              <w:tabs>
                <w:tab w:val="left" w:pos="1"/>
                <w:tab w:val="left" w:pos="269"/>
              </w:tabs>
              <w:spacing w:before="75" w:after="30"/>
              <w:jc w:val="right"/>
            </w:pPr>
            <w:r>
              <w:rPr>
                <w:color w:val="000000"/>
                <w:sz w:val="16"/>
              </w:rPr>
              <w:tab/>
              <w:t>(27)</w:t>
            </w:r>
            <w:r>
              <w:rPr>
                <w:color w:val="000000"/>
                <w:sz w:val="16"/>
              </w:rPr>
              <w:tab/>
              <w:t>%</w:t>
            </w:r>
          </w:p>
        </w:tc>
      </w:tr>
      <w:tr w:rsidR="00C56203" w14:paraId="373622E2" w14:textId="77777777">
        <w:trPr>
          <w:cantSplit/>
          <w:trHeight w:hRule="exact" w:val="285"/>
          <w:jc w:val="center"/>
        </w:trPr>
        <w:tc>
          <w:tcPr>
            <w:tcW w:w="2235" w:type="dxa"/>
            <w:tcBorders>
              <w:top w:val="nil"/>
              <w:left w:val="nil"/>
              <w:bottom w:val="nil"/>
              <w:right w:val="nil"/>
            </w:tcBorders>
            <w:shd w:val="clear" w:color="auto" w:fill="FFFFFF"/>
            <w:tcMar>
              <w:top w:w="0" w:type="dxa"/>
              <w:left w:w="53" w:type="dxa"/>
              <w:bottom w:w="0" w:type="dxa"/>
              <w:right w:w="53" w:type="dxa"/>
            </w:tcMar>
            <w:vAlign w:val="bottom"/>
          </w:tcPr>
          <w:p w14:paraId="1580F249" w14:textId="77777777" w:rsidR="00C56203" w:rsidRDefault="00CD5102">
            <w:pPr>
              <w:keepNext/>
              <w:spacing w:before="75" w:after="30"/>
              <w:ind w:left="180"/>
            </w:pPr>
            <w:r>
              <w:rPr>
                <w:color w:val="000000"/>
                <w:sz w:val="16"/>
              </w:rPr>
              <w:t>Generics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EDB9FD5" w14:textId="77777777" w:rsidR="00C56203" w:rsidRDefault="00C56203">
            <w:pPr>
              <w:keepNext/>
            </w:pPr>
          </w:p>
        </w:tc>
        <w:tc>
          <w:tcPr>
            <w:tcW w:w="645" w:type="dxa"/>
            <w:tcBorders>
              <w:top w:val="nil"/>
              <w:left w:val="nil"/>
              <w:bottom w:val="nil"/>
              <w:right w:val="nil"/>
            </w:tcBorders>
            <w:shd w:val="clear" w:color="auto" w:fill="FFFFFF"/>
            <w:tcMar>
              <w:top w:w="0" w:type="dxa"/>
              <w:left w:w="0" w:type="dxa"/>
              <w:bottom w:w="0" w:type="dxa"/>
              <w:right w:w="15" w:type="dxa"/>
            </w:tcMar>
            <w:vAlign w:val="bottom"/>
          </w:tcPr>
          <w:p w14:paraId="1A8F6288" w14:textId="77777777" w:rsidR="00C56203" w:rsidRDefault="00CD5102">
            <w:pPr>
              <w:keepNext/>
              <w:tabs>
                <w:tab w:val="left" w:pos="366"/>
                <w:tab w:val="left" w:pos="577"/>
              </w:tabs>
              <w:spacing w:before="75" w:after="30"/>
              <w:jc w:val="right"/>
            </w:pPr>
            <w:r>
              <w:rPr>
                <w:color w:val="000000"/>
                <w:sz w:val="16"/>
              </w:rPr>
              <w:tab/>
              <w:t>27</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9C3BF12" w14:textId="77777777" w:rsidR="00C56203" w:rsidRDefault="00C56203">
            <w:pPr>
              <w:keepNext/>
            </w:pPr>
          </w:p>
        </w:tc>
        <w:tc>
          <w:tcPr>
            <w:tcW w:w="705" w:type="dxa"/>
            <w:tcBorders>
              <w:top w:val="nil"/>
              <w:left w:val="nil"/>
              <w:bottom w:val="nil"/>
              <w:right w:val="nil"/>
            </w:tcBorders>
            <w:shd w:val="clear" w:color="auto" w:fill="FFFFFF"/>
            <w:tcMar>
              <w:top w:w="0" w:type="dxa"/>
              <w:left w:w="0" w:type="dxa"/>
              <w:bottom w:w="0" w:type="dxa"/>
              <w:right w:w="15" w:type="dxa"/>
            </w:tcMar>
            <w:vAlign w:val="bottom"/>
          </w:tcPr>
          <w:p w14:paraId="3585C9D7" w14:textId="77777777" w:rsidR="00C56203" w:rsidRDefault="00CD5102">
            <w:pPr>
              <w:keepNext/>
              <w:tabs>
                <w:tab w:val="left" w:pos="426"/>
                <w:tab w:val="left" w:pos="63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89D0EB3" w14:textId="77777777" w:rsidR="00C56203" w:rsidRDefault="00C56203">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bottom"/>
          </w:tcPr>
          <w:p w14:paraId="6C49E1CF" w14:textId="77777777" w:rsidR="00C56203" w:rsidRDefault="00CD5102">
            <w:pPr>
              <w:keepNext/>
              <w:tabs>
                <w:tab w:val="left" w:pos="486"/>
                <w:tab w:val="left" w:pos="69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968BAE8" w14:textId="77777777" w:rsidR="00C56203" w:rsidRDefault="00C56203">
            <w:pPr>
              <w:keepNext/>
            </w:pPr>
          </w:p>
        </w:tc>
        <w:tc>
          <w:tcPr>
            <w:tcW w:w="645" w:type="dxa"/>
            <w:tcBorders>
              <w:top w:val="nil"/>
              <w:left w:val="nil"/>
              <w:bottom w:val="nil"/>
              <w:right w:val="nil"/>
            </w:tcBorders>
            <w:shd w:val="clear" w:color="auto" w:fill="FFFFFF"/>
            <w:tcMar>
              <w:top w:w="0" w:type="dxa"/>
              <w:left w:w="0" w:type="dxa"/>
              <w:bottom w:w="0" w:type="dxa"/>
              <w:right w:w="15" w:type="dxa"/>
            </w:tcMar>
            <w:vAlign w:val="bottom"/>
          </w:tcPr>
          <w:p w14:paraId="71D74818" w14:textId="77777777" w:rsidR="00C56203" w:rsidRDefault="00CD5102">
            <w:pPr>
              <w:keepNext/>
              <w:tabs>
                <w:tab w:val="left" w:pos="366"/>
                <w:tab w:val="left" w:pos="577"/>
              </w:tabs>
              <w:spacing w:before="75" w:after="30"/>
              <w:jc w:val="right"/>
            </w:pPr>
            <w:r>
              <w:rPr>
                <w:color w:val="000000"/>
                <w:sz w:val="16"/>
              </w:rPr>
              <w:tab/>
              <w:t>27</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AF5BD8C" w14:textId="77777777" w:rsidR="00C56203" w:rsidRDefault="00C56203">
            <w:pPr>
              <w:keepNext/>
            </w:pPr>
          </w:p>
        </w:tc>
        <w:tc>
          <w:tcPr>
            <w:tcW w:w="645" w:type="dxa"/>
            <w:tcBorders>
              <w:top w:val="nil"/>
              <w:left w:val="nil"/>
              <w:bottom w:val="nil"/>
              <w:right w:val="nil"/>
            </w:tcBorders>
            <w:shd w:val="clear" w:color="auto" w:fill="FFFFFF"/>
            <w:tcMar>
              <w:top w:w="0" w:type="dxa"/>
              <w:left w:w="0" w:type="dxa"/>
              <w:bottom w:w="0" w:type="dxa"/>
              <w:right w:w="15" w:type="dxa"/>
            </w:tcMar>
            <w:vAlign w:val="bottom"/>
          </w:tcPr>
          <w:p w14:paraId="70759560" w14:textId="77777777" w:rsidR="00C56203" w:rsidRDefault="00CD5102">
            <w:pPr>
              <w:keepNext/>
              <w:tabs>
                <w:tab w:val="left" w:pos="366"/>
                <w:tab w:val="left" w:pos="577"/>
              </w:tabs>
              <w:spacing w:before="75" w:after="30"/>
              <w:jc w:val="right"/>
            </w:pPr>
            <w:r>
              <w:rPr>
                <w:color w:val="000000"/>
                <w:sz w:val="16"/>
              </w:rPr>
              <w:tab/>
              <w:t>38</w:t>
            </w:r>
            <w:r>
              <w:rPr>
                <w:color w:val="000000"/>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9F064E8" w14:textId="77777777" w:rsidR="00C56203" w:rsidRDefault="00C56203">
            <w:pPr>
              <w:keepNext/>
            </w:pP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465BFAD0" w14:textId="77777777" w:rsidR="00C56203" w:rsidRDefault="00CD5102">
            <w:pPr>
              <w:keepNext/>
              <w:tabs>
                <w:tab w:val="left" w:pos="696"/>
                <w:tab w:val="left" w:pos="907"/>
              </w:tabs>
              <w:spacing w:before="75" w:after="30"/>
              <w:jc w:val="right"/>
            </w:pPr>
            <w:r>
              <w:rPr>
                <w:color w:val="000000"/>
                <w:sz w:val="16"/>
              </w:rPr>
              <w:tab/>
              <w:t>—</w:t>
            </w:r>
            <w:r>
              <w:rPr>
                <w:color w:val="000000"/>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1B1D1EE" w14:textId="77777777" w:rsidR="00C56203" w:rsidRDefault="00C56203">
            <w:pPr>
              <w:keepNext/>
            </w:pPr>
          </w:p>
        </w:tc>
        <w:tc>
          <w:tcPr>
            <w:tcW w:w="660" w:type="dxa"/>
            <w:tcBorders>
              <w:top w:val="nil"/>
              <w:left w:val="nil"/>
              <w:bottom w:val="nil"/>
              <w:right w:val="nil"/>
            </w:tcBorders>
            <w:shd w:val="clear" w:color="auto" w:fill="FFFFFF"/>
            <w:tcMar>
              <w:top w:w="0" w:type="dxa"/>
              <w:left w:w="0" w:type="dxa"/>
              <w:bottom w:w="0" w:type="dxa"/>
              <w:right w:w="15" w:type="dxa"/>
            </w:tcMar>
            <w:vAlign w:val="bottom"/>
          </w:tcPr>
          <w:p w14:paraId="2DCF8588" w14:textId="77777777" w:rsidR="00C56203" w:rsidRDefault="00CD5102">
            <w:pPr>
              <w:keepNext/>
              <w:tabs>
                <w:tab w:val="left" w:pos="381"/>
                <w:tab w:val="left" w:pos="592"/>
              </w:tabs>
              <w:spacing w:before="75" w:after="30"/>
              <w:jc w:val="right"/>
            </w:pPr>
            <w:r>
              <w:rPr>
                <w:color w:val="000000"/>
                <w:sz w:val="16"/>
              </w:rPr>
              <w:tab/>
              <w:t>38</w:t>
            </w:r>
            <w:r>
              <w:rPr>
                <w:color w:val="000000"/>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D4285BB" w14:textId="77777777" w:rsidR="00C56203" w:rsidRDefault="00C56203">
            <w:pPr>
              <w:keepNext/>
            </w:pPr>
          </w:p>
        </w:tc>
        <w:tc>
          <w:tcPr>
            <w:tcW w:w="525" w:type="dxa"/>
            <w:tcBorders>
              <w:top w:val="nil"/>
              <w:left w:val="nil"/>
              <w:bottom w:val="nil"/>
              <w:right w:val="nil"/>
            </w:tcBorders>
            <w:shd w:val="clear" w:color="auto" w:fill="FFFFFF"/>
            <w:tcMar>
              <w:top w:w="0" w:type="dxa"/>
              <w:left w:w="0" w:type="dxa"/>
              <w:bottom w:w="0" w:type="dxa"/>
              <w:right w:w="15" w:type="dxa"/>
            </w:tcMar>
            <w:vAlign w:val="bottom"/>
          </w:tcPr>
          <w:p w14:paraId="4C1109CF" w14:textId="77777777" w:rsidR="00C56203" w:rsidRDefault="00CD5102">
            <w:pPr>
              <w:keepNext/>
              <w:tabs>
                <w:tab w:val="left" w:pos="172"/>
              </w:tabs>
              <w:spacing w:before="75" w:after="30"/>
              <w:jc w:val="right"/>
            </w:pPr>
            <w:r>
              <w:rPr>
                <w:color w:val="000000"/>
                <w:sz w:val="16"/>
              </w:rPr>
              <w:tab/>
              <w:t>(11)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4B230DA" w14:textId="77777777" w:rsidR="00C56203" w:rsidRDefault="00C56203">
            <w:pPr>
              <w:keepNext/>
            </w:pPr>
          </w:p>
        </w:tc>
        <w:tc>
          <w:tcPr>
            <w:tcW w:w="495" w:type="dxa"/>
            <w:tcBorders>
              <w:top w:val="nil"/>
              <w:left w:val="nil"/>
              <w:bottom w:val="nil"/>
              <w:right w:val="nil"/>
            </w:tcBorders>
            <w:shd w:val="clear" w:color="auto" w:fill="FFFFFF"/>
            <w:tcMar>
              <w:top w:w="0" w:type="dxa"/>
              <w:left w:w="0" w:type="dxa"/>
              <w:bottom w:w="0" w:type="dxa"/>
              <w:right w:w="15" w:type="dxa"/>
            </w:tcMar>
            <w:vAlign w:val="bottom"/>
          </w:tcPr>
          <w:p w14:paraId="0308EF32" w14:textId="77777777" w:rsidR="00C56203" w:rsidRDefault="00CD5102">
            <w:pPr>
              <w:keepNext/>
              <w:tabs>
                <w:tab w:val="left" w:pos="1"/>
                <w:tab w:val="left" w:pos="269"/>
              </w:tabs>
              <w:spacing w:before="75" w:after="30"/>
              <w:jc w:val="right"/>
            </w:pPr>
            <w:r>
              <w:rPr>
                <w:color w:val="000000"/>
                <w:sz w:val="16"/>
              </w:rPr>
              <w:tab/>
              <w:t>(29)</w:t>
            </w:r>
            <w:r>
              <w:rPr>
                <w:color w:val="000000"/>
                <w:sz w:val="16"/>
              </w:rPr>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8CCF608" w14:textId="77777777" w:rsidR="00C56203" w:rsidRDefault="00C56203">
            <w:pPr>
              <w:keepNext/>
            </w:pPr>
          </w:p>
        </w:tc>
        <w:tc>
          <w:tcPr>
            <w:tcW w:w="525" w:type="dxa"/>
            <w:tcBorders>
              <w:top w:val="nil"/>
              <w:left w:val="nil"/>
              <w:bottom w:val="nil"/>
              <w:right w:val="nil"/>
            </w:tcBorders>
            <w:shd w:val="clear" w:color="auto" w:fill="FFFFFF"/>
            <w:tcMar>
              <w:top w:w="0" w:type="dxa"/>
              <w:left w:w="0" w:type="dxa"/>
              <w:bottom w:w="0" w:type="dxa"/>
              <w:right w:w="15" w:type="dxa"/>
            </w:tcMar>
            <w:vAlign w:val="bottom"/>
          </w:tcPr>
          <w:p w14:paraId="3A075279" w14:textId="77777777" w:rsidR="00C56203" w:rsidRDefault="00CD5102">
            <w:pPr>
              <w:keepNext/>
              <w:tabs>
                <w:tab w:val="left" w:pos="172"/>
              </w:tabs>
              <w:spacing w:before="75" w:after="30"/>
              <w:jc w:val="right"/>
            </w:pPr>
            <w:r>
              <w:rPr>
                <w:color w:val="000000"/>
                <w:sz w:val="16"/>
              </w:rPr>
              <w:tab/>
              <w:t>(11)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5F3B3F4" w14:textId="77777777" w:rsidR="00C56203" w:rsidRDefault="00C56203">
            <w:pPr>
              <w:keepNext/>
            </w:pPr>
          </w:p>
        </w:tc>
        <w:tc>
          <w:tcPr>
            <w:tcW w:w="495" w:type="dxa"/>
            <w:tcBorders>
              <w:top w:val="nil"/>
              <w:left w:val="nil"/>
              <w:bottom w:val="nil"/>
              <w:right w:val="nil"/>
            </w:tcBorders>
            <w:shd w:val="clear" w:color="auto" w:fill="FFFFFF"/>
            <w:tcMar>
              <w:top w:w="0" w:type="dxa"/>
              <w:left w:w="0" w:type="dxa"/>
              <w:bottom w:w="0" w:type="dxa"/>
              <w:right w:w="15" w:type="dxa"/>
            </w:tcMar>
            <w:vAlign w:val="bottom"/>
          </w:tcPr>
          <w:p w14:paraId="314B778D" w14:textId="77777777" w:rsidR="00C56203" w:rsidRDefault="00CD5102">
            <w:pPr>
              <w:keepNext/>
              <w:tabs>
                <w:tab w:val="left" w:pos="1"/>
                <w:tab w:val="left" w:pos="269"/>
              </w:tabs>
              <w:spacing w:before="75" w:after="30"/>
              <w:jc w:val="right"/>
            </w:pPr>
            <w:r>
              <w:rPr>
                <w:color w:val="000000"/>
                <w:sz w:val="16"/>
              </w:rPr>
              <w:tab/>
              <w:t>(29)</w:t>
            </w:r>
            <w:r>
              <w:rPr>
                <w:color w:val="000000"/>
                <w:sz w:val="16"/>
              </w:rPr>
              <w:tab/>
              <w:t>%</w:t>
            </w:r>
          </w:p>
        </w:tc>
      </w:tr>
      <w:tr w:rsidR="00C56203" w14:paraId="4695CD41" w14:textId="77777777">
        <w:trPr>
          <w:cantSplit/>
          <w:trHeight w:hRule="exact" w:val="285"/>
          <w:jc w:val="center"/>
        </w:trPr>
        <w:tc>
          <w:tcPr>
            <w:tcW w:w="2235" w:type="dxa"/>
            <w:tcBorders>
              <w:top w:val="nil"/>
              <w:left w:val="nil"/>
              <w:bottom w:val="nil"/>
              <w:right w:val="nil"/>
            </w:tcBorders>
            <w:shd w:val="clear" w:color="auto" w:fill="CCEEFF"/>
            <w:tcMar>
              <w:top w:w="0" w:type="dxa"/>
              <w:left w:w="53" w:type="dxa"/>
              <w:bottom w:w="0" w:type="dxa"/>
              <w:right w:w="53" w:type="dxa"/>
            </w:tcMar>
            <w:vAlign w:val="bottom"/>
          </w:tcPr>
          <w:p w14:paraId="32E4F698" w14:textId="77777777" w:rsidR="00C56203" w:rsidRDefault="00CD5102">
            <w:pPr>
              <w:keepNext/>
              <w:spacing w:before="75" w:after="30"/>
              <w:ind w:left="180"/>
            </w:pPr>
            <w:r>
              <w:rPr>
                <w:color w:val="000000"/>
                <w:sz w:val="16"/>
              </w:rPr>
              <w:t>Dentistry</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4D4EB6E" w14:textId="77777777" w:rsidR="00C56203" w:rsidRDefault="00C56203">
            <w:pPr>
              <w:keepNext/>
            </w:pPr>
          </w:p>
        </w:tc>
        <w:tc>
          <w:tcPr>
            <w:tcW w:w="6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7589601" w14:textId="77777777" w:rsidR="00C56203" w:rsidRDefault="00CD5102">
            <w:pPr>
              <w:keepNext/>
              <w:tabs>
                <w:tab w:val="left" w:pos="366"/>
                <w:tab w:val="left" w:pos="577"/>
              </w:tabs>
              <w:spacing w:before="75" w:after="30"/>
              <w:jc w:val="right"/>
            </w:pPr>
            <w:r>
              <w:rPr>
                <w:color w:val="000000"/>
                <w:sz w:val="16"/>
              </w:rPr>
              <w:tab/>
              <w:t>25</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C7F834D" w14:textId="77777777" w:rsidR="00C56203" w:rsidRDefault="00C56203">
            <w:pPr>
              <w:keepNext/>
            </w:pPr>
          </w:p>
        </w:tc>
        <w:tc>
          <w:tcPr>
            <w:tcW w:w="7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2DCD9C5" w14:textId="77777777" w:rsidR="00C56203" w:rsidRDefault="00CD5102">
            <w:pPr>
              <w:keepNext/>
              <w:tabs>
                <w:tab w:val="left" w:pos="426"/>
                <w:tab w:val="left" w:pos="63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D9B2844" w14:textId="77777777" w:rsidR="00C56203" w:rsidRDefault="00C56203">
            <w:pPr>
              <w:keepNext/>
            </w:pPr>
          </w:p>
        </w:tc>
        <w:tc>
          <w:tcPr>
            <w:tcW w:w="76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464A068" w14:textId="77777777" w:rsidR="00C56203" w:rsidRDefault="00CD5102">
            <w:pPr>
              <w:keepNext/>
              <w:tabs>
                <w:tab w:val="left" w:pos="486"/>
                <w:tab w:val="left" w:pos="69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36A783E" w14:textId="77777777" w:rsidR="00C56203" w:rsidRDefault="00C56203">
            <w:pPr>
              <w:keepNext/>
            </w:pPr>
          </w:p>
        </w:tc>
        <w:tc>
          <w:tcPr>
            <w:tcW w:w="6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693C0C8" w14:textId="77777777" w:rsidR="00C56203" w:rsidRDefault="00CD5102">
            <w:pPr>
              <w:keepNext/>
              <w:tabs>
                <w:tab w:val="left" w:pos="366"/>
                <w:tab w:val="left" w:pos="577"/>
              </w:tabs>
              <w:spacing w:before="75" w:after="30"/>
              <w:jc w:val="right"/>
            </w:pPr>
            <w:r>
              <w:rPr>
                <w:color w:val="000000"/>
                <w:sz w:val="16"/>
              </w:rPr>
              <w:tab/>
              <w:t>25</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D57A5D4" w14:textId="77777777" w:rsidR="00C56203" w:rsidRDefault="00C56203">
            <w:pPr>
              <w:keepNext/>
            </w:pPr>
          </w:p>
        </w:tc>
        <w:tc>
          <w:tcPr>
            <w:tcW w:w="6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6818272" w14:textId="77777777" w:rsidR="00C56203" w:rsidRDefault="00CD5102">
            <w:pPr>
              <w:keepNext/>
              <w:tabs>
                <w:tab w:val="left" w:pos="366"/>
                <w:tab w:val="left" w:pos="577"/>
              </w:tabs>
              <w:spacing w:before="75" w:after="30"/>
              <w:jc w:val="right"/>
            </w:pPr>
            <w:r>
              <w:rPr>
                <w:color w:val="000000"/>
                <w:sz w:val="16"/>
              </w:rPr>
              <w:tab/>
              <w:t>24</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1760D62" w14:textId="77777777" w:rsidR="00C56203" w:rsidRDefault="00C56203">
            <w:pPr>
              <w:keepNext/>
            </w:pPr>
          </w:p>
        </w:tc>
        <w:tc>
          <w:tcPr>
            <w:tcW w:w="97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8EC2465" w14:textId="77777777" w:rsidR="00C56203" w:rsidRDefault="00CD5102">
            <w:pPr>
              <w:keepNext/>
              <w:tabs>
                <w:tab w:val="left" w:pos="696"/>
                <w:tab w:val="left" w:pos="907"/>
              </w:tabs>
              <w:spacing w:before="75" w:after="30"/>
              <w:jc w:val="right"/>
            </w:pPr>
            <w:r>
              <w:rPr>
                <w:color w:val="000000"/>
                <w:sz w:val="16"/>
              </w:rPr>
              <w:tab/>
              <w:t>—</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63D0E96" w14:textId="77777777" w:rsidR="00C56203" w:rsidRDefault="00C56203">
            <w:pPr>
              <w:keepNext/>
            </w:pPr>
          </w:p>
        </w:tc>
        <w:tc>
          <w:tcPr>
            <w:tcW w:w="6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F654672" w14:textId="77777777" w:rsidR="00C56203" w:rsidRDefault="00CD5102">
            <w:pPr>
              <w:keepNext/>
              <w:tabs>
                <w:tab w:val="left" w:pos="381"/>
                <w:tab w:val="left" w:pos="592"/>
              </w:tabs>
              <w:spacing w:before="75" w:after="30"/>
              <w:jc w:val="right"/>
            </w:pPr>
            <w:r>
              <w:rPr>
                <w:color w:val="000000"/>
                <w:sz w:val="16"/>
              </w:rPr>
              <w:tab/>
              <w:t>24</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B4C2E80" w14:textId="77777777" w:rsidR="00C56203" w:rsidRDefault="00C56203">
            <w:pPr>
              <w:keepNext/>
            </w:pPr>
          </w:p>
        </w:tc>
        <w:tc>
          <w:tcPr>
            <w:tcW w:w="52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4A0A8FB" w14:textId="77777777" w:rsidR="00C56203" w:rsidRDefault="00CD5102">
            <w:pPr>
              <w:keepNext/>
              <w:tabs>
                <w:tab w:val="left" w:pos="326"/>
                <w:tab w:val="left" w:pos="457"/>
              </w:tabs>
              <w:spacing w:before="75" w:after="30"/>
              <w:jc w:val="right"/>
            </w:pPr>
            <w:r>
              <w:rPr>
                <w:color w:val="000000"/>
                <w:sz w:val="16"/>
              </w:rPr>
              <w:tab/>
              <w:t>1</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27FA622" w14:textId="77777777" w:rsidR="00C56203" w:rsidRDefault="00C56203">
            <w:pPr>
              <w:keepNext/>
            </w:pPr>
          </w:p>
        </w:tc>
        <w:tc>
          <w:tcPr>
            <w:tcW w:w="495" w:type="dxa"/>
            <w:tcBorders>
              <w:top w:val="nil"/>
              <w:left w:val="nil"/>
              <w:bottom w:val="nil"/>
              <w:right w:val="nil"/>
            </w:tcBorders>
            <w:shd w:val="clear" w:color="auto" w:fill="CCEEFF"/>
            <w:tcMar>
              <w:top w:w="0" w:type="dxa"/>
              <w:left w:w="0" w:type="dxa"/>
              <w:bottom w:w="0" w:type="dxa"/>
              <w:right w:w="15" w:type="dxa"/>
            </w:tcMar>
            <w:vAlign w:val="bottom"/>
          </w:tcPr>
          <w:p w14:paraId="0615576C" w14:textId="77777777" w:rsidR="00C56203" w:rsidRDefault="00CD5102">
            <w:pPr>
              <w:keepNext/>
              <w:tabs>
                <w:tab w:val="left" w:pos="1"/>
                <w:tab w:val="left" w:pos="136"/>
              </w:tabs>
              <w:spacing w:before="75" w:after="30"/>
              <w:jc w:val="right"/>
            </w:pPr>
            <w:r>
              <w:rPr>
                <w:color w:val="000000"/>
                <w:sz w:val="16"/>
              </w:rPr>
              <w:tab/>
              <w:t>4</w:t>
            </w:r>
            <w:r>
              <w:rPr>
                <w:color w:val="000000"/>
                <w:sz w:val="16"/>
              </w:rPr>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BC78161" w14:textId="77777777" w:rsidR="00C56203" w:rsidRDefault="00C56203">
            <w:pPr>
              <w:keepNext/>
            </w:pPr>
          </w:p>
        </w:tc>
        <w:tc>
          <w:tcPr>
            <w:tcW w:w="52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FBB5A74" w14:textId="77777777" w:rsidR="00C56203" w:rsidRDefault="00CD5102">
            <w:pPr>
              <w:keepNext/>
              <w:tabs>
                <w:tab w:val="left" w:pos="326"/>
                <w:tab w:val="left" w:pos="457"/>
              </w:tabs>
              <w:spacing w:before="75" w:after="30"/>
              <w:jc w:val="right"/>
            </w:pPr>
            <w:r>
              <w:rPr>
                <w:color w:val="000000"/>
                <w:sz w:val="16"/>
              </w:rPr>
              <w:tab/>
              <w:t>1</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189E37D" w14:textId="77777777" w:rsidR="00C56203" w:rsidRDefault="00C56203">
            <w:pPr>
              <w:keepNext/>
            </w:pPr>
          </w:p>
        </w:tc>
        <w:tc>
          <w:tcPr>
            <w:tcW w:w="495" w:type="dxa"/>
            <w:tcBorders>
              <w:top w:val="nil"/>
              <w:left w:val="nil"/>
              <w:bottom w:val="nil"/>
              <w:right w:val="nil"/>
            </w:tcBorders>
            <w:shd w:val="clear" w:color="auto" w:fill="CCEEFF"/>
            <w:tcMar>
              <w:top w:w="0" w:type="dxa"/>
              <w:left w:w="0" w:type="dxa"/>
              <w:bottom w:w="0" w:type="dxa"/>
              <w:right w:w="15" w:type="dxa"/>
            </w:tcMar>
            <w:vAlign w:val="bottom"/>
          </w:tcPr>
          <w:p w14:paraId="61E919F6" w14:textId="77777777" w:rsidR="00C56203" w:rsidRDefault="00CD5102">
            <w:pPr>
              <w:keepNext/>
              <w:tabs>
                <w:tab w:val="left" w:pos="1"/>
                <w:tab w:val="left" w:pos="136"/>
              </w:tabs>
              <w:spacing w:before="75" w:after="30"/>
              <w:jc w:val="right"/>
            </w:pPr>
            <w:r>
              <w:rPr>
                <w:color w:val="000000"/>
                <w:sz w:val="16"/>
              </w:rPr>
              <w:tab/>
              <w:t>4</w:t>
            </w:r>
            <w:r>
              <w:rPr>
                <w:color w:val="000000"/>
                <w:sz w:val="16"/>
              </w:rPr>
              <w:tab/>
              <w:t>%</w:t>
            </w:r>
          </w:p>
        </w:tc>
      </w:tr>
      <w:tr w:rsidR="00C56203" w14:paraId="3B813931" w14:textId="77777777">
        <w:trPr>
          <w:cantSplit/>
          <w:trHeight w:hRule="exact" w:val="285"/>
          <w:jc w:val="center"/>
        </w:trPr>
        <w:tc>
          <w:tcPr>
            <w:tcW w:w="2235" w:type="dxa"/>
            <w:tcBorders>
              <w:top w:val="nil"/>
              <w:left w:val="nil"/>
              <w:bottom w:val="nil"/>
              <w:right w:val="nil"/>
            </w:tcBorders>
            <w:shd w:val="clear" w:color="auto" w:fill="FFFFFF"/>
            <w:tcMar>
              <w:top w:w="0" w:type="dxa"/>
              <w:left w:w="53" w:type="dxa"/>
              <w:bottom w:w="0" w:type="dxa"/>
              <w:right w:w="15" w:type="dxa"/>
            </w:tcMar>
            <w:vAlign w:val="bottom"/>
          </w:tcPr>
          <w:p w14:paraId="7BF01D1D" w14:textId="77777777" w:rsidR="00C56203" w:rsidRDefault="00CD5102">
            <w:pPr>
              <w:keepNext/>
              <w:spacing w:before="55" w:after="30"/>
              <w:ind w:left="345"/>
            </w:pPr>
            <w:r>
              <w:rPr>
                <w:color w:val="000000"/>
                <w:sz w:val="16"/>
              </w:rPr>
              <w:t>Total Diversified</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599CDF5" w14:textId="77777777" w:rsidR="00C56203" w:rsidRDefault="00C56203">
            <w:pPr>
              <w:keepNext/>
            </w:pPr>
          </w:p>
        </w:tc>
        <w:tc>
          <w:tcPr>
            <w:tcW w:w="64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87F038D" w14:textId="77777777" w:rsidR="00C56203" w:rsidRDefault="00CD5102">
            <w:pPr>
              <w:keepNext/>
              <w:tabs>
                <w:tab w:val="left" w:pos="286"/>
                <w:tab w:val="left" w:pos="577"/>
              </w:tabs>
              <w:spacing w:before="55" w:after="30"/>
              <w:jc w:val="right"/>
            </w:pPr>
            <w:r>
              <w:rPr>
                <w:color w:val="000000"/>
                <w:sz w:val="16"/>
              </w:rPr>
              <w:tab/>
              <w:t>197</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BB80000" w14:textId="77777777" w:rsidR="00C56203" w:rsidRDefault="00C56203">
            <w:pPr>
              <w:keepNext/>
            </w:pPr>
          </w:p>
        </w:tc>
        <w:tc>
          <w:tcPr>
            <w:tcW w:w="7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5CE500A7" w14:textId="77777777" w:rsidR="00C56203" w:rsidRDefault="00CD5102">
            <w:pPr>
              <w:keepNext/>
              <w:tabs>
                <w:tab w:val="left" w:pos="426"/>
                <w:tab w:val="left" w:pos="637"/>
              </w:tabs>
              <w:spacing w:before="5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856DBDC" w14:textId="77777777" w:rsidR="00C56203" w:rsidRDefault="00C56203">
            <w:pPr>
              <w:keepNext/>
            </w:pPr>
          </w:p>
        </w:tc>
        <w:tc>
          <w:tcPr>
            <w:tcW w:w="76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173D74EB" w14:textId="77777777" w:rsidR="00C56203" w:rsidRDefault="00CD5102">
            <w:pPr>
              <w:keepNext/>
              <w:tabs>
                <w:tab w:val="left" w:pos="486"/>
                <w:tab w:val="left" w:pos="697"/>
              </w:tabs>
              <w:spacing w:before="5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BBB27B9" w14:textId="77777777" w:rsidR="00C56203" w:rsidRDefault="00C56203">
            <w:pPr>
              <w:keepNext/>
            </w:pPr>
          </w:p>
        </w:tc>
        <w:tc>
          <w:tcPr>
            <w:tcW w:w="64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5EFC191" w14:textId="77777777" w:rsidR="00C56203" w:rsidRDefault="00CD5102">
            <w:pPr>
              <w:keepNext/>
              <w:tabs>
                <w:tab w:val="left" w:pos="286"/>
                <w:tab w:val="left" w:pos="577"/>
              </w:tabs>
              <w:spacing w:before="55" w:after="30"/>
              <w:jc w:val="right"/>
            </w:pPr>
            <w:r>
              <w:rPr>
                <w:color w:val="000000"/>
                <w:sz w:val="16"/>
              </w:rPr>
              <w:tab/>
              <w:t>197</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9E1BDF5" w14:textId="77777777" w:rsidR="00C56203" w:rsidRDefault="00C56203">
            <w:pPr>
              <w:keepNext/>
            </w:pPr>
          </w:p>
        </w:tc>
        <w:tc>
          <w:tcPr>
            <w:tcW w:w="64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4411129" w14:textId="77777777" w:rsidR="00C56203" w:rsidRDefault="00CD5102">
            <w:pPr>
              <w:keepNext/>
              <w:tabs>
                <w:tab w:val="left" w:pos="286"/>
                <w:tab w:val="left" w:pos="577"/>
              </w:tabs>
              <w:spacing w:before="55" w:after="30"/>
              <w:jc w:val="right"/>
            </w:pPr>
            <w:r>
              <w:rPr>
                <w:color w:val="000000"/>
                <w:sz w:val="16"/>
              </w:rPr>
              <w:tab/>
              <w:t>249</w:t>
            </w:r>
            <w:r>
              <w:rPr>
                <w:color w:val="000000"/>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F3C0B5D" w14:textId="77777777" w:rsidR="00C56203" w:rsidRDefault="00C56203">
            <w:pPr>
              <w:keepNext/>
            </w:pPr>
          </w:p>
        </w:tc>
        <w:tc>
          <w:tcPr>
            <w:tcW w:w="97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D8CD4D6" w14:textId="77777777" w:rsidR="00C56203" w:rsidRDefault="00CD5102">
            <w:pPr>
              <w:keepNext/>
              <w:tabs>
                <w:tab w:val="left" w:pos="696"/>
                <w:tab w:val="left" w:pos="907"/>
              </w:tabs>
              <w:spacing w:before="55" w:after="30"/>
              <w:jc w:val="right"/>
            </w:pPr>
            <w:r>
              <w:rPr>
                <w:color w:val="000000"/>
                <w:sz w:val="16"/>
              </w:rPr>
              <w:tab/>
              <w:t>—</w:t>
            </w:r>
            <w:r>
              <w:rPr>
                <w:color w:val="000000"/>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ECDFEB8" w14:textId="77777777" w:rsidR="00C56203" w:rsidRDefault="00C56203">
            <w:pPr>
              <w:keepNext/>
            </w:pPr>
          </w:p>
        </w:tc>
        <w:tc>
          <w:tcPr>
            <w:tcW w:w="66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2FB19EAE" w14:textId="77777777" w:rsidR="00C56203" w:rsidRDefault="00CD5102">
            <w:pPr>
              <w:keepNext/>
              <w:tabs>
                <w:tab w:val="left" w:pos="301"/>
                <w:tab w:val="left" w:pos="592"/>
              </w:tabs>
              <w:spacing w:before="55" w:after="30"/>
              <w:jc w:val="right"/>
            </w:pPr>
            <w:r>
              <w:rPr>
                <w:color w:val="000000"/>
                <w:sz w:val="16"/>
              </w:rPr>
              <w:tab/>
              <w:t>249</w:t>
            </w:r>
            <w:r>
              <w:rPr>
                <w:color w:val="000000"/>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C2137C7" w14:textId="77777777" w:rsidR="00C56203" w:rsidRDefault="00C56203">
            <w:pPr>
              <w:keepNext/>
            </w:pPr>
          </w:p>
        </w:tc>
        <w:tc>
          <w:tcPr>
            <w:tcW w:w="52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1659A78" w14:textId="77777777" w:rsidR="00C56203" w:rsidRDefault="00CD5102">
            <w:pPr>
              <w:keepNext/>
              <w:tabs>
                <w:tab w:val="left" w:pos="172"/>
              </w:tabs>
              <w:spacing w:before="55" w:after="30"/>
              <w:jc w:val="right"/>
            </w:pPr>
            <w:r>
              <w:rPr>
                <w:color w:val="000000"/>
                <w:sz w:val="16"/>
              </w:rPr>
              <w:tab/>
              <w:t>(52)</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1E3CAE2" w14:textId="77777777" w:rsidR="00C56203" w:rsidRDefault="00C56203">
            <w:pPr>
              <w:keepNext/>
            </w:pPr>
          </w:p>
        </w:tc>
        <w:tc>
          <w:tcPr>
            <w:tcW w:w="495" w:type="dxa"/>
            <w:tcBorders>
              <w:top w:val="nil"/>
              <w:left w:val="nil"/>
              <w:bottom w:val="nil"/>
              <w:right w:val="nil"/>
            </w:tcBorders>
            <w:shd w:val="clear" w:color="auto" w:fill="FFFFFF"/>
            <w:tcMar>
              <w:top w:w="0" w:type="dxa"/>
              <w:left w:w="0" w:type="dxa"/>
              <w:bottom w:w="0" w:type="dxa"/>
              <w:right w:w="15" w:type="dxa"/>
            </w:tcMar>
            <w:vAlign w:val="bottom"/>
          </w:tcPr>
          <w:p w14:paraId="3AEAF90C" w14:textId="77777777" w:rsidR="00C56203" w:rsidRDefault="00CD5102">
            <w:pPr>
              <w:keepNext/>
              <w:tabs>
                <w:tab w:val="left" w:pos="1"/>
                <w:tab w:val="left" w:pos="269"/>
              </w:tabs>
              <w:spacing w:before="55" w:after="30"/>
              <w:jc w:val="right"/>
            </w:pPr>
            <w:r>
              <w:rPr>
                <w:color w:val="000000"/>
                <w:sz w:val="16"/>
              </w:rPr>
              <w:tab/>
              <w:t>(21)</w:t>
            </w:r>
            <w:r>
              <w:rPr>
                <w:color w:val="000000"/>
                <w:sz w:val="16"/>
              </w:rPr>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3611CFF" w14:textId="77777777" w:rsidR="00C56203" w:rsidRDefault="00C56203">
            <w:pPr>
              <w:keepNext/>
            </w:pPr>
          </w:p>
        </w:tc>
        <w:tc>
          <w:tcPr>
            <w:tcW w:w="52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1FA24219" w14:textId="77777777" w:rsidR="00C56203" w:rsidRDefault="00CD5102">
            <w:pPr>
              <w:keepNext/>
              <w:tabs>
                <w:tab w:val="left" w:pos="172"/>
              </w:tabs>
              <w:spacing w:before="55" w:after="30"/>
              <w:jc w:val="right"/>
            </w:pPr>
            <w:r>
              <w:rPr>
                <w:color w:val="000000"/>
                <w:sz w:val="16"/>
              </w:rPr>
              <w:tab/>
              <w:t>(52)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ECE7C4B" w14:textId="77777777" w:rsidR="00C56203" w:rsidRDefault="00C56203">
            <w:pPr>
              <w:keepNext/>
            </w:pPr>
          </w:p>
        </w:tc>
        <w:tc>
          <w:tcPr>
            <w:tcW w:w="495" w:type="dxa"/>
            <w:tcBorders>
              <w:top w:val="nil"/>
              <w:left w:val="nil"/>
              <w:bottom w:val="nil"/>
              <w:right w:val="nil"/>
            </w:tcBorders>
            <w:shd w:val="clear" w:color="auto" w:fill="FFFFFF"/>
            <w:tcMar>
              <w:top w:w="0" w:type="dxa"/>
              <w:left w:w="0" w:type="dxa"/>
              <w:bottom w:w="0" w:type="dxa"/>
              <w:right w:w="15" w:type="dxa"/>
            </w:tcMar>
            <w:vAlign w:val="bottom"/>
          </w:tcPr>
          <w:p w14:paraId="42832076" w14:textId="77777777" w:rsidR="00C56203" w:rsidRDefault="00CD5102">
            <w:pPr>
              <w:keepNext/>
              <w:tabs>
                <w:tab w:val="left" w:pos="1"/>
                <w:tab w:val="left" w:pos="269"/>
              </w:tabs>
              <w:spacing w:before="55" w:after="30"/>
              <w:jc w:val="right"/>
            </w:pPr>
            <w:r>
              <w:rPr>
                <w:color w:val="000000"/>
                <w:sz w:val="16"/>
              </w:rPr>
              <w:tab/>
              <w:t>(21)</w:t>
            </w:r>
            <w:r>
              <w:rPr>
                <w:color w:val="000000"/>
                <w:sz w:val="16"/>
              </w:rPr>
              <w:tab/>
              <w:t>%</w:t>
            </w:r>
          </w:p>
        </w:tc>
      </w:tr>
      <w:tr w:rsidR="00C56203" w14:paraId="2D42F095" w14:textId="77777777">
        <w:trPr>
          <w:cantSplit/>
          <w:trHeight w:hRule="exact" w:val="285"/>
          <w:jc w:val="center"/>
        </w:trPr>
        <w:tc>
          <w:tcPr>
            <w:tcW w:w="2235" w:type="dxa"/>
            <w:tcBorders>
              <w:top w:val="nil"/>
              <w:left w:val="nil"/>
              <w:bottom w:val="nil"/>
              <w:right w:val="nil"/>
            </w:tcBorders>
            <w:shd w:val="clear" w:color="auto" w:fill="CCEEFF"/>
            <w:tcMar>
              <w:top w:w="0" w:type="dxa"/>
              <w:left w:w="0" w:type="dxa"/>
              <w:bottom w:w="0" w:type="dxa"/>
              <w:right w:w="0" w:type="dxa"/>
            </w:tcMar>
            <w:vAlign w:val="bottom"/>
          </w:tcPr>
          <w:p w14:paraId="677BDCF9" w14:textId="77777777" w:rsidR="00C56203" w:rsidRDefault="00C56203">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5D923F0" w14:textId="77777777" w:rsidR="00C56203" w:rsidRDefault="00C56203">
            <w:pPr>
              <w:keepNext/>
            </w:pPr>
          </w:p>
        </w:tc>
        <w:tc>
          <w:tcPr>
            <w:tcW w:w="64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6445BBE" w14:textId="77777777" w:rsidR="00C56203" w:rsidRDefault="00C56203">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78072A5" w14:textId="77777777" w:rsidR="00C56203" w:rsidRDefault="00C56203">
            <w:pPr>
              <w:keepNext/>
            </w:pPr>
          </w:p>
        </w:tc>
        <w:tc>
          <w:tcPr>
            <w:tcW w:w="7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5BB0FFD" w14:textId="77777777" w:rsidR="00C56203" w:rsidRDefault="00C56203">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46133E8" w14:textId="77777777" w:rsidR="00C56203" w:rsidRDefault="00C56203">
            <w:pPr>
              <w:keepNext/>
            </w:pPr>
          </w:p>
        </w:tc>
        <w:tc>
          <w:tcPr>
            <w:tcW w:w="76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010FA55" w14:textId="77777777" w:rsidR="00C56203" w:rsidRDefault="00C56203">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66091C7" w14:textId="77777777" w:rsidR="00C56203" w:rsidRDefault="00C56203">
            <w:pPr>
              <w:keepNext/>
            </w:pPr>
          </w:p>
        </w:tc>
        <w:tc>
          <w:tcPr>
            <w:tcW w:w="64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1C565B8" w14:textId="77777777" w:rsidR="00C56203" w:rsidRDefault="00C56203">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CDC294D" w14:textId="77777777" w:rsidR="00C56203" w:rsidRDefault="00C56203">
            <w:pPr>
              <w:keepNext/>
            </w:pPr>
          </w:p>
        </w:tc>
        <w:tc>
          <w:tcPr>
            <w:tcW w:w="64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5292033" w14:textId="77777777" w:rsidR="00C56203" w:rsidRDefault="00C56203">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5C52B54" w14:textId="77777777" w:rsidR="00C56203" w:rsidRDefault="00C56203">
            <w:pPr>
              <w:keepNext/>
            </w:pPr>
          </w:p>
        </w:tc>
        <w:tc>
          <w:tcPr>
            <w:tcW w:w="9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81C1773" w14:textId="77777777" w:rsidR="00C56203" w:rsidRDefault="00C56203">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8BC59C4" w14:textId="77777777" w:rsidR="00C56203" w:rsidRDefault="00C56203">
            <w:pPr>
              <w:keepNext/>
            </w:pPr>
          </w:p>
        </w:tc>
        <w:tc>
          <w:tcPr>
            <w:tcW w:w="6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CCC7684" w14:textId="77777777" w:rsidR="00C56203" w:rsidRDefault="00C56203">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AEB7647" w14:textId="77777777" w:rsidR="00C56203" w:rsidRDefault="00C56203">
            <w:pPr>
              <w:keepNext/>
            </w:pPr>
          </w:p>
        </w:tc>
        <w:tc>
          <w:tcPr>
            <w:tcW w:w="52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62550D7" w14:textId="77777777" w:rsidR="00C56203" w:rsidRDefault="00C56203">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09B3A26" w14:textId="77777777" w:rsidR="00C56203" w:rsidRDefault="00C56203">
            <w:pPr>
              <w:keepNext/>
            </w:pPr>
          </w:p>
        </w:tc>
        <w:tc>
          <w:tcPr>
            <w:tcW w:w="495" w:type="dxa"/>
            <w:tcBorders>
              <w:top w:val="nil"/>
              <w:left w:val="nil"/>
              <w:bottom w:val="nil"/>
              <w:right w:val="nil"/>
            </w:tcBorders>
            <w:shd w:val="clear" w:color="auto" w:fill="CCEEFF"/>
            <w:tcMar>
              <w:top w:w="0" w:type="dxa"/>
              <w:left w:w="0" w:type="dxa"/>
              <w:bottom w:w="0" w:type="dxa"/>
              <w:right w:w="0" w:type="dxa"/>
            </w:tcMar>
            <w:vAlign w:val="bottom"/>
          </w:tcPr>
          <w:p w14:paraId="2E1288F7" w14:textId="77777777" w:rsidR="00C56203" w:rsidRDefault="00C56203">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81D384F" w14:textId="77777777" w:rsidR="00C56203" w:rsidRDefault="00C56203">
            <w:pPr>
              <w:keepNext/>
            </w:pPr>
          </w:p>
        </w:tc>
        <w:tc>
          <w:tcPr>
            <w:tcW w:w="52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405FA9A" w14:textId="77777777" w:rsidR="00C56203" w:rsidRDefault="00C56203">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46BBFDB" w14:textId="77777777" w:rsidR="00C56203" w:rsidRDefault="00C56203">
            <w:pPr>
              <w:keepNext/>
            </w:pPr>
          </w:p>
        </w:tc>
        <w:tc>
          <w:tcPr>
            <w:tcW w:w="495" w:type="dxa"/>
            <w:tcBorders>
              <w:top w:val="nil"/>
              <w:left w:val="nil"/>
              <w:bottom w:val="nil"/>
              <w:right w:val="nil"/>
            </w:tcBorders>
            <w:shd w:val="clear" w:color="auto" w:fill="CCEEFF"/>
            <w:tcMar>
              <w:top w:w="0" w:type="dxa"/>
              <w:left w:w="0" w:type="dxa"/>
              <w:bottom w:w="0" w:type="dxa"/>
              <w:right w:w="0" w:type="dxa"/>
            </w:tcMar>
            <w:vAlign w:val="bottom"/>
          </w:tcPr>
          <w:p w14:paraId="14AC3391" w14:textId="77777777" w:rsidR="00C56203" w:rsidRDefault="00C56203">
            <w:pPr>
              <w:keepNext/>
            </w:pPr>
          </w:p>
        </w:tc>
      </w:tr>
      <w:tr w:rsidR="00C56203" w14:paraId="17479F64" w14:textId="77777777">
        <w:trPr>
          <w:cantSplit/>
          <w:trHeight w:hRule="exact" w:val="495"/>
          <w:jc w:val="center"/>
        </w:trPr>
        <w:tc>
          <w:tcPr>
            <w:tcW w:w="2235" w:type="dxa"/>
            <w:tcBorders>
              <w:top w:val="nil"/>
              <w:left w:val="nil"/>
              <w:bottom w:val="nil"/>
              <w:right w:val="nil"/>
            </w:tcBorders>
            <w:shd w:val="clear" w:color="auto" w:fill="FFFFFF"/>
            <w:tcMar>
              <w:top w:w="0" w:type="dxa"/>
              <w:left w:w="53" w:type="dxa"/>
              <w:bottom w:w="0" w:type="dxa"/>
              <w:right w:w="53" w:type="dxa"/>
            </w:tcMar>
            <w:vAlign w:val="bottom"/>
          </w:tcPr>
          <w:p w14:paraId="7C1452BA" w14:textId="77777777" w:rsidR="00C56203" w:rsidRDefault="00CD5102">
            <w:pPr>
              <w:keepNext/>
              <w:spacing w:before="75"/>
              <w:ind w:left="90" w:hanging="90"/>
            </w:pPr>
            <w:r>
              <w:rPr>
                <w:b/>
                <w:color w:val="000000"/>
                <w:sz w:val="16"/>
              </w:rPr>
              <w:t>Bausch Health</w:t>
            </w:r>
          </w:p>
          <w:p w14:paraId="32B6982A" w14:textId="77777777" w:rsidR="00C56203" w:rsidRDefault="00CD5102">
            <w:pPr>
              <w:spacing w:after="30"/>
              <w:ind w:left="90" w:hanging="90"/>
            </w:pPr>
            <w:r>
              <w:rPr>
                <w:b/>
                <w:color w:val="000000"/>
                <w:sz w:val="16"/>
              </w:rPr>
              <w:t>(excl. B+L) revenues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1F860FF" w14:textId="77777777" w:rsidR="00C56203" w:rsidRDefault="00C56203">
            <w:pPr>
              <w:keepNext/>
            </w:pPr>
          </w:p>
        </w:tc>
        <w:tc>
          <w:tcPr>
            <w:tcW w:w="645"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50ADD307" w14:textId="77777777" w:rsidR="00C56203" w:rsidRDefault="00CD5102">
            <w:pPr>
              <w:keepNext/>
              <w:tabs>
                <w:tab w:val="left" w:pos="166"/>
                <w:tab w:val="left" w:pos="577"/>
              </w:tabs>
              <w:spacing w:before="75" w:after="30"/>
              <w:jc w:val="right"/>
            </w:pPr>
            <w:r>
              <w:rPr>
                <w:color w:val="000000"/>
                <w:sz w:val="16"/>
              </w:rPr>
              <w:t>$</w:t>
            </w:r>
            <w:r>
              <w:rPr>
                <w:color w:val="000000"/>
                <w:sz w:val="16"/>
              </w:rPr>
              <w:tab/>
              <w:t>1,013</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7859CD1" w14:textId="77777777" w:rsidR="00C56203" w:rsidRDefault="00C56203">
            <w:pPr>
              <w:keepNext/>
            </w:pPr>
          </w:p>
        </w:tc>
        <w:tc>
          <w:tcPr>
            <w:tcW w:w="705"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1BDDDFA3" w14:textId="77777777" w:rsidR="00C56203" w:rsidRDefault="00CD5102">
            <w:pPr>
              <w:keepNext/>
              <w:tabs>
                <w:tab w:val="left" w:pos="506"/>
                <w:tab w:val="left" w:pos="637"/>
              </w:tabs>
              <w:spacing w:before="75" w:after="30"/>
              <w:jc w:val="right"/>
            </w:pPr>
            <w:r>
              <w:rPr>
                <w:color w:val="000000"/>
                <w:sz w:val="16"/>
              </w:rPr>
              <w:t>$</w:t>
            </w:r>
            <w:r>
              <w:rPr>
                <w:color w:val="000000"/>
                <w:sz w:val="16"/>
              </w:rPr>
              <w:tab/>
              <w:t>9</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9D91E4C" w14:textId="77777777" w:rsidR="00C56203" w:rsidRDefault="00C56203">
            <w:pPr>
              <w:keepNext/>
            </w:pPr>
          </w:p>
        </w:tc>
        <w:tc>
          <w:tcPr>
            <w:tcW w:w="765"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096C184A" w14:textId="77777777" w:rsidR="00C56203" w:rsidRDefault="00CD5102">
            <w:pPr>
              <w:keepNext/>
              <w:tabs>
                <w:tab w:val="left" w:pos="486"/>
                <w:tab w:val="left" w:pos="697"/>
              </w:tabs>
              <w:spacing w:before="75" w:after="30"/>
              <w:jc w:val="right"/>
            </w:pPr>
            <w:r>
              <w:rPr>
                <w:color w:val="000000"/>
                <w:sz w:val="16"/>
              </w:rPr>
              <w:t>$</w:t>
            </w:r>
            <w:r>
              <w:rPr>
                <w:color w:val="000000"/>
                <w:sz w:val="16"/>
              </w:rPr>
              <w:tab/>
              <w:t>—</w:t>
            </w:r>
            <w:r>
              <w:rPr>
                <w:color w:val="000000"/>
                <w:sz w:val="16"/>
              </w:rPr>
              <w:tab/>
            </w:r>
          </w:p>
        </w:tc>
        <w:tc>
          <w:tcPr>
            <w:tcW w:w="60" w:type="dxa"/>
            <w:tcBorders>
              <w:top w:val="nil"/>
              <w:left w:val="nil"/>
              <w:bottom w:val="double" w:sz="8" w:space="0" w:color="000000"/>
              <w:right w:val="nil"/>
            </w:tcBorders>
            <w:shd w:val="clear" w:color="auto" w:fill="FFFFFF"/>
            <w:tcMar>
              <w:top w:w="0" w:type="dxa"/>
              <w:left w:w="0" w:type="dxa"/>
              <w:bottom w:w="0" w:type="dxa"/>
              <w:right w:w="0" w:type="dxa"/>
            </w:tcMar>
            <w:vAlign w:val="bottom"/>
          </w:tcPr>
          <w:p w14:paraId="12EC77B9" w14:textId="77777777" w:rsidR="00C56203" w:rsidRDefault="00C56203">
            <w:pPr>
              <w:keepNext/>
            </w:pPr>
          </w:p>
        </w:tc>
        <w:tc>
          <w:tcPr>
            <w:tcW w:w="645"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14B9A776" w14:textId="77777777" w:rsidR="00C56203" w:rsidRDefault="00CD5102">
            <w:pPr>
              <w:keepNext/>
              <w:tabs>
                <w:tab w:val="left" w:pos="166"/>
                <w:tab w:val="left" w:pos="577"/>
              </w:tabs>
              <w:spacing w:before="75" w:after="30"/>
              <w:jc w:val="right"/>
            </w:pPr>
            <w:r>
              <w:rPr>
                <w:color w:val="000000"/>
                <w:sz w:val="16"/>
              </w:rPr>
              <w:t>$</w:t>
            </w:r>
            <w:r>
              <w:rPr>
                <w:color w:val="000000"/>
                <w:sz w:val="16"/>
              </w:rPr>
              <w:tab/>
              <w:t>1,022</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15A16A3" w14:textId="77777777" w:rsidR="00C56203" w:rsidRDefault="00C56203">
            <w:pPr>
              <w:keepNext/>
            </w:pPr>
          </w:p>
        </w:tc>
        <w:tc>
          <w:tcPr>
            <w:tcW w:w="645"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68232A9A" w14:textId="77777777" w:rsidR="00C56203" w:rsidRDefault="00CD5102">
            <w:pPr>
              <w:keepNext/>
              <w:tabs>
                <w:tab w:val="left" w:pos="166"/>
                <w:tab w:val="left" w:pos="577"/>
              </w:tabs>
              <w:spacing w:before="75" w:after="30"/>
              <w:jc w:val="right"/>
            </w:pPr>
            <w:r>
              <w:rPr>
                <w:color w:val="000000"/>
                <w:sz w:val="16"/>
              </w:rPr>
              <w:t>$</w:t>
            </w:r>
            <w:r>
              <w:rPr>
                <w:color w:val="000000"/>
                <w:sz w:val="16"/>
              </w:rPr>
              <w:tab/>
              <w:t>1,029</w:t>
            </w:r>
            <w:r>
              <w:rPr>
                <w:color w:val="000000"/>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8264969" w14:textId="77777777" w:rsidR="00C56203" w:rsidRDefault="00C56203">
            <w:pPr>
              <w:keepNext/>
            </w:pPr>
          </w:p>
        </w:tc>
        <w:tc>
          <w:tcPr>
            <w:tcW w:w="975"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5FDB1776" w14:textId="77777777" w:rsidR="00C56203" w:rsidRDefault="00CD5102">
            <w:pPr>
              <w:keepNext/>
              <w:tabs>
                <w:tab w:val="left" w:pos="702"/>
              </w:tabs>
              <w:spacing w:before="75" w:after="30"/>
              <w:jc w:val="right"/>
            </w:pPr>
            <w:r>
              <w:rPr>
                <w:color w:val="000000"/>
                <w:sz w:val="16"/>
              </w:rPr>
              <w:t>$</w:t>
            </w:r>
            <w:r>
              <w:rPr>
                <w:color w:val="000000"/>
                <w:sz w:val="16"/>
              </w:rPr>
              <w:tab/>
              <w:t>(3)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31FED4B" w14:textId="77777777" w:rsidR="00C56203" w:rsidRDefault="00C56203">
            <w:pPr>
              <w:keepNext/>
            </w:pPr>
          </w:p>
        </w:tc>
        <w:tc>
          <w:tcPr>
            <w:tcW w:w="660"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2ADF57E0" w14:textId="77777777" w:rsidR="00C56203" w:rsidRDefault="00CD5102">
            <w:pPr>
              <w:keepNext/>
              <w:tabs>
                <w:tab w:val="left" w:pos="181"/>
                <w:tab w:val="left" w:pos="592"/>
              </w:tabs>
              <w:spacing w:before="75" w:after="30"/>
              <w:jc w:val="right"/>
            </w:pPr>
            <w:r>
              <w:rPr>
                <w:color w:val="000000"/>
                <w:sz w:val="16"/>
              </w:rPr>
              <w:t>$</w:t>
            </w:r>
            <w:r>
              <w:rPr>
                <w:color w:val="000000"/>
                <w:sz w:val="16"/>
              </w:rPr>
              <w:tab/>
              <w:t>1,026</w:t>
            </w:r>
            <w:r>
              <w:rPr>
                <w:color w:val="000000"/>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53AE924" w14:textId="77777777" w:rsidR="00C56203" w:rsidRDefault="00C56203">
            <w:pPr>
              <w:keepNext/>
            </w:pPr>
          </w:p>
        </w:tc>
        <w:tc>
          <w:tcPr>
            <w:tcW w:w="525"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500EEFD5" w14:textId="77777777" w:rsidR="00C56203" w:rsidRDefault="00CD5102">
            <w:pPr>
              <w:keepNext/>
              <w:tabs>
                <w:tab w:val="left" w:pos="172"/>
              </w:tabs>
              <w:spacing w:before="75" w:after="30"/>
              <w:jc w:val="right"/>
            </w:pPr>
            <w:r>
              <w:rPr>
                <w:color w:val="000000"/>
                <w:sz w:val="16"/>
              </w:rPr>
              <w:t>$</w:t>
            </w:r>
            <w:r>
              <w:rPr>
                <w:color w:val="000000"/>
                <w:sz w:val="16"/>
              </w:rPr>
              <w:tab/>
            </w:r>
            <w:r>
              <w:rPr>
                <w:color w:val="000000"/>
                <w:sz w:val="16"/>
              </w:rPr>
              <w:t>(16)</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8138B7A" w14:textId="77777777" w:rsidR="00C56203" w:rsidRDefault="00C56203">
            <w:pPr>
              <w:keepNext/>
            </w:pPr>
          </w:p>
        </w:tc>
        <w:tc>
          <w:tcPr>
            <w:tcW w:w="495" w:type="dxa"/>
            <w:tcBorders>
              <w:top w:val="nil"/>
              <w:left w:val="nil"/>
              <w:bottom w:val="nil"/>
              <w:right w:val="nil"/>
            </w:tcBorders>
            <w:shd w:val="clear" w:color="auto" w:fill="FFFFFF"/>
            <w:tcMar>
              <w:top w:w="0" w:type="dxa"/>
              <w:left w:w="0" w:type="dxa"/>
              <w:bottom w:w="0" w:type="dxa"/>
              <w:right w:w="15" w:type="dxa"/>
            </w:tcMar>
            <w:vAlign w:val="bottom"/>
          </w:tcPr>
          <w:p w14:paraId="50DAC400" w14:textId="77777777" w:rsidR="00C56203" w:rsidRDefault="00CD5102">
            <w:pPr>
              <w:keepNext/>
              <w:tabs>
                <w:tab w:val="left" w:pos="1"/>
                <w:tab w:val="left" w:pos="189"/>
              </w:tabs>
              <w:spacing w:before="75" w:after="30"/>
              <w:jc w:val="right"/>
            </w:pPr>
            <w:r>
              <w:rPr>
                <w:color w:val="000000"/>
                <w:sz w:val="16"/>
              </w:rPr>
              <w:tab/>
              <w:t>(2)</w:t>
            </w:r>
            <w:r>
              <w:rPr>
                <w:color w:val="000000"/>
                <w:sz w:val="16"/>
              </w:rPr>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39E176D" w14:textId="77777777" w:rsidR="00C56203" w:rsidRDefault="00C56203">
            <w:pPr>
              <w:keepNext/>
            </w:pPr>
          </w:p>
        </w:tc>
        <w:tc>
          <w:tcPr>
            <w:tcW w:w="525"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12F5B23A" w14:textId="77777777" w:rsidR="00C56203" w:rsidRDefault="00CD5102">
            <w:pPr>
              <w:keepNext/>
              <w:tabs>
                <w:tab w:val="left" w:pos="252"/>
              </w:tabs>
              <w:spacing w:before="75" w:after="30"/>
              <w:jc w:val="right"/>
            </w:pPr>
            <w:r>
              <w:rPr>
                <w:color w:val="000000"/>
                <w:sz w:val="16"/>
              </w:rPr>
              <w:t>$</w:t>
            </w:r>
            <w:r>
              <w:rPr>
                <w:color w:val="000000"/>
                <w:sz w:val="16"/>
              </w:rPr>
              <w:tab/>
              <w:t>(4)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6C317D6" w14:textId="77777777" w:rsidR="00C56203" w:rsidRDefault="00C56203">
            <w:pPr>
              <w:keepNext/>
            </w:pPr>
          </w:p>
        </w:tc>
        <w:tc>
          <w:tcPr>
            <w:tcW w:w="495" w:type="dxa"/>
            <w:tcBorders>
              <w:top w:val="nil"/>
              <w:left w:val="nil"/>
              <w:bottom w:val="nil"/>
              <w:right w:val="nil"/>
            </w:tcBorders>
            <w:shd w:val="clear" w:color="auto" w:fill="FFFFFF"/>
            <w:tcMar>
              <w:top w:w="0" w:type="dxa"/>
              <w:left w:w="0" w:type="dxa"/>
              <w:bottom w:w="0" w:type="dxa"/>
              <w:right w:w="15" w:type="dxa"/>
            </w:tcMar>
            <w:vAlign w:val="bottom"/>
          </w:tcPr>
          <w:p w14:paraId="3576527F" w14:textId="77777777" w:rsidR="00C56203" w:rsidRDefault="00CD5102">
            <w:pPr>
              <w:keepNext/>
              <w:tabs>
                <w:tab w:val="left" w:pos="1"/>
                <w:tab w:val="left" w:pos="216"/>
              </w:tabs>
              <w:spacing w:before="75" w:after="30"/>
              <w:jc w:val="right"/>
            </w:pPr>
            <w:r>
              <w:rPr>
                <w:color w:val="000000"/>
                <w:sz w:val="16"/>
              </w:rPr>
              <w:tab/>
              <w:t>—</w:t>
            </w:r>
            <w:r>
              <w:rPr>
                <w:color w:val="000000"/>
                <w:sz w:val="16"/>
              </w:rPr>
              <w:tab/>
              <w:t>%</w:t>
            </w:r>
          </w:p>
        </w:tc>
      </w:tr>
      <w:tr w:rsidR="00C56203" w14:paraId="26136D02" w14:textId="77777777">
        <w:trPr>
          <w:cantSplit/>
          <w:trHeight w:hRule="exact" w:val="255"/>
          <w:jc w:val="center"/>
        </w:trPr>
        <w:tc>
          <w:tcPr>
            <w:tcW w:w="2235" w:type="dxa"/>
            <w:tcBorders>
              <w:top w:val="nil"/>
              <w:left w:val="nil"/>
              <w:bottom w:val="nil"/>
              <w:right w:val="nil"/>
            </w:tcBorders>
            <w:shd w:val="clear" w:color="auto" w:fill="CCEEFF"/>
            <w:tcMar>
              <w:top w:w="0" w:type="dxa"/>
              <w:left w:w="0" w:type="dxa"/>
              <w:bottom w:w="0" w:type="dxa"/>
              <w:right w:w="0" w:type="dxa"/>
            </w:tcMar>
            <w:vAlign w:val="bottom"/>
          </w:tcPr>
          <w:p w14:paraId="31BA7D38" w14:textId="77777777" w:rsidR="00C56203" w:rsidRDefault="00C56203">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A62A888" w14:textId="77777777" w:rsidR="00C56203" w:rsidRDefault="00C56203">
            <w:pPr>
              <w:keepNext/>
            </w:pPr>
          </w:p>
        </w:tc>
        <w:tc>
          <w:tcPr>
            <w:tcW w:w="64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15E8456C" w14:textId="77777777" w:rsidR="00C56203" w:rsidRDefault="00C56203">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ABBF5D0" w14:textId="77777777" w:rsidR="00C56203" w:rsidRDefault="00C56203">
            <w:pPr>
              <w:keepNext/>
            </w:pPr>
          </w:p>
        </w:tc>
        <w:tc>
          <w:tcPr>
            <w:tcW w:w="70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67D1DB2A" w14:textId="77777777" w:rsidR="00C56203" w:rsidRDefault="00C56203">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8D1D9B5" w14:textId="77777777" w:rsidR="00C56203" w:rsidRDefault="00C56203">
            <w:pPr>
              <w:keepNext/>
            </w:pPr>
          </w:p>
        </w:tc>
        <w:tc>
          <w:tcPr>
            <w:tcW w:w="76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2599F3D6" w14:textId="77777777" w:rsidR="00C56203" w:rsidRDefault="00C56203">
            <w:pPr>
              <w:keepNext/>
            </w:pPr>
          </w:p>
        </w:tc>
        <w:tc>
          <w:tcPr>
            <w:tcW w:w="60"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1E2C0E9E" w14:textId="77777777" w:rsidR="00C56203" w:rsidRDefault="00C56203">
            <w:pPr>
              <w:keepNext/>
            </w:pPr>
          </w:p>
        </w:tc>
        <w:tc>
          <w:tcPr>
            <w:tcW w:w="64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1B398DE1" w14:textId="77777777" w:rsidR="00C56203" w:rsidRDefault="00C56203">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A04B959" w14:textId="77777777" w:rsidR="00C56203" w:rsidRDefault="00C56203">
            <w:pPr>
              <w:keepNext/>
            </w:pPr>
          </w:p>
        </w:tc>
        <w:tc>
          <w:tcPr>
            <w:tcW w:w="64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72473F2E" w14:textId="77777777" w:rsidR="00C56203" w:rsidRDefault="00C56203">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24FBC3A" w14:textId="77777777" w:rsidR="00C56203" w:rsidRDefault="00C56203">
            <w:pPr>
              <w:keepNext/>
            </w:pPr>
          </w:p>
        </w:tc>
        <w:tc>
          <w:tcPr>
            <w:tcW w:w="97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37F4C1EE" w14:textId="77777777" w:rsidR="00C56203" w:rsidRDefault="00C56203">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3C09E87" w14:textId="77777777" w:rsidR="00C56203" w:rsidRDefault="00C56203">
            <w:pPr>
              <w:keepNext/>
            </w:pPr>
          </w:p>
        </w:tc>
        <w:tc>
          <w:tcPr>
            <w:tcW w:w="660"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4F8E7D6E" w14:textId="77777777" w:rsidR="00C56203" w:rsidRDefault="00C56203">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86EBD61" w14:textId="77777777" w:rsidR="00C56203" w:rsidRDefault="00C56203">
            <w:pPr>
              <w:keepNext/>
            </w:pPr>
          </w:p>
        </w:tc>
        <w:tc>
          <w:tcPr>
            <w:tcW w:w="52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3B63F29A" w14:textId="77777777" w:rsidR="00C56203" w:rsidRDefault="00C56203">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45ED8EA" w14:textId="77777777" w:rsidR="00C56203" w:rsidRDefault="00C56203">
            <w:pPr>
              <w:keepNext/>
            </w:pPr>
          </w:p>
        </w:tc>
        <w:tc>
          <w:tcPr>
            <w:tcW w:w="495" w:type="dxa"/>
            <w:tcBorders>
              <w:top w:val="nil"/>
              <w:left w:val="nil"/>
              <w:bottom w:val="nil"/>
              <w:right w:val="nil"/>
            </w:tcBorders>
            <w:shd w:val="clear" w:color="auto" w:fill="CCEEFF"/>
            <w:tcMar>
              <w:top w:w="0" w:type="dxa"/>
              <w:left w:w="0" w:type="dxa"/>
              <w:bottom w:w="0" w:type="dxa"/>
              <w:right w:w="0" w:type="dxa"/>
            </w:tcMar>
            <w:vAlign w:val="bottom"/>
          </w:tcPr>
          <w:p w14:paraId="45B429C0" w14:textId="77777777" w:rsidR="00C56203" w:rsidRDefault="00C56203">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BB2930D" w14:textId="77777777" w:rsidR="00C56203" w:rsidRDefault="00C56203">
            <w:pPr>
              <w:keepNext/>
            </w:pPr>
          </w:p>
        </w:tc>
        <w:tc>
          <w:tcPr>
            <w:tcW w:w="52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7CC02D90" w14:textId="77777777" w:rsidR="00C56203" w:rsidRDefault="00C56203">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3A0F754" w14:textId="77777777" w:rsidR="00C56203" w:rsidRDefault="00C56203">
            <w:pPr>
              <w:keepNext/>
            </w:pPr>
          </w:p>
        </w:tc>
        <w:tc>
          <w:tcPr>
            <w:tcW w:w="495" w:type="dxa"/>
            <w:tcBorders>
              <w:top w:val="nil"/>
              <w:left w:val="nil"/>
              <w:bottom w:val="nil"/>
              <w:right w:val="nil"/>
            </w:tcBorders>
            <w:shd w:val="clear" w:color="auto" w:fill="CCEEFF"/>
            <w:tcMar>
              <w:top w:w="0" w:type="dxa"/>
              <w:left w:w="0" w:type="dxa"/>
              <w:bottom w:w="0" w:type="dxa"/>
              <w:right w:w="0" w:type="dxa"/>
            </w:tcMar>
            <w:vAlign w:val="bottom"/>
          </w:tcPr>
          <w:p w14:paraId="013D41D6" w14:textId="77777777" w:rsidR="00C56203" w:rsidRDefault="00C56203">
            <w:pPr>
              <w:keepNext/>
            </w:pPr>
          </w:p>
        </w:tc>
      </w:tr>
      <w:tr w:rsidR="00C56203" w14:paraId="1B1F8F98" w14:textId="77777777">
        <w:trPr>
          <w:cantSplit/>
          <w:trHeight w:hRule="exact" w:val="285"/>
          <w:jc w:val="center"/>
        </w:trPr>
        <w:tc>
          <w:tcPr>
            <w:tcW w:w="2235" w:type="dxa"/>
            <w:tcBorders>
              <w:top w:val="nil"/>
              <w:left w:val="nil"/>
              <w:bottom w:val="nil"/>
              <w:right w:val="nil"/>
            </w:tcBorders>
            <w:shd w:val="clear" w:color="auto" w:fill="FFFFFF"/>
            <w:tcMar>
              <w:top w:w="0" w:type="dxa"/>
              <w:left w:w="53" w:type="dxa"/>
              <w:bottom w:w="0" w:type="dxa"/>
              <w:right w:w="53" w:type="dxa"/>
            </w:tcMar>
            <w:vAlign w:val="bottom"/>
          </w:tcPr>
          <w:p w14:paraId="5249BD65" w14:textId="77777777" w:rsidR="00C56203" w:rsidRDefault="00CD5102">
            <w:pPr>
              <w:keepNext/>
              <w:spacing w:before="75" w:after="30"/>
            </w:pPr>
            <w:r>
              <w:rPr>
                <w:b/>
                <w:color w:val="000000"/>
                <w:sz w:val="16"/>
              </w:rPr>
              <w:t>Bausch + Lomb</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1F39E99" w14:textId="77777777" w:rsidR="00C56203" w:rsidRDefault="00C56203">
            <w:pPr>
              <w:keepNext/>
            </w:pPr>
          </w:p>
        </w:tc>
        <w:tc>
          <w:tcPr>
            <w:tcW w:w="645" w:type="dxa"/>
            <w:tcBorders>
              <w:top w:val="nil"/>
              <w:left w:val="nil"/>
              <w:bottom w:val="nil"/>
              <w:right w:val="nil"/>
            </w:tcBorders>
            <w:shd w:val="clear" w:color="auto" w:fill="FFFFFF"/>
            <w:tcMar>
              <w:top w:w="0" w:type="dxa"/>
              <w:left w:w="0" w:type="dxa"/>
              <w:bottom w:w="0" w:type="dxa"/>
              <w:right w:w="0" w:type="dxa"/>
            </w:tcMar>
            <w:vAlign w:val="bottom"/>
          </w:tcPr>
          <w:p w14:paraId="2A184014" w14:textId="77777777" w:rsidR="00C56203" w:rsidRDefault="00C56203">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F5F19B3" w14:textId="77777777" w:rsidR="00C56203" w:rsidRDefault="00C56203">
            <w:pPr>
              <w:keepNext/>
            </w:pPr>
          </w:p>
        </w:tc>
        <w:tc>
          <w:tcPr>
            <w:tcW w:w="705" w:type="dxa"/>
            <w:tcBorders>
              <w:top w:val="nil"/>
              <w:left w:val="nil"/>
              <w:bottom w:val="nil"/>
              <w:right w:val="nil"/>
            </w:tcBorders>
            <w:shd w:val="clear" w:color="auto" w:fill="FFFFFF"/>
            <w:tcMar>
              <w:top w:w="0" w:type="dxa"/>
              <w:left w:w="0" w:type="dxa"/>
              <w:bottom w:w="0" w:type="dxa"/>
              <w:right w:w="0" w:type="dxa"/>
            </w:tcMar>
            <w:vAlign w:val="bottom"/>
          </w:tcPr>
          <w:p w14:paraId="7E69F171" w14:textId="77777777" w:rsidR="00C56203" w:rsidRDefault="00C56203">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1608159" w14:textId="77777777" w:rsidR="00C56203" w:rsidRDefault="00C56203">
            <w:pPr>
              <w:keepNext/>
            </w:pPr>
          </w:p>
        </w:tc>
        <w:tc>
          <w:tcPr>
            <w:tcW w:w="765" w:type="dxa"/>
            <w:tcBorders>
              <w:top w:val="nil"/>
              <w:left w:val="nil"/>
              <w:bottom w:val="nil"/>
              <w:right w:val="nil"/>
            </w:tcBorders>
            <w:shd w:val="clear" w:color="auto" w:fill="FFFFFF"/>
            <w:tcMar>
              <w:top w:w="0" w:type="dxa"/>
              <w:left w:w="0" w:type="dxa"/>
              <w:bottom w:w="0" w:type="dxa"/>
              <w:right w:w="0" w:type="dxa"/>
            </w:tcMar>
            <w:vAlign w:val="bottom"/>
          </w:tcPr>
          <w:p w14:paraId="2E4F1291" w14:textId="77777777" w:rsidR="00C56203" w:rsidRDefault="00C56203">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A881959" w14:textId="77777777" w:rsidR="00C56203" w:rsidRDefault="00C56203">
            <w:pPr>
              <w:keepNext/>
            </w:pPr>
          </w:p>
        </w:tc>
        <w:tc>
          <w:tcPr>
            <w:tcW w:w="645" w:type="dxa"/>
            <w:tcBorders>
              <w:top w:val="nil"/>
              <w:left w:val="nil"/>
              <w:bottom w:val="nil"/>
              <w:right w:val="nil"/>
            </w:tcBorders>
            <w:shd w:val="clear" w:color="auto" w:fill="FFFFFF"/>
            <w:tcMar>
              <w:top w:w="0" w:type="dxa"/>
              <w:left w:w="0" w:type="dxa"/>
              <w:bottom w:w="0" w:type="dxa"/>
              <w:right w:w="0" w:type="dxa"/>
            </w:tcMar>
            <w:vAlign w:val="bottom"/>
          </w:tcPr>
          <w:p w14:paraId="4241288C" w14:textId="77777777" w:rsidR="00C56203" w:rsidRDefault="00C56203">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8BD6C0F" w14:textId="77777777" w:rsidR="00C56203" w:rsidRDefault="00C56203">
            <w:pPr>
              <w:keepNext/>
            </w:pPr>
          </w:p>
        </w:tc>
        <w:tc>
          <w:tcPr>
            <w:tcW w:w="645" w:type="dxa"/>
            <w:tcBorders>
              <w:top w:val="nil"/>
              <w:left w:val="nil"/>
              <w:bottom w:val="nil"/>
              <w:right w:val="nil"/>
            </w:tcBorders>
            <w:shd w:val="clear" w:color="auto" w:fill="FFFFFF"/>
            <w:tcMar>
              <w:top w:w="0" w:type="dxa"/>
              <w:left w:w="0" w:type="dxa"/>
              <w:bottom w:w="0" w:type="dxa"/>
              <w:right w:w="0" w:type="dxa"/>
            </w:tcMar>
            <w:vAlign w:val="bottom"/>
          </w:tcPr>
          <w:p w14:paraId="75E7562F"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6E24801" w14:textId="77777777" w:rsidR="00C56203" w:rsidRDefault="00C56203">
            <w:pPr>
              <w:keepNext/>
            </w:pPr>
          </w:p>
        </w:tc>
        <w:tc>
          <w:tcPr>
            <w:tcW w:w="975" w:type="dxa"/>
            <w:tcBorders>
              <w:top w:val="nil"/>
              <w:left w:val="nil"/>
              <w:bottom w:val="nil"/>
              <w:right w:val="nil"/>
            </w:tcBorders>
            <w:shd w:val="clear" w:color="auto" w:fill="FFFFFF"/>
            <w:tcMar>
              <w:top w:w="0" w:type="dxa"/>
              <w:left w:w="0" w:type="dxa"/>
              <w:bottom w:w="0" w:type="dxa"/>
              <w:right w:w="0" w:type="dxa"/>
            </w:tcMar>
            <w:vAlign w:val="bottom"/>
          </w:tcPr>
          <w:p w14:paraId="71F11CCF"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9EB3838" w14:textId="77777777" w:rsidR="00C56203" w:rsidRDefault="00C56203">
            <w:pPr>
              <w:keepNext/>
            </w:pPr>
          </w:p>
        </w:tc>
        <w:tc>
          <w:tcPr>
            <w:tcW w:w="660" w:type="dxa"/>
            <w:tcBorders>
              <w:top w:val="nil"/>
              <w:left w:val="nil"/>
              <w:bottom w:val="nil"/>
              <w:right w:val="nil"/>
            </w:tcBorders>
            <w:shd w:val="clear" w:color="auto" w:fill="FFFFFF"/>
            <w:tcMar>
              <w:top w:w="0" w:type="dxa"/>
              <w:left w:w="0" w:type="dxa"/>
              <w:bottom w:w="0" w:type="dxa"/>
              <w:right w:w="0" w:type="dxa"/>
            </w:tcMar>
            <w:vAlign w:val="bottom"/>
          </w:tcPr>
          <w:p w14:paraId="5FD8A278"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4DDC58A" w14:textId="77777777" w:rsidR="00C56203" w:rsidRDefault="00C56203">
            <w:pPr>
              <w:keepNext/>
            </w:pPr>
          </w:p>
        </w:tc>
        <w:tc>
          <w:tcPr>
            <w:tcW w:w="525" w:type="dxa"/>
            <w:tcBorders>
              <w:top w:val="nil"/>
              <w:left w:val="nil"/>
              <w:bottom w:val="nil"/>
              <w:right w:val="nil"/>
            </w:tcBorders>
            <w:shd w:val="clear" w:color="auto" w:fill="FFFFFF"/>
            <w:tcMar>
              <w:top w:w="0" w:type="dxa"/>
              <w:left w:w="0" w:type="dxa"/>
              <w:bottom w:w="0" w:type="dxa"/>
              <w:right w:w="0" w:type="dxa"/>
            </w:tcMar>
            <w:vAlign w:val="bottom"/>
          </w:tcPr>
          <w:p w14:paraId="1AF000D9" w14:textId="77777777" w:rsidR="00C56203" w:rsidRDefault="00C56203">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45D43C7" w14:textId="77777777" w:rsidR="00C56203" w:rsidRDefault="00C56203">
            <w:pPr>
              <w:keepNext/>
            </w:pPr>
          </w:p>
        </w:tc>
        <w:tc>
          <w:tcPr>
            <w:tcW w:w="495" w:type="dxa"/>
            <w:tcBorders>
              <w:top w:val="nil"/>
              <w:left w:val="nil"/>
              <w:bottom w:val="nil"/>
              <w:right w:val="nil"/>
            </w:tcBorders>
            <w:shd w:val="clear" w:color="auto" w:fill="FFFFFF"/>
            <w:tcMar>
              <w:top w:w="0" w:type="dxa"/>
              <w:left w:w="0" w:type="dxa"/>
              <w:bottom w:w="0" w:type="dxa"/>
              <w:right w:w="0" w:type="dxa"/>
            </w:tcMar>
            <w:vAlign w:val="bottom"/>
          </w:tcPr>
          <w:p w14:paraId="08FDCC96"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B9E5F2D" w14:textId="77777777" w:rsidR="00C56203" w:rsidRDefault="00C56203">
            <w:pPr>
              <w:keepNext/>
            </w:pPr>
          </w:p>
        </w:tc>
        <w:tc>
          <w:tcPr>
            <w:tcW w:w="525" w:type="dxa"/>
            <w:tcBorders>
              <w:top w:val="nil"/>
              <w:left w:val="nil"/>
              <w:bottom w:val="nil"/>
              <w:right w:val="nil"/>
            </w:tcBorders>
            <w:shd w:val="clear" w:color="auto" w:fill="FFFFFF"/>
            <w:tcMar>
              <w:top w:w="0" w:type="dxa"/>
              <w:left w:w="0" w:type="dxa"/>
              <w:bottom w:w="0" w:type="dxa"/>
              <w:right w:w="0" w:type="dxa"/>
            </w:tcMar>
            <w:vAlign w:val="bottom"/>
          </w:tcPr>
          <w:p w14:paraId="55B5FC2A"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197C7A7" w14:textId="77777777" w:rsidR="00C56203" w:rsidRDefault="00C56203">
            <w:pPr>
              <w:keepNext/>
            </w:pPr>
          </w:p>
        </w:tc>
        <w:tc>
          <w:tcPr>
            <w:tcW w:w="495" w:type="dxa"/>
            <w:tcBorders>
              <w:top w:val="nil"/>
              <w:left w:val="nil"/>
              <w:bottom w:val="nil"/>
              <w:right w:val="nil"/>
            </w:tcBorders>
            <w:shd w:val="clear" w:color="auto" w:fill="FFFFFF"/>
            <w:tcMar>
              <w:top w:w="0" w:type="dxa"/>
              <w:left w:w="0" w:type="dxa"/>
              <w:bottom w:w="0" w:type="dxa"/>
              <w:right w:w="0" w:type="dxa"/>
            </w:tcMar>
            <w:vAlign w:val="bottom"/>
          </w:tcPr>
          <w:p w14:paraId="76D316D3" w14:textId="77777777" w:rsidR="00C56203" w:rsidRDefault="00C56203">
            <w:pPr>
              <w:keepNext/>
            </w:pPr>
          </w:p>
        </w:tc>
      </w:tr>
      <w:tr w:rsidR="00C56203" w14:paraId="351AA15C" w14:textId="77777777">
        <w:trPr>
          <w:cantSplit/>
          <w:trHeight w:hRule="exact" w:val="285"/>
          <w:jc w:val="center"/>
        </w:trPr>
        <w:tc>
          <w:tcPr>
            <w:tcW w:w="2235" w:type="dxa"/>
            <w:tcBorders>
              <w:top w:val="nil"/>
              <w:left w:val="nil"/>
              <w:bottom w:val="nil"/>
              <w:right w:val="nil"/>
            </w:tcBorders>
            <w:shd w:val="clear" w:color="auto" w:fill="CCEEFF"/>
            <w:tcMar>
              <w:top w:w="0" w:type="dxa"/>
              <w:left w:w="53" w:type="dxa"/>
              <w:bottom w:w="0" w:type="dxa"/>
              <w:right w:w="53" w:type="dxa"/>
            </w:tcMar>
            <w:vAlign w:val="bottom"/>
          </w:tcPr>
          <w:p w14:paraId="24D48646" w14:textId="77777777" w:rsidR="00C56203" w:rsidRDefault="00CD5102">
            <w:pPr>
              <w:keepNext/>
              <w:spacing w:before="75" w:after="30"/>
              <w:ind w:left="90"/>
            </w:pPr>
            <w:r>
              <w:rPr>
                <w:color w:val="000000"/>
                <w:sz w:val="16"/>
              </w:rPr>
              <w:t>Vision Care</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82FECEC" w14:textId="77777777" w:rsidR="00C56203" w:rsidRDefault="00C56203">
            <w:pPr>
              <w:keepNext/>
            </w:pPr>
          </w:p>
        </w:tc>
        <w:tc>
          <w:tcPr>
            <w:tcW w:w="645" w:type="dxa"/>
            <w:tcBorders>
              <w:top w:val="nil"/>
              <w:left w:val="nil"/>
              <w:bottom w:val="nil"/>
              <w:right w:val="nil"/>
            </w:tcBorders>
            <w:shd w:val="clear" w:color="auto" w:fill="CCEEFF"/>
            <w:tcMar>
              <w:top w:w="0" w:type="dxa"/>
              <w:left w:w="0" w:type="dxa"/>
              <w:bottom w:w="0" w:type="dxa"/>
              <w:right w:w="15" w:type="dxa"/>
            </w:tcMar>
            <w:vAlign w:val="bottom"/>
          </w:tcPr>
          <w:p w14:paraId="31A0C3C5" w14:textId="77777777" w:rsidR="00C56203" w:rsidRDefault="00CD5102">
            <w:pPr>
              <w:keepNext/>
              <w:tabs>
                <w:tab w:val="left" w:pos="286"/>
                <w:tab w:val="left" w:pos="577"/>
              </w:tabs>
              <w:spacing w:before="75" w:after="30"/>
              <w:jc w:val="right"/>
            </w:pPr>
            <w:r>
              <w:rPr>
                <w:color w:val="000000"/>
                <w:sz w:val="16"/>
              </w:rPr>
              <w:t>$</w:t>
            </w:r>
            <w:r>
              <w:rPr>
                <w:color w:val="000000"/>
                <w:sz w:val="16"/>
              </w:rPr>
              <w:tab/>
              <w:t>587</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F833295" w14:textId="77777777" w:rsidR="00C56203" w:rsidRDefault="00C56203">
            <w:pPr>
              <w:keepNext/>
            </w:pPr>
          </w:p>
        </w:tc>
        <w:tc>
          <w:tcPr>
            <w:tcW w:w="705" w:type="dxa"/>
            <w:tcBorders>
              <w:top w:val="nil"/>
              <w:left w:val="nil"/>
              <w:bottom w:val="nil"/>
              <w:right w:val="nil"/>
            </w:tcBorders>
            <w:shd w:val="clear" w:color="auto" w:fill="CCEEFF"/>
            <w:tcMar>
              <w:top w:w="0" w:type="dxa"/>
              <w:left w:w="0" w:type="dxa"/>
              <w:bottom w:w="0" w:type="dxa"/>
              <w:right w:w="15" w:type="dxa"/>
            </w:tcMar>
            <w:vAlign w:val="bottom"/>
          </w:tcPr>
          <w:p w14:paraId="67386C0C" w14:textId="77777777" w:rsidR="00C56203" w:rsidRDefault="00CD5102">
            <w:pPr>
              <w:keepNext/>
              <w:tabs>
                <w:tab w:val="left" w:pos="426"/>
                <w:tab w:val="left" w:pos="637"/>
              </w:tabs>
              <w:spacing w:before="75" w:after="30"/>
              <w:jc w:val="right"/>
            </w:pPr>
            <w:r>
              <w:rPr>
                <w:color w:val="000000"/>
                <w:sz w:val="16"/>
              </w:rPr>
              <w:t>$</w:t>
            </w:r>
            <w:r>
              <w:rPr>
                <w:color w:val="000000"/>
                <w:sz w:val="16"/>
              </w:rPr>
              <w:tab/>
              <w:t>20</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A95F42E" w14:textId="77777777" w:rsidR="00C56203" w:rsidRDefault="00C56203">
            <w:pPr>
              <w:keepNext/>
            </w:pPr>
          </w:p>
        </w:tc>
        <w:tc>
          <w:tcPr>
            <w:tcW w:w="765" w:type="dxa"/>
            <w:tcBorders>
              <w:top w:val="nil"/>
              <w:left w:val="nil"/>
              <w:bottom w:val="nil"/>
              <w:right w:val="nil"/>
            </w:tcBorders>
            <w:shd w:val="clear" w:color="auto" w:fill="CCEEFF"/>
            <w:tcMar>
              <w:top w:w="0" w:type="dxa"/>
              <w:left w:w="0" w:type="dxa"/>
              <w:bottom w:w="0" w:type="dxa"/>
              <w:right w:w="15" w:type="dxa"/>
            </w:tcMar>
            <w:vAlign w:val="bottom"/>
          </w:tcPr>
          <w:p w14:paraId="65C57129" w14:textId="77777777" w:rsidR="00C56203" w:rsidRDefault="00CD5102">
            <w:pPr>
              <w:keepNext/>
              <w:tabs>
                <w:tab w:val="left" w:pos="486"/>
                <w:tab w:val="left" w:pos="697"/>
              </w:tabs>
              <w:spacing w:before="75" w:after="30"/>
              <w:jc w:val="right"/>
            </w:pPr>
            <w:r>
              <w:rPr>
                <w:color w:val="000000"/>
                <w:sz w:val="16"/>
              </w:rPr>
              <w:t>$</w:t>
            </w:r>
            <w:r>
              <w:rPr>
                <w:color w:val="000000"/>
                <w:sz w:val="16"/>
              </w:rPr>
              <w:tab/>
              <w:t>—</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29313D3" w14:textId="77777777" w:rsidR="00C56203" w:rsidRDefault="00C56203">
            <w:pPr>
              <w:keepNext/>
            </w:pPr>
          </w:p>
        </w:tc>
        <w:tc>
          <w:tcPr>
            <w:tcW w:w="645" w:type="dxa"/>
            <w:tcBorders>
              <w:top w:val="nil"/>
              <w:left w:val="nil"/>
              <w:bottom w:val="nil"/>
              <w:right w:val="nil"/>
            </w:tcBorders>
            <w:shd w:val="clear" w:color="auto" w:fill="CCEEFF"/>
            <w:tcMar>
              <w:top w:w="0" w:type="dxa"/>
              <w:left w:w="0" w:type="dxa"/>
              <w:bottom w:w="0" w:type="dxa"/>
              <w:right w:w="15" w:type="dxa"/>
            </w:tcMar>
            <w:vAlign w:val="bottom"/>
          </w:tcPr>
          <w:p w14:paraId="3F6C6F00" w14:textId="77777777" w:rsidR="00C56203" w:rsidRDefault="00CD5102">
            <w:pPr>
              <w:keepNext/>
              <w:tabs>
                <w:tab w:val="left" w:pos="286"/>
                <w:tab w:val="left" w:pos="577"/>
              </w:tabs>
              <w:spacing w:before="75" w:after="30"/>
              <w:jc w:val="right"/>
            </w:pPr>
            <w:r>
              <w:rPr>
                <w:color w:val="000000"/>
                <w:sz w:val="16"/>
              </w:rPr>
              <w:t>$</w:t>
            </w:r>
            <w:r>
              <w:rPr>
                <w:color w:val="000000"/>
                <w:sz w:val="16"/>
              </w:rPr>
              <w:tab/>
              <w:t>607</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DEB3BAD" w14:textId="77777777" w:rsidR="00C56203" w:rsidRDefault="00C56203">
            <w:pPr>
              <w:keepNext/>
            </w:pPr>
          </w:p>
        </w:tc>
        <w:tc>
          <w:tcPr>
            <w:tcW w:w="645" w:type="dxa"/>
            <w:tcBorders>
              <w:top w:val="nil"/>
              <w:left w:val="nil"/>
              <w:bottom w:val="nil"/>
              <w:right w:val="nil"/>
            </w:tcBorders>
            <w:shd w:val="clear" w:color="auto" w:fill="CCEEFF"/>
            <w:tcMar>
              <w:top w:w="0" w:type="dxa"/>
              <w:left w:w="0" w:type="dxa"/>
              <w:bottom w:w="0" w:type="dxa"/>
              <w:right w:w="15" w:type="dxa"/>
            </w:tcMar>
            <w:vAlign w:val="bottom"/>
          </w:tcPr>
          <w:p w14:paraId="045D2C2D" w14:textId="77777777" w:rsidR="00C56203" w:rsidRDefault="00CD5102">
            <w:pPr>
              <w:keepNext/>
              <w:tabs>
                <w:tab w:val="left" w:pos="286"/>
                <w:tab w:val="left" w:pos="577"/>
              </w:tabs>
              <w:spacing w:before="75" w:after="30"/>
              <w:jc w:val="right"/>
            </w:pPr>
            <w:r>
              <w:rPr>
                <w:color w:val="000000"/>
                <w:sz w:val="16"/>
              </w:rPr>
              <w:t>$</w:t>
            </w:r>
            <w:r>
              <w:rPr>
                <w:color w:val="000000"/>
                <w:sz w:val="16"/>
              </w:rPr>
              <w:tab/>
              <w:t>560</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574630A" w14:textId="77777777" w:rsidR="00C56203" w:rsidRDefault="00C56203">
            <w:pPr>
              <w:keepNext/>
            </w:pPr>
          </w:p>
        </w:tc>
        <w:tc>
          <w:tcPr>
            <w:tcW w:w="975" w:type="dxa"/>
            <w:tcBorders>
              <w:top w:val="nil"/>
              <w:left w:val="nil"/>
              <w:bottom w:val="nil"/>
              <w:right w:val="nil"/>
            </w:tcBorders>
            <w:shd w:val="clear" w:color="auto" w:fill="CCEEFF"/>
            <w:tcMar>
              <w:top w:w="0" w:type="dxa"/>
              <w:left w:w="0" w:type="dxa"/>
              <w:bottom w:w="0" w:type="dxa"/>
              <w:right w:w="15" w:type="dxa"/>
            </w:tcMar>
            <w:vAlign w:val="bottom"/>
          </w:tcPr>
          <w:p w14:paraId="5D081BF2" w14:textId="77777777" w:rsidR="00C56203" w:rsidRDefault="00CD5102">
            <w:pPr>
              <w:keepNext/>
              <w:tabs>
                <w:tab w:val="left" w:pos="696"/>
                <w:tab w:val="left" w:pos="907"/>
              </w:tabs>
              <w:spacing w:before="75" w:after="30"/>
              <w:jc w:val="right"/>
            </w:pPr>
            <w:r>
              <w:rPr>
                <w:color w:val="000000"/>
                <w:sz w:val="16"/>
              </w:rPr>
              <w:t>$</w:t>
            </w:r>
            <w:r>
              <w:rPr>
                <w:color w:val="000000"/>
                <w:sz w:val="16"/>
              </w:rPr>
              <w:tab/>
              <w:t>—</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B24FE4A" w14:textId="77777777" w:rsidR="00C56203" w:rsidRDefault="00C56203">
            <w:pPr>
              <w:keepNext/>
            </w:pPr>
          </w:p>
        </w:tc>
        <w:tc>
          <w:tcPr>
            <w:tcW w:w="660" w:type="dxa"/>
            <w:tcBorders>
              <w:top w:val="nil"/>
              <w:left w:val="nil"/>
              <w:bottom w:val="nil"/>
              <w:right w:val="nil"/>
            </w:tcBorders>
            <w:shd w:val="clear" w:color="auto" w:fill="CCEEFF"/>
            <w:tcMar>
              <w:top w:w="0" w:type="dxa"/>
              <w:left w:w="0" w:type="dxa"/>
              <w:bottom w:w="0" w:type="dxa"/>
              <w:right w:w="15" w:type="dxa"/>
            </w:tcMar>
            <w:vAlign w:val="bottom"/>
          </w:tcPr>
          <w:p w14:paraId="753C1B85" w14:textId="77777777" w:rsidR="00C56203" w:rsidRDefault="00CD5102">
            <w:pPr>
              <w:keepNext/>
              <w:tabs>
                <w:tab w:val="left" w:pos="301"/>
                <w:tab w:val="left" w:pos="592"/>
              </w:tabs>
              <w:spacing w:before="75" w:after="30"/>
              <w:jc w:val="right"/>
            </w:pPr>
            <w:r>
              <w:rPr>
                <w:color w:val="000000"/>
                <w:sz w:val="16"/>
              </w:rPr>
              <w:t>$</w:t>
            </w:r>
            <w:r>
              <w:rPr>
                <w:color w:val="000000"/>
                <w:sz w:val="16"/>
              </w:rPr>
              <w:tab/>
              <w:t>560</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DF8B7D4" w14:textId="77777777" w:rsidR="00C56203" w:rsidRDefault="00C56203">
            <w:pPr>
              <w:keepNext/>
            </w:pPr>
          </w:p>
        </w:tc>
        <w:tc>
          <w:tcPr>
            <w:tcW w:w="525" w:type="dxa"/>
            <w:tcBorders>
              <w:top w:val="nil"/>
              <w:left w:val="nil"/>
              <w:bottom w:val="nil"/>
              <w:right w:val="nil"/>
            </w:tcBorders>
            <w:shd w:val="clear" w:color="auto" w:fill="CCEEFF"/>
            <w:tcMar>
              <w:top w:w="0" w:type="dxa"/>
              <w:left w:w="0" w:type="dxa"/>
              <w:bottom w:w="0" w:type="dxa"/>
              <w:right w:w="15" w:type="dxa"/>
            </w:tcMar>
            <w:vAlign w:val="bottom"/>
          </w:tcPr>
          <w:p w14:paraId="69B0F2E4" w14:textId="77777777" w:rsidR="00C56203" w:rsidRDefault="00CD5102">
            <w:pPr>
              <w:keepNext/>
              <w:tabs>
                <w:tab w:val="left" w:pos="246"/>
                <w:tab w:val="left" w:pos="457"/>
              </w:tabs>
              <w:spacing w:before="75" w:after="30"/>
              <w:jc w:val="right"/>
            </w:pPr>
            <w:r>
              <w:rPr>
                <w:color w:val="000000"/>
                <w:sz w:val="16"/>
              </w:rPr>
              <w:t>$</w:t>
            </w:r>
            <w:r>
              <w:rPr>
                <w:color w:val="000000"/>
                <w:sz w:val="16"/>
              </w:rPr>
              <w:tab/>
              <w:t>27</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462FB7B" w14:textId="77777777" w:rsidR="00C56203" w:rsidRDefault="00C56203">
            <w:pPr>
              <w:keepNext/>
            </w:pPr>
          </w:p>
        </w:tc>
        <w:tc>
          <w:tcPr>
            <w:tcW w:w="495" w:type="dxa"/>
            <w:tcBorders>
              <w:top w:val="nil"/>
              <w:left w:val="nil"/>
              <w:bottom w:val="nil"/>
              <w:right w:val="nil"/>
            </w:tcBorders>
            <w:shd w:val="clear" w:color="auto" w:fill="CCEEFF"/>
            <w:tcMar>
              <w:top w:w="0" w:type="dxa"/>
              <w:left w:w="0" w:type="dxa"/>
              <w:bottom w:w="0" w:type="dxa"/>
              <w:right w:w="15" w:type="dxa"/>
            </w:tcMar>
            <w:vAlign w:val="bottom"/>
          </w:tcPr>
          <w:p w14:paraId="245671AE" w14:textId="77777777" w:rsidR="00C56203" w:rsidRDefault="00CD5102">
            <w:pPr>
              <w:keepNext/>
              <w:tabs>
                <w:tab w:val="left" w:pos="1"/>
                <w:tab w:val="left" w:pos="136"/>
              </w:tabs>
              <w:spacing w:before="75" w:after="30"/>
              <w:jc w:val="right"/>
            </w:pPr>
            <w:r>
              <w:rPr>
                <w:color w:val="000000"/>
                <w:sz w:val="16"/>
              </w:rPr>
              <w:tab/>
              <w:t>5</w:t>
            </w:r>
            <w:r>
              <w:rPr>
                <w:color w:val="000000"/>
                <w:sz w:val="16"/>
              </w:rPr>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353EB71" w14:textId="77777777" w:rsidR="00C56203" w:rsidRDefault="00C56203">
            <w:pPr>
              <w:keepNext/>
            </w:pPr>
          </w:p>
        </w:tc>
        <w:tc>
          <w:tcPr>
            <w:tcW w:w="525" w:type="dxa"/>
            <w:tcBorders>
              <w:top w:val="nil"/>
              <w:left w:val="nil"/>
              <w:bottom w:val="nil"/>
              <w:right w:val="nil"/>
            </w:tcBorders>
            <w:shd w:val="clear" w:color="auto" w:fill="CCEEFF"/>
            <w:tcMar>
              <w:top w:w="0" w:type="dxa"/>
              <w:left w:w="0" w:type="dxa"/>
              <w:bottom w:w="0" w:type="dxa"/>
              <w:right w:w="15" w:type="dxa"/>
            </w:tcMar>
            <w:vAlign w:val="bottom"/>
          </w:tcPr>
          <w:p w14:paraId="657C0F9C" w14:textId="77777777" w:rsidR="00C56203" w:rsidRDefault="00CD5102">
            <w:pPr>
              <w:keepNext/>
              <w:tabs>
                <w:tab w:val="left" w:pos="246"/>
                <w:tab w:val="left" w:pos="457"/>
              </w:tabs>
              <w:spacing w:before="75" w:after="30"/>
              <w:jc w:val="right"/>
            </w:pPr>
            <w:r>
              <w:rPr>
                <w:color w:val="000000"/>
                <w:sz w:val="16"/>
              </w:rPr>
              <w:t>$</w:t>
            </w:r>
            <w:r>
              <w:rPr>
                <w:color w:val="000000"/>
                <w:sz w:val="16"/>
              </w:rPr>
              <w:tab/>
              <w:t>47</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36FD166" w14:textId="77777777" w:rsidR="00C56203" w:rsidRDefault="00C56203">
            <w:pPr>
              <w:keepNext/>
            </w:pPr>
          </w:p>
        </w:tc>
        <w:tc>
          <w:tcPr>
            <w:tcW w:w="495" w:type="dxa"/>
            <w:tcBorders>
              <w:top w:val="nil"/>
              <w:left w:val="nil"/>
              <w:bottom w:val="nil"/>
              <w:right w:val="nil"/>
            </w:tcBorders>
            <w:shd w:val="clear" w:color="auto" w:fill="CCEEFF"/>
            <w:tcMar>
              <w:top w:w="0" w:type="dxa"/>
              <w:left w:w="0" w:type="dxa"/>
              <w:bottom w:w="0" w:type="dxa"/>
              <w:right w:w="15" w:type="dxa"/>
            </w:tcMar>
            <w:vAlign w:val="bottom"/>
          </w:tcPr>
          <w:p w14:paraId="53C12E50" w14:textId="77777777" w:rsidR="00C56203" w:rsidRDefault="00CD5102">
            <w:pPr>
              <w:keepNext/>
              <w:tabs>
                <w:tab w:val="left" w:pos="1"/>
                <w:tab w:val="left" w:pos="136"/>
              </w:tabs>
              <w:spacing w:before="75" w:after="30"/>
              <w:jc w:val="right"/>
            </w:pPr>
            <w:r>
              <w:rPr>
                <w:color w:val="000000"/>
                <w:sz w:val="16"/>
              </w:rPr>
              <w:tab/>
              <w:t>8</w:t>
            </w:r>
            <w:r>
              <w:rPr>
                <w:color w:val="000000"/>
                <w:sz w:val="16"/>
              </w:rPr>
              <w:tab/>
              <w:t>%</w:t>
            </w:r>
          </w:p>
        </w:tc>
      </w:tr>
      <w:tr w:rsidR="00C56203" w14:paraId="6A3CBE9A" w14:textId="77777777">
        <w:trPr>
          <w:cantSplit/>
          <w:trHeight w:hRule="exact" w:val="285"/>
          <w:jc w:val="center"/>
        </w:trPr>
        <w:tc>
          <w:tcPr>
            <w:tcW w:w="2235" w:type="dxa"/>
            <w:tcBorders>
              <w:top w:val="nil"/>
              <w:left w:val="nil"/>
              <w:bottom w:val="nil"/>
              <w:right w:val="nil"/>
            </w:tcBorders>
            <w:shd w:val="clear" w:color="auto" w:fill="FFFFFF"/>
            <w:tcMar>
              <w:top w:w="0" w:type="dxa"/>
              <w:left w:w="53" w:type="dxa"/>
              <w:bottom w:w="0" w:type="dxa"/>
              <w:right w:w="53" w:type="dxa"/>
            </w:tcMar>
            <w:vAlign w:val="bottom"/>
          </w:tcPr>
          <w:p w14:paraId="59AD0848" w14:textId="77777777" w:rsidR="00C56203" w:rsidRDefault="00CD5102">
            <w:pPr>
              <w:keepNext/>
              <w:spacing w:before="75" w:after="30"/>
              <w:ind w:left="90"/>
            </w:pPr>
            <w:r>
              <w:rPr>
                <w:color w:val="000000"/>
                <w:sz w:val="16"/>
              </w:rPr>
              <w:t>Surgical</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E23A565" w14:textId="77777777" w:rsidR="00C56203" w:rsidRDefault="00C56203">
            <w:pPr>
              <w:keepNext/>
            </w:pPr>
          </w:p>
        </w:tc>
        <w:tc>
          <w:tcPr>
            <w:tcW w:w="645" w:type="dxa"/>
            <w:tcBorders>
              <w:top w:val="nil"/>
              <w:left w:val="nil"/>
              <w:bottom w:val="nil"/>
              <w:right w:val="nil"/>
            </w:tcBorders>
            <w:shd w:val="clear" w:color="auto" w:fill="FFFFFF"/>
            <w:tcMar>
              <w:top w:w="0" w:type="dxa"/>
              <w:left w:w="0" w:type="dxa"/>
              <w:bottom w:w="0" w:type="dxa"/>
              <w:right w:w="15" w:type="dxa"/>
            </w:tcMar>
            <w:vAlign w:val="bottom"/>
          </w:tcPr>
          <w:p w14:paraId="188CFB78" w14:textId="77777777" w:rsidR="00C56203" w:rsidRDefault="00CD5102">
            <w:pPr>
              <w:keepNext/>
              <w:tabs>
                <w:tab w:val="left" w:pos="286"/>
                <w:tab w:val="left" w:pos="577"/>
              </w:tabs>
              <w:spacing w:before="75" w:after="30"/>
              <w:jc w:val="right"/>
            </w:pPr>
            <w:r>
              <w:rPr>
                <w:color w:val="000000"/>
                <w:sz w:val="16"/>
              </w:rPr>
              <w:tab/>
              <w:t>183</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397F405" w14:textId="77777777" w:rsidR="00C56203" w:rsidRDefault="00C56203">
            <w:pPr>
              <w:keepNext/>
            </w:pPr>
          </w:p>
        </w:tc>
        <w:tc>
          <w:tcPr>
            <w:tcW w:w="705" w:type="dxa"/>
            <w:tcBorders>
              <w:top w:val="nil"/>
              <w:left w:val="nil"/>
              <w:bottom w:val="nil"/>
              <w:right w:val="nil"/>
            </w:tcBorders>
            <w:shd w:val="clear" w:color="auto" w:fill="FFFFFF"/>
            <w:tcMar>
              <w:top w:w="0" w:type="dxa"/>
              <w:left w:w="0" w:type="dxa"/>
              <w:bottom w:w="0" w:type="dxa"/>
              <w:right w:w="15" w:type="dxa"/>
            </w:tcMar>
            <w:vAlign w:val="bottom"/>
          </w:tcPr>
          <w:p w14:paraId="27796452" w14:textId="77777777" w:rsidR="00C56203" w:rsidRDefault="00CD5102">
            <w:pPr>
              <w:keepNext/>
              <w:tabs>
                <w:tab w:val="left" w:pos="506"/>
                <w:tab w:val="left" w:pos="637"/>
              </w:tabs>
              <w:spacing w:before="75" w:after="30"/>
              <w:jc w:val="right"/>
            </w:pPr>
            <w:r>
              <w:rPr>
                <w:color w:val="000000"/>
                <w:sz w:val="16"/>
              </w:rPr>
              <w:tab/>
              <w:t>6</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70A650B" w14:textId="77777777" w:rsidR="00C56203" w:rsidRDefault="00C56203">
            <w:pPr>
              <w:keepNext/>
            </w:pPr>
          </w:p>
        </w:tc>
        <w:tc>
          <w:tcPr>
            <w:tcW w:w="765" w:type="dxa"/>
            <w:tcBorders>
              <w:top w:val="nil"/>
              <w:left w:val="nil"/>
              <w:bottom w:val="nil"/>
              <w:right w:val="nil"/>
            </w:tcBorders>
            <w:shd w:val="clear" w:color="auto" w:fill="FFFFFF"/>
            <w:tcMar>
              <w:top w:w="0" w:type="dxa"/>
              <w:left w:w="0" w:type="dxa"/>
              <w:bottom w:w="0" w:type="dxa"/>
              <w:right w:w="15" w:type="dxa"/>
            </w:tcMar>
            <w:vAlign w:val="bottom"/>
          </w:tcPr>
          <w:p w14:paraId="64D34D3B" w14:textId="77777777" w:rsidR="00C56203" w:rsidRDefault="00CD5102">
            <w:pPr>
              <w:keepNext/>
              <w:tabs>
                <w:tab w:val="left" w:pos="492"/>
              </w:tabs>
              <w:spacing w:before="75" w:after="30"/>
              <w:jc w:val="right"/>
            </w:pPr>
            <w:r>
              <w:rPr>
                <w:color w:val="000000"/>
                <w:sz w:val="16"/>
              </w:rPr>
              <w:tab/>
              <w:t>(2)</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946C28D" w14:textId="77777777" w:rsidR="00C56203" w:rsidRDefault="00C56203">
            <w:pPr>
              <w:keepNext/>
            </w:pPr>
          </w:p>
        </w:tc>
        <w:tc>
          <w:tcPr>
            <w:tcW w:w="645" w:type="dxa"/>
            <w:tcBorders>
              <w:top w:val="nil"/>
              <w:left w:val="nil"/>
              <w:bottom w:val="nil"/>
              <w:right w:val="nil"/>
            </w:tcBorders>
            <w:shd w:val="clear" w:color="auto" w:fill="FFFFFF"/>
            <w:tcMar>
              <w:top w:w="0" w:type="dxa"/>
              <w:left w:w="0" w:type="dxa"/>
              <w:bottom w:w="0" w:type="dxa"/>
              <w:right w:w="15" w:type="dxa"/>
            </w:tcMar>
            <w:vAlign w:val="bottom"/>
          </w:tcPr>
          <w:p w14:paraId="4AA26733" w14:textId="77777777" w:rsidR="00C56203" w:rsidRDefault="00CD5102">
            <w:pPr>
              <w:keepNext/>
              <w:tabs>
                <w:tab w:val="left" w:pos="286"/>
                <w:tab w:val="left" w:pos="577"/>
              </w:tabs>
              <w:spacing w:before="75" w:after="30"/>
              <w:jc w:val="right"/>
            </w:pPr>
            <w:r>
              <w:rPr>
                <w:color w:val="000000"/>
                <w:sz w:val="16"/>
              </w:rPr>
              <w:tab/>
              <w:t>187</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35DF069" w14:textId="77777777" w:rsidR="00C56203" w:rsidRDefault="00C56203">
            <w:pPr>
              <w:keepNext/>
            </w:pPr>
          </w:p>
        </w:tc>
        <w:tc>
          <w:tcPr>
            <w:tcW w:w="645" w:type="dxa"/>
            <w:tcBorders>
              <w:top w:val="nil"/>
              <w:left w:val="nil"/>
              <w:bottom w:val="nil"/>
              <w:right w:val="nil"/>
            </w:tcBorders>
            <w:shd w:val="clear" w:color="auto" w:fill="FFFFFF"/>
            <w:tcMar>
              <w:top w:w="0" w:type="dxa"/>
              <w:left w:w="0" w:type="dxa"/>
              <w:bottom w:w="0" w:type="dxa"/>
              <w:right w:w="15" w:type="dxa"/>
            </w:tcMar>
            <w:vAlign w:val="bottom"/>
          </w:tcPr>
          <w:p w14:paraId="55DCC0AA" w14:textId="77777777" w:rsidR="00C56203" w:rsidRDefault="00CD5102">
            <w:pPr>
              <w:keepNext/>
              <w:tabs>
                <w:tab w:val="left" w:pos="286"/>
                <w:tab w:val="left" w:pos="577"/>
              </w:tabs>
              <w:spacing w:before="75" w:after="30"/>
              <w:jc w:val="right"/>
            </w:pPr>
            <w:r>
              <w:rPr>
                <w:color w:val="000000"/>
                <w:sz w:val="16"/>
              </w:rPr>
              <w:tab/>
              <w:t>174</w:t>
            </w:r>
            <w:r>
              <w:rPr>
                <w:color w:val="000000"/>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0D80F67" w14:textId="77777777" w:rsidR="00C56203" w:rsidRDefault="00C56203">
            <w:pPr>
              <w:keepNext/>
            </w:pP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4BD3AD7F" w14:textId="77777777" w:rsidR="00C56203" w:rsidRDefault="00CD5102">
            <w:pPr>
              <w:keepNext/>
              <w:tabs>
                <w:tab w:val="left" w:pos="702"/>
              </w:tabs>
              <w:spacing w:before="75" w:after="30"/>
              <w:jc w:val="right"/>
            </w:pPr>
            <w:r>
              <w:rPr>
                <w:color w:val="000000"/>
                <w:sz w:val="16"/>
              </w:rPr>
              <w:tab/>
              <w:t>(2)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2B3BB21" w14:textId="77777777" w:rsidR="00C56203" w:rsidRDefault="00C56203">
            <w:pPr>
              <w:keepNext/>
            </w:pPr>
          </w:p>
        </w:tc>
        <w:tc>
          <w:tcPr>
            <w:tcW w:w="660" w:type="dxa"/>
            <w:tcBorders>
              <w:top w:val="nil"/>
              <w:left w:val="nil"/>
              <w:bottom w:val="nil"/>
              <w:right w:val="nil"/>
            </w:tcBorders>
            <w:shd w:val="clear" w:color="auto" w:fill="FFFFFF"/>
            <w:tcMar>
              <w:top w:w="0" w:type="dxa"/>
              <w:left w:w="0" w:type="dxa"/>
              <w:bottom w:w="0" w:type="dxa"/>
              <w:right w:w="15" w:type="dxa"/>
            </w:tcMar>
            <w:vAlign w:val="bottom"/>
          </w:tcPr>
          <w:p w14:paraId="141E9A3D" w14:textId="77777777" w:rsidR="00C56203" w:rsidRDefault="00CD5102">
            <w:pPr>
              <w:keepNext/>
              <w:tabs>
                <w:tab w:val="left" w:pos="301"/>
                <w:tab w:val="left" w:pos="592"/>
              </w:tabs>
              <w:spacing w:before="75" w:after="30"/>
              <w:jc w:val="right"/>
            </w:pPr>
            <w:r>
              <w:rPr>
                <w:color w:val="000000"/>
                <w:sz w:val="16"/>
              </w:rPr>
              <w:tab/>
              <w:t>172</w:t>
            </w:r>
            <w:r>
              <w:rPr>
                <w:color w:val="000000"/>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50FC0F1" w14:textId="77777777" w:rsidR="00C56203" w:rsidRDefault="00C56203">
            <w:pPr>
              <w:keepNext/>
            </w:pPr>
          </w:p>
        </w:tc>
        <w:tc>
          <w:tcPr>
            <w:tcW w:w="525" w:type="dxa"/>
            <w:tcBorders>
              <w:top w:val="nil"/>
              <w:left w:val="nil"/>
              <w:bottom w:val="nil"/>
              <w:right w:val="nil"/>
            </w:tcBorders>
            <w:shd w:val="clear" w:color="auto" w:fill="FFFFFF"/>
            <w:tcMar>
              <w:top w:w="0" w:type="dxa"/>
              <w:left w:w="0" w:type="dxa"/>
              <w:bottom w:w="0" w:type="dxa"/>
              <w:right w:w="15" w:type="dxa"/>
            </w:tcMar>
            <w:vAlign w:val="bottom"/>
          </w:tcPr>
          <w:p w14:paraId="7869D2E3" w14:textId="77777777" w:rsidR="00C56203" w:rsidRDefault="00CD5102">
            <w:pPr>
              <w:keepNext/>
              <w:tabs>
                <w:tab w:val="left" w:pos="326"/>
                <w:tab w:val="left" w:pos="457"/>
              </w:tabs>
              <w:spacing w:before="75" w:after="30"/>
              <w:jc w:val="right"/>
            </w:pPr>
            <w:r>
              <w:rPr>
                <w:color w:val="000000"/>
                <w:sz w:val="16"/>
              </w:rPr>
              <w:tab/>
              <w:t>9</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ECC39B1" w14:textId="77777777" w:rsidR="00C56203" w:rsidRDefault="00C56203">
            <w:pPr>
              <w:keepNext/>
            </w:pPr>
          </w:p>
        </w:tc>
        <w:tc>
          <w:tcPr>
            <w:tcW w:w="495" w:type="dxa"/>
            <w:tcBorders>
              <w:top w:val="nil"/>
              <w:left w:val="nil"/>
              <w:bottom w:val="nil"/>
              <w:right w:val="nil"/>
            </w:tcBorders>
            <w:shd w:val="clear" w:color="auto" w:fill="FFFFFF"/>
            <w:tcMar>
              <w:top w:w="0" w:type="dxa"/>
              <w:left w:w="0" w:type="dxa"/>
              <w:bottom w:w="0" w:type="dxa"/>
              <w:right w:w="15" w:type="dxa"/>
            </w:tcMar>
            <w:vAlign w:val="bottom"/>
          </w:tcPr>
          <w:p w14:paraId="4BCDEC14" w14:textId="77777777" w:rsidR="00C56203" w:rsidRDefault="00CD5102">
            <w:pPr>
              <w:keepNext/>
              <w:tabs>
                <w:tab w:val="left" w:pos="1"/>
                <w:tab w:val="left" w:pos="136"/>
              </w:tabs>
              <w:spacing w:before="75" w:after="30"/>
              <w:jc w:val="right"/>
            </w:pPr>
            <w:r>
              <w:rPr>
                <w:color w:val="000000"/>
                <w:sz w:val="16"/>
              </w:rPr>
              <w:tab/>
              <w:t>5</w:t>
            </w:r>
            <w:r>
              <w:rPr>
                <w:color w:val="000000"/>
                <w:sz w:val="16"/>
              </w:rPr>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5E69E9F" w14:textId="77777777" w:rsidR="00C56203" w:rsidRDefault="00C56203">
            <w:pPr>
              <w:keepNext/>
            </w:pPr>
          </w:p>
        </w:tc>
        <w:tc>
          <w:tcPr>
            <w:tcW w:w="525" w:type="dxa"/>
            <w:tcBorders>
              <w:top w:val="nil"/>
              <w:left w:val="nil"/>
              <w:bottom w:val="nil"/>
              <w:right w:val="nil"/>
            </w:tcBorders>
            <w:shd w:val="clear" w:color="auto" w:fill="FFFFFF"/>
            <w:tcMar>
              <w:top w:w="0" w:type="dxa"/>
              <w:left w:w="0" w:type="dxa"/>
              <w:bottom w:w="0" w:type="dxa"/>
              <w:right w:w="15" w:type="dxa"/>
            </w:tcMar>
            <w:vAlign w:val="bottom"/>
          </w:tcPr>
          <w:p w14:paraId="6B600E0E" w14:textId="77777777" w:rsidR="00C56203" w:rsidRDefault="00CD5102">
            <w:pPr>
              <w:keepNext/>
              <w:tabs>
                <w:tab w:val="left" w:pos="246"/>
                <w:tab w:val="left" w:pos="457"/>
              </w:tabs>
              <w:spacing w:before="75" w:after="30"/>
              <w:jc w:val="right"/>
            </w:pPr>
            <w:r>
              <w:rPr>
                <w:color w:val="000000"/>
                <w:sz w:val="16"/>
              </w:rPr>
              <w:tab/>
              <w:t>15</w:t>
            </w:r>
            <w:r>
              <w:rPr>
                <w:color w:val="000000"/>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F081630" w14:textId="77777777" w:rsidR="00C56203" w:rsidRDefault="00C56203">
            <w:pPr>
              <w:keepNext/>
            </w:pPr>
          </w:p>
        </w:tc>
        <w:tc>
          <w:tcPr>
            <w:tcW w:w="495" w:type="dxa"/>
            <w:tcBorders>
              <w:top w:val="nil"/>
              <w:left w:val="nil"/>
              <w:bottom w:val="nil"/>
              <w:right w:val="nil"/>
            </w:tcBorders>
            <w:shd w:val="clear" w:color="auto" w:fill="FFFFFF"/>
            <w:tcMar>
              <w:top w:w="0" w:type="dxa"/>
              <w:left w:w="0" w:type="dxa"/>
              <w:bottom w:w="0" w:type="dxa"/>
              <w:right w:w="15" w:type="dxa"/>
            </w:tcMar>
            <w:vAlign w:val="bottom"/>
          </w:tcPr>
          <w:p w14:paraId="544806E1" w14:textId="77777777" w:rsidR="00C56203" w:rsidRDefault="00CD5102">
            <w:pPr>
              <w:keepNext/>
              <w:tabs>
                <w:tab w:val="left" w:pos="1"/>
                <w:tab w:val="left" w:pos="136"/>
              </w:tabs>
              <w:spacing w:before="75" w:after="30"/>
              <w:jc w:val="right"/>
            </w:pPr>
            <w:r>
              <w:rPr>
                <w:color w:val="000000"/>
                <w:sz w:val="16"/>
              </w:rPr>
              <w:tab/>
              <w:t>9</w:t>
            </w:r>
            <w:r>
              <w:rPr>
                <w:color w:val="000000"/>
                <w:sz w:val="16"/>
              </w:rPr>
              <w:tab/>
              <w:t>%</w:t>
            </w:r>
          </w:p>
        </w:tc>
      </w:tr>
      <w:tr w:rsidR="00C56203" w14:paraId="5B06EE51" w14:textId="77777777">
        <w:trPr>
          <w:cantSplit/>
          <w:trHeight w:hRule="exact" w:val="285"/>
          <w:jc w:val="center"/>
        </w:trPr>
        <w:tc>
          <w:tcPr>
            <w:tcW w:w="2235" w:type="dxa"/>
            <w:tcBorders>
              <w:top w:val="nil"/>
              <w:left w:val="nil"/>
              <w:bottom w:val="nil"/>
              <w:right w:val="nil"/>
            </w:tcBorders>
            <w:shd w:val="clear" w:color="auto" w:fill="CCEEFF"/>
            <w:tcMar>
              <w:top w:w="0" w:type="dxa"/>
              <w:left w:w="53" w:type="dxa"/>
              <w:bottom w:w="0" w:type="dxa"/>
              <w:right w:w="53" w:type="dxa"/>
            </w:tcMar>
            <w:vAlign w:val="bottom"/>
          </w:tcPr>
          <w:p w14:paraId="3769041F" w14:textId="77777777" w:rsidR="00C56203" w:rsidRDefault="00CD5102">
            <w:pPr>
              <w:keepNext/>
              <w:spacing w:before="75" w:after="30"/>
              <w:ind w:left="90"/>
            </w:pPr>
            <w:r>
              <w:rPr>
                <w:color w:val="000000"/>
                <w:sz w:val="16"/>
              </w:rPr>
              <w:t>Ophthalmic</w:t>
            </w:r>
            <w:r>
              <w:rPr>
                <w:color w:val="000000"/>
                <w:sz w:val="16"/>
              </w:rPr>
              <w:t xml:space="preserve"> Pharmaceuticals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2CFDB7F" w14:textId="77777777" w:rsidR="00C56203" w:rsidRDefault="00C56203">
            <w:pPr>
              <w:keepNext/>
            </w:pPr>
          </w:p>
        </w:tc>
        <w:tc>
          <w:tcPr>
            <w:tcW w:w="6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B2486DC" w14:textId="77777777" w:rsidR="00C56203" w:rsidRDefault="00CD5102">
            <w:pPr>
              <w:keepNext/>
              <w:tabs>
                <w:tab w:val="left" w:pos="286"/>
                <w:tab w:val="left" w:pos="577"/>
              </w:tabs>
              <w:spacing w:before="75" w:after="30"/>
              <w:jc w:val="right"/>
            </w:pPr>
            <w:r>
              <w:rPr>
                <w:color w:val="000000"/>
                <w:sz w:val="16"/>
              </w:rPr>
              <w:tab/>
              <w:t>161</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35652BB" w14:textId="77777777" w:rsidR="00C56203" w:rsidRDefault="00C56203">
            <w:pPr>
              <w:keepNext/>
            </w:pPr>
          </w:p>
        </w:tc>
        <w:tc>
          <w:tcPr>
            <w:tcW w:w="7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1B09B3C" w14:textId="77777777" w:rsidR="00C56203" w:rsidRDefault="00CD5102">
            <w:pPr>
              <w:keepNext/>
              <w:tabs>
                <w:tab w:val="left" w:pos="506"/>
                <w:tab w:val="left" w:pos="637"/>
              </w:tabs>
              <w:spacing w:before="75" w:after="30"/>
              <w:jc w:val="right"/>
            </w:pPr>
            <w:r>
              <w:rPr>
                <w:color w:val="000000"/>
                <w:sz w:val="16"/>
              </w:rPr>
              <w:tab/>
              <w:t>5</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F403BB1" w14:textId="77777777" w:rsidR="00C56203" w:rsidRDefault="00C56203">
            <w:pPr>
              <w:keepNext/>
            </w:pPr>
          </w:p>
        </w:tc>
        <w:tc>
          <w:tcPr>
            <w:tcW w:w="76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E3EC88B" w14:textId="77777777" w:rsidR="00C56203" w:rsidRDefault="00CD5102">
            <w:pPr>
              <w:keepNext/>
              <w:tabs>
                <w:tab w:val="left" w:pos="486"/>
                <w:tab w:val="left" w:pos="69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9A07521" w14:textId="77777777" w:rsidR="00C56203" w:rsidRDefault="00C56203">
            <w:pPr>
              <w:keepNext/>
            </w:pPr>
          </w:p>
        </w:tc>
        <w:tc>
          <w:tcPr>
            <w:tcW w:w="6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BBA5DEA" w14:textId="77777777" w:rsidR="00C56203" w:rsidRDefault="00CD5102">
            <w:pPr>
              <w:keepNext/>
              <w:tabs>
                <w:tab w:val="left" w:pos="286"/>
                <w:tab w:val="left" w:pos="577"/>
              </w:tabs>
              <w:spacing w:before="75" w:after="30"/>
              <w:jc w:val="right"/>
            </w:pPr>
            <w:r>
              <w:rPr>
                <w:color w:val="000000"/>
                <w:sz w:val="16"/>
              </w:rPr>
              <w:tab/>
              <w:t>166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7B19534" w14:textId="77777777" w:rsidR="00C56203" w:rsidRDefault="00C56203">
            <w:pPr>
              <w:keepNext/>
            </w:pPr>
          </w:p>
        </w:tc>
        <w:tc>
          <w:tcPr>
            <w:tcW w:w="6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2B5B265" w14:textId="77777777" w:rsidR="00C56203" w:rsidRDefault="00CD5102">
            <w:pPr>
              <w:keepNext/>
              <w:tabs>
                <w:tab w:val="left" w:pos="286"/>
                <w:tab w:val="left" w:pos="577"/>
              </w:tabs>
              <w:spacing w:before="75" w:after="30"/>
              <w:jc w:val="right"/>
            </w:pPr>
            <w:r>
              <w:rPr>
                <w:color w:val="000000"/>
                <w:sz w:val="16"/>
              </w:rPr>
              <w:tab/>
              <w:t>155</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F89C9F8" w14:textId="77777777" w:rsidR="00C56203" w:rsidRDefault="00C56203">
            <w:pPr>
              <w:keepNext/>
            </w:pPr>
          </w:p>
        </w:tc>
        <w:tc>
          <w:tcPr>
            <w:tcW w:w="97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41623E9" w14:textId="77777777" w:rsidR="00C56203" w:rsidRDefault="00CD5102">
            <w:pPr>
              <w:keepNext/>
              <w:tabs>
                <w:tab w:val="left" w:pos="696"/>
                <w:tab w:val="left" w:pos="907"/>
              </w:tabs>
              <w:spacing w:before="75" w:after="30"/>
              <w:jc w:val="right"/>
            </w:pPr>
            <w:r>
              <w:rPr>
                <w:color w:val="000000"/>
                <w:sz w:val="16"/>
              </w:rPr>
              <w:tab/>
              <w:t>—</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06C5C04" w14:textId="77777777" w:rsidR="00C56203" w:rsidRDefault="00C56203">
            <w:pPr>
              <w:keepNext/>
            </w:pPr>
          </w:p>
        </w:tc>
        <w:tc>
          <w:tcPr>
            <w:tcW w:w="6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812CC09" w14:textId="77777777" w:rsidR="00C56203" w:rsidRDefault="00CD5102">
            <w:pPr>
              <w:keepNext/>
              <w:tabs>
                <w:tab w:val="left" w:pos="301"/>
                <w:tab w:val="left" w:pos="592"/>
              </w:tabs>
              <w:spacing w:before="75" w:after="30"/>
              <w:jc w:val="right"/>
            </w:pPr>
            <w:r>
              <w:rPr>
                <w:color w:val="000000"/>
                <w:sz w:val="16"/>
              </w:rPr>
              <w:tab/>
              <w:t>155</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42A5328" w14:textId="77777777" w:rsidR="00C56203" w:rsidRDefault="00C56203">
            <w:pPr>
              <w:keepNext/>
            </w:pPr>
          </w:p>
        </w:tc>
        <w:tc>
          <w:tcPr>
            <w:tcW w:w="52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6C4EFDC" w14:textId="77777777" w:rsidR="00C56203" w:rsidRDefault="00CD5102">
            <w:pPr>
              <w:keepNext/>
              <w:tabs>
                <w:tab w:val="left" w:pos="326"/>
                <w:tab w:val="left" w:pos="457"/>
              </w:tabs>
              <w:spacing w:before="75" w:after="30"/>
              <w:jc w:val="right"/>
            </w:pPr>
            <w:r>
              <w:rPr>
                <w:color w:val="000000"/>
                <w:sz w:val="16"/>
              </w:rPr>
              <w:tab/>
              <w:t>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C32ABF4" w14:textId="77777777" w:rsidR="00C56203" w:rsidRDefault="00C56203">
            <w:pPr>
              <w:keepNext/>
            </w:pPr>
          </w:p>
        </w:tc>
        <w:tc>
          <w:tcPr>
            <w:tcW w:w="495" w:type="dxa"/>
            <w:tcBorders>
              <w:top w:val="nil"/>
              <w:left w:val="nil"/>
              <w:bottom w:val="nil"/>
              <w:right w:val="nil"/>
            </w:tcBorders>
            <w:shd w:val="clear" w:color="auto" w:fill="CCEEFF"/>
            <w:tcMar>
              <w:top w:w="0" w:type="dxa"/>
              <w:left w:w="0" w:type="dxa"/>
              <w:bottom w:w="0" w:type="dxa"/>
              <w:right w:w="15" w:type="dxa"/>
            </w:tcMar>
            <w:vAlign w:val="bottom"/>
          </w:tcPr>
          <w:p w14:paraId="7EFB9218" w14:textId="77777777" w:rsidR="00C56203" w:rsidRDefault="00CD5102">
            <w:pPr>
              <w:keepNext/>
              <w:tabs>
                <w:tab w:val="left" w:pos="1"/>
                <w:tab w:val="left" w:pos="136"/>
              </w:tabs>
              <w:spacing w:before="75" w:after="30"/>
              <w:jc w:val="right"/>
            </w:pPr>
            <w:r>
              <w:rPr>
                <w:color w:val="000000"/>
                <w:sz w:val="16"/>
              </w:rPr>
              <w:tab/>
              <w:t>4</w:t>
            </w:r>
            <w:r>
              <w:rPr>
                <w:color w:val="000000"/>
                <w:sz w:val="16"/>
              </w:rPr>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420967C" w14:textId="77777777" w:rsidR="00C56203" w:rsidRDefault="00C56203">
            <w:pPr>
              <w:keepNext/>
            </w:pPr>
          </w:p>
        </w:tc>
        <w:tc>
          <w:tcPr>
            <w:tcW w:w="52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139DEF3" w14:textId="77777777" w:rsidR="00C56203" w:rsidRDefault="00CD5102">
            <w:pPr>
              <w:keepNext/>
              <w:tabs>
                <w:tab w:val="left" w:pos="246"/>
                <w:tab w:val="left" w:pos="457"/>
              </w:tabs>
              <w:spacing w:before="75" w:after="30"/>
              <w:jc w:val="right"/>
            </w:pPr>
            <w:r>
              <w:rPr>
                <w:color w:val="000000"/>
                <w:sz w:val="16"/>
              </w:rPr>
              <w:tab/>
              <w:t>11</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42AEA30" w14:textId="77777777" w:rsidR="00C56203" w:rsidRDefault="00C56203">
            <w:pPr>
              <w:keepNext/>
            </w:pPr>
          </w:p>
        </w:tc>
        <w:tc>
          <w:tcPr>
            <w:tcW w:w="495" w:type="dxa"/>
            <w:tcBorders>
              <w:top w:val="nil"/>
              <w:left w:val="nil"/>
              <w:bottom w:val="nil"/>
              <w:right w:val="nil"/>
            </w:tcBorders>
            <w:shd w:val="clear" w:color="auto" w:fill="CCEEFF"/>
            <w:tcMar>
              <w:top w:w="0" w:type="dxa"/>
              <w:left w:w="0" w:type="dxa"/>
              <w:bottom w:w="0" w:type="dxa"/>
              <w:right w:w="15" w:type="dxa"/>
            </w:tcMar>
            <w:vAlign w:val="bottom"/>
          </w:tcPr>
          <w:p w14:paraId="5D673271" w14:textId="77777777" w:rsidR="00C56203" w:rsidRDefault="00CD5102">
            <w:pPr>
              <w:keepNext/>
              <w:tabs>
                <w:tab w:val="left" w:pos="1"/>
                <w:tab w:val="left" w:pos="136"/>
              </w:tabs>
              <w:spacing w:before="75" w:after="30"/>
              <w:jc w:val="right"/>
            </w:pPr>
            <w:r>
              <w:rPr>
                <w:color w:val="000000"/>
                <w:sz w:val="16"/>
              </w:rPr>
              <w:tab/>
              <w:t>7</w:t>
            </w:r>
            <w:r>
              <w:rPr>
                <w:color w:val="000000"/>
                <w:sz w:val="16"/>
              </w:rPr>
              <w:tab/>
              <w:t>%</w:t>
            </w:r>
          </w:p>
        </w:tc>
      </w:tr>
      <w:tr w:rsidR="00C56203" w14:paraId="0F165D06" w14:textId="77777777">
        <w:trPr>
          <w:cantSplit/>
          <w:trHeight w:hRule="exact" w:val="465"/>
          <w:jc w:val="center"/>
        </w:trPr>
        <w:tc>
          <w:tcPr>
            <w:tcW w:w="2235" w:type="dxa"/>
            <w:tcBorders>
              <w:top w:val="nil"/>
              <w:left w:val="nil"/>
              <w:bottom w:val="nil"/>
              <w:right w:val="nil"/>
            </w:tcBorders>
            <w:shd w:val="clear" w:color="auto" w:fill="FFFFFF"/>
            <w:tcMar>
              <w:top w:w="0" w:type="dxa"/>
              <w:left w:w="53" w:type="dxa"/>
              <w:bottom w:w="0" w:type="dxa"/>
              <w:right w:w="53" w:type="dxa"/>
            </w:tcMar>
            <w:vAlign w:val="bottom"/>
          </w:tcPr>
          <w:p w14:paraId="33F18E64" w14:textId="77777777" w:rsidR="00C56203" w:rsidRDefault="00CD5102">
            <w:pPr>
              <w:keepNext/>
              <w:spacing w:before="55" w:after="30"/>
              <w:ind w:left="270" w:hanging="90"/>
            </w:pPr>
            <w:r>
              <w:rPr>
                <w:b/>
                <w:color w:val="000000"/>
                <w:sz w:val="16"/>
              </w:rPr>
              <w:t>Total Bausch + Lomb revenues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4F05A8F" w14:textId="77777777" w:rsidR="00C56203" w:rsidRDefault="00C56203">
            <w:pPr>
              <w:keepNext/>
            </w:pPr>
          </w:p>
        </w:tc>
        <w:tc>
          <w:tcPr>
            <w:tcW w:w="64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3CEFDB0" w14:textId="77777777" w:rsidR="00C56203" w:rsidRDefault="00CD5102">
            <w:pPr>
              <w:keepNext/>
              <w:tabs>
                <w:tab w:val="left" w:pos="286"/>
                <w:tab w:val="left" w:pos="577"/>
              </w:tabs>
              <w:spacing w:before="55" w:after="30"/>
              <w:jc w:val="right"/>
            </w:pPr>
            <w:r>
              <w:rPr>
                <w:color w:val="000000"/>
                <w:sz w:val="16"/>
              </w:rPr>
              <w:t>$</w:t>
            </w:r>
            <w:r>
              <w:rPr>
                <w:color w:val="000000"/>
                <w:sz w:val="16"/>
              </w:rPr>
              <w:tab/>
              <w:t>931</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6E70554" w14:textId="77777777" w:rsidR="00C56203" w:rsidRDefault="00C56203">
            <w:pPr>
              <w:keepNext/>
            </w:pPr>
          </w:p>
        </w:tc>
        <w:tc>
          <w:tcPr>
            <w:tcW w:w="7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7C450C9" w14:textId="77777777" w:rsidR="00C56203" w:rsidRDefault="00CD5102">
            <w:pPr>
              <w:keepNext/>
              <w:tabs>
                <w:tab w:val="left" w:pos="426"/>
                <w:tab w:val="left" w:pos="637"/>
              </w:tabs>
              <w:spacing w:before="55" w:after="30"/>
              <w:jc w:val="right"/>
            </w:pPr>
            <w:r>
              <w:rPr>
                <w:color w:val="000000"/>
                <w:sz w:val="16"/>
              </w:rPr>
              <w:t>$</w:t>
            </w:r>
            <w:r>
              <w:rPr>
                <w:color w:val="000000"/>
                <w:sz w:val="16"/>
              </w:rPr>
              <w:tab/>
              <w:t>31</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15C3717" w14:textId="77777777" w:rsidR="00C56203" w:rsidRDefault="00C56203">
            <w:pPr>
              <w:keepNext/>
            </w:pPr>
          </w:p>
        </w:tc>
        <w:tc>
          <w:tcPr>
            <w:tcW w:w="76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9BA41CE" w14:textId="77777777" w:rsidR="00C56203" w:rsidRDefault="00CD5102">
            <w:pPr>
              <w:keepNext/>
              <w:tabs>
                <w:tab w:val="left" w:pos="492"/>
              </w:tabs>
              <w:spacing w:before="55" w:after="30"/>
              <w:jc w:val="right"/>
            </w:pPr>
            <w:r>
              <w:rPr>
                <w:color w:val="000000"/>
                <w:sz w:val="16"/>
              </w:rPr>
              <w:t>$</w:t>
            </w:r>
            <w:r>
              <w:rPr>
                <w:color w:val="000000"/>
                <w:sz w:val="16"/>
              </w:rPr>
              <w:tab/>
              <w:t>(2)</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97B2426" w14:textId="77777777" w:rsidR="00C56203" w:rsidRDefault="00C56203">
            <w:pPr>
              <w:keepNext/>
            </w:pPr>
          </w:p>
        </w:tc>
        <w:tc>
          <w:tcPr>
            <w:tcW w:w="64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4269502" w14:textId="77777777" w:rsidR="00C56203" w:rsidRDefault="00CD5102">
            <w:pPr>
              <w:keepNext/>
              <w:tabs>
                <w:tab w:val="left" w:pos="286"/>
                <w:tab w:val="left" w:pos="577"/>
              </w:tabs>
              <w:spacing w:before="55" w:after="30"/>
              <w:jc w:val="right"/>
            </w:pPr>
            <w:r>
              <w:rPr>
                <w:color w:val="000000"/>
                <w:sz w:val="16"/>
              </w:rPr>
              <w:t>$</w:t>
            </w:r>
            <w:r>
              <w:rPr>
                <w:color w:val="000000"/>
                <w:sz w:val="16"/>
              </w:rPr>
              <w:tab/>
              <w:t>960</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72F20FB" w14:textId="77777777" w:rsidR="00C56203" w:rsidRDefault="00C56203">
            <w:pPr>
              <w:keepNext/>
            </w:pPr>
          </w:p>
        </w:tc>
        <w:tc>
          <w:tcPr>
            <w:tcW w:w="64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610F9F3" w14:textId="77777777" w:rsidR="00C56203" w:rsidRDefault="00CD5102">
            <w:pPr>
              <w:keepNext/>
              <w:tabs>
                <w:tab w:val="left" w:pos="286"/>
                <w:tab w:val="left" w:pos="577"/>
              </w:tabs>
              <w:spacing w:before="55" w:after="30"/>
              <w:jc w:val="right"/>
            </w:pPr>
            <w:r>
              <w:rPr>
                <w:color w:val="000000"/>
                <w:sz w:val="16"/>
              </w:rPr>
              <w:t>$</w:t>
            </w:r>
            <w:r>
              <w:rPr>
                <w:color w:val="000000"/>
                <w:sz w:val="16"/>
              </w:rPr>
              <w:tab/>
              <w:t>889</w:t>
            </w:r>
            <w:r>
              <w:rPr>
                <w:color w:val="000000"/>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451C507" w14:textId="77777777" w:rsidR="00C56203" w:rsidRDefault="00C56203">
            <w:pPr>
              <w:keepNext/>
            </w:pPr>
          </w:p>
        </w:tc>
        <w:tc>
          <w:tcPr>
            <w:tcW w:w="97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0009102" w14:textId="77777777" w:rsidR="00C56203" w:rsidRDefault="00CD5102">
            <w:pPr>
              <w:keepNext/>
              <w:tabs>
                <w:tab w:val="left" w:pos="702"/>
              </w:tabs>
              <w:spacing w:before="55" w:after="30"/>
              <w:jc w:val="right"/>
            </w:pPr>
            <w:r>
              <w:rPr>
                <w:color w:val="000000"/>
                <w:sz w:val="16"/>
              </w:rPr>
              <w:t>$</w:t>
            </w:r>
            <w:r>
              <w:rPr>
                <w:color w:val="000000"/>
                <w:sz w:val="16"/>
              </w:rPr>
              <w:tab/>
              <w:t>(2)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0C7D00C" w14:textId="77777777" w:rsidR="00C56203" w:rsidRDefault="00C56203">
            <w:pPr>
              <w:keepNext/>
            </w:pPr>
          </w:p>
        </w:tc>
        <w:tc>
          <w:tcPr>
            <w:tcW w:w="66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C85196D" w14:textId="77777777" w:rsidR="00C56203" w:rsidRDefault="00CD5102">
            <w:pPr>
              <w:keepNext/>
              <w:tabs>
                <w:tab w:val="left" w:pos="301"/>
                <w:tab w:val="left" w:pos="592"/>
              </w:tabs>
              <w:spacing w:before="55" w:after="30"/>
              <w:jc w:val="right"/>
            </w:pPr>
            <w:r>
              <w:rPr>
                <w:color w:val="000000"/>
                <w:sz w:val="16"/>
              </w:rPr>
              <w:t>$</w:t>
            </w:r>
            <w:r>
              <w:rPr>
                <w:color w:val="000000"/>
                <w:sz w:val="16"/>
              </w:rPr>
              <w:tab/>
              <w:t>887</w:t>
            </w:r>
            <w:r>
              <w:rPr>
                <w:color w:val="000000"/>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92D45DD" w14:textId="77777777" w:rsidR="00C56203" w:rsidRDefault="00C56203">
            <w:pPr>
              <w:keepNext/>
            </w:pPr>
          </w:p>
        </w:tc>
        <w:tc>
          <w:tcPr>
            <w:tcW w:w="52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8DDEBE7" w14:textId="77777777" w:rsidR="00C56203" w:rsidRDefault="00CD5102">
            <w:pPr>
              <w:keepNext/>
              <w:tabs>
                <w:tab w:val="left" w:pos="246"/>
                <w:tab w:val="left" w:pos="457"/>
              </w:tabs>
              <w:spacing w:before="55" w:after="30"/>
              <w:jc w:val="right"/>
            </w:pPr>
            <w:r>
              <w:rPr>
                <w:color w:val="000000"/>
                <w:sz w:val="16"/>
              </w:rPr>
              <w:t>$</w:t>
            </w:r>
            <w:r>
              <w:rPr>
                <w:color w:val="000000"/>
                <w:sz w:val="16"/>
              </w:rPr>
              <w:tab/>
              <w:t>42</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4AFD4BB" w14:textId="77777777" w:rsidR="00C56203" w:rsidRDefault="00C56203">
            <w:pPr>
              <w:keepNext/>
            </w:pPr>
          </w:p>
        </w:tc>
        <w:tc>
          <w:tcPr>
            <w:tcW w:w="495" w:type="dxa"/>
            <w:tcBorders>
              <w:top w:val="nil"/>
              <w:left w:val="nil"/>
              <w:bottom w:val="nil"/>
              <w:right w:val="nil"/>
            </w:tcBorders>
            <w:shd w:val="clear" w:color="auto" w:fill="FFFFFF"/>
            <w:tcMar>
              <w:top w:w="0" w:type="dxa"/>
              <w:left w:w="0" w:type="dxa"/>
              <w:bottom w:w="0" w:type="dxa"/>
              <w:right w:w="15" w:type="dxa"/>
            </w:tcMar>
            <w:vAlign w:val="bottom"/>
          </w:tcPr>
          <w:p w14:paraId="488105A4" w14:textId="77777777" w:rsidR="00C56203" w:rsidRDefault="00CD5102">
            <w:pPr>
              <w:keepNext/>
              <w:tabs>
                <w:tab w:val="left" w:pos="1"/>
                <w:tab w:val="left" w:pos="136"/>
              </w:tabs>
              <w:spacing w:before="55" w:after="30"/>
              <w:jc w:val="right"/>
            </w:pPr>
            <w:r>
              <w:rPr>
                <w:color w:val="000000"/>
                <w:sz w:val="16"/>
              </w:rPr>
              <w:tab/>
              <w:t>5</w:t>
            </w:r>
            <w:r>
              <w:rPr>
                <w:color w:val="000000"/>
                <w:sz w:val="16"/>
              </w:rPr>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8C23A26" w14:textId="77777777" w:rsidR="00C56203" w:rsidRDefault="00C56203">
            <w:pPr>
              <w:keepNext/>
            </w:pPr>
          </w:p>
        </w:tc>
        <w:tc>
          <w:tcPr>
            <w:tcW w:w="52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E3D87E9" w14:textId="77777777" w:rsidR="00C56203" w:rsidRDefault="00CD5102">
            <w:pPr>
              <w:keepNext/>
              <w:tabs>
                <w:tab w:val="left" w:pos="246"/>
                <w:tab w:val="left" w:pos="457"/>
              </w:tabs>
              <w:spacing w:before="55" w:after="30"/>
              <w:jc w:val="right"/>
            </w:pPr>
            <w:r>
              <w:rPr>
                <w:color w:val="000000"/>
                <w:sz w:val="16"/>
              </w:rPr>
              <w:t>$</w:t>
            </w:r>
            <w:r>
              <w:rPr>
                <w:color w:val="000000"/>
                <w:sz w:val="16"/>
              </w:rPr>
              <w:tab/>
              <w:t>73</w:t>
            </w:r>
            <w:r>
              <w:rPr>
                <w:color w:val="000000"/>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993FA1E" w14:textId="77777777" w:rsidR="00C56203" w:rsidRDefault="00C56203">
            <w:pPr>
              <w:keepNext/>
            </w:pPr>
          </w:p>
        </w:tc>
        <w:tc>
          <w:tcPr>
            <w:tcW w:w="495" w:type="dxa"/>
            <w:tcBorders>
              <w:top w:val="nil"/>
              <w:left w:val="nil"/>
              <w:bottom w:val="nil"/>
              <w:right w:val="nil"/>
            </w:tcBorders>
            <w:shd w:val="clear" w:color="auto" w:fill="FFFFFF"/>
            <w:tcMar>
              <w:top w:w="0" w:type="dxa"/>
              <w:left w:w="0" w:type="dxa"/>
              <w:bottom w:w="0" w:type="dxa"/>
              <w:right w:w="15" w:type="dxa"/>
            </w:tcMar>
            <w:vAlign w:val="bottom"/>
          </w:tcPr>
          <w:p w14:paraId="4CEF3022" w14:textId="77777777" w:rsidR="00C56203" w:rsidRDefault="00CD5102">
            <w:pPr>
              <w:keepNext/>
              <w:tabs>
                <w:tab w:val="left" w:pos="1"/>
                <w:tab w:val="left" w:pos="136"/>
              </w:tabs>
              <w:spacing w:before="55" w:after="30"/>
              <w:jc w:val="right"/>
            </w:pPr>
            <w:r>
              <w:rPr>
                <w:color w:val="000000"/>
                <w:sz w:val="16"/>
              </w:rPr>
              <w:tab/>
              <w:t>8</w:t>
            </w:r>
            <w:r>
              <w:rPr>
                <w:color w:val="000000"/>
                <w:sz w:val="16"/>
              </w:rPr>
              <w:tab/>
              <w:t>%</w:t>
            </w:r>
          </w:p>
        </w:tc>
      </w:tr>
      <w:tr w:rsidR="00C56203" w14:paraId="66FB0D65" w14:textId="77777777">
        <w:trPr>
          <w:cantSplit/>
          <w:trHeight w:hRule="exact" w:val="255"/>
          <w:jc w:val="center"/>
        </w:trPr>
        <w:tc>
          <w:tcPr>
            <w:tcW w:w="2235" w:type="dxa"/>
            <w:tcBorders>
              <w:top w:val="nil"/>
              <w:left w:val="nil"/>
              <w:bottom w:val="nil"/>
              <w:right w:val="nil"/>
            </w:tcBorders>
            <w:shd w:val="clear" w:color="auto" w:fill="CCEEFF"/>
            <w:tcMar>
              <w:top w:w="0" w:type="dxa"/>
              <w:left w:w="0" w:type="dxa"/>
              <w:bottom w:w="0" w:type="dxa"/>
              <w:right w:w="0" w:type="dxa"/>
            </w:tcMar>
            <w:vAlign w:val="bottom"/>
          </w:tcPr>
          <w:p w14:paraId="67FB6C65" w14:textId="77777777" w:rsidR="00C56203" w:rsidRDefault="00C56203">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37A47E4" w14:textId="77777777" w:rsidR="00C56203" w:rsidRDefault="00C56203">
            <w:pPr>
              <w:keepNext/>
            </w:pPr>
          </w:p>
        </w:tc>
        <w:tc>
          <w:tcPr>
            <w:tcW w:w="64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7524D090" w14:textId="77777777" w:rsidR="00C56203" w:rsidRDefault="00C56203">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062233E" w14:textId="77777777" w:rsidR="00C56203" w:rsidRDefault="00C56203">
            <w:pPr>
              <w:keepNext/>
            </w:pPr>
          </w:p>
        </w:tc>
        <w:tc>
          <w:tcPr>
            <w:tcW w:w="70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6FEECFF9" w14:textId="77777777" w:rsidR="00C56203" w:rsidRDefault="00C56203">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7AD641E" w14:textId="77777777" w:rsidR="00C56203" w:rsidRDefault="00C56203">
            <w:pPr>
              <w:keepNext/>
            </w:pPr>
          </w:p>
        </w:tc>
        <w:tc>
          <w:tcPr>
            <w:tcW w:w="76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11E692AA" w14:textId="77777777" w:rsidR="00C56203" w:rsidRDefault="00C56203">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5954D56" w14:textId="77777777" w:rsidR="00C56203" w:rsidRDefault="00C56203">
            <w:pPr>
              <w:keepNext/>
            </w:pPr>
          </w:p>
        </w:tc>
        <w:tc>
          <w:tcPr>
            <w:tcW w:w="64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5BC4C451" w14:textId="77777777" w:rsidR="00C56203" w:rsidRDefault="00C56203">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6AC3CBB" w14:textId="77777777" w:rsidR="00C56203" w:rsidRDefault="00C56203">
            <w:pPr>
              <w:keepNext/>
            </w:pPr>
          </w:p>
        </w:tc>
        <w:tc>
          <w:tcPr>
            <w:tcW w:w="64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38A29B97" w14:textId="77777777" w:rsidR="00C56203" w:rsidRDefault="00C56203">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137B889" w14:textId="77777777" w:rsidR="00C56203" w:rsidRDefault="00C56203">
            <w:pPr>
              <w:keepNext/>
            </w:pPr>
          </w:p>
        </w:tc>
        <w:tc>
          <w:tcPr>
            <w:tcW w:w="97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61AF40F3" w14:textId="77777777" w:rsidR="00C56203" w:rsidRDefault="00C56203">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B5B9AAC" w14:textId="77777777" w:rsidR="00C56203" w:rsidRDefault="00C56203">
            <w:pPr>
              <w:keepNext/>
            </w:pPr>
          </w:p>
        </w:tc>
        <w:tc>
          <w:tcPr>
            <w:tcW w:w="660"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24497DA5" w14:textId="77777777" w:rsidR="00C56203" w:rsidRDefault="00C56203">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265EF85" w14:textId="77777777" w:rsidR="00C56203" w:rsidRDefault="00C56203">
            <w:pPr>
              <w:keepNext/>
            </w:pPr>
          </w:p>
        </w:tc>
        <w:tc>
          <w:tcPr>
            <w:tcW w:w="52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BA28D39" w14:textId="77777777" w:rsidR="00C56203" w:rsidRDefault="00C56203">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6107741" w14:textId="77777777" w:rsidR="00C56203" w:rsidRDefault="00C56203">
            <w:pPr>
              <w:keepNext/>
            </w:pPr>
          </w:p>
        </w:tc>
        <w:tc>
          <w:tcPr>
            <w:tcW w:w="495" w:type="dxa"/>
            <w:tcBorders>
              <w:top w:val="nil"/>
              <w:left w:val="nil"/>
              <w:bottom w:val="nil"/>
              <w:right w:val="nil"/>
            </w:tcBorders>
            <w:shd w:val="clear" w:color="auto" w:fill="CCEEFF"/>
            <w:tcMar>
              <w:top w:w="0" w:type="dxa"/>
              <w:left w:w="0" w:type="dxa"/>
              <w:bottom w:w="0" w:type="dxa"/>
              <w:right w:w="0" w:type="dxa"/>
            </w:tcMar>
            <w:vAlign w:val="bottom"/>
          </w:tcPr>
          <w:p w14:paraId="70BBF79D" w14:textId="77777777" w:rsidR="00C56203" w:rsidRDefault="00C56203">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6173DBD" w14:textId="77777777" w:rsidR="00C56203" w:rsidRDefault="00C56203">
            <w:pPr>
              <w:keepNext/>
            </w:pPr>
          </w:p>
        </w:tc>
        <w:tc>
          <w:tcPr>
            <w:tcW w:w="52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74A877AA" w14:textId="77777777" w:rsidR="00C56203" w:rsidRDefault="00C56203">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E03A645" w14:textId="77777777" w:rsidR="00C56203" w:rsidRDefault="00C56203">
            <w:pPr>
              <w:keepNext/>
            </w:pPr>
          </w:p>
        </w:tc>
        <w:tc>
          <w:tcPr>
            <w:tcW w:w="495" w:type="dxa"/>
            <w:tcBorders>
              <w:top w:val="nil"/>
              <w:left w:val="nil"/>
              <w:bottom w:val="nil"/>
              <w:right w:val="nil"/>
            </w:tcBorders>
            <w:shd w:val="clear" w:color="auto" w:fill="CCEEFF"/>
            <w:tcMar>
              <w:top w:w="0" w:type="dxa"/>
              <w:left w:w="0" w:type="dxa"/>
              <w:bottom w:w="0" w:type="dxa"/>
              <w:right w:w="0" w:type="dxa"/>
            </w:tcMar>
            <w:vAlign w:val="bottom"/>
          </w:tcPr>
          <w:p w14:paraId="6D0EAC76" w14:textId="77777777" w:rsidR="00C56203" w:rsidRDefault="00C56203">
            <w:pPr>
              <w:keepNext/>
            </w:pPr>
          </w:p>
        </w:tc>
      </w:tr>
      <w:tr w:rsidR="00C56203" w14:paraId="6FAEE024" w14:textId="77777777">
        <w:trPr>
          <w:cantSplit/>
          <w:trHeight w:hRule="exact" w:val="495"/>
          <w:jc w:val="center"/>
        </w:trPr>
        <w:tc>
          <w:tcPr>
            <w:tcW w:w="2235" w:type="dxa"/>
            <w:tcBorders>
              <w:top w:val="nil"/>
              <w:left w:val="nil"/>
              <w:bottom w:val="nil"/>
              <w:right w:val="nil"/>
            </w:tcBorders>
            <w:shd w:val="clear" w:color="auto" w:fill="FFFFFF"/>
            <w:tcMar>
              <w:top w:w="0" w:type="dxa"/>
              <w:left w:w="53" w:type="dxa"/>
              <w:bottom w:w="0" w:type="dxa"/>
              <w:right w:w="53" w:type="dxa"/>
            </w:tcMar>
            <w:vAlign w:val="bottom"/>
          </w:tcPr>
          <w:p w14:paraId="483DD680" w14:textId="77777777" w:rsidR="00C56203" w:rsidRDefault="00CD5102">
            <w:pPr>
              <w:spacing w:before="75" w:after="30"/>
              <w:ind w:left="90" w:hanging="90"/>
            </w:pPr>
            <w:r>
              <w:rPr>
                <w:b/>
                <w:color w:val="000000"/>
                <w:sz w:val="16"/>
              </w:rPr>
              <w:t>Total Bausch Health Companies Inc. revenues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75ABB2E" w14:textId="77777777" w:rsidR="00C56203" w:rsidRDefault="00C56203"/>
        </w:tc>
        <w:tc>
          <w:tcPr>
            <w:tcW w:w="645"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3ECB7C8C" w14:textId="77777777" w:rsidR="00C56203" w:rsidRDefault="00CD5102">
            <w:pPr>
              <w:tabs>
                <w:tab w:val="left" w:pos="166"/>
                <w:tab w:val="left" w:pos="577"/>
              </w:tabs>
              <w:spacing w:before="75" w:after="30"/>
              <w:jc w:val="right"/>
            </w:pPr>
            <w:r>
              <w:rPr>
                <w:color w:val="000000"/>
                <w:sz w:val="16"/>
              </w:rPr>
              <w:t>$</w:t>
            </w:r>
            <w:r>
              <w:rPr>
                <w:color w:val="000000"/>
                <w:sz w:val="16"/>
              </w:rPr>
              <w:tab/>
              <w:t>1,944</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F75E07A" w14:textId="77777777" w:rsidR="00C56203" w:rsidRDefault="00C56203"/>
        </w:tc>
        <w:tc>
          <w:tcPr>
            <w:tcW w:w="705"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08316517" w14:textId="77777777" w:rsidR="00C56203" w:rsidRDefault="00CD5102">
            <w:pPr>
              <w:tabs>
                <w:tab w:val="left" w:pos="426"/>
                <w:tab w:val="left" w:pos="637"/>
              </w:tabs>
              <w:spacing w:before="75" w:after="30"/>
              <w:jc w:val="right"/>
            </w:pPr>
            <w:r>
              <w:rPr>
                <w:color w:val="000000"/>
                <w:sz w:val="16"/>
              </w:rPr>
              <w:t>$</w:t>
            </w:r>
            <w:r>
              <w:rPr>
                <w:color w:val="000000"/>
                <w:sz w:val="16"/>
              </w:rPr>
              <w:tab/>
              <w:t>40</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9FFE2BE" w14:textId="77777777" w:rsidR="00C56203" w:rsidRDefault="00C56203"/>
        </w:tc>
        <w:tc>
          <w:tcPr>
            <w:tcW w:w="765"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18AA867E" w14:textId="77777777" w:rsidR="00C56203" w:rsidRDefault="00CD5102">
            <w:pPr>
              <w:tabs>
                <w:tab w:val="left" w:pos="492"/>
              </w:tabs>
              <w:spacing w:before="75" w:after="30"/>
              <w:jc w:val="right"/>
            </w:pPr>
            <w:r>
              <w:rPr>
                <w:color w:val="000000"/>
                <w:sz w:val="16"/>
              </w:rPr>
              <w:t>$</w:t>
            </w:r>
            <w:r>
              <w:rPr>
                <w:color w:val="000000"/>
                <w:sz w:val="16"/>
              </w:rPr>
              <w:tab/>
              <w:t>(2)</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0F63FBA" w14:textId="77777777" w:rsidR="00C56203" w:rsidRDefault="00C56203"/>
        </w:tc>
        <w:tc>
          <w:tcPr>
            <w:tcW w:w="645"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61F7A600" w14:textId="77777777" w:rsidR="00C56203" w:rsidRDefault="00CD5102">
            <w:pPr>
              <w:tabs>
                <w:tab w:val="left" w:pos="166"/>
                <w:tab w:val="left" w:pos="577"/>
              </w:tabs>
              <w:spacing w:before="75" w:after="30"/>
              <w:jc w:val="right"/>
            </w:pPr>
            <w:r>
              <w:rPr>
                <w:color w:val="000000"/>
                <w:sz w:val="16"/>
              </w:rPr>
              <w:t>$</w:t>
            </w:r>
            <w:r>
              <w:rPr>
                <w:color w:val="000000"/>
                <w:sz w:val="16"/>
              </w:rPr>
              <w:tab/>
              <w:t>1,982</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4A82943" w14:textId="77777777" w:rsidR="00C56203" w:rsidRDefault="00C56203"/>
        </w:tc>
        <w:tc>
          <w:tcPr>
            <w:tcW w:w="645"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7243D251" w14:textId="77777777" w:rsidR="00C56203" w:rsidRDefault="00CD5102">
            <w:pPr>
              <w:tabs>
                <w:tab w:val="left" w:pos="166"/>
                <w:tab w:val="left" w:pos="577"/>
              </w:tabs>
              <w:spacing w:before="75" w:after="30"/>
              <w:jc w:val="right"/>
            </w:pPr>
            <w:r>
              <w:rPr>
                <w:color w:val="000000"/>
                <w:sz w:val="16"/>
              </w:rPr>
              <w:t>$</w:t>
            </w:r>
            <w:r>
              <w:rPr>
                <w:color w:val="000000"/>
                <w:sz w:val="16"/>
              </w:rPr>
              <w:tab/>
              <w:t>1,918</w:t>
            </w:r>
            <w:r>
              <w:rPr>
                <w:color w:val="000000"/>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EE86BAE" w14:textId="77777777" w:rsidR="00C56203" w:rsidRDefault="00C56203"/>
        </w:tc>
        <w:tc>
          <w:tcPr>
            <w:tcW w:w="975"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2577CE99" w14:textId="77777777" w:rsidR="00C56203" w:rsidRDefault="00CD5102">
            <w:pPr>
              <w:tabs>
                <w:tab w:val="left" w:pos="702"/>
              </w:tabs>
              <w:spacing w:before="75" w:after="30"/>
              <w:jc w:val="right"/>
            </w:pPr>
            <w:r>
              <w:rPr>
                <w:color w:val="000000"/>
                <w:sz w:val="16"/>
              </w:rPr>
              <w:t>$</w:t>
            </w:r>
            <w:r>
              <w:rPr>
                <w:color w:val="000000"/>
                <w:sz w:val="16"/>
              </w:rPr>
              <w:tab/>
              <w:t>(5)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03D9C00" w14:textId="77777777" w:rsidR="00C56203" w:rsidRDefault="00C56203"/>
        </w:tc>
        <w:tc>
          <w:tcPr>
            <w:tcW w:w="660"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56966C5D" w14:textId="77777777" w:rsidR="00C56203" w:rsidRDefault="00CD5102">
            <w:pPr>
              <w:tabs>
                <w:tab w:val="left" w:pos="181"/>
                <w:tab w:val="left" w:pos="592"/>
              </w:tabs>
              <w:spacing w:before="75" w:after="30"/>
              <w:jc w:val="right"/>
            </w:pPr>
            <w:r>
              <w:rPr>
                <w:color w:val="000000"/>
                <w:sz w:val="16"/>
              </w:rPr>
              <w:t>$</w:t>
            </w:r>
            <w:r>
              <w:rPr>
                <w:color w:val="000000"/>
                <w:sz w:val="16"/>
              </w:rPr>
              <w:tab/>
            </w:r>
            <w:r>
              <w:rPr>
                <w:color w:val="000000"/>
                <w:sz w:val="16"/>
              </w:rPr>
              <w:t>1,913</w:t>
            </w:r>
            <w:r>
              <w:rPr>
                <w:color w:val="000000"/>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3C806BF" w14:textId="77777777" w:rsidR="00C56203" w:rsidRDefault="00C56203"/>
        </w:tc>
        <w:tc>
          <w:tcPr>
            <w:tcW w:w="525"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0BB7C93F" w14:textId="77777777" w:rsidR="00C56203" w:rsidRDefault="00CD5102">
            <w:pPr>
              <w:tabs>
                <w:tab w:val="left" w:pos="246"/>
                <w:tab w:val="left" w:pos="457"/>
              </w:tabs>
              <w:spacing w:before="75" w:after="30"/>
              <w:jc w:val="right"/>
            </w:pPr>
            <w:r>
              <w:rPr>
                <w:color w:val="000000"/>
                <w:sz w:val="16"/>
              </w:rPr>
              <w:t>$</w:t>
            </w:r>
            <w:r>
              <w:rPr>
                <w:color w:val="000000"/>
                <w:sz w:val="16"/>
              </w:rPr>
              <w:tab/>
              <w:t>26</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4B03308" w14:textId="77777777" w:rsidR="00C56203" w:rsidRDefault="00C56203"/>
        </w:tc>
        <w:tc>
          <w:tcPr>
            <w:tcW w:w="495" w:type="dxa"/>
            <w:tcBorders>
              <w:top w:val="nil"/>
              <w:left w:val="nil"/>
              <w:bottom w:val="nil"/>
              <w:right w:val="nil"/>
            </w:tcBorders>
            <w:shd w:val="clear" w:color="auto" w:fill="FFFFFF"/>
            <w:tcMar>
              <w:top w:w="0" w:type="dxa"/>
              <w:left w:w="0" w:type="dxa"/>
              <w:bottom w:w="0" w:type="dxa"/>
              <w:right w:w="15" w:type="dxa"/>
            </w:tcMar>
            <w:vAlign w:val="bottom"/>
          </w:tcPr>
          <w:p w14:paraId="16A275C7" w14:textId="77777777" w:rsidR="00C56203" w:rsidRDefault="00CD5102">
            <w:pPr>
              <w:tabs>
                <w:tab w:val="left" w:pos="1"/>
                <w:tab w:val="left" w:pos="136"/>
              </w:tabs>
              <w:spacing w:before="75" w:after="30"/>
              <w:jc w:val="right"/>
            </w:pPr>
            <w:r>
              <w:rPr>
                <w:color w:val="000000"/>
                <w:sz w:val="16"/>
              </w:rPr>
              <w:tab/>
              <w:t>1</w:t>
            </w:r>
            <w:r>
              <w:rPr>
                <w:color w:val="000000"/>
                <w:sz w:val="16"/>
              </w:rPr>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18D0BC9" w14:textId="77777777" w:rsidR="00C56203" w:rsidRDefault="00C56203"/>
        </w:tc>
        <w:tc>
          <w:tcPr>
            <w:tcW w:w="525"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4B0A1C93" w14:textId="77777777" w:rsidR="00C56203" w:rsidRDefault="00CD5102">
            <w:pPr>
              <w:tabs>
                <w:tab w:val="left" w:pos="246"/>
                <w:tab w:val="left" w:pos="457"/>
              </w:tabs>
              <w:spacing w:before="75" w:after="30"/>
              <w:jc w:val="right"/>
            </w:pPr>
            <w:r>
              <w:rPr>
                <w:color w:val="000000"/>
                <w:sz w:val="16"/>
              </w:rPr>
              <w:t>$</w:t>
            </w:r>
            <w:r>
              <w:rPr>
                <w:color w:val="000000"/>
                <w:sz w:val="16"/>
              </w:rPr>
              <w:tab/>
              <w:t>69</w:t>
            </w:r>
            <w:r>
              <w:rPr>
                <w:color w:val="000000"/>
                <w:sz w:val="16"/>
              </w:rPr>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14:paraId="5DF7054C" w14:textId="77777777" w:rsidR="00C56203" w:rsidRDefault="00C56203">
            <w:pPr>
              <w:spacing w:before="75" w:after="30"/>
              <w:jc w:val="right"/>
            </w:pPr>
          </w:p>
        </w:tc>
        <w:tc>
          <w:tcPr>
            <w:tcW w:w="495" w:type="dxa"/>
            <w:tcBorders>
              <w:top w:val="nil"/>
              <w:left w:val="nil"/>
              <w:bottom w:val="nil"/>
              <w:right w:val="nil"/>
            </w:tcBorders>
            <w:shd w:val="clear" w:color="auto" w:fill="FFFFFF"/>
            <w:tcMar>
              <w:top w:w="0" w:type="dxa"/>
              <w:left w:w="0" w:type="dxa"/>
              <w:bottom w:w="0" w:type="dxa"/>
              <w:right w:w="15" w:type="dxa"/>
            </w:tcMar>
            <w:vAlign w:val="bottom"/>
          </w:tcPr>
          <w:p w14:paraId="689322E7" w14:textId="77777777" w:rsidR="00C56203" w:rsidRDefault="00CD5102">
            <w:pPr>
              <w:tabs>
                <w:tab w:val="left" w:pos="1"/>
                <w:tab w:val="left" w:pos="136"/>
              </w:tabs>
              <w:spacing w:before="75" w:after="30"/>
              <w:jc w:val="right"/>
            </w:pPr>
            <w:r>
              <w:rPr>
                <w:color w:val="000000"/>
                <w:sz w:val="16"/>
              </w:rPr>
              <w:tab/>
              <w:t>4</w:t>
            </w:r>
            <w:r>
              <w:rPr>
                <w:color w:val="000000"/>
                <w:sz w:val="16"/>
              </w:rPr>
              <w:tab/>
              <w:t>%</w:t>
            </w:r>
          </w:p>
        </w:tc>
      </w:tr>
    </w:tbl>
    <w:p w14:paraId="22D9B852" w14:textId="77777777" w:rsidR="00C56203" w:rsidRDefault="00C56203">
      <w:pPr>
        <w:spacing w:before="20" w:after="20" w:line="288" w:lineRule="auto"/>
        <w:jc w:val="center"/>
        <w:rPr>
          <w:sz w:val="20"/>
        </w:rPr>
      </w:pPr>
    </w:p>
    <w:p w14:paraId="1580E35B" w14:textId="77777777" w:rsidR="00C56203" w:rsidRDefault="00CD5102">
      <w:pPr>
        <w:spacing w:before="20" w:line="288" w:lineRule="auto"/>
        <w:ind w:left="270" w:hanging="270"/>
        <w:jc w:val="both"/>
        <w:rPr>
          <w:sz w:val="18"/>
        </w:rPr>
      </w:pPr>
      <w:r>
        <w:rPr>
          <w:sz w:val="18"/>
        </w:rPr>
        <w:t xml:space="preserve">(a) </w:t>
      </w:r>
      <w:r>
        <w:rPr>
          <w:color w:val="000000"/>
          <w:sz w:val="18"/>
        </w:rPr>
        <w:t xml:space="preserve">The impact for changes in foreign currency exchange rates is determined as the difference in the current period reported revenues at their current period currency exchange rates and the </w:t>
      </w:r>
      <w:r>
        <w:rPr>
          <w:color w:val="000000"/>
          <w:sz w:val="18"/>
        </w:rPr>
        <w:t>current period reported revenues revalued using the monthly average currency exchange rates during the comparable prior period.</w:t>
      </w:r>
      <w:r>
        <w:rPr>
          <w:sz w:val="18"/>
        </w:rPr>
        <w:t xml:space="preserve"> </w:t>
      </w:r>
    </w:p>
    <w:p w14:paraId="0C9ECB11" w14:textId="77777777" w:rsidR="00C56203" w:rsidRDefault="00CD5102">
      <w:pPr>
        <w:spacing w:before="120" w:after="120" w:line="288" w:lineRule="auto"/>
        <w:ind w:left="270" w:hanging="270"/>
        <w:jc w:val="both"/>
        <w:rPr>
          <w:sz w:val="18"/>
        </w:rPr>
      </w:pPr>
      <w:r>
        <w:rPr>
          <w:sz w:val="18"/>
        </w:rPr>
        <w:t>(b) To supplement the financial measures prepared in accordance with GAAP, the Company uses certain non-GAAP financial measures</w:t>
      </w:r>
      <w:r>
        <w:rPr>
          <w:sz w:val="18"/>
        </w:rPr>
        <w:t xml:space="preserve">. For additional information about the Company’s use of such non-GAAP financial measures, refer to the body of the news release to which these tables are attached. Organic revenue (non-GAAP) for the </w:t>
      </w:r>
      <w:r>
        <w:rPr>
          <w:color w:val="000000"/>
          <w:sz w:val="18"/>
        </w:rPr>
        <w:t>three months ended March 31, 2023</w:t>
      </w:r>
      <w:r>
        <w:rPr>
          <w:sz w:val="18"/>
        </w:rPr>
        <w:t xml:space="preserve"> is calculated as revenu</w:t>
      </w:r>
      <w:r>
        <w:rPr>
          <w:sz w:val="18"/>
        </w:rPr>
        <w:t xml:space="preserve">e as reported adjusted for the impact for changes in exchange rates (previously defined in this news release) and acquisitions. Organic revenue (non-GAAP) for the </w:t>
      </w:r>
      <w:r>
        <w:rPr>
          <w:color w:val="000000"/>
          <w:sz w:val="18"/>
        </w:rPr>
        <w:t>three months ended March 31, 2022</w:t>
      </w:r>
      <w:r>
        <w:rPr>
          <w:sz w:val="18"/>
        </w:rPr>
        <w:t xml:space="preserve"> is calculated as revenue as reported less revenues attribut</w:t>
      </w:r>
      <w:r>
        <w:rPr>
          <w:sz w:val="18"/>
        </w:rPr>
        <w:t xml:space="preserve">able to divestitures and discontinuances during the twelve months prior to the day of divestiture or discontinuance, as there are no revenues from those businesses and assets included in the comparable current period. </w:t>
      </w:r>
      <w:r>
        <w:rPr>
          <w:sz w:val="18"/>
        </w:rPr>
        <w:br w:type="page"/>
      </w: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59"/>
        <w:gridCol w:w="1372"/>
        <w:gridCol w:w="126"/>
        <w:gridCol w:w="1372"/>
        <w:gridCol w:w="126"/>
        <w:gridCol w:w="1372"/>
        <w:gridCol w:w="126"/>
        <w:gridCol w:w="1357"/>
      </w:tblGrid>
      <w:tr w:rsidR="00C56203" w14:paraId="04D4A588" w14:textId="77777777">
        <w:trPr>
          <w:cantSplit/>
          <w:trHeight w:hRule="exact" w:val="285"/>
          <w:jc w:val="center"/>
        </w:trPr>
        <w:tc>
          <w:tcPr>
            <w:tcW w:w="7125" w:type="dxa"/>
            <w:gridSpan w:val="5"/>
            <w:tcBorders>
              <w:top w:val="nil"/>
              <w:left w:val="nil"/>
              <w:bottom w:val="nil"/>
              <w:right w:val="nil"/>
            </w:tcBorders>
            <w:tcMar>
              <w:top w:w="0" w:type="dxa"/>
              <w:left w:w="53" w:type="dxa"/>
              <w:bottom w:w="0" w:type="dxa"/>
              <w:right w:w="53" w:type="dxa"/>
            </w:tcMar>
            <w:vAlign w:val="bottom"/>
          </w:tcPr>
          <w:p w14:paraId="42E0F6B6" w14:textId="77777777" w:rsidR="00C56203" w:rsidRDefault="00CD5102">
            <w:pPr>
              <w:keepNext/>
              <w:spacing w:before="75" w:after="30"/>
            </w:pPr>
            <w:r>
              <w:rPr>
                <w:b/>
                <w:color w:val="000000"/>
                <w:sz w:val="18"/>
              </w:rPr>
              <w:lastRenderedPageBreak/>
              <w:t>Bausch Health Companies Inc.</w:t>
            </w:r>
          </w:p>
        </w:tc>
        <w:tc>
          <w:tcPr>
            <w:tcW w:w="75" w:type="dxa"/>
            <w:tcBorders>
              <w:top w:val="nil"/>
              <w:left w:val="nil"/>
              <w:bottom w:val="nil"/>
              <w:right w:val="nil"/>
            </w:tcBorders>
            <w:tcMar>
              <w:top w:w="0" w:type="dxa"/>
              <w:left w:w="0" w:type="dxa"/>
              <w:bottom w:w="0" w:type="dxa"/>
              <w:right w:w="0" w:type="dxa"/>
            </w:tcMar>
            <w:vAlign w:val="bottom"/>
          </w:tcPr>
          <w:p w14:paraId="4B656C0C" w14:textId="77777777" w:rsidR="00C56203" w:rsidRDefault="00C56203">
            <w:pPr>
              <w:keepNext/>
            </w:pPr>
          </w:p>
        </w:tc>
        <w:tc>
          <w:tcPr>
            <w:tcW w:w="1395" w:type="dxa"/>
            <w:tcBorders>
              <w:top w:val="nil"/>
              <w:left w:val="nil"/>
              <w:bottom w:val="nil"/>
              <w:right w:val="nil"/>
            </w:tcBorders>
            <w:tcMar>
              <w:top w:w="0" w:type="dxa"/>
              <w:left w:w="0" w:type="dxa"/>
              <w:bottom w:w="0" w:type="dxa"/>
              <w:right w:w="0" w:type="dxa"/>
            </w:tcMar>
            <w:vAlign w:val="bottom"/>
          </w:tcPr>
          <w:p w14:paraId="0CEEF097"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4590775E" w14:textId="77777777" w:rsidR="00C56203" w:rsidRDefault="00C56203">
            <w:pPr>
              <w:keepNext/>
            </w:pPr>
          </w:p>
        </w:tc>
        <w:tc>
          <w:tcPr>
            <w:tcW w:w="1380" w:type="dxa"/>
            <w:tcBorders>
              <w:top w:val="nil"/>
              <w:left w:val="nil"/>
              <w:bottom w:val="nil"/>
              <w:right w:val="nil"/>
            </w:tcBorders>
            <w:tcMar>
              <w:top w:w="0" w:type="dxa"/>
              <w:left w:w="0" w:type="dxa"/>
              <w:bottom w:w="0" w:type="dxa"/>
              <w:right w:w="53" w:type="dxa"/>
            </w:tcMar>
            <w:vAlign w:val="bottom"/>
          </w:tcPr>
          <w:p w14:paraId="524038EC" w14:textId="77777777" w:rsidR="00C56203" w:rsidRDefault="00CD5102">
            <w:pPr>
              <w:keepNext/>
              <w:spacing w:before="75" w:after="30"/>
              <w:jc w:val="right"/>
            </w:pPr>
            <w:r>
              <w:rPr>
                <w:b/>
                <w:color w:val="000000"/>
                <w:sz w:val="18"/>
              </w:rPr>
              <w:t>Table 4</w:t>
            </w:r>
          </w:p>
        </w:tc>
      </w:tr>
      <w:tr w:rsidR="00C56203" w14:paraId="79F9CB00" w14:textId="77777777">
        <w:trPr>
          <w:cantSplit/>
          <w:trHeight w:hRule="exact" w:val="285"/>
          <w:jc w:val="center"/>
        </w:trPr>
        <w:tc>
          <w:tcPr>
            <w:tcW w:w="7125" w:type="dxa"/>
            <w:gridSpan w:val="5"/>
            <w:tcBorders>
              <w:top w:val="nil"/>
              <w:left w:val="nil"/>
              <w:bottom w:val="nil"/>
              <w:right w:val="nil"/>
            </w:tcBorders>
            <w:tcMar>
              <w:top w:w="0" w:type="dxa"/>
              <w:left w:w="53" w:type="dxa"/>
              <w:bottom w:w="0" w:type="dxa"/>
              <w:right w:w="53" w:type="dxa"/>
            </w:tcMar>
            <w:vAlign w:val="bottom"/>
          </w:tcPr>
          <w:p w14:paraId="6CDF062E" w14:textId="77777777" w:rsidR="00C56203" w:rsidRDefault="00CD5102">
            <w:pPr>
              <w:keepNext/>
              <w:spacing w:before="75" w:after="30"/>
            </w:pPr>
            <w:r>
              <w:rPr>
                <w:b/>
                <w:color w:val="000000"/>
                <w:sz w:val="18"/>
              </w:rPr>
              <w:t>Other Financial Information</w:t>
            </w:r>
          </w:p>
        </w:tc>
        <w:tc>
          <w:tcPr>
            <w:tcW w:w="75" w:type="dxa"/>
            <w:tcBorders>
              <w:top w:val="nil"/>
              <w:left w:val="nil"/>
              <w:bottom w:val="nil"/>
              <w:right w:val="nil"/>
            </w:tcBorders>
            <w:tcMar>
              <w:top w:w="0" w:type="dxa"/>
              <w:left w:w="0" w:type="dxa"/>
              <w:bottom w:w="0" w:type="dxa"/>
              <w:right w:w="0" w:type="dxa"/>
            </w:tcMar>
            <w:vAlign w:val="bottom"/>
          </w:tcPr>
          <w:p w14:paraId="42FD0042" w14:textId="77777777" w:rsidR="00C56203" w:rsidRDefault="00C56203">
            <w:pPr>
              <w:keepNext/>
            </w:pPr>
          </w:p>
        </w:tc>
        <w:tc>
          <w:tcPr>
            <w:tcW w:w="1395" w:type="dxa"/>
            <w:tcBorders>
              <w:top w:val="nil"/>
              <w:left w:val="nil"/>
              <w:bottom w:val="nil"/>
              <w:right w:val="nil"/>
            </w:tcBorders>
            <w:tcMar>
              <w:top w:w="0" w:type="dxa"/>
              <w:left w:w="0" w:type="dxa"/>
              <w:bottom w:w="0" w:type="dxa"/>
              <w:right w:w="0" w:type="dxa"/>
            </w:tcMar>
            <w:vAlign w:val="bottom"/>
          </w:tcPr>
          <w:p w14:paraId="7EFFAD07"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319DE991" w14:textId="77777777" w:rsidR="00C56203" w:rsidRDefault="00C56203">
            <w:pPr>
              <w:keepNext/>
            </w:pPr>
          </w:p>
        </w:tc>
        <w:tc>
          <w:tcPr>
            <w:tcW w:w="1380" w:type="dxa"/>
            <w:tcBorders>
              <w:top w:val="nil"/>
              <w:left w:val="nil"/>
              <w:bottom w:val="nil"/>
              <w:right w:val="nil"/>
            </w:tcBorders>
            <w:tcMar>
              <w:top w:w="0" w:type="dxa"/>
              <w:left w:w="0" w:type="dxa"/>
              <w:bottom w:w="0" w:type="dxa"/>
              <w:right w:w="0" w:type="dxa"/>
            </w:tcMar>
            <w:vAlign w:val="bottom"/>
          </w:tcPr>
          <w:p w14:paraId="12163B9E" w14:textId="77777777" w:rsidR="00C56203" w:rsidRDefault="00C56203">
            <w:pPr>
              <w:keepNext/>
            </w:pPr>
          </w:p>
        </w:tc>
      </w:tr>
      <w:tr w:rsidR="00C56203" w14:paraId="5A992AF3" w14:textId="77777777">
        <w:trPr>
          <w:cantSplit/>
          <w:trHeight w:hRule="exact" w:val="285"/>
          <w:jc w:val="center"/>
        </w:trPr>
        <w:tc>
          <w:tcPr>
            <w:tcW w:w="7125" w:type="dxa"/>
            <w:gridSpan w:val="5"/>
            <w:tcBorders>
              <w:top w:val="nil"/>
              <w:left w:val="nil"/>
              <w:bottom w:val="nil"/>
              <w:right w:val="nil"/>
            </w:tcBorders>
            <w:tcMar>
              <w:top w:w="0" w:type="dxa"/>
              <w:left w:w="53" w:type="dxa"/>
              <w:bottom w:w="0" w:type="dxa"/>
              <w:right w:w="53" w:type="dxa"/>
            </w:tcMar>
            <w:vAlign w:val="bottom"/>
          </w:tcPr>
          <w:p w14:paraId="7EEDBE73" w14:textId="77777777" w:rsidR="00C56203" w:rsidRDefault="00CD5102">
            <w:pPr>
              <w:keepNext/>
              <w:spacing w:before="75" w:after="30"/>
            </w:pPr>
            <w:r>
              <w:rPr>
                <w:b/>
                <w:color w:val="000000"/>
                <w:sz w:val="18"/>
              </w:rPr>
              <w:t>(unaudited)</w:t>
            </w:r>
          </w:p>
        </w:tc>
        <w:tc>
          <w:tcPr>
            <w:tcW w:w="75" w:type="dxa"/>
            <w:tcBorders>
              <w:top w:val="nil"/>
              <w:left w:val="nil"/>
              <w:bottom w:val="nil"/>
              <w:right w:val="nil"/>
            </w:tcBorders>
            <w:tcMar>
              <w:top w:w="0" w:type="dxa"/>
              <w:left w:w="0" w:type="dxa"/>
              <w:bottom w:w="0" w:type="dxa"/>
              <w:right w:w="0" w:type="dxa"/>
            </w:tcMar>
            <w:vAlign w:val="bottom"/>
          </w:tcPr>
          <w:p w14:paraId="01B040EF" w14:textId="77777777" w:rsidR="00C56203" w:rsidRDefault="00C56203">
            <w:pPr>
              <w:keepNext/>
            </w:pPr>
          </w:p>
        </w:tc>
        <w:tc>
          <w:tcPr>
            <w:tcW w:w="1395" w:type="dxa"/>
            <w:tcBorders>
              <w:top w:val="nil"/>
              <w:left w:val="nil"/>
              <w:bottom w:val="nil"/>
              <w:right w:val="nil"/>
            </w:tcBorders>
            <w:tcMar>
              <w:top w:w="0" w:type="dxa"/>
              <w:left w:w="0" w:type="dxa"/>
              <w:bottom w:w="0" w:type="dxa"/>
              <w:right w:w="0" w:type="dxa"/>
            </w:tcMar>
            <w:vAlign w:val="bottom"/>
          </w:tcPr>
          <w:p w14:paraId="61B7CDBD"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635CBF5A" w14:textId="77777777" w:rsidR="00C56203" w:rsidRDefault="00C56203">
            <w:pPr>
              <w:keepNext/>
            </w:pPr>
          </w:p>
        </w:tc>
        <w:tc>
          <w:tcPr>
            <w:tcW w:w="1380" w:type="dxa"/>
            <w:tcBorders>
              <w:top w:val="nil"/>
              <w:left w:val="nil"/>
              <w:bottom w:val="nil"/>
              <w:right w:val="nil"/>
            </w:tcBorders>
            <w:tcMar>
              <w:top w:w="0" w:type="dxa"/>
              <w:left w:w="0" w:type="dxa"/>
              <w:bottom w:w="0" w:type="dxa"/>
              <w:right w:w="0" w:type="dxa"/>
            </w:tcMar>
            <w:vAlign w:val="bottom"/>
          </w:tcPr>
          <w:p w14:paraId="7825BB8E" w14:textId="77777777" w:rsidR="00C56203" w:rsidRDefault="00C56203">
            <w:pPr>
              <w:keepNext/>
            </w:pPr>
          </w:p>
        </w:tc>
      </w:tr>
      <w:tr w:rsidR="00C56203" w14:paraId="41D72C79" w14:textId="77777777">
        <w:trPr>
          <w:cantSplit/>
          <w:trHeight w:hRule="exact" w:val="465"/>
          <w:jc w:val="center"/>
        </w:trPr>
        <w:tc>
          <w:tcPr>
            <w:tcW w:w="7125" w:type="dxa"/>
            <w:gridSpan w:val="5"/>
            <w:tcBorders>
              <w:top w:val="nil"/>
              <w:left w:val="nil"/>
              <w:bottom w:val="nil"/>
              <w:right w:val="nil"/>
            </w:tcBorders>
            <w:tcMar>
              <w:top w:w="0" w:type="dxa"/>
              <w:left w:w="53" w:type="dxa"/>
              <w:bottom w:w="0" w:type="dxa"/>
              <w:right w:w="53" w:type="dxa"/>
            </w:tcMar>
            <w:vAlign w:val="bottom"/>
          </w:tcPr>
          <w:p w14:paraId="41118990" w14:textId="77777777" w:rsidR="00C56203" w:rsidRDefault="00CD5102">
            <w:pPr>
              <w:keepNext/>
              <w:spacing w:before="75" w:after="30"/>
            </w:pPr>
            <w:r>
              <w:rPr>
                <w:i/>
                <w:color w:val="000000"/>
                <w:sz w:val="16"/>
              </w:rPr>
              <w:t>(in millions)</w:t>
            </w:r>
          </w:p>
        </w:tc>
        <w:tc>
          <w:tcPr>
            <w:tcW w:w="75" w:type="dxa"/>
            <w:tcBorders>
              <w:top w:val="nil"/>
              <w:left w:val="nil"/>
              <w:bottom w:val="nil"/>
              <w:right w:val="nil"/>
            </w:tcBorders>
            <w:tcMar>
              <w:top w:w="0" w:type="dxa"/>
              <w:left w:w="0" w:type="dxa"/>
              <w:bottom w:w="0" w:type="dxa"/>
              <w:right w:w="0" w:type="dxa"/>
            </w:tcMar>
            <w:vAlign w:val="bottom"/>
          </w:tcPr>
          <w:p w14:paraId="58D7389F" w14:textId="77777777" w:rsidR="00C56203" w:rsidRDefault="00C56203">
            <w:pPr>
              <w:keepNext/>
            </w:pPr>
          </w:p>
        </w:tc>
        <w:tc>
          <w:tcPr>
            <w:tcW w:w="1395" w:type="dxa"/>
            <w:tcBorders>
              <w:top w:val="nil"/>
              <w:left w:val="nil"/>
              <w:bottom w:val="single" w:sz="8" w:space="0" w:color="000000"/>
              <w:right w:val="nil"/>
            </w:tcBorders>
            <w:tcMar>
              <w:top w:w="0" w:type="dxa"/>
              <w:left w:w="53" w:type="dxa"/>
              <w:bottom w:w="0" w:type="dxa"/>
              <w:right w:w="53" w:type="dxa"/>
            </w:tcMar>
            <w:vAlign w:val="bottom"/>
          </w:tcPr>
          <w:p w14:paraId="53A40766" w14:textId="77777777" w:rsidR="00C56203" w:rsidRDefault="00CD5102">
            <w:pPr>
              <w:keepNext/>
              <w:spacing w:before="75" w:after="30"/>
              <w:jc w:val="center"/>
            </w:pPr>
            <w:r>
              <w:rPr>
                <w:b/>
                <w:color w:val="000000"/>
                <w:sz w:val="18"/>
              </w:rPr>
              <w:t>March 31,</w:t>
            </w:r>
            <w:r>
              <w:br/>
            </w:r>
            <w:r>
              <w:rPr>
                <w:b/>
                <w:color w:val="000000"/>
                <w:sz w:val="18"/>
              </w:rPr>
              <w:t>2023</w:t>
            </w:r>
          </w:p>
        </w:tc>
        <w:tc>
          <w:tcPr>
            <w:tcW w:w="75" w:type="dxa"/>
            <w:tcBorders>
              <w:top w:val="nil"/>
              <w:left w:val="nil"/>
              <w:bottom w:val="nil"/>
              <w:right w:val="nil"/>
            </w:tcBorders>
            <w:tcMar>
              <w:top w:w="0" w:type="dxa"/>
              <w:left w:w="0" w:type="dxa"/>
              <w:bottom w:w="0" w:type="dxa"/>
              <w:right w:w="0" w:type="dxa"/>
            </w:tcMar>
            <w:vAlign w:val="bottom"/>
          </w:tcPr>
          <w:p w14:paraId="56BCB383" w14:textId="77777777" w:rsidR="00C56203" w:rsidRDefault="00C56203">
            <w:pPr>
              <w:keepNext/>
            </w:pPr>
          </w:p>
        </w:tc>
        <w:tc>
          <w:tcPr>
            <w:tcW w:w="1380" w:type="dxa"/>
            <w:tcBorders>
              <w:top w:val="nil"/>
              <w:left w:val="nil"/>
              <w:bottom w:val="single" w:sz="8" w:space="0" w:color="000000"/>
              <w:right w:val="nil"/>
            </w:tcBorders>
            <w:tcMar>
              <w:top w:w="0" w:type="dxa"/>
              <w:left w:w="53" w:type="dxa"/>
              <w:bottom w:w="0" w:type="dxa"/>
              <w:right w:w="53" w:type="dxa"/>
            </w:tcMar>
            <w:vAlign w:val="bottom"/>
          </w:tcPr>
          <w:p w14:paraId="203F922B" w14:textId="77777777" w:rsidR="00C56203" w:rsidRDefault="00CD5102">
            <w:pPr>
              <w:keepNext/>
              <w:spacing w:before="75" w:after="30"/>
              <w:jc w:val="center"/>
            </w:pPr>
            <w:r>
              <w:rPr>
                <w:b/>
                <w:color w:val="000000"/>
                <w:sz w:val="18"/>
              </w:rPr>
              <w:t>December 31, 2022</w:t>
            </w:r>
          </w:p>
        </w:tc>
      </w:tr>
      <w:tr w:rsidR="00C56203" w14:paraId="7520B693" w14:textId="77777777">
        <w:trPr>
          <w:cantSplit/>
          <w:trHeight w:hRule="exact" w:val="285"/>
          <w:jc w:val="center"/>
        </w:trPr>
        <w:tc>
          <w:tcPr>
            <w:tcW w:w="7125" w:type="dxa"/>
            <w:gridSpan w:val="5"/>
            <w:tcBorders>
              <w:top w:val="nil"/>
              <w:left w:val="nil"/>
              <w:bottom w:val="nil"/>
              <w:right w:val="nil"/>
            </w:tcBorders>
            <w:tcMar>
              <w:top w:w="0" w:type="dxa"/>
              <w:left w:w="53" w:type="dxa"/>
              <w:bottom w:w="0" w:type="dxa"/>
              <w:right w:w="53" w:type="dxa"/>
            </w:tcMar>
            <w:vAlign w:val="bottom"/>
          </w:tcPr>
          <w:p w14:paraId="76D20847" w14:textId="77777777" w:rsidR="00C56203" w:rsidRDefault="00CD5102">
            <w:pPr>
              <w:keepNext/>
              <w:spacing w:before="55" w:after="30"/>
            </w:pPr>
            <w:r>
              <w:rPr>
                <w:b/>
                <w:color w:val="000000"/>
                <w:sz w:val="18"/>
              </w:rPr>
              <w:t>Cash, Cash Equivalents and Restricted Cash</w:t>
            </w:r>
          </w:p>
        </w:tc>
        <w:tc>
          <w:tcPr>
            <w:tcW w:w="75" w:type="dxa"/>
            <w:tcBorders>
              <w:top w:val="nil"/>
              <w:left w:val="nil"/>
              <w:bottom w:val="nil"/>
              <w:right w:val="nil"/>
            </w:tcBorders>
            <w:tcMar>
              <w:top w:w="0" w:type="dxa"/>
              <w:left w:w="0" w:type="dxa"/>
              <w:bottom w:w="0" w:type="dxa"/>
              <w:right w:w="0" w:type="dxa"/>
            </w:tcMar>
            <w:vAlign w:val="bottom"/>
          </w:tcPr>
          <w:p w14:paraId="72948254" w14:textId="77777777" w:rsidR="00C56203" w:rsidRDefault="00C56203">
            <w:pPr>
              <w:keepNext/>
            </w:pPr>
          </w:p>
        </w:tc>
        <w:tc>
          <w:tcPr>
            <w:tcW w:w="1395" w:type="dxa"/>
            <w:tcBorders>
              <w:top w:val="single" w:sz="8" w:space="0" w:color="000000"/>
              <w:left w:val="nil"/>
              <w:bottom w:val="nil"/>
              <w:right w:val="nil"/>
            </w:tcBorders>
            <w:tcMar>
              <w:top w:w="0" w:type="dxa"/>
              <w:left w:w="0" w:type="dxa"/>
              <w:bottom w:w="0" w:type="dxa"/>
              <w:right w:w="0" w:type="dxa"/>
            </w:tcMar>
            <w:vAlign w:val="bottom"/>
          </w:tcPr>
          <w:p w14:paraId="4658B824" w14:textId="77777777" w:rsidR="00C56203" w:rsidRDefault="00C56203">
            <w:pPr>
              <w:keepNext/>
            </w:pPr>
          </w:p>
        </w:tc>
        <w:tc>
          <w:tcPr>
            <w:tcW w:w="75" w:type="dxa"/>
            <w:tcBorders>
              <w:top w:val="nil"/>
              <w:left w:val="nil"/>
              <w:bottom w:val="nil"/>
              <w:right w:val="nil"/>
            </w:tcBorders>
            <w:tcMar>
              <w:top w:w="0" w:type="dxa"/>
              <w:left w:w="0" w:type="dxa"/>
              <w:bottom w:w="0" w:type="dxa"/>
              <w:right w:w="0" w:type="dxa"/>
            </w:tcMar>
            <w:vAlign w:val="bottom"/>
          </w:tcPr>
          <w:p w14:paraId="549D1F02" w14:textId="77777777" w:rsidR="00C56203" w:rsidRDefault="00C56203">
            <w:pPr>
              <w:keepNext/>
            </w:pPr>
          </w:p>
        </w:tc>
        <w:tc>
          <w:tcPr>
            <w:tcW w:w="1380" w:type="dxa"/>
            <w:tcBorders>
              <w:top w:val="single" w:sz="8" w:space="0" w:color="000000"/>
              <w:left w:val="nil"/>
              <w:bottom w:val="nil"/>
              <w:right w:val="nil"/>
            </w:tcBorders>
            <w:tcMar>
              <w:top w:w="0" w:type="dxa"/>
              <w:left w:w="0" w:type="dxa"/>
              <w:bottom w:w="0" w:type="dxa"/>
              <w:right w:w="0" w:type="dxa"/>
            </w:tcMar>
            <w:vAlign w:val="bottom"/>
          </w:tcPr>
          <w:p w14:paraId="2ABB7914" w14:textId="77777777" w:rsidR="00C56203" w:rsidRDefault="00C56203">
            <w:pPr>
              <w:keepNext/>
            </w:pPr>
          </w:p>
        </w:tc>
      </w:tr>
      <w:tr w:rsidR="00C56203" w14:paraId="228164D2" w14:textId="77777777">
        <w:trPr>
          <w:cantSplit/>
          <w:trHeight w:hRule="exact" w:val="285"/>
          <w:jc w:val="center"/>
        </w:trPr>
        <w:tc>
          <w:tcPr>
            <w:tcW w:w="7125" w:type="dxa"/>
            <w:gridSpan w:val="5"/>
            <w:tcBorders>
              <w:top w:val="nil"/>
              <w:left w:val="nil"/>
              <w:bottom w:val="nil"/>
              <w:right w:val="nil"/>
            </w:tcBorders>
            <w:shd w:val="clear" w:color="auto" w:fill="CCEEFF"/>
            <w:tcMar>
              <w:top w:w="0" w:type="dxa"/>
              <w:left w:w="53" w:type="dxa"/>
              <w:bottom w:w="0" w:type="dxa"/>
              <w:right w:w="53" w:type="dxa"/>
            </w:tcMar>
            <w:vAlign w:val="bottom"/>
          </w:tcPr>
          <w:p w14:paraId="03091C18" w14:textId="77777777" w:rsidR="00C56203" w:rsidRDefault="00CD5102">
            <w:pPr>
              <w:keepNext/>
              <w:spacing w:before="75" w:after="30"/>
              <w:ind w:left="135"/>
            </w:pPr>
            <w:r>
              <w:rPr>
                <w:color w:val="000000"/>
                <w:sz w:val="18"/>
              </w:rPr>
              <w:t>Cash and cash equivalents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F876D68" w14:textId="77777777" w:rsidR="00C56203" w:rsidRDefault="00C56203">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597CFA76" w14:textId="77777777" w:rsidR="00C56203" w:rsidRDefault="00CD5102">
            <w:pPr>
              <w:keepNext/>
              <w:tabs>
                <w:tab w:val="left" w:pos="999"/>
                <w:tab w:val="left" w:pos="1327"/>
              </w:tabs>
              <w:spacing w:before="75" w:after="30"/>
              <w:jc w:val="right"/>
            </w:pPr>
            <w:r>
              <w:rPr>
                <w:color w:val="000000"/>
                <w:sz w:val="18"/>
              </w:rPr>
              <w:t>$</w:t>
            </w:r>
            <w:r>
              <w:rPr>
                <w:color w:val="000000"/>
                <w:sz w:val="18"/>
              </w:rPr>
              <w:tab/>
              <w:t>518</w:t>
            </w:r>
            <w:r>
              <w:rPr>
                <w:color w:val="000000"/>
                <w:sz w:val="18"/>
              </w:rPr>
              <w:tab/>
            </w: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2AA15CE1" w14:textId="77777777" w:rsidR="00C56203" w:rsidRDefault="00C56203">
            <w:pPr>
              <w:keepNext/>
              <w:spacing w:before="75" w:after="30"/>
            </w:pPr>
          </w:p>
        </w:tc>
        <w:tc>
          <w:tcPr>
            <w:tcW w:w="1380" w:type="dxa"/>
            <w:tcBorders>
              <w:top w:val="nil"/>
              <w:left w:val="nil"/>
              <w:bottom w:val="nil"/>
              <w:right w:val="nil"/>
            </w:tcBorders>
            <w:shd w:val="clear" w:color="auto" w:fill="CCEEFF"/>
            <w:tcMar>
              <w:top w:w="0" w:type="dxa"/>
              <w:left w:w="0" w:type="dxa"/>
              <w:bottom w:w="0" w:type="dxa"/>
              <w:right w:w="15" w:type="dxa"/>
            </w:tcMar>
            <w:vAlign w:val="bottom"/>
          </w:tcPr>
          <w:p w14:paraId="0B74FFAE" w14:textId="77777777" w:rsidR="00C56203" w:rsidRDefault="00CD5102">
            <w:pPr>
              <w:keepNext/>
              <w:tabs>
                <w:tab w:val="left" w:pos="984"/>
                <w:tab w:val="left" w:pos="1312"/>
              </w:tabs>
              <w:spacing w:before="75" w:after="30"/>
              <w:jc w:val="right"/>
            </w:pPr>
            <w:r>
              <w:rPr>
                <w:color w:val="000000"/>
                <w:sz w:val="18"/>
              </w:rPr>
              <w:t>$</w:t>
            </w:r>
            <w:r>
              <w:rPr>
                <w:color w:val="000000"/>
                <w:sz w:val="18"/>
              </w:rPr>
              <w:tab/>
              <w:t>564</w:t>
            </w:r>
            <w:r>
              <w:rPr>
                <w:color w:val="000000"/>
                <w:sz w:val="18"/>
              </w:rPr>
              <w:tab/>
            </w:r>
          </w:p>
        </w:tc>
      </w:tr>
      <w:tr w:rsidR="00C56203" w14:paraId="18809065" w14:textId="77777777">
        <w:trPr>
          <w:cantSplit/>
          <w:trHeight w:hRule="exact" w:val="285"/>
          <w:jc w:val="center"/>
        </w:trPr>
        <w:tc>
          <w:tcPr>
            <w:tcW w:w="7125" w:type="dxa"/>
            <w:gridSpan w:val="5"/>
            <w:tcBorders>
              <w:top w:val="nil"/>
              <w:left w:val="nil"/>
              <w:bottom w:val="nil"/>
              <w:right w:val="nil"/>
            </w:tcBorders>
            <w:shd w:val="clear" w:color="auto" w:fill="FFFFFF"/>
            <w:tcMar>
              <w:top w:w="0" w:type="dxa"/>
              <w:left w:w="53" w:type="dxa"/>
              <w:bottom w:w="0" w:type="dxa"/>
              <w:right w:w="53" w:type="dxa"/>
            </w:tcMar>
            <w:vAlign w:val="bottom"/>
          </w:tcPr>
          <w:p w14:paraId="59057F04" w14:textId="77777777" w:rsidR="00C56203" w:rsidRDefault="00CD5102">
            <w:pPr>
              <w:keepNext/>
              <w:spacing w:before="75" w:after="30"/>
              <w:ind w:left="135"/>
            </w:pPr>
            <w:r>
              <w:rPr>
                <w:color w:val="000000"/>
                <w:sz w:val="18"/>
              </w:rPr>
              <w:t>Restricted cash</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2E6952B" w14:textId="77777777" w:rsidR="00C56203" w:rsidRDefault="00C56203">
            <w:pPr>
              <w:keepNext/>
            </w:pPr>
          </w:p>
        </w:tc>
        <w:tc>
          <w:tcPr>
            <w:tcW w:w="13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2F56EDC" w14:textId="77777777" w:rsidR="00C56203" w:rsidRDefault="00CD5102">
            <w:pPr>
              <w:keepNext/>
              <w:tabs>
                <w:tab w:val="left" w:pos="1089"/>
                <w:tab w:val="left" w:pos="1327"/>
              </w:tabs>
              <w:spacing w:before="75" w:after="30"/>
              <w:jc w:val="right"/>
            </w:pPr>
            <w:r>
              <w:rPr>
                <w:color w:val="000000"/>
                <w:sz w:val="18"/>
              </w:rPr>
              <w:tab/>
              <w:t>13</w:t>
            </w:r>
            <w:r>
              <w:rPr>
                <w:color w:val="000000"/>
                <w:sz w:val="18"/>
              </w:rPr>
              <w:tab/>
            </w: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3CAAB867" w14:textId="77777777" w:rsidR="00C56203" w:rsidRDefault="00C56203">
            <w:pPr>
              <w:keepNext/>
              <w:spacing w:before="75" w:after="30"/>
            </w:pPr>
          </w:p>
        </w:tc>
        <w:tc>
          <w:tcPr>
            <w:tcW w:w="138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C711005" w14:textId="77777777" w:rsidR="00C56203" w:rsidRDefault="00CD5102">
            <w:pPr>
              <w:keepNext/>
              <w:tabs>
                <w:tab w:val="left" w:pos="1074"/>
                <w:tab w:val="left" w:pos="1312"/>
              </w:tabs>
              <w:spacing w:before="75" w:after="30"/>
              <w:jc w:val="right"/>
            </w:pPr>
            <w:r>
              <w:rPr>
                <w:color w:val="000000"/>
                <w:sz w:val="18"/>
              </w:rPr>
              <w:tab/>
              <w:t>27</w:t>
            </w:r>
            <w:r>
              <w:rPr>
                <w:color w:val="000000"/>
                <w:sz w:val="18"/>
              </w:rPr>
              <w:tab/>
            </w:r>
          </w:p>
        </w:tc>
      </w:tr>
      <w:tr w:rsidR="00C56203" w14:paraId="3B65E995" w14:textId="77777777">
        <w:trPr>
          <w:cantSplit/>
          <w:trHeight w:hRule="exact" w:val="285"/>
          <w:jc w:val="center"/>
        </w:trPr>
        <w:tc>
          <w:tcPr>
            <w:tcW w:w="7125" w:type="dxa"/>
            <w:gridSpan w:val="5"/>
            <w:tcBorders>
              <w:top w:val="nil"/>
              <w:left w:val="nil"/>
              <w:bottom w:val="nil"/>
              <w:right w:val="nil"/>
            </w:tcBorders>
            <w:shd w:val="clear" w:color="auto" w:fill="CCEEFF"/>
            <w:tcMar>
              <w:top w:w="0" w:type="dxa"/>
              <w:left w:w="53" w:type="dxa"/>
              <w:bottom w:w="0" w:type="dxa"/>
              <w:right w:w="53" w:type="dxa"/>
            </w:tcMar>
            <w:vAlign w:val="bottom"/>
          </w:tcPr>
          <w:p w14:paraId="173040D8" w14:textId="77777777" w:rsidR="00C56203" w:rsidRDefault="00CD5102">
            <w:pPr>
              <w:keepNext/>
              <w:spacing w:before="55" w:after="30"/>
              <w:ind w:left="135"/>
            </w:pPr>
            <w:r>
              <w:rPr>
                <w:color w:val="000000"/>
                <w:sz w:val="18"/>
              </w:rPr>
              <w:t xml:space="preserve">Cash, cash </w:t>
            </w:r>
            <w:r>
              <w:rPr>
                <w:color w:val="000000"/>
                <w:sz w:val="18"/>
              </w:rPr>
              <w:t>equivalents and restricted cash</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1346341" w14:textId="77777777" w:rsidR="00C56203" w:rsidRDefault="00C56203">
            <w:pPr>
              <w:keepNext/>
            </w:pPr>
          </w:p>
        </w:tc>
        <w:tc>
          <w:tcPr>
            <w:tcW w:w="13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41D084B6" w14:textId="77777777" w:rsidR="00C56203" w:rsidRDefault="00CD5102">
            <w:pPr>
              <w:keepNext/>
              <w:tabs>
                <w:tab w:val="left" w:pos="999"/>
                <w:tab w:val="left" w:pos="1327"/>
              </w:tabs>
              <w:spacing w:before="55" w:after="30"/>
              <w:jc w:val="right"/>
            </w:pPr>
            <w:r>
              <w:rPr>
                <w:color w:val="000000"/>
                <w:sz w:val="18"/>
              </w:rPr>
              <w:t>$</w:t>
            </w:r>
            <w:r>
              <w:rPr>
                <w:color w:val="000000"/>
                <w:sz w:val="18"/>
              </w:rPr>
              <w:tab/>
              <w:t>531</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7801A9F" w14:textId="77777777" w:rsidR="00C56203" w:rsidRDefault="00C56203">
            <w:pPr>
              <w:keepNext/>
            </w:pPr>
          </w:p>
        </w:tc>
        <w:tc>
          <w:tcPr>
            <w:tcW w:w="138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88A442B" w14:textId="77777777" w:rsidR="00C56203" w:rsidRDefault="00CD5102">
            <w:pPr>
              <w:keepNext/>
              <w:tabs>
                <w:tab w:val="left" w:pos="984"/>
                <w:tab w:val="left" w:pos="1312"/>
              </w:tabs>
              <w:spacing w:before="55" w:after="30"/>
              <w:jc w:val="right"/>
            </w:pPr>
            <w:r>
              <w:rPr>
                <w:color w:val="000000"/>
                <w:sz w:val="18"/>
              </w:rPr>
              <w:t>$</w:t>
            </w:r>
            <w:r>
              <w:rPr>
                <w:color w:val="000000"/>
                <w:sz w:val="18"/>
              </w:rPr>
              <w:tab/>
              <w:t>591</w:t>
            </w:r>
            <w:r>
              <w:rPr>
                <w:color w:val="000000"/>
                <w:sz w:val="18"/>
              </w:rPr>
              <w:tab/>
            </w:r>
          </w:p>
        </w:tc>
      </w:tr>
      <w:tr w:rsidR="00C56203" w14:paraId="34FBC4AC" w14:textId="77777777">
        <w:trPr>
          <w:cantSplit/>
          <w:trHeight w:hRule="exact" w:val="315"/>
          <w:jc w:val="center"/>
        </w:trPr>
        <w:tc>
          <w:tcPr>
            <w:tcW w:w="7125" w:type="dxa"/>
            <w:gridSpan w:val="5"/>
            <w:tcBorders>
              <w:top w:val="nil"/>
              <w:left w:val="nil"/>
              <w:bottom w:val="nil"/>
              <w:right w:val="nil"/>
            </w:tcBorders>
            <w:shd w:val="clear" w:color="auto" w:fill="FFFFFF"/>
            <w:tcMar>
              <w:top w:w="0" w:type="dxa"/>
              <w:left w:w="0" w:type="dxa"/>
              <w:bottom w:w="0" w:type="dxa"/>
              <w:right w:w="0" w:type="dxa"/>
            </w:tcMar>
            <w:vAlign w:val="bottom"/>
          </w:tcPr>
          <w:p w14:paraId="4FBEC94D"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53D7672" w14:textId="77777777" w:rsidR="00C56203" w:rsidRDefault="00C56203">
            <w:pPr>
              <w:keepNext/>
            </w:pPr>
          </w:p>
        </w:tc>
        <w:tc>
          <w:tcPr>
            <w:tcW w:w="139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01F5EDB3"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2ACB049" w14:textId="77777777" w:rsidR="00C56203" w:rsidRDefault="00C56203">
            <w:pPr>
              <w:keepNext/>
            </w:pPr>
          </w:p>
        </w:tc>
        <w:tc>
          <w:tcPr>
            <w:tcW w:w="1380"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45F3CC92" w14:textId="77777777" w:rsidR="00C56203" w:rsidRDefault="00C56203">
            <w:pPr>
              <w:keepNext/>
            </w:pPr>
          </w:p>
        </w:tc>
      </w:tr>
      <w:tr w:rsidR="00C56203" w14:paraId="11346EB0" w14:textId="77777777">
        <w:trPr>
          <w:cantSplit/>
          <w:trHeight w:hRule="exact" w:val="285"/>
          <w:jc w:val="center"/>
        </w:trPr>
        <w:tc>
          <w:tcPr>
            <w:tcW w:w="7125" w:type="dxa"/>
            <w:gridSpan w:val="5"/>
            <w:tcBorders>
              <w:top w:val="nil"/>
              <w:left w:val="nil"/>
              <w:bottom w:val="nil"/>
              <w:right w:val="nil"/>
            </w:tcBorders>
            <w:shd w:val="clear" w:color="auto" w:fill="CCEEFF"/>
            <w:tcMar>
              <w:top w:w="0" w:type="dxa"/>
              <w:left w:w="53" w:type="dxa"/>
              <w:bottom w:w="0" w:type="dxa"/>
              <w:right w:w="53" w:type="dxa"/>
            </w:tcMar>
            <w:vAlign w:val="bottom"/>
          </w:tcPr>
          <w:p w14:paraId="39B4C6D6" w14:textId="77777777" w:rsidR="00C56203" w:rsidRDefault="00CD5102">
            <w:pPr>
              <w:keepNext/>
              <w:spacing w:before="75" w:after="30"/>
            </w:pPr>
            <w:r>
              <w:rPr>
                <w:b/>
                <w:color w:val="000000"/>
                <w:sz w:val="18"/>
              </w:rPr>
              <w:t>Debt Obligations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73CDD1A" w14:textId="77777777" w:rsidR="00C56203" w:rsidRDefault="00C56203">
            <w:pPr>
              <w:keepNext/>
            </w:pPr>
          </w:p>
        </w:tc>
        <w:tc>
          <w:tcPr>
            <w:tcW w:w="1395" w:type="dxa"/>
            <w:tcBorders>
              <w:top w:val="nil"/>
              <w:left w:val="nil"/>
              <w:bottom w:val="nil"/>
              <w:right w:val="nil"/>
            </w:tcBorders>
            <w:shd w:val="clear" w:color="auto" w:fill="CCEEFF"/>
            <w:tcMar>
              <w:top w:w="0" w:type="dxa"/>
              <w:left w:w="0" w:type="dxa"/>
              <w:bottom w:w="0" w:type="dxa"/>
              <w:right w:w="0" w:type="dxa"/>
            </w:tcMar>
            <w:vAlign w:val="bottom"/>
          </w:tcPr>
          <w:p w14:paraId="24FB14B9" w14:textId="77777777" w:rsidR="00C56203" w:rsidRDefault="00C56203">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F56D4B9" w14:textId="77777777" w:rsidR="00C56203" w:rsidRDefault="00C56203">
            <w:pPr>
              <w:keepNext/>
            </w:pPr>
          </w:p>
        </w:tc>
        <w:tc>
          <w:tcPr>
            <w:tcW w:w="1380" w:type="dxa"/>
            <w:tcBorders>
              <w:top w:val="nil"/>
              <w:left w:val="nil"/>
              <w:bottom w:val="nil"/>
              <w:right w:val="nil"/>
            </w:tcBorders>
            <w:shd w:val="clear" w:color="auto" w:fill="CCEEFF"/>
            <w:tcMar>
              <w:top w:w="0" w:type="dxa"/>
              <w:left w:w="0" w:type="dxa"/>
              <w:bottom w:w="0" w:type="dxa"/>
              <w:right w:w="0" w:type="dxa"/>
            </w:tcMar>
            <w:vAlign w:val="bottom"/>
          </w:tcPr>
          <w:p w14:paraId="512B9D0A" w14:textId="77777777" w:rsidR="00C56203" w:rsidRDefault="00C56203">
            <w:pPr>
              <w:keepNext/>
            </w:pPr>
          </w:p>
        </w:tc>
      </w:tr>
      <w:tr w:rsidR="00C56203" w14:paraId="5D064F3D" w14:textId="77777777">
        <w:trPr>
          <w:cantSplit/>
          <w:trHeight w:hRule="exact" w:val="285"/>
          <w:jc w:val="center"/>
        </w:trPr>
        <w:tc>
          <w:tcPr>
            <w:tcW w:w="7125" w:type="dxa"/>
            <w:gridSpan w:val="5"/>
            <w:tcBorders>
              <w:top w:val="nil"/>
              <w:left w:val="nil"/>
              <w:bottom w:val="nil"/>
              <w:right w:val="nil"/>
            </w:tcBorders>
            <w:shd w:val="clear" w:color="auto" w:fill="FFFFFF"/>
            <w:tcMar>
              <w:top w:w="0" w:type="dxa"/>
              <w:left w:w="53" w:type="dxa"/>
              <w:bottom w:w="0" w:type="dxa"/>
              <w:right w:w="53" w:type="dxa"/>
            </w:tcMar>
            <w:vAlign w:val="bottom"/>
          </w:tcPr>
          <w:p w14:paraId="2387188D" w14:textId="77777777" w:rsidR="00C56203" w:rsidRDefault="00CD5102">
            <w:pPr>
              <w:keepNext/>
              <w:spacing w:before="75" w:after="30"/>
              <w:ind w:left="135"/>
            </w:pPr>
            <w:r>
              <w:rPr>
                <w:color w:val="000000"/>
                <w:sz w:val="18"/>
              </w:rPr>
              <w:t>Senior Secured Credit Facilities: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0C59F0F" w14:textId="77777777" w:rsidR="00C56203" w:rsidRDefault="00C56203">
            <w:pPr>
              <w:keepNext/>
            </w:pPr>
          </w:p>
        </w:tc>
        <w:tc>
          <w:tcPr>
            <w:tcW w:w="1395" w:type="dxa"/>
            <w:tcBorders>
              <w:top w:val="nil"/>
              <w:left w:val="nil"/>
              <w:bottom w:val="nil"/>
              <w:right w:val="nil"/>
            </w:tcBorders>
            <w:shd w:val="clear" w:color="auto" w:fill="FFFFFF"/>
            <w:tcMar>
              <w:top w:w="0" w:type="dxa"/>
              <w:left w:w="0" w:type="dxa"/>
              <w:bottom w:w="0" w:type="dxa"/>
              <w:right w:w="0" w:type="dxa"/>
            </w:tcMar>
            <w:vAlign w:val="bottom"/>
          </w:tcPr>
          <w:p w14:paraId="0873C105"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BC083A1" w14:textId="77777777" w:rsidR="00C56203" w:rsidRDefault="00C56203">
            <w:pPr>
              <w:keepNext/>
            </w:pPr>
          </w:p>
        </w:tc>
        <w:tc>
          <w:tcPr>
            <w:tcW w:w="1380" w:type="dxa"/>
            <w:tcBorders>
              <w:top w:val="nil"/>
              <w:left w:val="nil"/>
              <w:bottom w:val="nil"/>
              <w:right w:val="nil"/>
            </w:tcBorders>
            <w:shd w:val="clear" w:color="auto" w:fill="FFFFFF"/>
            <w:tcMar>
              <w:top w:w="0" w:type="dxa"/>
              <w:left w:w="0" w:type="dxa"/>
              <w:bottom w:w="0" w:type="dxa"/>
              <w:right w:w="0" w:type="dxa"/>
            </w:tcMar>
            <w:vAlign w:val="bottom"/>
          </w:tcPr>
          <w:p w14:paraId="038694C7" w14:textId="77777777" w:rsidR="00C56203" w:rsidRDefault="00C56203">
            <w:pPr>
              <w:keepNext/>
            </w:pPr>
          </w:p>
        </w:tc>
      </w:tr>
      <w:tr w:rsidR="00C56203" w14:paraId="45A417C2" w14:textId="77777777">
        <w:trPr>
          <w:cantSplit/>
          <w:trHeight w:hRule="exact" w:val="285"/>
          <w:jc w:val="center"/>
        </w:trPr>
        <w:tc>
          <w:tcPr>
            <w:tcW w:w="7125" w:type="dxa"/>
            <w:gridSpan w:val="5"/>
            <w:tcBorders>
              <w:top w:val="nil"/>
              <w:left w:val="nil"/>
              <w:bottom w:val="nil"/>
              <w:right w:val="nil"/>
            </w:tcBorders>
            <w:shd w:val="clear" w:color="auto" w:fill="CCEEFF"/>
            <w:tcMar>
              <w:top w:w="0" w:type="dxa"/>
              <w:left w:w="53" w:type="dxa"/>
              <w:bottom w:w="0" w:type="dxa"/>
              <w:right w:w="53" w:type="dxa"/>
            </w:tcMar>
            <w:vAlign w:val="bottom"/>
          </w:tcPr>
          <w:p w14:paraId="561AB2CC" w14:textId="77777777" w:rsidR="00C56203" w:rsidRDefault="00CD5102">
            <w:pPr>
              <w:keepNext/>
              <w:spacing w:before="75" w:after="30"/>
              <w:ind w:left="225"/>
            </w:pPr>
            <w:r>
              <w:rPr>
                <w:color w:val="000000"/>
                <w:sz w:val="18"/>
              </w:rPr>
              <w:t>Revolving Credit Facility</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94A1B91" w14:textId="77777777" w:rsidR="00C56203" w:rsidRDefault="00C56203">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0B107341" w14:textId="77777777" w:rsidR="00C56203" w:rsidRDefault="00CD5102">
            <w:pPr>
              <w:keepNext/>
              <w:tabs>
                <w:tab w:val="left" w:pos="999"/>
                <w:tab w:val="left" w:pos="1327"/>
              </w:tabs>
              <w:spacing w:before="75" w:after="30"/>
              <w:jc w:val="right"/>
            </w:pPr>
            <w:r>
              <w:rPr>
                <w:color w:val="000000"/>
                <w:sz w:val="18"/>
              </w:rPr>
              <w:t>$</w:t>
            </w:r>
            <w:r>
              <w:rPr>
                <w:color w:val="000000"/>
                <w:sz w:val="18"/>
              </w:rPr>
              <w:tab/>
              <w:t>495</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1223578" w14:textId="77777777" w:rsidR="00C56203" w:rsidRDefault="00C56203">
            <w:pPr>
              <w:keepNext/>
            </w:pPr>
          </w:p>
        </w:tc>
        <w:tc>
          <w:tcPr>
            <w:tcW w:w="1380" w:type="dxa"/>
            <w:tcBorders>
              <w:top w:val="nil"/>
              <w:left w:val="nil"/>
              <w:bottom w:val="nil"/>
              <w:right w:val="nil"/>
            </w:tcBorders>
            <w:shd w:val="clear" w:color="auto" w:fill="CCEEFF"/>
            <w:tcMar>
              <w:top w:w="0" w:type="dxa"/>
              <w:left w:w="0" w:type="dxa"/>
              <w:bottom w:w="0" w:type="dxa"/>
              <w:right w:w="15" w:type="dxa"/>
            </w:tcMar>
            <w:vAlign w:val="bottom"/>
          </w:tcPr>
          <w:p w14:paraId="686A008D" w14:textId="77777777" w:rsidR="00C56203" w:rsidRDefault="00CD5102">
            <w:pPr>
              <w:keepNext/>
              <w:tabs>
                <w:tab w:val="left" w:pos="984"/>
                <w:tab w:val="left" w:pos="1312"/>
              </w:tabs>
              <w:spacing w:before="75" w:after="30"/>
              <w:jc w:val="right"/>
            </w:pPr>
            <w:r>
              <w:rPr>
                <w:color w:val="000000"/>
                <w:sz w:val="18"/>
              </w:rPr>
              <w:t>$</w:t>
            </w:r>
            <w:r>
              <w:rPr>
                <w:color w:val="000000"/>
                <w:sz w:val="18"/>
              </w:rPr>
              <w:tab/>
              <w:t>470</w:t>
            </w:r>
            <w:r>
              <w:rPr>
                <w:color w:val="000000"/>
                <w:sz w:val="18"/>
              </w:rPr>
              <w:tab/>
            </w:r>
          </w:p>
        </w:tc>
      </w:tr>
      <w:tr w:rsidR="00C56203" w14:paraId="0834C7B6" w14:textId="77777777">
        <w:trPr>
          <w:cantSplit/>
          <w:trHeight w:hRule="exact" w:val="285"/>
          <w:jc w:val="center"/>
        </w:trPr>
        <w:tc>
          <w:tcPr>
            <w:tcW w:w="7125" w:type="dxa"/>
            <w:gridSpan w:val="5"/>
            <w:tcBorders>
              <w:top w:val="nil"/>
              <w:left w:val="nil"/>
              <w:bottom w:val="nil"/>
              <w:right w:val="nil"/>
            </w:tcBorders>
            <w:shd w:val="clear" w:color="auto" w:fill="FFFFFF"/>
            <w:tcMar>
              <w:top w:w="0" w:type="dxa"/>
              <w:left w:w="53" w:type="dxa"/>
              <w:bottom w:w="0" w:type="dxa"/>
              <w:right w:w="53" w:type="dxa"/>
            </w:tcMar>
            <w:vAlign w:val="bottom"/>
          </w:tcPr>
          <w:p w14:paraId="433054F4" w14:textId="77777777" w:rsidR="00C56203" w:rsidRDefault="00CD5102">
            <w:pPr>
              <w:keepNext/>
              <w:spacing w:before="75" w:after="30"/>
              <w:ind w:left="225"/>
            </w:pPr>
            <w:r>
              <w:rPr>
                <w:color w:val="000000"/>
                <w:sz w:val="18"/>
              </w:rPr>
              <w:t>Term Loan Facilities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037E890" w14:textId="77777777" w:rsidR="00C56203" w:rsidRDefault="00C56203">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6BE1A092" w14:textId="77777777" w:rsidR="00C56203" w:rsidRDefault="00CD5102">
            <w:pPr>
              <w:keepNext/>
              <w:tabs>
                <w:tab w:val="left" w:pos="864"/>
                <w:tab w:val="left" w:pos="1327"/>
              </w:tabs>
              <w:spacing w:before="75" w:after="30"/>
              <w:jc w:val="right"/>
            </w:pPr>
            <w:r>
              <w:rPr>
                <w:color w:val="000000"/>
                <w:sz w:val="18"/>
              </w:rPr>
              <w:tab/>
              <w:t>4,887</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9D9ED16" w14:textId="77777777" w:rsidR="00C56203" w:rsidRDefault="00C56203">
            <w:pPr>
              <w:keepNext/>
            </w:pPr>
          </w:p>
        </w:tc>
        <w:tc>
          <w:tcPr>
            <w:tcW w:w="1380" w:type="dxa"/>
            <w:tcBorders>
              <w:top w:val="nil"/>
              <w:left w:val="nil"/>
              <w:bottom w:val="nil"/>
              <w:right w:val="nil"/>
            </w:tcBorders>
            <w:shd w:val="clear" w:color="auto" w:fill="FFFFFF"/>
            <w:tcMar>
              <w:top w:w="0" w:type="dxa"/>
              <w:left w:w="0" w:type="dxa"/>
              <w:bottom w:w="0" w:type="dxa"/>
              <w:right w:w="15" w:type="dxa"/>
            </w:tcMar>
            <w:vAlign w:val="bottom"/>
          </w:tcPr>
          <w:p w14:paraId="48693C22" w14:textId="77777777" w:rsidR="00C56203" w:rsidRDefault="00CD5102">
            <w:pPr>
              <w:keepNext/>
              <w:tabs>
                <w:tab w:val="left" w:pos="849"/>
                <w:tab w:val="left" w:pos="1312"/>
              </w:tabs>
              <w:spacing w:before="75" w:after="30"/>
              <w:jc w:val="right"/>
            </w:pPr>
            <w:r>
              <w:rPr>
                <w:color w:val="000000"/>
                <w:sz w:val="18"/>
              </w:rPr>
              <w:tab/>
              <w:t>4,925</w:t>
            </w:r>
            <w:r>
              <w:rPr>
                <w:color w:val="000000"/>
                <w:sz w:val="18"/>
              </w:rPr>
              <w:tab/>
            </w:r>
          </w:p>
        </w:tc>
      </w:tr>
      <w:tr w:rsidR="00C56203" w14:paraId="3E41BEA6" w14:textId="77777777">
        <w:trPr>
          <w:cantSplit/>
          <w:trHeight w:hRule="exact" w:val="285"/>
          <w:jc w:val="center"/>
        </w:trPr>
        <w:tc>
          <w:tcPr>
            <w:tcW w:w="7125" w:type="dxa"/>
            <w:gridSpan w:val="5"/>
            <w:tcBorders>
              <w:top w:val="nil"/>
              <w:left w:val="nil"/>
              <w:bottom w:val="nil"/>
              <w:right w:val="nil"/>
            </w:tcBorders>
            <w:shd w:val="clear" w:color="auto" w:fill="CCEEFF"/>
            <w:tcMar>
              <w:top w:w="0" w:type="dxa"/>
              <w:left w:w="53" w:type="dxa"/>
              <w:bottom w:w="0" w:type="dxa"/>
              <w:right w:w="53" w:type="dxa"/>
            </w:tcMar>
            <w:vAlign w:val="bottom"/>
          </w:tcPr>
          <w:p w14:paraId="6BDE3F0C" w14:textId="77777777" w:rsidR="00C56203" w:rsidRDefault="00CD5102">
            <w:pPr>
              <w:keepNext/>
              <w:spacing w:before="75" w:after="30"/>
              <w:ind w:left="135"/>
            </w:pPr>
            <w:r>
              <w:rPr>
                <w:color w:val="000000"/>
                <w:sz w:val="18"/>
              </w:rPr>
              <w:t>Senior Secured Notes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8259676" w14:textId="77777777" w:rsidR="00C56203" w:rsidRDefault="00C56203">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650A044E" w14:textId="77777777" w:rsidR="00C56203" w:rsidRDefault="00CD5102">
            <w:pPr>
              <w:keepNext/>
              <w:tabs>
                <w:tab w:val="left" w:pos="864"/>
                <w:tab w:val="left" w:pos="1327"/>
              </w:tabs>
              <w:spacing w:before="75" w:after="30"/>
              <w:jc w:val="right"/>
            </w:pPr>
            <w:r>
              <w:rPr>
                <w:color w:val="000000"/>
                <w:sz w:val="18"/>
              </w:rPr>
              <w:tab/>
              <w:t>7,905</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C542390" w14:textId="77777777" w:rsidR="00C56203" w:rsidRDefault="00C56203">
            <w:pPr>
              <w:keepNext/>
            </w:pPr>
          </w:p>
        </w:tc>
        <w:tc>
          <w:tcPr>
            <w:tcW w:w="1380" w:type="dxa"/>
            <w:tcBorders>
              <w:top w:val="nil"/>
              <w:left w:val="nil"/>
              <w:bottom w:val="nil"/>
              <w:right w:val="nil"/>
            </w:tcBorders>
            <w:shd w:val="clear" w:color="auto" w:fill="CCEEFF"/>
            <w:tcMar>
              <w:top w:w="0" w:type="dxa"/>
              <w:left w:w="0" w:type="dxa"/>
              <w:bottom w:w="0" w:type="dxa"/>
              <w:right w:w="15" w:type="dxa"/>
            </w:tcMar>
            <w:vAlign w:val="bottom"/>
          </w:tcPr>
          <w:p w14:paraId="52E5357C" w14:textId="77777777" w:rsidR="00C56203" w:rsidRDefault="00CD5102">
            <w:pPr>
              <w:keepNext/>
              <w:tabs>
                <w:tab w:val="left" w:pos="849"/>
                <w:tab w:val="left" w:pos="1312"/>
              </w:tabs>
              <w:spacing w:before="75" w:after="30"/>
              <w:jc w:val="right"/>
            </w:pPr>
            <w:r>
              <w:rPr>
                <w:color w:val="000000"/>
                <w:sz w:val="18"/>
              </w:rPr>
              <w:tab/>
              <w:t>7,905</w:t>
            </w:r>
            <w:r>
              <w:rPr>
                <w:color w:val="000000"/>
                <w:sz w:val="18"/>
              </w:rPr>
              <w:tab/>
            </w:r>
          </w:p>
        </w:tc>
      </w:tr>
      <w:tr w:rsidR="00C56203" w14:paraId="21A52440" w14:textId="77777777">
        <w:trPr>
          <w:cantSplit/>
          <w:trHeight w:hRule="exact" w:val="285"/>
          <w:jc w:val="center"/>
        </w:trPr>
        <w:tc>
          <w:tcPr>
            <w:tcW w:w="7125" w:type="dxa"/>
            <w:gridSpan w:val="5"/>
            <w:tcBorders>
              <w:top w:val="nil"/>
              <w:left w:val="nil"/>
              <w:bottom w:val="nil"/>
              <w:right w:val="nil"/>
            </w:tcBorders>
            <w:shd w:val="clear" w:color="auto" w:fill="FFFFFF"/>
            <w:tcMar>
              <w:top w:w="0" w:type="dxa"/>
              <w:left w:w="53" w:type="dxa"/>
              <w:bottom w:w="0" w:type="dxa"/>
              <w:right w:w="53" w:type="dxa"/>
            </w:tcMar>
            <w:vAlign w:val="bottom"/>
          </w:tcPr>
          <w:p w14:paraId="7B3BAFA8" w14:textId="77777777" w:rsidR="00C56203" w:rsidRDefault="00CD5102">
            <w:pPr>
              <w:keepNext/>
              <w:spacing w:before="75" w:after="30"/>
              <w:ind w:left="135"/>
            </w:pPr>
            <w:r>
              <w:rPr>
                <w:color w:val="000000"/>
                <w:sz w:val="18"/>
              </w:rPr>
              <w:t xml:space="preserve">Senior </w:t>
            </w:r>
            <w:r>
              <w:rPr>
                <w:color w:val="000000"/>
                <w:sz w:val="18"/>
              </w:rPr>
              <w:t>Unsecured Notes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BCEB991" w14:textId="77777777" w:rsidR="00C56203" w:rsidRDefault="00C56203">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04B1BB22" w14:textId="77777777" w:rsidR="00C56203" w:rsidRDefault="00CD5102">
            <w:pPr>
              <w:keepNext/>
              <w:tabs>
                <w:tab w:val="left" w:pos="864"/>
                <w:tab w:val="left" w:pos="1327"/>
              </w:tabs>
              <w:spacing w:before="75" w:after="30"/>
              <w:jc w:val="right"/>
            </w:pPr>
            <w:r>
              <w:rPr>
                <w:color w:val="000000"/>
                <w:sz w:val="18"/>
              </w:rPr>
              <w:tab/>
              <w:t>5,798</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164B775" w14:textId="77777777" w:rsidR="00C56203" w:rsidRDefault="00C56203">
            <w:pPr>
              <w:keepNext/>
            </w:pPr>
          </w:p>
        </w:tc>
        <w:tc>
          <w:tcPr>
            <w:tcW w:w="1380" w:type="dxa"/>
            <w:tcBorders>
              <w:top w:val="nil"/>
              <w:left w:val="nil"/>
              <w:bottom w:val="nil"/>
              <w:right w:val="nil"/>
            </w:tcBorders>
            <w:shd w:val="clear" w:color="auto" w:fill="FFFFFF"/>
            <w:tcMar>
              <w:top w:w="0" w:type="dxa"/>
              <w:left w:w="0" w:type="dxa"/>
              <w:bottom w:w="0" w:type="dxa"/>
              <w:right w:w="15" w:type="dxa"/>
            </w:tcMar>
            <w:vAlign w:val="bottom"/>
          </w:tcPr>
          <w:p w14:paraId="7FDECE81" w14:textId="77777777" w:rsidR="00C56203" w:rsidRDefault="00CD5102">
            <w:pPr>
              <w:keepNext/>
              <w:tabs>
                <w:tab w:val="left" w:pos="849"/>
                <w:tab w:val="left" w:pos="1312"/>
              </w:tabs>
              <w:spacing w:before="75" w:after="30"/>
              <w:jc w:val="right"/>
            </w:pPr>
            <w:r>
              <w:rPr>
                <w:color w:val="000000"/>
                <w:sz w:val="18"/>
              </w:rPr>
              <w:tab/>
              <w:t>5,798</w:t>
            </w:r>
            <w:r>
              <w:rPr>
                <w:color w:val="000000"/>
                <w:sz w:val="18"/>
              </w:rPr>
              <w:tab/>
            </w:r>
          </w:p>
        </w:tc>
      </w:tr>
      <w:tr w:rsidR="00C56203" w14:paraId="41AD28BE" w14:textId="77777777">
        <w:trPr>
          <w:cantSplit/>
          <w:trHeight w:hRule="exact" w:val="285"/>
          <w:jc w:val="center"/>
        </w:trPr>
        <w:tc>
          <w:tcPr>
            <w:tcW w:w="7125" w:type="dxa"/>
            <w:gridSpan w:val="5"/>
            <w:tcBorders>
              <w:top w:val="nil"/>
              <w:left w:val="nil"/>
              <w:bottom w:val="nil"/>
              <w:right w:val="nil"/>
            </w:tcBorders>
            <w:shd w:val="clear" w:color="auto" w:fill="CCEEFF"/>
            <w:tcMar>
              <w:top w:w="0" w:type="dxa"/>
              <w:left w:w="53" w:type="dxa"/>
              <w:bottom w:w="0" w:type="dxa"/>
              <w:right w:w="53" w:type="dxa"/>
            </w:tcMar>
            <w:vAlign w:val="bottom"/>
          </w:tcPr>
          <w:p w14:paraId="576C689D" w14:textId="77777777" w:rsidR="00C56203" w:rsidRDefault="00CD5102">
            <w:pPr>
              <w:keepNext/>
              <w:spacing w:before="75" w:after="30"/>
              <w:ind w:left="135"/>
            </w:pPr>
            <w:r>
              <w:rPr>
                <w:color w:val="000000"/>
                <w:sz w:val="18"/>
              </w:rPr>
              <w:t>Other</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4F6462B" w14:textId="77777777" w:rsidR="00C56203" w:rsidRDefault="00C56203">
            <w:pPr>
              <w:keepNext/>
            </w:pPr>
          </w:p>
        </w:tc>
        <w:tc>
          <w:tcPr>
            <w:tcW w:w="13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6EED87B" w14:textId="77777777" w:rsidR="00C56203" w:rsidRDefault="00CD5102">
            <w:pPr>
              <w:keepNext/>
              <w:tabs>
                <w:tab w:val="left" w:pos="1089"/>
                <w:tab w:val="left" w:pos="1327"/>
              </w:tabs>
              <w:spacing w:before="75" w:after="30"/>
              <w:jc w:val="right"/>
            </w:pPr>
            <w:r>
              <w:rPr>
                <w:color w:val="000000"/>
                <w:sz w:val="18"/>
              </w:rPr>
              <w:tab/>
              <w:t>12</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3F3C013" w14:textId="77777777" w:rsidR="00C56203" w:rsidRDefault="00C56203">
            <w:pPr>
              <w:keepNext/>
            </w:pPr>
          </w:p>
        </w:tc>
        <w:tc>
          <w:tcPr>
            <w:tcW w:w="138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91C6721" w14:textId="77777777" w:rsidR="00C56203" w:rsidRDefault="00CD5102">
            <w:pPr>
              <w:keepNext/>
              <w:tabs>
                <w:tab w:val="left" w:pos="1074"/>
                <w:tab w:val="left" w:pos="1312"/>
              </w:tabs>
              <w:spacing w:before="75" w:after="30"/>
              <w:jc w:val="right"/>
            </w:pPr>
            <w:r>
              <w:rPr>
                <w:color w:val="000000"/>
                <w:sz w:val="18"/>
              </w:rPr>
              <w:tab/>
              <w:t>12</w:t>
            </w:r>
            <w:r>
              <w:rPr>
                <w:color w:val="000000"/>
                <w:sz w:val="18"/>
              </w:rPr>
              <w:tab/>
            </w:r>
          </w:p>
        </w:tc>
      </w:tr>
      <w:tr w:rsidR="00C56203" w14:paraId="5B3085E9" w14:textId="77777777">
        <w:trPr>
          <w:cantSplit/>
          <w:trHeight w:hRule="exact" w:val="285"/>
          <w:jc w:val="center"/>
        </w:trPr>
        <w:tc>
          <w:tcPr>
            <w:tcW w:w="7125" w:type="dxa"/>
            <w:gridSpan w:val="5"/>
            <w:tcBorders>
              <w:top w:val="nil"/>
              <w:left w:val="nil"/>
              <w:bottom w:val="nil"/>
              <w:right w:val="nil"/>
            </w:tcBorders>
            <w:shd w:val="clear" w:color="auto" w:fill="FFFFFF"/>
            <w:tcMar>
              <w:top w:w="0" w:type="dxa"/>
              <w:left w:w="53" w:type="dxa"/>
              <w:bottom w:w="0" w:type="dxa"/>
              <w:right w:w="53" w:type="dxa"/>
            </w:tcMar>
            <w:vAlign w:val="bottom"/>
          </w:tcPr>
          <w:p w14:paraId="2B00CD01" w14:textId="77777777" w:rsidR="00C56203" w:rsidRDefault="00CD5102">
            <w:pPr>
              <w:keepNext/>
              <w:spacing w:before="55" w:after="30"/>
              <w:ind w:left="135"/>
            </w:pPr>
            <w:r>
              <w:rPr>
                <w:color w:val="000000"/>
                <w:sz w:val="18"/>
              </w:rPr>
              <w:t>Total long-term debt and other, net of premiums, discounts and issuance costs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8C559E2" w14:textId="77777777" w:rsidR="00C56203" w:rsidRDefault="00C56203">
            <w:pPr>
              <w:keepNext/>
            </w:pPr>
          </w:p>
        </w:tc>
        <w:tc>
          <w:tcPr>
            <w:tcW w:w="13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616079F" w14:textId="77777777" w:rsidR="00C56203" w:rsidRDefault="00CD5102">
            <w:pPr>
              <w:keepNext/>
              <w:tabs>
                <w:tab w:val="left" w:pos="774"/>
                <w:tab w:val="left" w:pos="1327"/>
              </w:tabs>
              <w:spacing w:before="55" w:after="30"/>
              <w:jc w:val="right"/>
            </w:pPr>
            <w:r>
              <w:rPr>
                <w:color w:val="000000"/>
                <w:sz w:val="18"/>
              </w:rPr>
              <w:tab/>
              <w:t>19,097</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62F3468" w14:textId="77777777" w:rsidR="00C56203" w:rsidRDefault="00C56203">
            <w:pPr>
              <w:keepNext/>
            </w:pPr>
          </w:p>
        </w:tc>
        <w:tc>
          <w:tcPr>
            <w:tcW w:w="138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4BFA44DC" w14:textId="77777777" w:rsidR="00C56203" w:rsidRDefault="00CD5102">
            <w:pPr>
              <w:keepNext/>
              <w:tabs>
                <w:tab w:val="left" w:pos="759"/>
                <w:tab w:val="left" w:pos="1312"/>
              </w:tabs>
              <w:spacing w:before="55" w:after="30"/>
              <w:jc w:val="right"/>
            </w:pPr>
            <w:r>
              <w:rPr>
                <w:color w:val="000000"/>
                <w:sz w:val="18"/>
              </w:rPr>
              <w:tab/>
              <w:t>19,110</w:t>
            </w:r>
            <w:r>
              <w:rPr>
                <w:color w:val="000000"/>
                <w:sz w:val="18"/>
              </w:rPr>
              <w:tab/>
            </w:r>
          </w:p>
        </w:tc>
      </w:tr>
      <w:tr w:rsidR="00C56203" w14:paraId="5C09188A" w14:textId="77777777">
        <w:trPr>
          <w:cantSplit/>
          <w:trHeight w:hRule="exact" w:val="285"/>
          <w:jc w:val="center"/>
        </w:trPr>
        <w:tc>
          <w:tcPr>
            <w:tcW w:w="7125" w:type="dxa"/>
            <w:gridSpan w:val="5"/>
            <w:tcBorders>
              <w:top w:val="nil"/>
              <w:left w:val="nil"/>
              <w:bottom w:val="nil"/>
              <w:right w:val="nil"/>
            </w:tcBorders>
            <w:shd w:val="clear" w:color="auto" w:fill="CCEEFF"/>
            <w:tcMar>
              <w:top w:w="0" w:type="dxa"/>
              <w:left w:w="53" w:type="dxa"/>
              <w:bottom w:w="0" w:type="dxa"/>
              <w:right w:w="53" w:type="dxa"/>
            </w:tcMar>
            <w:vAlign w:val="bottom"/>
          </w:tcPr>
          <w:p w14:paraId="6F8E1B40" w14:textId="77777777" w:rsidR="00C56203" w:rsidRDefault="00CD5102">
            <w:pPr>
              <w:keepNext/>
              <w:spacing w:before="75" w:after="30"/>
              <w:ind w:left="135"/>
            </w:pPr>
            <w:r>
              <w:rPr>
                <w:color w:val="000000"/>
                <w:sz w:val="18"/>
              </w:rPr>
              <w:t>Plus: Unamortized premiums, discounts and issuance costs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9B85DC3" w14:textId="77777777" w:rsidR="00C56203" w:rsidRDefault="00C56203">
            <w:pPr>
              <w:keepNext/>
            </w:pPr>
          </w:p>
        </w:tc>
        <w:tc>
          <w:tcPr>
            <w:tcW w:w="13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0F1D0E3" w14:textId="77777777" w:rsidR="00C56203" w:rsidRDefault="00CD5102">
            <w:pPr>
              <w:keepNext/>
              <w:tabs>
                <w:tab w:val="left" w:pos="864"/>
                <w:tab w:val="left" w:pos="1327"/>
              </w:tabs>
              <w:spacing w:before="75" w:after="30"/>
              <w:jc w:val="right"/>
            </w:pPr>
            <w:r>
              <w:rPr>
                <w:color w:val="000000"/>
                <w:sz w:val="18"/>
              </w:rPr>
              <w:tab/>
              <w:t>1,556</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7E78682" w14:textId="77777777" w:rsidR="00C56203" w:rsidRDefault="00C56203">
            <w:pPr>
              <w:keepNext/>
            </w:pPr>
          </w:p>
        </w:tc>
        <w:tc>
          <w:tcPr>
            <w:tcW w:w="138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81FEE62" w14:textId="77777777" w:rsidR="00C56203" w:rsidRDefault="00CD5102">
            <w:pPr>
              <w:keepNext/>
              <w:tabs>
                <w:tab w:val="left" w:pos="849"/>
                <w:tab w:val="left" w:pos="1312"/>
              </w:tabs>
              <w:spacing w:before="75" w:after="30"/>
              <w:jc w:val="right"/>
            </w:pPr>
            <w:r>
              <w:rPr>
                <w:color w:val="000000"/>
                <w:sz w:val="18"/>
              </w:rPr>
              <w:tab/>
              <w:t>1,656</w:t>
            </w:r>
            <w:r>
              <w:rPr>
                <w:color w:val="000000"/>
                <w:sz w:val="18"/>
              </w:rPr>
              <w:tab/>
            </w:r>
          </w:p>
        </w:tc>
      </w:tr>
      <w:tr w:rsidR="00C56203" w14:paraId="4A1C3E06" w14:textId="77777777">
        <w:trPr>
          <w:cantSplit/>
          <w:trHeight w:hRule="exact" w:val="285"/>
          <w:jc w:val="center"/>
        </w:trPr>
        <w:tc>
          <w:tcPr>
            <w:tcW w:w="7125" w:type="dxa"/>
            <w:gridSpan w:val="5"/>
            <w:tcBorders>
              <w:top w:val="nil"/>
              <w:left w:val="nil"/>
              <w:bottom w:val="nil"/>
              <w:right w:val="nil"/>
            </w:tcBorders>
            <w:shd w:val="clear" w:color="auto" w:fill="FFFFFF"/>
            <w:tcMar>
              <w:top w:w="0" w:type="dxa"/>
              <w:left w:w="53" w:type="dxa"/>
              <w:bottom w:w="0" w:type="dxa"/>
              <w:right w:w="53" w:type="dxa"/>
            </w:tcMar>
            <w:vAlign w:val="bottom"/>
          </w:tcPr>
          <w:p w14:paraId="63FF5866" w14:textId="77777777" w:rsidR="00C56203" w:rsidRDefault="00CD5102">
            <w:pPr>
              <w:keepNext/>
              <w:spacing w:before="55" w:after="30"/>
              <w:ind w:left="135"/>
            </w:pPr>
            <w:r>
              <w:rPr>
                <w:color w:val="000000"/>
                <w:sz w:val="18"/>
              </w:rPr>
              <w:t xml:space="preserve">Total long-term debt and </w:t>
            </w:r>
            <w:r>
              <w:rPr>
                <w:color w:val="000000"/>
                <w:sz w:val="18"/>
              </w:rPr>
              <w:t>other</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5EF1AF8" w14:textId="77777777" w:rsidR="00C56203" w:rsidRDefault="00C56203">
            <w:pPr>
              <w:keepNext/>
            </w:pPr>
          </w:p>
        </w:tc>
        <w:tc>
          <w:tcPr>
            <w:tcW w:w="13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0EA74BC" w14:textId="77777777" w:rsidR="00C56203" w:rsidRDefault="00CD5102">
            <w:pPr>
              <w:keepNext/>
              <w:tabs>
                <w:tab w:val="left" w:pos="774"/>
                <w:tab w:val="left" w:pos="1327"/>
              </w:tabs>
              <w:spacing w:before="55" w:after="30"/>
              <w:jc w:val="right"/>
            </w:pPr>
            <w:r>
              <w:rPr>
                <w:color w:val="000000"/>
                <w:sz w:val="18"/>
              </w:rPr>
              <w:t>$</w:t>
            </w:r>
            <w:r>
              <w:rPr>
                <w:color w:val="000000"/>
                <w:sz w:val="18"/>
              </w:rPr>
              <w:tab/>
              <w:t>20,653</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D8D2591" w14:textId="77777777" w:rsidR="00C56203" w:rsidRDefault="00C56203">
            <w:pPr>
              <w:keepNext/>
            </w:pPr>
          </w:p>
        </w:tc>
        <w:tc>
          <w:tcPr>
            <w:tcW w:w="138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AE6FA47" w14:textId="77777777" w:rsidR="00C56203" w:rsidRDefault="00CD5102">
            <w:pPr>
              <w:keepNext/>
              <w:tabs>
                <w:tab w:val="left" w:pos="759"/>
                <w:tab w:val="left" w:pos="1312"/>
              </w:tabs>
              <w:spacing w:before="55" w:after="30"/>
              <w:jc w:val="right"/>
            </w:pPr>
            <w:r>
              <w:rPr>
                <w:color w:val="000000"/>
                <w:sz w:val="18"/>
              </w:rPr>
              <w:t>$</w:t>
            </w:r>
            <w:r>
              <w:rPr>
                <w:color w:val="000000"/>
                <w:sz w:val="18"/>
              </w:rPr>
              <w:tab/>
              <w:t>20,766</w:t>
            </w:r>
            <w:r>
              <w:rPr>
                <w:color w:val="000000"/>
                <w:sz w:val="18"/>
              </w:rPr>
              <w:tab/>
            </w:r>
          </w:p>
        </w:tc>
      </w:tr>
      <w:tr w:rsidR="00C56203" w14:paraId="64680AC4" w14:textId="77777777">
        <w:trPr>
          <w:cantSplit/>
          <w:trHeight w:hRule="exact" w:val="315"/>
          <w:jc w:val="center"/>
        </w:trPr>
        <w:tc>
          <w:tcPr>
            <w:tcW w:w="7125" w:type="dxa"/>
            <w:gridSpan w:val="5"/>
            <w:tcBorders>
              <w:top w:val="nil"/>
              <w:left w:val="nil"/>
              <w:bottom w:val="nil"/>
              <w:right w:val="nil"/>
            </w:tcBorders>
            <w:shd w:val="clear" w:color="auto" w:fill="CCEEFF"/>
            <w:tcMar>
              <w:top w:w="0" w:type="dxa"/>
              <w:left w:w="0" w:type="dxa"/>
              <w:bottom w:w="0" w:type="dxa"/>
              <w:right w:w="0" w:type="dxa"/>
            </w:tcMar>
            <w:vAlign w:val="bottom"/>
          </w:tcPr>
          <w:p w14:paraId="388449EA" w14:textId="77777777" w:rsidR="00C56203" w:rsidRDefault="00C56203">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61478C3" w14:textId="77777777" w:rsidR="00C56203" w:rsidRDefault="00C56203">
            <w:pPr>
              <w:keepNext/>
            </w:pPr>
          </w:p>
        </w:tc>
        <w:tc>
          <w:tcPr>
            <w:tcW w:w="13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1A69BA1E" w14:textId="77777777" w:rsidR="00C56203" w:rsidRDefault="00C56203">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515CC3D" w14:textId="77777777" w:rsidR="00C56203" w:rsidRDefault="00C56203">
            <w:pPr>
              <w:keepNext/>
            </w:pPr>
          </w:p>
        </w:tc>
        <w:tc>
          <w:tcPr>
            <w:tcW w:w="1380"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10493AF9" w14:textId="77777777" w:rsidR="00C56203" w:rsidRDefault="00C56203">
            <w:pPr>
              <w:keepNext/>
            </w:pPr>
          </w:p>
        </w:tc>
      </w:tr>
      <w:tr w:rsidR="00C56203" w14:paraId="41EC4550" w14:textId="77777777">
        <w:trPr>
          <w:cantSplit/>
          <w:trHeight w:hRule="exact" w:val="285"/>
          <w:jc w:val="center"/>
        </w:trPr>
        <w:tc>
          <w:tcPr>
            <w:tcW w:w="7125" w:type="dxa"/>
            <w:gridSpan w:val="5"/>
            <w:tcBorders>
              <w:top w:val="nil"/>
              <w:left w:val="nil"/>
              <w:bottom w:val="nil"/>
              <w:right w:val="nil"/>
            </w:tcBorders>
            <w:shd w:val="clear" w:color="auto" w:fill="FFFFFF"/>
            <w:tcMar>
              <w:top w:w="0" w:type="dxa"/>
              <w:left w:w="53" w:type="dxa"/>
              <w:bottom w:w="0" w:type="dxa"/>
              <w:right w:w="53" w:type="dxa"/>
            </w:tcMar>
            <w:vAlign w:val="bottom"/>
          </w:tcPr>
          <w:p w14:paraId="0671F6C5" w14:textId="77777777" w:rsidR="00C56203" w:rsidRDefault="00CD5102">
            <w:pPr>
              <w:keepNext/>
              <w:spacing w:before="75" w:after="30"/>
            </w:pPr>
            <w:r>
              <w:rPr>
                <w:b/>
                <w:color w:val="000000"/>
                <w:sz w:val="18"/>
              </w:rPr>
              <w:t>Maturities of Debt Obligations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D1496D1" w14:textId="77777777" w:rsidR="00C56203" w:rsidRDefault="00C56203">
            <w:pPr>
              <w:keepNext/>
            </w:pPr>
          </w:p>
        </w:tc>
        <w:tc>
          <w:tcPr>
            <w:tcW w:w="1395" w:type="dxa"/>
            <w:tcBorders>
              <w:top w:val="nil"/>
              <w:left w:val="nil"/>
              <w:bottom w:val="nil"/>
              <w:right w:val="nil"/>
            </w:tcBorders>
            <w:shd w:val="clear" w:color="auto" w:fill="FFFFFF"/>
            <w:tcMar>
              <w:top w:w="0" w:type="dxa"/>
              <w:left w:w="0" w:type="dxa"/>
              <w:bottom w:w="0" w:type="dxa"/>
              <w:right w:w="0" w:type="dxa"/>
            </w:tcMar>
            <w:vAlign w:val="bottom"/>
          </w:tcPr>
          <w:p w14:paraId="79EAB30D"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BE405D7" w14:textId="77777777" w:rsidR="00C56203" w:rsidRDefault="00C56203">
            <w:pPr>
              <w:keepNext/>
            </w:pPr>
          </w:p>
        </w:tc>
        <w:tc>
          <w:tcPr>
            <w:tcW w:w="1380" w:type="dxa"/>
            <w:tcBorders>
              <w:top w:val="nil"/>
              <w:left w:val="nil"/>
              <w:bottom w:val="nil"/>
              <w:right w:val="nil"/>
            </w:tcBorders>
            <w:shd w:val="clear" w:color="auto" w:fill="FFFFFF"/>
            <w:tcMar>
              <w:top w:w="0" w:type="dxa"/>
              <w:left w:w="0" w:type="dxa"/>
              <w:bottom w:w="0" w:type="dxa"/>
              <w:right w:w="0" w:type="dxa"/>
            </w:tcMar>
            <w:vAlign w:val="bottom"/>
          </w:tcPr>
          <w:p w14:paraId="35C0D65C" w14:textId="77777777" w:rsidR="00C56203" w:rsidRDefault="00C56203">
            <w:pPr>
              <w:keepNext/>
            </w:pPr>
          </w:p>
        </w:tc>
      </w:tr>
      <w:tr w:rsidR="00C56203" w14:paraId="4181FE40" w14:textId="77777777">
        <w:trPr>
          <w:cantSplit/>
          <w:trHeight w:hRule="exact" w:val="285"/>
          <w:jc w:val="center"/>
        </w:trPr>
        <w:tc>
          <w:tcPr>
            <w:tcW w:w="7125" w:type="dxa"/>
            <w:gridSpan w:val="5"/>
            <w:tcBorders>
              <w:top w:val="nil"/>
              <w:left w:val="nil"/>
              <w:bottom w:val="nil"/>
              <w:right w:val="nil"/>
            </w:tcBorders>
            <w:shd w:val="clear" w:color="auto" w:fill="CCEEFF"/>
            <w:tcMar>
              <w:top w:w="0" w:type="dxa"/>
              <w:left w:w="53" w:type="dxa"/>
              <w:bottom w:w="0" w:type="dxa"/>
              <w:right w:w="53" w:type="dxa"/>
            </w:tcMar>
            <w:vAlign w:val="bottom"/>
          </w:tcPr>
          <w:p w14:paraId="202BE941" w14:textId="77777777" w:rsidR="00C56203" w:rsidRDefault="00CD5102">
            <w:pPr>
              <w:keepNext/>
              <w:spacing w:before="75" w:after="30"/>
              <w:ind w:left="135"/>
            </w:pPr>
            <w:r>
              <w:rPr>
                <w:color w:val="000000"/>
                <w:sz w:val="18"/>
              </w:rPr>
              <w:t>Remainder of 2023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FA01843" w14:textId="77777777" w:rsidR="00C56203" w:rsidRDefault="00C56203">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4BCF9E47" w14:textId="77777777" w:rsidR="00C56203" w:rsidRDefault="00CD5102">
            <w:pPr>
              <w:keepNext/>
              <w:tabs>
                <w:tab w:val="left" w:pos="999"/>
                <w:tab w:val="left" w:pos="1327"/>
              </w:tabs>
              <w:spacing w:before="75" w:after="30"/>
              <w:jc w:val="right"/>
            </w:pPr>
            <w:r>
              <w:rPr>
                <w:color w:val="000000"/>
                <w:sz w:val="18"/>
              </w:rPr>
              <w:t>$</w:t>
            </w:r>
            <w:r>
              <w:rPr>
                <w:color w:val="000000"/>
                <w:sz w:val="18"/>
              </w:rPr>
              <w:tab/>
              <w:t>113</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6F7DEC2" w14:textId="77777777" w:rsidR="00C56203" w:rsidRDefault="00C56203">
            <w:pPr>
              <w:keepNext/>
            </w:pPr>
          </w:p>
        </w:tc>
        <w:tc>
          <w:tcPr>
            <w:tcW w:w="1380" w:type="dxa"/>
            <w:tcBorders>
              <w:top w:val="nil"/>
              <w:left w:val="nil"/>
              <w:bottom w:val="nil"/>
              <w:right w:val="nil"/>
            </w:tcBorders>
            <w:shd w:val="clear" w:color="auto" w:fill="CCEEFF"/>
            <w:tcMar>
              <w:top w:w="0" w:type="dxa"/>
              <w:left w:w="0" w:type="dxa"/>
              <w:bottom w:w="0" w:type="dxa"/>
              <w:right w:w="15" w:type="dxa"/>
            </w:tcMar>
            <w:vAlign w:val="bottom"/>
          </w:tcPr>
          <w:p w14:paraId="1E29B7EF" w14:textId="77777777" w:rsidR="00C56203" w:rsidRDefault="00CD5102">
            <w:pPr>
              <w:keepNext/>
              <w:tabs>
                <w:tab w:val="left" w:pos="984"/>
                <w:tab w:val="left" w:pos="1312"/>
              </w:tabs>
              <w:spacing w:before="75" w:after="30"/>
              <w:jc w:val="right"/>
            </w:pPr>
            <w:r>
              <w:rPr>
                <w:color w:val="000000"/>
                <w:sz w:val="18"/>
              </w:rPr>
              <w:t>$</w:t>
            </w:r>
            <w:r>
              <w:rPr>
                <w:color w:val="000000"/>
                <w:sz w:val="18"/>
              </w:rPr>
              <w:tab/>
              <w:t>150</w:t>
            </w:r>
            <w:r>
              <w:rPr>
                <w:color w:val="000000"/>
                <w:sz w:val="18"/>
              </w:rPr>
              <w:tab/>
            </w:r>
          </w:p>
        </w:tc>
      </w:tr>
      <w:tr w:rsidR="00C56203" w14:paraId="74D2049A" w14:textId="77777777">
        <w:trPr>
          <w:cantSplit/>
          <w:trHeight w:hRule="exact" w:val="285"/>
          <w:jc w:val="center"/>
        </w:trPr>
        <w:tc>
          <w:tcPr>
            <w:tcW w:w="7125" w:type="dxa"/>
            <w:gridSpan w:val="5"/>
            <w:tcBorders>
              <w:top w:val="nil"/>
              <w:left w:val="nil"/>
              <w:bottom w:val="nil"/>
              <w:right w:val="nil"/>
            </w:tcBorders>
            <w:shd w:val="clear" w:color="auto" w:fill="FFFFFF"/>
            <w:tcMar>
              <w:top w:w="0" w:type="dxa"/>
              <w:left w:w="53" w:type="dxa"/>
              <w:bottom w:w="0" w:type="dxa"/>
              <w:right w:w="53" w:type="dxa"/>
            </w:tcMar>
            <w:vAlign w:val="bottom"/>
          </w:tcPr>
          <w:p w14:paraId="3303C075" w14:textId="77777777" w:rsidR="00C56203" w:rsidRDefault="00CD5102">
            <w:pPr>
              <w:keepNext/>
              <w:spacing w:before="75" w:after="30"/>
              <w:ind w:left="135"/>
            </w:pPr>
            <w:r>
              <w:rPr>
                <w:color w:val="000000"/>
                <w:sz w:val="18"/>
              </w:rPr>
              <w:t>2024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1FB0EDD" w14:textId="77777777" w:rsidR="00C56203" w:rsidRDefault="00C56203">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0775FD45" w14:textId="77777777" w:rsidR="00C56203" w:rsidRDefault="00CD5102">
            <w:pPr>
              <w:keepNext/>
              <w:tabs>
                <w:tab w:val="left" w:pos="999"/>
                <w:tab w:val="left" w:pos="1327"/>
              </w:tabs>
              <w:spacing w:before="75" w:after="30"/>
              <w:jc w:val="right"/>
            </w:pPr>
            <w:r>
              <w:rPr>
                <w:color w:val="000000"/>
                <w:sz w:val="18"/>
              </w:rPr>
              <w:tab/>
              <w:t>150</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481F065" w14:textId="77777777" w:rsidR="00C56203" w:rsidRDefault="00C56203">
            <w:pPr>
              <w:keepNext/>
            </w:pPr>
          </w:p>
        </w:tc>
        <w:tc>
          <w:tcPr>
            <w:tcW w:w="1380" w:type="dxa"/>
            <w:tcBorders>
              <w:top w:val="nil"/>
              <w:left w:val="nil"/>
              <w:bottom w:val="nil"/>
              <w:right w:val="nil"/>
            </w:tcBorders>
            <w:shd w:val="clear" w:color="auto" w:fill="FFFFFF"/>
            <w:tcMar>
              <w:top w:w="0" w:type="dxa"/>
              <w:left w:w="0" w:type="dxa"/>
              <w:bottom w:w="0" w:type="dxa"/>
              <w:right w:w="15" w:type="dxa"/>
            </w:tcMar>
            <w:vAlign w:val="bottom"/>
          </w:tcPr>
          <w:p w14:paraId="17F0329A" w14:textId="77777777" w:rsidR="00C56203" w:rsidRDefault="00CD5102">
            <w:pPr>
              <w:keepNext/>
              <w:tabs>
                <w:tab w:val="left" w:pos="984"/>
                <w:tab w:val="left" w:pos="1312"/>
              </w:tabs>
              <w:spacing w:before="75" w:after="30"/>
              <w:jc w:val="right"/>
            </w:pPr>
            <w:r>
              <w:rPr>
                <w:color w:val="000000"/>
                <w:sz w:val="18"/>
              </w:rPr>
              <w:tab/>
              <w:t>150</w:t>
            </w:r>
            <w:r>
              <w:rPr>
                <w:color w:val="000000"/>
                <w:sz w:val="18"/>
              </w:rPr>
              <w:tab/>
            </w:r>
          </w:p>
        </w:tc>
      </w:tr>
      <w:tr w:rsidR="00C56203" w14:paraId="479C1204" w14:textId="77777777">
        <w:trPr>
          <w:cantSplit/>
          <w:trHeight w:hRule="exact" w:val="285"/>
          <w:jc w:val="center"/>
        </w:trPr>
        <w:tc>
          <w:tcPr>
            <w:tcW w:w="7125" w:type="dxa"/>
            <w:gridSpan w:val="5"/>
            <w:tcBorders>
              <w:top w:val="nil"/>
              <w:left w:val="nil"/>
              <w:bottom w:val="nil"/>
              <w:right w:val="nil"/>
            </w:tcBorders>
            <w:shd w:val="clear" w:color="auto" w:fill="CCEEFF"/>
            <w:tcMar>
              <w:top w:w="0" w:type="dxa"/>
              <w:left w:w="53" w:type="dxa"/>
              <w:bottom w:w="0" w:type="dxa"/>
              <w:right w:w="53" w:type="dxa"/>
            </w:tcMar>
            <w:vAlign w:val="bottom"/>
          </w:tcPr>
          <w:p w14:paraId="38076CCD" w14:textId="77777777" w:rsidR="00C56203" w:rsidRDefault="00CD5102">
            <w:pPr>
              <w:keepNext/>
              <w:spacing w:before="75" w:after="30"/>
              <w:ind w:left="135"/>
            </w:pPr>
            <w:r>
              <w:rPr>
                <w:color w:val="000000"/>
                <w:sz w:val="18"/>
              </w:rPr>
              <w:t>2025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FE5BAD5" w14:textId="77777777" w:rsidR="00C56203" w:rsidRDefault="00C56203">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7B3D465B" w14:textId="77777777" w:rsidR="00C56203" w:rsidRDefault="00CD5102">
            <w:pPr>
              <w:keepNext/>
              <w:tabs>
                <w:tab w:val="left" w:pos="864"/>
                <w:tab w:val="left" w:pos="1327"/>
              </w:tabs>
              <w:spacing w:before="75" w:after="30"/>
              <w:jc w:val="right"/>
            </w:pPr>
            <w:r>
              <w:rPr>
                <w:color w:val="000000"/>
                <w:sz w:val="18"/>
              </w:rPr>
              <w:tab/>
              <w:t>2,789</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8C10E1C" w14:textId="77777777" w:rsidR="00C56203" w:rsidRDefault="00C56203">
            <w:pPr>
              <w:keepNext/>
            </w:pPr>
          </w:p>
        </w:tc>
        <w:tc>
          <w:tcPr>
            <w:tcW w:w="1380" w:type="dxa"/>
            <w:tcBorders>
              <w:top w:val="nil"/>
              <w:left w:val="nil"/>
              <w:bottom w:val="nil"/>
              <w:right w:val="nil"/>
            </w:tcBorders>
            <w:shd w:val="clear" w:color="auto" w:fill="CCEEFF"/>
            <w:tcMar>
              <w:top w:w="0" w:type="dxa"/>
              <w:left w:w="0" w:type="dxa"/>
              <w:bottom w:w="0" w:type="dxa"/>
              <w:right w:w="15" w:type="dxa"/>
            </w:tcMar>
            <w:vAlign w:val="bottom"/>
          </w:tcPr>
          <w:p w14:paraId="21474E85" w14:textId="77777777" w:rsidR="00C56203" w:rsidRDefault="00CD5102">
            <w:pPr>
              <w:keepNext/>
              <w:tabs>
                <w:tab w:val="left" w:pos="849"/>
                <w:tab w:val="left" w:pos="1312"/>
              </w:tabs>
              <w:spacing w:before="75" w:after="30"/>
              <w:jc w:val="right"/>
            </w:pPr>
            <w:r>
              <w:rPr>
                <w:color w:val="000000"/>
                <w:sz w:val="18"/>
              </w:rPr>
              <w:tab/>
              <w:t>2,789</w:t>
            </w:r>
            <w:r>
              <w:rPr>
                <w:color w:val="000000"/>
                <w:sz w:val="18"/>
              </w:rPr>
              <w:tab/>
            </w:r>
          </w:p>
        </w:tc>
      </w:tr>
      <w:tr w:rsidR="00C56203" w14:paraId="2A38E122" w14:textId="77777777">
        <w:trPr>
          <w:cantSplit/>
          <w:trHeight w:hRule="exact" w:val="285"/>
          <w:jc w:val="center"/>
        </w:trPr>
        <w:tc>
          <w:tcPr>
            <w:tcW w:w="7125" w:type="dxa"/>
            <w:gridSpan w:val="5"/>
            <w:tcBorders>
              <w:top w:val="nil"/>
              <w:left w:val="nil"/>
              <w:bottom w:val="nil"/>
              <w:right w:val="nil"/>
            </w:tcBorders>
            <w:shd w:val="clear" w:color="auto" w:fill="FFFFFF"/>
            <w:tcMar>
              <w:top w:w="0" w:type="dxa"/>
              <w:left w:w="53" w:type="dxa"/>
              <w:bottom w:w="0" w:type="dxa"/>
              <w:right w:w="53" w:type="dxa"/>
            </w:tcMar>
            <w:vAlign w:val="bottom"/>
          </w:tcPr>
          <w:p w14:paraId="496C0B27" w14:textId="77777777" w:rsidR="00C56203" w:rsidRDefault="00CD5102">
            <w:pPr>
              <w:keepNext/>
              <w:spacing w:before="75" w:after="30"/>
              <w:ind w:left="135"/>
            </w:pPr>
            <w:r>
              <w:rPr>
                <w:color w:val="000000"/>
                <w:sz w:val="18"/>
              </w:rPr>
              <w:t>2026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0F4BFFE" w14:textId="77777777" w:rsidR="00C56203" w:rsidRDefault="00C56203">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58765188" w14:textId="77777777" w:rsidR="00C56203" w:rsidRDefault="00CD5102">
            <w:pPr>
              <w:keepNext/>
              <w:tabs>
                <w:tab w:val="left" w:pos="999"/>
                <w:tab w:val="left" w:pos="1327"/>
              </w:tabs>
              <w:spacing w:before="75" w:after="30"/>
              <w:jc w:val="right"/>
            </w:pPr>
            <w:r>
              <w:rPr>
                <w:color w:val="000000"/>
                <w:sz w:val="18"/>
              </w:rPr>
              <w:tab/>
              <w:t>891</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E22BB94" w14:textId="77777777" w:rsidR="00C56203" w:rsidRDefault="00C56203">
            <w:pPr>
              <w:keepNext/>
            </w:pPr>
          </w:p>
        </w:tc>
        <w:tc>
          <w:tcPr>
            <w:tcW w:w="1380" w:type="dxa"/>
            <w:tcBorders>
              <w:top w:val="nil"/>
              <w:left w:val="nil"/>
              <w:bottom w:val="nil"/>
              <w:right w:val="nil"/>
            </w:tcBorders>
            <w:shd w:val="clear" w:color="auto" w:fill="FFFFFF"/>
            <w:tcMar>
              <w:top w:w="0" w:type="dxa"/>
              <w:left w:w="0" w:type="dxa"/>
              <w:bottom w:w="0" w:type="dxa"/>
              <w:right w:w="15" w:type="dxa"/>
            </w:tcMar>
            <w:vAlign w:val="bottom"/>
          </w:tcPr>
          <w:p w14:paraId="2582E932" w14:textId="77777777" w:rsidR="00C56203" w:rsidRDefault="00CD5102">
            <w:pPr>
              <w:keepNext/>
              <w:tabs>
                <w:tab w:val="left" w:pos="984"/>
                <w:tab w:val="left" w:pos="1312"/>
              </w:tabs>
              <w:spacing w:before="75" w:after="30"/>
              <w:jc w:val="right"/>
            </w:pPr>
            <w:r>
              <w:rPr>
                <w:color w:val="000000"/>
                <w:sz w:val="18"/>
              </w:rPr>
              <w:tab/>
              <w:t>891</w:t>
            </w:r>
            <w:r>
              <w:rPr>
                <w:color w:val="000000"/>
                <w:sz w:val="18"/>
              </w:rPr>
              <w:tab/>
            </w:r>
          </w:p>
        </w:tc>
      </w:tr>
      <w:tr w:rsidR="00C56203" w14:paraId="7C5533C1" w14:textId="77777777">
        <w:trPr>
          <w:cantSplit/>
          <w:trHeight w:hRule="exact" w:val="285"/>
          <w:jc w:val="center"/>
        </w:trPr>
        <w:tc>
          <w:tcPr>
            <w:tcW w:w="7125" w:type="dxa"/>
            <w:gridSpan w:val="5"/>
            <w:tcBorders>
              <w:top w:val="nil"/>
              <w:left w:val="nil"/>
              <w:bottom w:val="nil"/>
              <w:right w:val="nil"/>
            </w:tcBorders>
            <w:shd w:val="clear" w:color="auto" w:fill="CCEEFF"/>
            <w:tcMar>
              <w:top w:w="0" w:type="dxa"/>
              <w:left w:w="53" w:type="dxa"/>
              <w:bottom w:w="0" w:type="dxa"/>
              <w:right w:w="53" w:type="dxa"/>
            </w:tcMar>
            <w:vAlign w:val="bottom"/>
          </w:tcPr>
          <w:p w14:paraId="63219124" w14:textId="77777777" w:rsidR="00C56203" w:rsidRDefault="00CD5102">
            <w:pPr>
              <w:keepNext/>
              <w:spacing w:before="75" w:after="30"/>
              <w:ind w:left="135"/>
            </w:pPr>
            <w:r>
              <w:rPr>
                <w:color w:val="000000"/>
                <w:sz w:val="18"/>
              </w:rPr>
              <w:t>2027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9CA1056" w14:textId="77777777" w:rsidR="00C56203" w:rsidRDefault="00C56203">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77E16930" w14:textId="77777777" w:rsidR="00C56203" w:rsidRDefault="00CD5102">
            <w:pPr>
              <w:keepNext/>
              <w:tabs>
                <w:tab w:val="left" w:pos="864"/>
                <w:tab w:val="left" w:pos="1327"/>
              </w:tabs>
              <w:spacing w:before="75" w:after="30"/>
              <w:jc w:val="right"/>
            </w:pPr>
            <w:r>
              <w:rPr>
                <w:color w:val="000000"/>
                <w:sz w:val="18"/>
              </w:rPr>
              <w:tab/>
              <w:t>6,962</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D8D4E40" w14:textId="77777777" w:rsidR="00C56203" w:rsidRDefault="00C56203">
            <w:pPr>
              <w:keepNext/>
            </w:pPr>
          </w:p>
        </w:tc>
        <w:tc>
          <w:tcPr>
            <w:tcW w:w="1380" w:type="dxa"/>
            <w:tcBorders>
              <w:top w:val="nil"/>
              <w:left w:val="nil"/>
              <w:bottom w:val="nil"/>
              <w:right w:val="nil"/>
            </w:tcBorders>
            <w:shd w:val="clear" w:color="auto" w:fill="CCEEFF"/>
            <w:tcMar>
              <w:top w:w="0" w:type="dxa"/>
              <w:left w:w="0" w:type="dxa"/>
              <w:bottom w:w="0" w:type="dxa"/>
              <w:right w:w="15" w:type="dxa"/>
            </w:tcMar>
            <w:vAlign w:val="bottom"/>
          </w:tcPr>
          <w:p w14:paraId="50FFB1CF" w14:textId="77777777" w:rsidR="00C56203" w:rsidRDefault="00CD5102">
            <w:pPr>
              <w:keepNext/>
              <w:tabs>
                <w:tab w:val="left" w:pos="849"/>
                <w:tab w:val="left" w:pos="1312"/>
              </w:tabs>
              <w:spacing w:before="75" w:after="30"/>
              <w:jc w:val="right"/>
            </w:pPr>
            <w:r>
              <w:rPr>
                <w:color w:val="000000"/>
                <w:sz w:val="18"/>
              </w:rPr>
              <w:tab/>
              <w:t>6,938</w:t>
            </w:r>
            <w:r>
              <w:rPr>
                <w:color w:val="000000"/>
                <w:sz w:val="18"/>
              </w:rPr>
              <w:tab/>
            </w:r>
          </w:p>
        </w:tc>
      </w:tr>
      <w:tr w:rsidR="00C56203" w14:paraId="0C95C651" w14:textId="77777777">
        <w:trPr>
          <w:cantSplit/>
          <w:trHeight w:hRule="exact" w:val="285"/>
          <w:jc w:val="center"/>
        </w:trPr>
        <w:tc>
          <w:tcPr>
            <w:tcW w:w="4215" w:type="dxa"/>
            <w:tcBorders>
              <w:top w:val="nil"/>
              <w:left w:val="nil"/>
              <w:bottom w:val="nil"/>
              <w:right w:val="nil"/>
            </w:tcBorders>
            <w:shd w:val="clear" w:color="auto" w:fill="FFFFFF"/>
            <w:tcMar>
              <w:top w:w="0" w:type="dxa"/>
              <w:left w:w="53" w:type="dxa"/>
              <w:bottom w:w="0" w:type="dxa"/>
              <w:right w:w="53" w:type="dxa"/>
            </w:tcMar>
            <w:vAlign w:val="bottom"/>
          </w:tcPr>
          <w:p w14:paraId="6BAF5FFB" w14:textId="77777777" w:rsidR="00C56203" w:rsidRDefault="00CD5102">
            <w:pPr>
              <w:keepNext/>
              <w:spacing w:before="75" w:after="30"/>
              <w:ind w:left="135"/>
            </w:pPr>
            <w:r>
              <w:rPr>
                <w:color w:val="000000"/>
                <w:sz w:val="18"/>
              </w:rPr>
              <w:t>2028</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2021D8A" w14:textId="77777777" w:rsidR="00C56203" w:rsidRDefault="00C56203">
            <w:pPr>
              <w:keepNext/>
            </w:pPr>
          </w:p>
        </w:tc>
        <w:tc>
          <w:tcPr>
            <w:tcW w:w="1395" w:type="dxa"/>
            <w:tcBorders>
              <w:top w:val="nil"/>
              <w:left w:val="nil"/>
              <w:bottom w:val="nil"/>
              <w:right w:val="nil"/>
            </w:tcBorders>
            <w:shd w:val="clear" w:color="auto" w:fill="FFFFFF"/>
            <w:tcMar>
              <w:top w:w="0" w:type="dxa"/>
              <w:left w:w="0" w:type="dxa"/>
              <w:bottom w:w="0" w:type="dxa"/>
              <w:right w:w="0" w:type="dxa"/>
            </w:tcMar>
            <w:vAlign w:val="bottom"/>
          </w:tcPr>
          <w:p w14:paraId="66340CA0" w14:textId="77777777" w:rsidR="00C56203" w:rsidRDefault="00C56203">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5D539A0" w14:textId="77777777" w:rsidR="00C56203" w:rsidRDefault="00C56203">
            <w:pPr>
              <w:keepNext/>
            </w:pPr>
          </w:p>
        </w:tc>
        <w:tc>
          <w:tcPr>
            <w:tcW w:w="1395" w:type="dxa"/>
            <w:tcBorders>
              <w:top w:val="nil"/>
              <w:left w:val="nil"/>
              <w:bottom w:val="nil"/>
              <w:right w:val="nil"/>
            </w:tcBorders>
            <w:shd w:val="clear" w:color="auto" w:fill="FFFFFF"/>
            <w:tcMar>
              <w:top w:w="0" w:type="dxa"/>
              <w:left w:w="0" w:type="dxa"/>
              <w:bottom w:w="0" w:type="dxa"/>
              <w:right w:w="0" w:type="dxa"/>
            </w:tcMar>
            <w:vAlign w:val="bottom"/>
          </w:tcPr>
          <w:p w14:paraId="1010B7B9" w14:textId="77777777" w:rsidR="00C56203" w:rsidRDefault="00C56203">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C64ECC7" w14:textId="77777777" w:rsidR="00C56203" w:rsidRDefault="00C56203">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76DC6D73" w14:textId="77777777" w:rsidR="00C56203" w:rsidRDefault="00CD5102">
            <w:pPr>
              <w:keepNext/>
              <w:tabs>
                <w:tab w:val="left" w:pos="864"/>
                <w:tab w:val="left" w:pos="1327"/>
              </w:tabs>
              <w:spacing w:before="75" w:after="30"/>
              <w:jc w:val="right"/>
            </w:pPr>
            <w:r>
              <w:rPr>
                <w:color w:val="000000"/>
                <w:sz w:val="18"/>
              </w:rPr>
              <w:tab/>
              <w:t>4,990</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15FC8FF" w14:textId="77777777" w:rsidR="00C56203" w:rsidRDefault="00C56203">
            <w:pPr>
              <w:keepNext/>
            </w:pPr>
          </w:p>
        </w:tc>
        <w:tc>
          <w:tcPr>
            <w:tcW w:w="1380" w:type="dxa"/>
            <w:tcBorders>
              <w:top w:val="nil"/>
              <w:left w:val="nil"/>
              <w:bottom w:val="nil"/>
              <w:right w:val="nil"/>
            </w:tcBorders>
            <w:shd w:val="clear" w:color="auto" w:fill="FFFFFF"/>
            <w:tcMar>
              <w:top w:w="0" w:type="dxa"/>
              <w:left w:w="0" w:type="dxa"/>
              <w:bottom w:w="0" w:type="dxa"/>
              <w:right w:w="15" w:type="dxa"/>
            </w:tcMar>
            <w:vAlign w:val="bottom"/>
          </w:tcPr>
          <w:p w14:paraId="52AE879F" w14:textId="77777777" w:rsidR="00C56203" w:rsidRDefault="00CD5102">
            <w:pPr>
              <w:keepNext/>
              <w:tabs>
                <w:tab w:val="left" w:pos="849"/>
                <w:tab w:val="left" w:pos="1312"/>
              </w:tabs>
              <w:spacing w:before="75" w:after="30"/>
              <w:jc w:val="right"/>
            </w:pPr>
            <w:r>
              <w:rPr>
                <w:color w:val="000000"/>
                <w:sz w:val="18"/>
              </w:rPr>
              <w:tab/>
              <w:t>4,990</w:t>
            </w:r>
            <w:r>
              <w:rPr>
                <w:color w:val="000000"/>
                <w:sz w:val="18"/>
              </w:rPr>
              <w:tab/>
            </w:r>
          </w:p>
        </w:tc>
      </w:tr>
      <w:tr w:rsidR="00C56203" w14:paraId="6D64883C" w14:textId="77777777">
        <w:trPr>
          <w:cantSplit/>
          <w:trHeight w:hRule="exact" w:val="285"/>
          <w:jc w:val="center"/>
        </w:trPr>
        <w:tc>
          <w:tcPr>
            <w:tcW w:w="7125" w:type="dxa"/>
            <w:gridSpan w:val="5"/>
            <w:tcBorders>
              <w:top w:val="nil"/>
              <w:left w:val="nil"/>
              <w:bottom w:val="nil"/>
              <w:right w:val="nil"/>
            </w:tcBorders>
            <w:shd w:val="clear" w:color="auto" w:fill="CCEEFF"/>
            <w:tcMar>
              <w:top w:w="0" w:type="dxa"/>
              <w:left w:w="53" w:type="dxa"/>
              <w:bottom w:w="0" w:type="dxa"/>
              <w:right w:w="53" w:type="dxa"/>
            </w:tcMar>
            <w:vAlign w:val="bottom"/>
          </w:tcPr>
          <w:p w14:paraId="68E5D16A" w14:textId="77777777" w:rsidR="00C56203" w:rsidRDefault="00CD5102">
            <w:pPr>
              <w:keepNext/>
              <w:spacing w:before="75" w:after="30"/>
              <w:ind w:left="135"/>
            </w:pPr>
            <w:r>
              <w:rPr>
                <w:color w:val="000000"/>
                <w:sz w:val="18"/>
              </w:rPr>
              <w:t>2029 - 2032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39FADFE" w14:textId="77777777" w:rsidR="00C56203" w:rsidRDefault="00C56203">
            <w:pPr>
              <w:keepNext/>
            </w:pPr>
          </w:p>
        </w:tc>
        <w:tc>
          <w:tcPr>
            <w:tcW w:w="13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FE2C4FD" w14:textId="77777777" w:rsidR="00C56203" w:rsidRDefault="00CD5102">
            <w:pPr>
              <w:keepNext/>
              <w:tabs>
                <w:tab w:val="left" w:pos="864"/>
                <w:tab w:val="left" w:pos="1327"/>
              </w:tabs>
              <w:spacing w:before="75" w:after="30"/>
              <w:jc w:val="right"/>
            </w:pPr>
            <w:r>
              <w:rPr>
                <w:color w:val="000000"/>
                <w:sz w:val="18"/>
              </w:rPr>
              <w:tab/>
              <w:t>3,202</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9ABDDFA" w14:textId="77777777" w:rsidR="00C56203" w:rsidRDefault="00C56203">
            <w:pPr>
              <w:keepNext/>
            </w:pPr>
          </w:p>
        </w:tc>
        <w:tc>
          <w:tcPr>
            <w:tcW w:w="138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16F7EE9" w14:textId="77777777" w:rsidR="00C56203" w:rsidRDefault="00CD5102">
            <w:pPr>
              <w:keepNext/>
              <w:tabs>
                <w:tab w:val="left" w:pos="849"/>
                <w:tab w:val="left" w:pos="1312"/>
              </w:tabs>
              <w:spacing w:before="75" w:after="30"/>
              <w:jc w:val="right"/>
            </w:pPr>
            <w:r>
              <w:rPr>
                <w:color w:val="000000"/>
                <w:sz w:val="18"/>
              </w:rPr>
              <w:tab/>
              <w:t>3,202</w:t>
            </w:r>
            <w:r>
              <w:rPr>
                <w:color w:val="000000"/>
                <w:sz w:val="18"/>
              </w:rPr>
              <w:tab/>
            </w:r>
          </w:p>
        </w:tc>
      </w:tr>
      <w:tr w:rsidR="00C56203" w14:paraId="6126C9B8" w14:textId="77777777">
        <w:trPr>
          <w:cantSplit/>
          <w:trHeight w:hRule="exact" w:val="285"/>
          <w:jc w:val="center"/>
        </w:trPr>
        <w:tc>
          <w:tcPr>
            <w:tcW w:w="7125" w:type="dxa"/>
            <w:gridSpan w:val="5"/>
            <w:tcBorders>
              <w:top w:val="nil"/>
              <w:left w:val="nil"/>
              <w:bottom w:val="nil"/>
              <w:right w:val="nil"/>
            </w:tcBorders>
            <w:shd w:val="clear" w:color="auto" w:fill="FFFFFF"/>
            <w:tcMar>
              <w:top w:w="0" w:type="dxa"/>
              <w:left w:w="53" w:type="dxa"/>
              <w:bottom w:w="0" w:type="dxa"/>
              <w:right w:w="53" w:type="dxa"/>
            </w:tcMar>
            <w:vAlign w:val="bottom"/>
          </w:tcPr>
          <w:p w14:paraId="44CB4C99" w14:textId="77777777" w:rsidR="00C56203" w:rsidRDefault="00CD5102">
            <w:pPr>
              <w:keepNext/>
              <w:spacing w:before="55" w:after="30"/>
              <w:ind w:left="135"/>
            </w:pPr>
            <w:r>
              <w:rPr>
                <w:color w:val="000000"/>
                <w:sz w:val="18"/>
              </w:rPr>
              <w:t>Total debt obligations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6466B83" w14:textId="77777777" w:rsidR="00C56203" w:rsidRDefault="00C56203">
            <w:pPr>
              <w:keepNext/>
            </w:pPr>
          </w:p>
        </w:tc>
        <w:tc>
          <w:tcPr>
            <w:tcW w:w="13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69769F1" w14:textId="77777777" w:rsidR="00C56203" w:rsidRDefault="00CD5102">
            <w:pPr>
              <w:keepNext/>
              <w:tabs>
                <w:tab w:val="left" w:pos="774"/>
                <w:tab w:val="left" w:pos="1327"/>
              </w:tabs>
              <w:spacing w:before="55" w:after="30"/>
              <w:jc w:val="right"/>
            </w:pPr>
            <w:r>
              <w:rPr>
                <w:color w:val="000000"/>
                <w:sz w:val="18"/>
              </w:rPr>
              <w:t>$</w:t>
            </w:r>
            <w:r>
              <w:rPr>
                <w:color w:val="000000"/>
                <w:sz w:val="18"/>
              </w:rPr>
              <w:tab/>
              <w:t>19,097</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9C804DD" w14:textId="77777777" w:rsidR="00C56203" w:rsidRDefault="00C56203">
            <w:pPr>
              <w:keepNext/>
            </w:pPr>
          </w:p>
        </w:tc>
        <w:tc>
          <w:tcPr>
            <w:tcW w:w="138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96F629C" w14:textId="77777777" w:rsidR="00C56203" w:rsidRDefault="00CD5102">
            <w:pPr>
              <w:keepNext/>
              <w:tabs>
                <w:tab w:val="left" w:pos="759"/>
                <w:tab w:val="left" w:pos="1312"/>
              </w:tabs>
              <w:spacing w:before="55" w:after="30"/>
              <w:jc w:val="right"/>
            </w:pPr>
            <w:r>
              <w:rPr>
                <w:color w:val="000000"/>
                <w:sz w:val="18"/>
              </w:rPr>
              <w:t>$</w:t>
            </w:r>
            <w:r>
              <w:rPr>
                <w:color w:val="000000"/>
                <w:sz w:val="18"/>
              </w:rPr>
              <w:tab/>
              <w:t>19,110</w:t>
            </w:r>
            <w:r>
              <w:rPr>
                <w:color w:val="000000"/>
                <w:sz w:val="18"/>
              </w:rPr>
              <w:tab/>
            </w:r>
          </w:p>
        </w:tc>
      </w:tr>
      <w:tr w:rsidR="00C56203" w14:paraId="45AB39E0" w14:textId="77777777">
        <w:trPr>
          <w:cantSplit/>
          <w:trHeight w:hRule="exact" w:val="315"/>
          <w:jc w:val="center"/>
        </w:trPr>
        <w:tc>
          <w:tcPr>
            <w:tcW w:w="7125" w:type="dxa"/>
            <w:gridSpan w:val="5"/>
            <w:tcBorders>
              <w:top w:val="nil"/>
              <w:left w:val="nil"/>
              <w:bottom w:val="nil"/>
              <w:right w:val="nil"/>
            </w:tcBorders>
            <w:shd w:val="clear" w:color="auto" w:fill="CCEEFF"/>
            <w:tcMar>
              <w:top w:w="0" w:type="dxa"/>
              <w:left w:w="0" w:type="dxa"/>
              <w:bottom w:w="0" w:type="dxa"/>
              <w:right w:w="0" w:type="dxa"/>
            </w:tcMar>
            <w:vAlign w:val="bottom"/>
          </w:tcPr>
          <w:p w14:paraId="281589E3" w14:textId="77777777" w:rsidR="00C56203" w:rsidRDefault="00C56203">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D578E79" w14:textId="77777777" w:rsidR="00C56203" w:rsidRDefault="00C56203">
            <w:pPr>
              <w:keepNext/>
            </w:pPr>
          </w:p>
        </w:tc>
        <w:tc>
          <w:tcPr>
            <w:tcW w:w="13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3019CF7" w14:textId="77777777" w:rsidR="00C56203" w:rsidRDefault="00C56203">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FEF5D82" w14:textId="77777777" w:rsidR="00C56203" w:rsidRDefault="00C56203">
            <w:pPr>
              <w:keepNext/>
            </w:pPr>
          </w:p>
        </w:tc>
        <w:tc>
          <w:tcPr>
            <w:tcW w:w="1380"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4CE343C2" w14:textId="77777777" w:rsidR="00C56203" w:rsidRDefault="00C56203">
            <w:pPr>
              <w:keepNext/>
            </w:pPr>
          </w:p>
        </w:tc>
      </w:tr>
      <w:tr w:rsidR="00C56203" w14:paraId="6C808616" w14:textId="77777777">
        <w:trPr>
          <w:cantSplit/>
          <w:trHeight w:hRule="exact" w:val="285"/>
          <w:jc w:val="center"/>
        </w:trPr>
        <w:tc>
          <w:tcPr>
            <w:tcW w:w="4215" w:type="dxa"/>
            <w:tcBorders>
              <w:top w:val="nil"/>
              <w:left w:val="nil"/>
              <w:bottom w:val="nil"/>
              <w:right w:val="nil"/>
            </w:tcBorders>
            <w:tcMar>
              <w:top w:w="0" w:type="dxa"/>
              <w:left w:w="0" w:type="dxa"/>
              <w:bottom w:w="0" w:type="dxa"/>
              <w:right w:w="0" w:type="dxa"/>
            </w:tcMar>
            <w:vAlign w:val="bottom"/>
          </w:tcPr>
          <w:p w14:paraId="54D81C64" w14:textId="77777777" w:rsidR="00C56203" w:rsidRDefault="00C56203">
            <w:pPr>
              <w:keepNext/>
            </w:pPr>
          </w:p>
        </w:tc>
        <w:tc>
          <w:tcPr>
            <w:tcW w:w="60" w:type="dxa"/>
            <w:tcBorders>
              <w:top w:val="nil"/>
              <w:left w:val="nil"/>
              <w:bottom w:val="nil"/>
              <w:right w:val="nil"/>
            </w:tcBorders>
            <w:tcMar>
              <w:top w:w="0" w:type="dxa"/>
              <w:left w:w="0" w:type="dxa"/>
              <w:bottom w:w="0" w:type="dxa"/>
              <w:right w:w="0" w:type="dxa"/>
            </w:tcMar>
            <w:vAlign w:val="bottom"/>
          </w:tcPr>
          <w:p w14:paraId="01C61641" w14:textId="77777777" w:rsidR="00C56203" w:rsidRDefault="00C56203">
            <w:pPr>
              <w:keepNext/>
            </w:pPr>
          </w:p>
        </w:tc>
        <w:tc>
          <w:tcPr>
            <w:tcW w:w="1395" w:type="dxa"/>
            <w:tcBorders>
              <w:top w:val="nil"/>
              <w:left w:val="nil"/>
              <w:bottom w:val="nil"/>
              <w:right w:val="nil"/>
            </w:tcBorders>
            <w:tcMar>
              <w:top w:w="0" w:type="dxa"/>
              <w:left w:w="53" w:type="dxa"/>
              <w:bottom w:w="0" w:type="dxa"/>
              <w:right w:w="53" w:type="dxa"/>
            </w:tcMar>
            <w:vAlign w:val="bottom"/>
          </w:tcPr>
          <w:p w14:paraId="27505AA3" w14:textId="77777777" w:rsidR="00C56203" w:rsidRDefault="00C56203">
            <w:pPr>
              <w:keepNext/>
              <w:spacing w:before="75" w:after="30"/>
              <w:ind w:left="135"/>
            </w:pPr>
          </w:p>
        </w:tc>
        <w:tc>
          <w:tcPr>
            <w:tcW w:w="60" w:type="dxa"/>
            <w:tcBorders>
              <w:top w:val="nil"/>
              <w:left w:val="nil"/>
              <w:bottom w:val="nil"/>
              <w:right w:val="nil"/>
            </w:tcBorders>
            <w:tcMar>
              <w:top w:w="0" w:type="dxa"/>
              <w:left w:w="53" w:type="dxa"/>
              <w:bottom w:w="0" w:type="dxa"/>
              <w:right w:w="53" w:type="dxa"/>
            </w:tcMar>
            <w:vAlign w:val="bottom"/>
          </w:tcPr>
          <w:p w14:paraId="50B1DA56" w14:textId="77777777" w:rsidR="00C56203" w:rsidRDefault="00C56203">
            <w:pPr>
              <w:keepNext/>
              <w:spacing w:before="75" w:after="30"/>
              <w:ind w:left="135"/>
            </w:pPr>
          </w:p>
        </w:tc>
        <w:tc>
          <w:tcPr>
            <w:tcW w:w="1395" w:type="dxa"/>
            <w:tcBorders>
              <w:top w:val="nil"/>
              <w:left w:val="nil"/>
              <w:bottom w:val="nil"/>
              <w:right w:val="nil"/>
            </w:tcBorders>
            <w:tcMar>
              <w:top w:w="0" w:type="dxa"/>
              <w:left w:w="53" w:type="dxa"/>
              <w:bottom w:w="0" w:type="dxa"/>
              <w:right w:w="53" w:type="dxa"/>
            </w:tcMar>
            <w:vAlign w:val="bottom"/>
          </w:tcPr>
          <w:p w14:paraId="5211EBC9" w14:textId="77777777" w:rsidR="00C56203" w:rsidRDefault="00C56203">
            <w:pPr>
              <w:keepNext/>
              <w:spacing w:before="75" w:after="30"/>
              <w:ind w:left="135"/>
            </w:pPr>
          </w:p>
        </w:tc>
        <w:tc>
          <w:tcPr>
            <w:tcW w:w="75" w:type="dxa"/>
            <w:tcBorders>
              <w:top w:val="nil"/>
              <w:left w:val="nil"/>
              <w:bottom w:val="nil"/>
              <w:right w:val="nil"/>
            </w:tcBorders>
            <w:tcMar>
              <w:top w:w="0" w:type="dxa"/>
              <w:left w:w="0" w:type="dxa"/>
              <w:bottom w:w="0" w:type="dxa"/>
              <w:right w:w="53" w:type="dxa"/>
            </w:tcMar>
            <w:vAlign w:val="bottom"/>
          </w:tcPr>
          <w:p w14:paraId="148F4FFE" w14:textId="77777777" w:rsidR="00C56203" w:rsidRDefault="00C56203">
            <w:pPr>
              <w:keepNext/>
              <w:spacing w:before="75" w:after="30"/>
              <w:jc w:val="right"/>
            </w:pPr>
          </w:p>
        </w:tc>
        <w:tc>
          <w:tcPr>
            <w:tcW w:w="2850" w:type="dxa"/>
            <w:gridSpan w:val="3"/>
            <w:tcBorders>
              <w:top w:val="nil"/>
              <w:left w:val="nil"/>
              <w:bottom w:val="nil"/>
              <w:right w:val="nil"/>
            </w:tcBorders>
            <w:tcMar>
              <w:top w:w="0" w:type="dxa"/>
              <w:left w:w="53" w:type="dxa"/>
              <w:bottom w:w="0" w:type="dxa"/>
              <w:right w:w="53" w:type="dxa"/>
            </w:tcMar>
            <w:vAlign w:val="bottom"/>
          </w:tcPr>
          <w:p w14:paraId="58FC922C" w14:textId="77777777" w:rsidR="00C56203" w:rsidRDefault="00CD5102">
            <w:pPr>
              <w:keepNext/>
              <w:spacing w:before="75" w:after="30"/>
              <w:jc w:val="center"/>
            </w:pPr>
            <w:r>
              <w:rPr>
                <w:b/>
                <w:color w:val="000000"/>
                <w:sz w:val="18"/>
              </w:rPr>
              <w:t>Three Months Ended</w:t>
            </w:r>
          </w:p>
        </w:tc>
      </w:tr>
      <w:tr w:rsidR="00C56203" w14:paraId="31796695" w14:textId="77777777">
        <w:trPr>
          <w:cantSplit/>
          <w:trHeight w:hRule="exact" w:val="285"/>
          <w:jc w:val="center"/>
        </w:trPr>
        <w:tc>
          <w:tcPr>
            <w:tcW w:w="4215" w:type="dxa"/>
            <w:tcBorders>
              <w:top w:val="nil"/>
              <w:left w:val="nil"/>
              <w:bottom w:val="nil"/>
              <w:right w:val="nil"/>
            </w:tcBorders>
            <w:tcMar>
              <w:top w:w="0" w:type="dxa"/>
              <w:left w:w="0" w:type="dxa"/>
              <w:bottom w:w="0" w:type="dxa"/>
              <w:right w:w="0" w:type="dxa"/>
            </w:tcMar>
            <w:vAlign w:val="bottom"/>
          </w:tcPr>
          <w:p w14:paraId="19A4ED9C" w14:textId="77777777" w:rsidR="00C56203" w:rsidRDefault="00C56203">
            <w:pPr>
              <w:keepNext/>
            </w:pPr>
          </w:p>
        </w:tc>
        <w:tc>
          <w:tcPr>
            <w:tcW w:w="60" w:type="dxa"/>
            <w:tcBorders>
              <w:top w:val="nil"/>
              <w:left w:val="nil"/>
              <w:bottom w:val="nil"/>
              <w:right w:val="nil"/>
            </w:tcBorders>
            <w:tcMar>
              <w:top w:w="0" w:type="dxa"/>
              <w:left w:w="0" w:type="dxa"/>
              <w:bottom w:w="0" w:type="dxa"/>
              <w:right w:w="0" w:type="dxa"/>
            </w:tcMar>
            <w:vAlign w:val="bottom"/>
          </w:tcPr>
          <w:p w14:paraId="673C37A3" w14:textId="77777777" w:rsidR="00C56203" w:rsidRDefault="00C56203">
            <w:pPr>
              <w:keepNext/>
            </w:pPr>
          </w:p>
        </w:tc>
        <w:tc>
          <w:tcPr>
            <w:tcW w:w="1395" w:type="dxa"/>
            <w:tcBorders>
              <w:top w:val="nil"/>
              <w:left w:val="nil"/>
              <w:bottom w:val="nil"/>
              <w:right w:val="nil"/>
            </w:tcBorders>
            <w:tcMar>
              <w:top w:w="0" w:type="dxa"/>
              <w:left w:w="53" w:type="dxa"/>
              <w:bottom w:w="0" w:type="dxa"/>
              <w:right w:w="53" w:type="dxa"/>
            </w:tcMar>
            <w:vAlign w:val="bottom"/>
          </w:tcPr>
          <w:p w14:paraId="0C2F4A60" w14:textId="77777777" w:rsidR="00C56203" w:rsidRDefault="00C56203">
            <w:pPr>
              <w:keepNext/>
              <w:spacing w:before="75" w:after="30"/>
              <w:ind w:left="135"/>
            </w:pPr>
          </w:p>
        </w:tc>
        <w:tc>
          <w:tcPr>
            <w:tcW w:w="60" w:type="dxa"/>
            <w:tcBorders>
              <w:top w:val="nil"/>
              <w:left w:val="nil"/>
              <w:bottom w:val="nil"/>
              <w:right w:val="nil"/>
            </w:tcBorders>
            <w:tcMar>
              <w:top w:w="0" w:type="dxa"/>
              <w:left w:w="53" w:type="dxa"/>
              <w:bottom w:w="0" w:type="dxa"/>
              <w:right w:w="53" w:type="dxa"/>
            </w:tcMar>
            <w:vAlign w:val="bottom"/>
          </w:tcPr>
          <w:p w14:paraId="0D44F668" w14:textId="77777777" w:rsidR="00C56203" w:rsidRDefault="00C56203">
            <w:pPr>
              <w:keepNext/>
              <w:spacing w:before="75" w:after="30"/>
              <w:ind w:left="135"/>
            </w:pPr>
          </w:p>
        </w:tc>
        <w:tc>
          <w:tcPr>
            <w:tcW w:w="1395" w:type="dxa"/>
            <w:tcBorders>
              <w:top w:val="nil"/>
              <w:left w:val="nil"/>
              <w:bottom w:val="nil"/>
              <w:right w:val="nil"/>
            </w:tcBorders>
            <w:tcMar>
              <w:top w:w="0" w:type="dxa"/>
              <w:left w:w="53" w:type="dxa"/>
              <w:bottom w:w="0" w:type="dxa"/>
              <w:right w:w="53" w:type="dxa"/>
            </w:tcMar>
            <w:vAlign w:val="bottom"/>
          </w:tcPr>
          <w:p w14:paraId="29ADA9BB" w14:textId="77777777" w:rsidR="00C56203" w:rsidRDefault="00C56203">
            <w:pPr>
              <w:keepNext/>
              <w:spacing w:before="75" w:after="30"/>
              <w:ind w:left="135"/>
            </w:pPr>
          </w:p>
        </w:tc>
        <w:tc>
          <w:tcPr>
            <w:tcW w:w="75" w:type="dxa"/>
            <w:tcBorders>
              <w:top w:val="nil"/>
              <w:left w:val="nil"/>
              <w:bottom w:val="nil"/>
              <w:right w:val="nil"/>
            </w:tcBorders>
            <w:tcMar>
              <w:top w:w="0" w:type="dxa"/>
              <w:left w:w="0" w:type="dxa"/>
              <w:bottom w:w="0" w:type="dxa"/>
              <w:right w:w="53" w:type="dxa"/>
            </w:tcMar>
            <w:vAlign w:val="bottom"/>
          </w:tcPr>
          <w:p w14:paraId="06553C62" w14:textId="77777777" w:rsidR="00C56203" w:rsidRDefault="00C56203">
            <w:pPr>
              <w:keepNext/>
              <w:spacing w:before="75" w:after="30"/>
              <w:jc w:val="right"/>
            </w:pPr>
          </w:p>
        </w:tc>
        <w:tc>
          <w:tcPr>
            <w:tcW w:w="2850" w:type="dxa"/>
            <w:gridSpan w:val="3"/>
            <w:tcBorders>
              <w:top w:val="nil"/>
              <w:left w:val="nil"/>
              <w:bottom w:val="single" w:sz="8" w:space="0" w:color="000000"/>
              <w:right w:val="nil"/>
            </w:tcBorders>
            <w:tcMar>
              <w:top w:w="0" w:type="dxa"/>
              <w:left w:w="53" w:type="dxa"/>
              <w:bottom w:w="0" w:type="dxa"/>
              <w:right w:w="53" w:type="dxa"/>
            </w:tcMar>
            <w:vAlign w:val="bottom"/>
          </w:tcPr>
          <w:p w14:paraId="0EFA4017" w14:textId="77777777" w:rsidR="00C56203" w:rsidRDefault="00CD5102">
            <w:pPr>
              <w:keepNext/>
              <w:spacing w:before="75" w:after="30"/>
              <w:jc w:val="center"/>
            </w:pPr>
            <w:r>
              <w:rPr>
                <w:b/>
                <w:color w:val="000000"/>
                <w:sz w:val="18"/>
              </w:rPr>
              <w:t>March 31,</w:t>
            </w:r>
          </w:p>
        </w:tc>
      </w:tr>
      <w:tr w:rsidR="00C56203" w14:paraId="27DD0877" w14:textId="77777777">
        <w:trPr>
          <w:cantSplit/>
          <w:trHeight w:hRule="exact" w:val="285"/>
          <w:jc w:val="center"/>
        </w:trPr>
        <w:tc>
          <w:tcPr>
            <w:tcW w:w="4215" w:type="dxa"/>
            <w:tcBorders>
              <w:top w:val="nil"/>
              <w:left w:val="nil"/>
              <w:bottom w:val="nil"/>
              <w:right w:val="nil"/>
            </w:tcBorders>
            <w:shd w:val="clear" w:color="auto" w:fill="CCEEFF"/>
            <w:tcMar>
              <w:top w:w="0" w:type="dxa"/>
              <w:left w:w="0" w:type="dxa"/>
              <w:bottom w:w="0" w:type="dxa"/>
              <w:right w:w="0" w:type="dxa"/>
            </w:tcMar>
            <w:vAlign w:val="bottom"/>
          </w:tcPr>
          <w:p w14:paraId="19612CC3" w14:textId="77777777" w:rsidR="00C56203" w:rsidRDefault="00C56203">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FFEE505" w14:textId="77777777" w:rsidR="00C56203" w:rsidRDefault="00C56203">
            <w:pPr>
              <w:keepNext/>
            </w:pPr>
          </w:p>
        </w:tc>
        <w:tc>
          <w:tcPr>
            <w:tcW w:w="1395" w:type="dxa"/>
            <w:tcBorders>
              <w:top w:val="nil"/>
              <w:left w:val="nil"/>
              <w:bottom w:val="nil"/>
              <w:right w:val="nil"/>
            </w:tcBorders>
            <w:shd w:val="clear" w:color="auto" w:fill="CCEEFF"/>
            <w:tcMar>
              <w:top w:w="0" w:type="dxa"/>
              <w:left w:w="53" w:type="dxa"/>
              <w:bottom w:w="0" w:type="dxa"/>
              <w:right w:w="53" w:type="dxa"/>
            </w:tcMar>
            <w:vAlign w:val="bottom"/>
          </w:tcPr>
          <w:p w14:paraId="30A4C2CA" w14:textId="77777777" w:rsidR="00C56203" w:rsidRDefault="00C56203">
            <w:pPr>
              <w:keepNext/>
              <w:spacing w:before="55" w:after="30"/>
              <w:ind w:left="135"/>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3BD18E48" w14:textId="77777777" w:rsidR="00C56203" w:rsidRDefault="00C56203">
            <w:pPr>
              <w:keepNext/>
              <w:spacing w:before="55" w:after="30"/>
              <w:ind w:left="135"/>
            </w:pPr>
          </w:p>
        </w:tc>
        <w:tc>
          <w:tcPr>
            <w:tcW w:w="1395" w:type="dxa"/>
            <w:tcBorders>
              <w:top w:val="nil"/>
              <w:left w:val="nil"/>
              <w:bottom w:val="nil"/>
              <w:right w:val="nil"/>
            </w:tcBorders>
            <w:shd w:val="clear" w:color="auto" w:fill="CCEEFF"/>
            <w:tcMar>
              <w:top w:w="0" w:type="dxa"/>
              <w:left w:w="53" w:type="dxa"/>
              <w:bottom w:w="0" w:type="dxa"/>
              <w:right w:w="53" w:type="dxa"/>
            </w:tcMar>
            <w:vAlign w:val="bottom"/>
          </w:tcPr>
          <w:p w14:paraId="714C4442" w14:textId="77777777" w:rsidR="00C56203" w:rsidRDefault="00C56203">
            <w:pPr>
              <w:keepNext/>
              <w:spacing w:before="55" w:after="30"/>
              <w:ind w:left="135"/>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15E38B98" w14:textId="77777777" w:rsidR="00C56203" w:rsidRDefault="00C56203">
            <w:pPr>
              <w:keepNext/>
              <w:spacing w:before="55" w:after="30"/>
              <w:ind w:left="135"/>
            </w:pPr>
          </w:p>
        </w:tc>
        <w:tc>
          <w:tcPr>
            <w:tcW w:w="139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14:paraId="556F042F" w14:textId="77777777" w:rsidR="00C56203" w:rsidRDefault="00CD5102">
            <w:pPr>
              <w:keepNext/>
              <w:spacing w:before="55" w:after="30"/>
              <w:jc w:val="center"/>
            </w:pPr>
            <w:r>
              <w:rPr>
                <w:b/>
                <w:color w:val="000000"/>
                <w:sz w:val="18"/>
              </w:rPr>
              <w:t>2023</w:t>
            </w:r>
          </w:p>
        </w:tc>
        <w:tc>
          <w:tcPr>
            <w:tcW w:w="7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1F00613C" w14:textId="77777777" w:rsidR="00C56203" w:rsidRDefault="00C56203">
            <w:pPr>
              <w:keepNext/>
              <w:spacing w:before="55" w:after="30"/>
              <w:jc w:val="center"/>
            </w:pPr>
          </w:p>
        </w:tc>
        <w:tc>
          <w:tcPr>
            <w:tcW w:w="1380" w:type="dxa"/>
            <w:tcBorders>
              <w:top w:val="single" w:sz="8" w:space="0" w:color="000000"/>
              <w:left w:val="nil"/>
              <w:bottom w:val="single" w:sz="8" w:space="0" w:color="000000"/>
              <w:right w:val="nil"/>
            </w:tcBorders>
            <w:shd w:val="clear" w:color="auto" w:fill="CCEEFF"/>
            <w:tcMar>
              <w:top w:w="0" w:type="dxa"/>
              <w:left w:w="53" w:type="dxa"/>
              <w:bottom w:w="0" w:type="dxa"/>
              <w:right w:w="53" w:type="dxa"/>
            </w:tcMar>
            <w:vAlign w:val="bottom"/>
          </w:tcPr>
          <w:p w14:paraId="6C9EEC52" w14:textId="77777777" w:rsidR="00C56203" w:rsidRDefault="00CD5102">
            <w:pPr>
              <w:keepNext/>
              <w:spacing w:before="55" w:after="30"/>
              <w:jc w:val="center"/>
            </w:pPr>
            <w:r>
              <w:rPr>
                <w:b/>
                <w:color w:val="000000"/>
                <w:sz w:val="18"/>
              </w:rPr>
              <w:t>2022</w:t>
            </w:r>
          </w:p>
        </w:tc>
      </w:tr>
      <w:tr w:rsidR="00C56203" w14:paraId="0F48AB85" w14:textId="77777777">
        <w:trPr>
          <w:cantSplit/>
          <w:trHeight w:hRule="exact" w:val="285"/>
          <w:jc w:val="center"/>
        </w:trPr>
        <w:tc>
          <w:tcPr>
            <w:tcW w:w="4215" w:type="dxa"/>
            <w:tcBorders>
              <w:top w:val="nil"/>
              <w:left w:val="nil"/>
              <w:bottom w:val="nil"/>
              <w:right w:val="nil"/>
            </w:tcBorders>
            <w:shd w:val="clear" w:color="auto" w:fill="FFFFFF"/>
            <w:tcMar>
              <w:top w:w="0" w:type="dxa"/>
              <w:left w:w="53" w:type="dxa"/>
              <w:bottom w:w="0" w:type="dxa"/>
              <w:right w:w="53" w:type="dxa"/>
            </w:tcMar>
            <w:vAlign w:val="bottom"/>
          </w:tcPr>
          <w:p w14:paraId="659A8EAD" w14:textId="77777777" w:rsidR="00C56203" w:rsidRDefault="00CD5102">
            <w:pPr>
              <w:spacing w:before="55" w:after="30"/>
              <w:ind w:left="135"/>
            </w:pPr>
            <w:r>
              <w:rPr>
                <w:color w:val="000000"/>
                <w:sz w:val="18"/>
              </w:rPr>
              <w:t>Cash provided by (used in) operating activities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5606DB1" w14:textId="77777777" w:rsidR="00C56203" w:rsidRDefault="00C56203"/>
        </w:tc>
        <w:tc>
          <w:tcPr>
            <w:tcW w:w="1395" w:type="dxa"/>
            <w:tcBorders>
              <w:top w:val="nil"/>
              <w:left w:val="nil"/>
              <w:bottom w:val="nil"/>
              <w:right w:val="nil"/>
            </w:tcBorders>
            <w:shd w:val="clear" w:color="auto" w:fill="FFFFFF"/>
            <w:tcMar>
              <w:top w:w="0" w:type="dxa"/>
              <w:left w:w="53" w:type="dxa"/>
              <w:bottom w:w="0" w:type="dxa"/>
              <w:right w:w="53" w:type="dxa"/>
            </w:tcMar>
            <w:vAlign w:val="bottom"/>
          </w:tcPr>
          <w:p w14:paraId="0F5D2041" w14:textId="77777777" w:rsidR="00C56203" w:rsidRDefault="00C56203">
            <w:pPr>
              <w:spacing w:before="55" w:after="30"/>
              <w:ind w:left="135"/>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AB2852" w14:textId="77777777" w:rsidR="00C56203" w:rsidRDefault="00C56203"/>
        </w:tc>
        <w:tc>
          <w:tcPr>
            <w:tcW w:w="1395" w:type="dxa"/>
            <w:tcBorders>
              <w:top w:val="nil"/>
              <w:left w:val="nil"/>
              <w:bottom w:val="nil"/>
              <w:right w:val="nil"/>
            </w:tcBorders>
            <w:shd w:val="clear" w:color="auto" w:fill="FFFFFF"/>
            <w:tcMar>
              <w:top w:w="0" w:type="dxa"/>
              <w:left w:w="53" w:type="dxa"/>
              <w:bottom w:w="0" w:type="dxa"/>
              <w:right w:w="53" w:type="dxa"/>
            </w:tcMar>
            <w:vAlign w:val="bottom"/>
          </w:tcPr>
          <w:p w14:paraId="7B3688EF" w14:textId="77777777" w:rsidR="00C56203" w:rsidRDefault="00C56203">
            <w:pPr>
              <w:spacing w:before="55" w:after="30"/>
              <w:ind w:left="135"/>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6302D0A" w14:textId="77777777" w:rsidR="00C56203" w:rsidRDefault="00C56203"/>
        </w:tc>
        <w:tc>
          <w:tcPr>
            <w:tcW w:w="13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13CBEE9" w14:textId="77777777" w:rsidR="00C56203" w:rsidRDefault="00CD5102">
            <w:pPr>
              <w:tabs>
                <w:tab w:val="left" w:pos="999"/>
                <w:tab w:val="left" w:pos="1327"/>
              </w:tabs>
              <w:spacing w:before="55" w:after="30"/>
              <w:jc w:val="right"/>
            </w:pPr>
            <w:r>
              <w:rPr>
                <w:color w:val="000000"/>
                <w:sz w:val="18"/>
              </w:rPr>
              <w:t>$</w:t>
            </w:r>
            <w:r>
              <w:rPr>
                <w:color w:val="000000"/>
                <w:sz w:val="18"/>
              </w:rPr>
              <w:tab/>
              <w:t>154</w:t>
            </w:r>
            <w:r>
              <w:rPr>
                <w:color w:val="000000"/>
                <w:sz w:val="18"/>
              </w:rPr>
              <w:tab/>
            </w: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0274C83D" w14:textId="77777777" w:rsidR="00C56203" w:rsidRDefault="00C56203">
            <w:pPr>
              <w:spacing w:before="55" w:after="30"/>
            </w:pPr>
          </w:p>
        </w:tc>
        <w:tc>
          <w:tcPr>
            <w:tcW w:w="138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5328C99" w14:textId="77777777" w:rsidR="00C56203" w:rsidRDefault="00CD5102">
            <w:pPr>
              <w:tabs>
                <w:tab w:val="left" w:pos="994"/>
              </w:tabs>
              <w:spacing w:before="55" w:after="30"/>
              <w:jc w:val="right"/>
            </w:pPr>
            <w:r>
              <w:rPr>
                <w:color w:val="000000"/>
                <w:sz w:val="18"/>
              </w:rPr>
              <w:t>$</w:t>
            </w:r>
            <w:r>
              <w:rPr>
                <w:color w:val="000000"/>
                <w:sz w:val="18"/>
              </w:rPr>
              <w:tab/>
              <w:t>(63)</w:t>
            </w:r>
          </w:p>
        </w:tc>
      </w:tr>
    </w:tbl>
    <w:p w14:paraId="71E8C0F0" w14:textId="77777777" w:rsidR="00C56203" w:rsidRDefault="00C56203">
      <w:pPr>
        <w:spacing w:after="120" w:line="276" w:lineRule="auto"/>
        <w:ind w:left="270" w:hanging="270"/>
        <w:jc w:val="center"/>
        <w:rPr>
          <w:sz w:val="2"/>
        </w:rPr>
      </w:pPr>
    </w:p>
    <w:sectPr w:rsidR="00C56203">
      <w:footerReference w:type="default" r:id="rId11"/>
      <w:pgSz w:w="12240" w:h="15840"/>
      <w:pgMar w:top="1440" w:right="1080" w:bottom="1440" w:left="1080" w:header="0" w:footer="5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417B0" w14:textId="77777777" w:rsidR="00000000" w:rsidRDefault="00CD5102">
      <w:r>
        <w:separator/>
      </w:r>
    </w:p>
  </w:endnote>
  <w:endnote w:type="continuationSeparator" w:id="0">
    <w:p w14:paraId="6809C11C" w14:textId="77777777" w:rsidR="00000000" w:rsidRDefault="00CD5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0"/>
    </w:tblGrid>
    <w:tr w:rsidR="00C56203" w14:paraId="5EAE3AE7" w14:textId="77777777">
      <w:trPr>
        <w:cantSplit/>
        <w:trHeight w:hRule="exact" w:val="105"/>
      </w:trPr>
      <w:tc>
        <w:tcPr>
          <w:tcW w:w="9990" w:type="dxa"/>
          <w:tcBorders>
            <w:top w:val="nil"/>
            <w:left w:val="nil"/>
            <w:bottom w:val="single" w:sz="16" w:space="0" w:color="000000"/>
            <w:right w:val="nil"/>
          </w:tcBorders>
          <w:tcMar>
            <w:top w:w="0" w:type="dxa"/>
            <w:left w:w="0" w:type="dxa"/>
            <w:bottom w:w="0" w:type="dxa"/>
            <w:right w:w="0" w:type="dxa"/>
          </w:tcMar>
          <w:vAlign w:val="bottom"/>
        </w:tcPr>
        <w:p w14:paraId="6D187786" w14:textId="77777777" w:rsidR="00C56203" w:rsidRDefault="00C56203"/>
      </w:tc>
    </w:tr>
  </w:tbl>
  <w:p w14:paraId="5D16870F" w14:textId="77777777" w:rsidR="00C56203" w:rsidRDefault="00C56203">
    <w:pPr>
      <w:spacing w:line="288" w:lineRule="auto"/>
      <w:ind w:left="-360" w:right="-180"/>
      <w:rPr>
        <w:sz w:val="2"/>
      </w:rPr>
    </w:pPr>
  </w:p>
  <w:p w14:paraId="44482DCE" w14:textId="77777777" w:rsidR="00C56203" w:rsidRDefault="00CD5102">
    <w:pPr>
      <w:tabs>
        <w:tab w:val="center" w:pos="4320"/>
        <w:tab w:val="right" w:pos="8640"/>
      </w:tabs>
      <w:spacing w:line="288" w:lineRule="auto"/>
      <w:ind w:left="-360" w:right="-180"/>
      <w:rPr>
        <w:rFonts w:ascii="Arial" w:eastAsia="Arial" w:hAnsi="Arial" w:cs="Arial"/>
        <w:b/>
      </w:rPr>
    </w:pPr>
    <w:r>
      <w:rPr>
        <w:rFonts w:ascii="Arial" w:eastAsia="Arial" w:hAnsi="Arial" w:cs="Arial"/>
        <w:b/>
      </w:rPr>
      <w:fldChar w:fldCharType="begin"/>
    </w:r>
    <w:r>
      <w:rPr>
        <w:rFonts w:ascii="Arial" w:eastAsia="Arial" w:hAnsi="Arial" w:cs="Arial"/>
        <w:b/>
      </w:rPr>
      <w:instrText xml:space="preserve"> PAGE </w:instrText>
    </w:r>
    <w:r>
      <w:rPr>
        <w:rFonts w:ascii="Arial" w:eastAsia="Arial" w:hAnsi="Arial" w:cs="Arial"/>
        <w:b/>
      </w:rPr>
      <w:fldChar w:fldCharType="separate"/>
    </w:r>
    <w:r>
      <w:rPr>
        <w:rFonts w:ascii="Arial" w:eastAsia="Arial" w:hAnsi="Arial" w:cs="Arial"/>
        <w:b/>
      </w:rPr>
      <w:t>11</w:t>
    </w:r>
    <w:r>
      <w:rPr>
        <w:rFonts w:ascii="Arial" w:eastAsia="Arial" w:hAnsi="Arial" w:cs="Arial"/>
        <w:b/>
      </w:rPr>
      <w:fldChar w:fldCharType="end"/>
    </w:r>
    <w:r>
      <w:rPr>
        <w:rFonts w:ascii="Arial" w:eastAsia="Arial" w:hAnsi="Arial" w:cs="Arial"/>
        <w:b/>
      </w:rPr>
      <w:t xml:space="preserve"> | </w:t>
    </w:r>
    <w:r>
      <w:rPr>
        <w:rFonts w:ascii="Arial" w:eastAsia="Arial" w:hAnsi="Arial" w:cs="Arial"/>
        <w:color w:val="808080"/>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C56203" w14:paraId="762116FC" w14:textId="77777777">
      <w:trPr>
        <w:cantSplit/>
        <w:trHeight w:hRule="exact" w:val="105"/>
      </w:trPr>
      <w:tc>
        <w:tcPr>
          <w:tcW w:w="10080" w:type="dxa"/>
          <w:tcBorders>
            <w:top w:val="nil"/>
            <w:left w:val="nil"/>
            <w:bottom w:val="single" w:sz="16" w:space="0" w:color="000000"/>
            <w:right w:val="nil"/>
          </w:tcBorders>
          <w:tcMar>
            <w:top w:w="0" w:type="dxa"/>
            <w:left w:w="0" w:type="dxa"/>
            <w:bottom w:w="0" w:type="dxa"/>
            <w:right w:w="0" w:type="dxa"/>
          </w:tcMar>
          <w:vAlign w:val="bottom"/>
        </w:tcPr>
        <w:p w14:paraId="445E70FB" w14:textId="77777777" w:rsidR="00C56203" w:rsidRDefault="00C56203"/>
      </w:tc>
    </w:tr>
  </w:tbl>
  <w:p w14:paraId="6E7BBE86" w14:textId="77777777" w:rsidR="00C56203" w:rsidRDefault="00C56203">
    <w:pPr>
      <w:spacing w:line="288" w:lineRule="auto"/>
      <w:ind w:left="-360" w:right="-180"/>
      <w:rPr>
        <w:sz w:val="2"/>
      </w:rPr>
    </w:pPr>
  </w:p>
  <w:p w14:paraId="1C4919FC" w14:textId="77777777" w:rsidR="00C56203" w:rsidRDefault="00CD5102">
    <w:pPr>
      <w:tabs>
        <w:tab w:val="center" w:pos="4320"/>
        <w:tab w:val="right" w:pos="8640"/>
      </w:tabs>
      <w:spacing w:line="288" w:lineRule="auto"/>
      <w:ind w:left="-360" w:right="-180"/>
      <w:rPr>
        <w:rFonts w:ascii="Arial" w:eastAsia="Arial" w:hAnsi="Arial" w:cs="Arial"/>
        <w:b/>
      </w:rPr>
    </w:pPr>
    <w:r>
      <w:rPr>
        <w:rFonts w:ascii="Arial" w:eastAsia="Arial" w:hAnsi="Arial" w:cs="Arial"/>
        <w:b/>
      </w:rPr>
      <w:fldChar w:fldCharType="begin"/>
    </w:r>
    <w:r>
      <w:rPr>
        <w:rFonts w:ascii="Arial" w:eastAsia="Arial" w:hAnsi="Arial" w:cs="Arial"/>
        <w:b/>
      </w:rPr>
      <w:instrText xml:space="preserve"> PAGE </w:instrText>
    </w:r>
    <w:r>
      <w:rPr>
        <w:rFonts w:ascii="Arial" w:eastAsia="Arial" w:hAnsi="Arial" w:cs="Arial"/>
        <w:b/>
      </w:rPr>
      <w:fldChar w:fldCharType="separate"/>
    </w:r>
    <w:r>
      <w:rPr>
        <w:rFonts w:ascii="Arial" w:eastAsia="Arial" w:hAnsi="Arial" w:cs="Arial"/>
        <w:b/>
      </w:rPr>
      <w:t>1</w:t>
    </w:r>
    <w:r>
      <w:rPr>
        <w:rFonts w:ascii="Arial" w:eastAsia="Arial" w:hAnsi="Arial" w:cs="Arial"/>
        <w:b/>
      </w:rPr>
      <w:fldChar w:fldCharType="end"/>
    </w:r>
    <w:r>
      <w:rPr>
        <w:rFonts w:ascii="Arial" w:eastAsia="Arial" w:hAnsi="Arial" w:cs="Arial"/>
        <w:b/>
      </w:rPr>
      <w:t xml:space="preserve"> | </w:t>
    </w:r>
    <w:r>
      <w:rPr>
        <w:rFonts w:ascii="Arial" w:eastAsia="Arial" w:hAnsi="Arial" w:cs="Arial"/>
        <w:color w:val="808080"/>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0"/>
    </w:tblGrid>
    <w:tr w:rsidR="00C56203" w14:paraId="0793F97A" w14:textId="77777777">
      <w:trPr>
        <w:cantSplit/>
        <w:trHeight w:hRule="exact" w:val="105"/>
      </w:trPr>
      <w:tc>
        <w:tcPr>
          <w:tcW w:w="9990" w:type="dxa"/>
          <w:tcBorders>
            <w:top w:val="nil"/>
            <w:left w:val="nil"/>
            <w:bottom w:val="single" w:sz="16" w:space="0" w:color="000000"/>
            <w:right w:val="nil"/>
          </w:tcBorders>
          <w:tcMar>
            <w:top w:w="0" w:type="dxa"/>
            <w:left w:w="0" w:type="dxa"/>
            <w:bottom w:w="0" w:type="dxa"/>
            <w:right w:w="0" w:type="dxa"/>
          </w:tcMar>
          <w:vAlign w:val="bottom"/>
        </w:tcPr>
        <w:p w14:paraId="51676B80" w14:textId="77777777" w:rsidR="00C56203" w:rsidRDefault="00C56203"/>
      </w:tc>
    </w:tr>
  </w:tbl>
  <w:p w14:paraId="52D666FB" w14:textId="77777777" w:rsidR="00C56203" w:rsidRDefault="00C56203">
    <w:pPr>
      <w:spacing w:line="288" w:lineRule="auto"/>
      <w:rPr>
        <w:sz w:val="2"/>
      </w:rPr>
    </w:pPr>
  </w:p>
  <w:p w14:paraId="063984BA" w14:textId="77777777" w:rsidR="00C56203" w:rsidRDefault="00CD5102">
    <w:pPr>
      <w:tabs>
        <w:tab w:val="center" w:pos="4320"/>
        <w:tab w:val="right" w:pos="8640"/>
      </w:tabs>
      <w:spacing w:line="288" w:lineRule="auto"/>
      <w:outlineLvl w:val="0"/>
      <w:rPr>
        <w:rFonts w:ascii="Arial" w:eastAsia="Arial" w:hAnsi="Arial" w:cs="Arial"/>
        <w:b/>
      </w:rPr>
    </w:pPr>
    <w:r>
      <w:rPr>
        <w:rFonts w:ascii="Arial" w:eastAsia="Arial" w:hAnsi="Arial" w:cs="Arial"/>
        <w:b/>
      </w:rPr>
      <w:fldChar w:fldCharType="begin"/>
    </w:r>
    <w:r>
      <w:rPr>
        <w:rFonts w:ascii="Arial" w:eastAsia="Arial" w:hAnsi="Arial" w:cs="Arial"/>
        <w:b/>
      </w:rPr>
      <w:instrText xml:space="preserve"> PAGE </w:instrText>
    </w:r>
    <w:r>
      <w:rPr>
        <w:rFonts w:ascii="Arial" w:eastAsia="Arial" w:hAnsi="Arial" w:cs="Arial"/>
        <w:b/>
      </w:rPr>
      <w:fldChar w:fldCharType="separate"/>
    </w:r>
    <w:r>
      <w:rPr>
        <w:rFonts w:ascii="Arial" w:eastAsia="Arial" w:hAnsi="Arial" w:cs="Arial"/>
        <w:b/>
      </w:rPr>
      <w:t>18</w:t>
    </w:r>
    <w:r>
      <w:rPr>
        <w:rFonts w:ascii="Arial" w:eastAsia="Arial" w:hAnsi="Arial" w:cs="Arial"/>
        <w:b/>
      </w:rPr>
      <w:fldChar w:fldCharType="end"/>
    </w:r>
    <w:r>
      <w:rPr>
        <w:rFonts w:ascii="Arial" w:eastAsia="Arial" w:hAnsi="Arial" w:cs="Arial"/>
        <w:b/>
      </w:rPr>
      <w:t xml:space="preserve"> | </w:t>
    </w:r>
    <w:r>
      <w:rPr>
        <w:rFonts w:ascii="Arial" w:eastAsia="Arial" w:hAnsi="Arial" w:cs="Arial"/>
        <w:color w:val="80808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102A" w14:textId="77777777" w:rsidR="00000000" w:rsidRDefault="00CD5102">
      <w:r>
        <w:separator/>
      </w:r>
    </w:p>
  </w:footnote>
  <w:footnote w:type="continuationSeparator" w:id="0">
    <w:p w14:paraId="4BD34C61" w14:textId="77777777" w:rsidR="00000000" w:rsidRDefault="00CD5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E363B" w14:textId="77777777" w:rsidR="00C56203" w:rsidRDefault="00C56203">
    <w:pPr>
      <w:spacing w:line="288" w:lineRule="auto"/>
      <w:ind w:left="-360" w:right="-180"/>
      <w:jc w:val="right"/>
      <w:rPr>
        <w:sz w:val="20"/>
      </w:rPr>
    </w:pPr>
  </w:p>
  <w:p w14:paraId="76D36CB7" w14:textId="77777777" w:rsidR="00C56203" w:rsidRDefault="00C56203">
    <w:pPr>
      <w:spacing w:line="288" w:lineRule="auto"/>
      <w:ind w:left="-360" w:right="-180"/>
      <w:jc w:val="right"/>
      <w:rPr>
        <w:sz w:val="20"/>
      </w:rPr>
    </w:pPr>
  </w:p>
  <w:p w14:paraId="27FEAF47" w14:textId="77777777" w:rsidR="00C56203" w:rsidRDefault="00C56203">
    <w:pPr>
      <w:spacing w:line="288" w:lineRule="auto"/>
      <w:ind w:left="-360" w:right="-180"/>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83516" w14:textId="77777777" w:rsidR="00C56203" w:rsidRDefault="00CD5102">
    <w:pPr>
      <w:spacing w:line="288" w:lineRule="auto"/>
      <w:ind w:left="-360" w:right="-180"/>
      <w:jc w:val="right"/>
      <w:outlineLvl w:val="0"/>
      <w:rPr>
        <w:b/>
        <w:sz w:val="20"/>
      </w:rPr>
    </w:pPr>
    <w:r>
      <w:rPr>
        <w:b/>
        <w:sz w:val="20"/>
      </w:rPr>
      <w:t>Exhibit 99.1</w:t>
    </w:r>
  </w:p>
  <w:p w14:paraId="0BC98ACD" w14:textId="77777777" w:rsidR="00C56203" w:rsidRDefault="00C56203">
    <w:pPr>
      <w:spacing w:line="288" w:lineRule="auto"/>
      <w:ind w:left="-360" w:right="-180"/>
      <w:jc w:val="right"/>
      <w:rPr>
        <w:b/>
        <w:sz w:val="20"/>
      </w:rPr>
    </w:pPr>
  </w:p>
  <w:p w14:paraId="4DDE8D0C" w14:textId="77777777" w:rsidR="00C56203" w:rsidRDefault="00CD5102">
    <w:pPr>
      <w:spacing w:line="288" w:lineRule="auto"/>
      <w:ind w:left="-360" w:right="-180"/>
      <w:jc w:val="right"/>
      <w:rPr>
        <w:sz w:val="20"/>
      </w:rPr>
    </w:pPr>
    <w:r>
      <w:rPr>
        <w:noProof/>
      </w:rPr>
      <w:drawing>
        <wp:inline distT="0" distB="0" distL="0" distR="0" wp14:anchorId="43FA43E8" wp14:editId="730BF51E">
          <wp:extent cx="2095500" cy="190500"/>
          <wp:effectExtent l="0" t="0" r="0" b="0"/>
          <wp:docPr id="2049" name="Image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Image 204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2095500" cy="190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15:restartNumberingAfterBreak="0">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15:restartNumberingAfterBreak="0">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15:restartNumberingAfterBreak="0">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15:restartNumberingAfterBreak="0">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15:restartNumberingAfterBreak="0">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15:restartNumberingAfterBreak="0">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15:restartNumberingAfterBreak="0">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15:restartNumberingAfterBreak="0">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15:restartNumberingAfterBreak="0">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15:restartNumberingAfterBreak="0">
    <w:nsid w:val="0000000D"/>
    <w:multiLevelType w:val="hybridMultilevel"/>
    <w:tmpl w:val="0000000D"/>
    <w:lvl w:ilvl="0" w:tplc="38A80AA2">
      <w:start w:val="1"/>
      <w:numFmt w:val="bullet"/>
      <w:lvlText w:val="•"/>
      <w:lvlJc w:val="left"/>
      <w:pPr>
        <w:tabs>
          <w:tab w:val="num" w:pos="720"/>
        </w:tabs>
        <w:ind w:left="720" w:hanging="360"/>
      </w:pPr>
      <w:rPr>
        <w:rFonts w:ascii="Calibri" w:eastAsia="Calibri" w:hAnsi="Calibri" w:cs="Calibri"/>
        <w:b/>
        <w:i w:val="0"/>
        <w:strike w:val="0"/>
        <w:sz w:val="22"/>
      </w:rPr>
    </w:lvl>
    <w:lvl w:ilvl="1" w:tplc="6CC64EA8">
      <w:start w:val="1"/>
      <w:numFmt w:val="bullet"/>
      <w:lvlText w:val="o"/>
      <w:lvlJc w:val="left"/>
      <w:pPr>
        <w:tabs>
          <w:tab w:val="num" w:pos="1440"/>
        </w:tabs>
        <w:ind w:left="1440" w:hanging="360"/>
      </w:pPr>
      <w:rPr>
        <w:rFonts w:ascii="Courier New" w:hAnsi="Courier New"/>
      </w:rPr>
    </w:lvl>
    <w:lvl w:ilvl="2" w:tplc="063457FA">
      <w:start w:val="1"/>
      <w:numFmt w:val="bullet"/>
      <w:lvlText w:val=""/>
      <w:lvlJc w:val="left"/>
      <w:pPr>
        <w:tabs>
          <w:tab w:val="num" w:pos="2160"/>
        </w:tabs>
        <w:ind w:left="2160" w:hanging="360"/>
      </w:pPr>
      <w:rPr>
        <w:rFonts w:ascii="Wingdings" w:hAnsi="Wingdings"/>
      </w:rPr>
    </w:lvl>
    <w:lvl w:ilvl="3" w:tplc="77A44EEE">
      <w:start w:val="1"/>
      <w:numFmt w:val="bullet"/>
      <w:lvlText w:val=""/>
      <w:lvlJc w:val="left"/>
      <w:pPr>
        <w:tabs>
          <w:tab w:val="num" w:pos="2880"/>
        </w:tabs>
        <w:ind w:left="2880" w:hanging="360"/>
      </w:pPr>
      <w:rPr>
        <w:rFonts w:ascii="Symbol" w:hAnsi="Symbol"/>
      </w:rPr>
    </w:lvl>
    <w:lvl w:ilvl="4" w:tplc="989AC8D8">
      <w:start w:val="1"/>
      <w:numFmt w:val="bullet"/>
      <w:lvlText w:val="o"/>
      <w:lvlJc w:val="left"/>
      <w:pPr>
        <w:tabs>
          <w:tab w:val="num" w:pos="3600"/>
        </w:tabs>
        <w:ind w:left="3600" w:hanging="360"/>
      </w:pPr>
      <w:rPr>
        <w:rFonts w:ascii="Courier New" w:hAnsi="Courier New"/>
      </w:rPr>
    </w:lvl>
    <w:lvl w:ilvl="5" w:tplc="89AAC42E">
      <w:start w:val="1"/>
      <w:numFmt w:val="bullet"/>
      <w:lvlText w:val=""/>
      <w:lvlJc w:val="left"/>
      <w:pPr>
        <w:tabs>
          <w:tab w:val="num" w:pos="4320"/>
        </w:tabs>
        <w:ind w:left="4320" w:hanging="360"/>
      </w:pPr>
      <w:rPr>
        <w:rFonts w:ascii="Wingdings" w:hAnsi="Wingdings"/>
      </w:rPr>
    </w:lvl>
    <w:lvl w:ilvl="6" w:tplc="983476DA">
      <w:start w:val="1"/>
      <w:numFmt w:val="bullet"/>
      <w:lvlText w:val=""/>
      <w:lvlJc w:val="left"/>
      <w:pPr>
        <w:tabs>
          <w:tab w:val="num" w:pos="5040"/>
        </w:tabs>
        <w:ind w:left="5040" w:hanging="360"/>
      </w:pPr>
      <w:rPr>
        <w:rFonts w:ascii="Symbol" w:hAnsi="Symbol"/>
      </w:rPr>
    </w:lvl>
    <w:lvl w:ilvl="7" w:tplc="1CFC5B4C">
      <w:start w:val="1"/>
      <w:numFmt w:val="bullet"/>
      <w:lvlText w:val="o"/>
      <w:lvlJc w:val="left"/>
      <w:pPr>
        <w:tabs>
          <w:tab w:val="num" w:pos="5760"/>
        </w:tabs>
        <w:ind w:left="5760" w:hanging="360"/>
      </w:pPr>
      <w:rPr>
        <w:rFonts w:ascii="Courier New" w:hAnsi="Courier New"/>
      </w:rPr>
    </w:lvl>
    <w:lvl w:ilvl="8" w:tplc="F6F6FCE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E03E4E54">
      <w:start w:val="1"/>
      <w:numFmt w:val="bullet"/>
      <w:lvlText w:val="•"/>
      <w:lvlJc w:val="left"/>
      <w:pPr>
        <w:tabs>
          <w:tab w:val="num" w:pos="720"/>
        </w:tabs>
        <w:ind w:left="720" w:hanging="360"/>
      </w:pPr>
      <w:rPr>
        <w:rFonts w:ascii="Calibri" w:eastAsia="Calibri" w:hAnsi="Calibri" w:cs="Calibri"/>
        <w:b/>
        <w:i w:val="0"/>
        <w:strike w:val="0"/>
        <w:sz w:val="22"/>
      </w:rPr>
    </w:lvl>
    <w:lvl w:ilvl="1" w:tplc="5A62E8D6">
      <w:start w:val="1"/>
      <w:numFmt w:val="bullet"/>
      <w:lvlText w:val="o"/>
      <w:lvlJc w:val="left"/>
      <w:pPr>
        <w:tabs>
          <w:tab w:val="num" w:pos="1440"/>
        </w:tabs>
        <w:ind w:left="1440" w:hanging="360"/>
      </w:pPr>
      <w:rPr>
        <w:rFonts w:ascii="Courier New" w:hAnsi="Courier New"/>
      </w:rPr>
    </w:lvl>
    <w:lvl w:ilvl="2" w:tplc="0D20043C">
      <w:start w:val="1"/>
      <w:numFmt w:val="bullet"/>
      <w:lvlText w:val=""/>
      <w:lvlJc w:val="left"/>
      <w:pPr>
        <w:tabs>
          <w:tab w:val="num" w:pos="2160"/>
        </w:tabs>
        <w:ind w:left="2160" w:hanging="360"/>
      </w:pPr>
      <w:rPr>
        <w:rFonts w:ascii="Wingdings" w:hAnsi="Wingdings"/>
      </w:rPr>
    </w:lvl>
    <w:lvl w:ilvl="3" w:tplc="D9A8799C">
      <w:start w:val="1"/>
      <w:numFmt w:val="bullet"/>
      <w:lvlText w:val=""/>
      <w:lvlJc w:val="left"/>
      <w:pPr>
        <w:tabs>
          <w:tab w:val="num" w:pos="2880"/>
        </w:tabs>
        <w:ind w:left="2880" w:hanging="360"/>
      </w:pPr>
      <w:rPr>
        <w:rFonts w:ascii="Symbol" w:hAnsi="Symbol"/>
      </w:rPr>
    </w:lvl>
    <w:lvl w:ilvl="4" w:tplc="E40C2EB2">
      <w:start w:val="1"/>
      <w:numFmt w:val="bullet"/>
      <w:lvlText w:val="o"/>
      <w:lvlJc w:val="left"/>
      <w:pPr>
        <w:tabs>
          <w:tab w:val="num" w:pos="3600"/>
        </w:tabs>
        <w:ind w:left="3600" w:hanging="360"/>
      </w:pPr>
      <w:rPr>
        <w:rFonts w:ascii="Courier New" w:hAnsi="Courier New"/>
      </w:rPr>
    </w:lvl>
    <w:lvl w:ilvl="5" w:tplc="DA7EC602">
      <w:start w:val="1"/>
      <w:numFmt w:val="bullet"/>
      <w:lvlText w:val=""/>
      <w:lvlJc w:val="left"/>
      <w:pPr>
        <w:tabs>
          <w:tab w:val="num" w:pos="4320"/>
        </w:tabs>
        <w:ind w:left="4320" w:hanging="360"/>
      </w:pPr>
      <w:rPr>
        <w:rFonts w:ascii="Wingdings" w:hAnsi="Wingdings"/>
      </w:rPr>
    </w:lvl>
    <w:lvl w:ilvl="6" w:tplc="BF3607D6">
      <w:start w:val="1"/>
      <w:numFmt w:val="bullet"/>
      <w:lvlText w:val=""/>
      <w:lvlJc w:val="left"/>
      <w:pPr>
        <w:tabs>
          <w:tab w:val="num" w:pos="5040"/>
        </w:tabs>
        <w:ind w:left="5040" w:hanging="360"/>
      </w:pPr>
      <w:rPr>
        <w:rFonts w:ascii="Symbol" w:hAnsi="Symbol"/>
      </w:rPr>
    </w:lvl>
    <w:lvl w:ilvl="7" w:tplc="E56882DC">
      <w:start w:val="1"/>
      <w:numFmt w:val="bullet"/>
      <w:lvlText w:val="o"/>
      <w:lvlJc w:val="left"/>
      <w:pPr>
        <w:tabs>
          <w:tab w:val="num" w:pos="5760"/>
        </w:tabs>
        <w:ind w:left="5760" w:hanging="360"/>
      </w:pPr>
      <w:rPr>
        <w:rFonts w:ascii="Courier New" w:hAnsi="Courier New"/>
      </w:rPr>
    </w:lvl>
    <w:lvl w:ilvl="8" w:tplc="ABD8F630">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2DCE8D4E">
      <w:start w:val="1"/>
      <w:numFmt w:val="bullet"/>
      <w:lvlText w:val="•"/>
      <w:lvlJc w:val="left"/>
      <w:pPr>
        <w:tabs>
          <w:tab w:val="num" w:pos="720"/>
        </w:tabs>
        <w:ind w:left="720" w:hanging="360"/>
      </w:pPr>
      <w:rPr>
        <w:rFonts w:ascii="Calibri" w:eastAsia="Calibri" w:hAnsi="Calibri" w:cs="Calibri"/>
        <w:b/>
        <w:i w:val="0"/>
        <w:strike w:val="0"/>
        <w:sz w:val="22"/>
      </w:rPr>
    </w:lvl>
    <w:lvl w:ilvl="1" w:tplc="960E0C58">
      <w:start w:val="1"/>
      <w:numFmt w:val="bullet"/>
      <w:lvlText w:val="o"/>
      <w:lvlJc w:val="left"/>
      <w:pPr>
        <w:tabs>
          <w:tab w:val="num" w:pos="1440"/>
        </w:tabs>
        <w:ind w:left="1440" w:hanging="360"/>
      </w:pPr>
      <w:rPr>
        <w:rFonts w:ascii="Courier New" w:hAnsi="Courier New"/>
      </w:rPr>
    </w:lvl>
    <w:lvl w:ilvl="2" w:tplc="FDEABBC2">
      <w:start w:val="1"/>
      <w:numFmt w:val="bullet"/>
      <w:lvlText w:val=""/>
      <w:lvlJc w:val="left"/>
      <w:pPr>
        <w:tabs>
          <w:tab w:val="num" w:pos="2160"/>
        </w:tabs>
        <w:ind w:left="2160" w:hanging="360"/>
      </w:pPr>
      <w:rPr>
        <w:rFonts w:ascii="Wingdings" w:hAnsi="Wingdings"/>
      </w:rPr>
    </w:lvl>
    <w:lvl w:ilvl="3" w:tplc="A8845EC2">
      <w:start w:val="1"/>
      <w:numFmt w:val="bullet"/>
      <w:lvlText w:val=""/>
      <w:lvlJc w:val="left"/>
      <w:pPr>
        <w:tabs>
          <w:tab w:val="num" w:pos="2880"/>
        </w:tabs>
        <w:ind w:left="2880" w:hanging="360"/>
      </w:pPr>
      <w:rPr>
        <w:rFonts w:ascii="Symbol" w:hAnsi="Symbol"/>
      </w:rPr>
    </w:lvl>
    <w:lvl w:ilvl="4" w:tplc="8BA84C38">
      <w:start w:val="1"/>
      <w:numFmt w:val="bullet"/>
      <w:lvlText w:val="o"/>
      <w:lvlJc w:val="left"/>
      <w:pPr>
        <w:tabs>
          <w:tab w:val="num" w:pos="3600"/>
        </w:tabs>
        <w:ind w:left="3600" w:hanging="360"/>
      </w:pPr>
      <w:rPr>
        <w:rFonts w:ascii="Courier New" w:hAnsi="Courier New"/>
      </w:rPr>
    </w:lvl>
    <w:lvl w:ilvl="5" w:tplc="6250F07E">
      <w:start w:val="1"/>
      <w:numFmt w:val="bullet"/>
      <w:lvlText w:val=""/>
      <w:lvlJc w:val="left"/>
      <w:pPr>
        <w:tabs>
          <w:tab w:val="num" w:pos="4320"/>
        </w:tabs>
        <w:ind w:left="4320" w:hanging="360"/>
      </w:pPr>
      <w:rPr>
        <w:rFonts w:ascii="Wingdings" w:hAnsi="Wingdings"/>
      </w:rPr>
    </w:lvl>
    <w:lvl w:ilvl="6" w:tplc="C2F47BAE">
      <w:start w:val="1"/>
      <w:numFmt w:val="bullet"/>
      <w:lvlText w:val=""/>
      <w:lvlJc w:val="left"/>
      <w:pPr>
        <w:tabs>
          <w:tab w:val="num" w:pos="5040"/>
        </w:tabs>
        <w:ind w:left="5040" w:hanging="360"/>
      </w:pPr>
      <w:rPr>
        <w:rFonts w:ascii="Symbol" w:hAnsi="Symbol"/>
      </w:rPr>
    </w:lvl>
    <w:lvl w:ilvl="7" w:tplc="41BC29C8">
      <w:start w:val="1"/>
      <w:numFmt w:val="bullet"/>
      <w:lvlText w:val="o"/>
      <w:lvlJc w:val="left"/>
      <w:pPr>
        <w:tabs>
          <w:tab w:val="num" w:pos="5760"/>
        </w:tabs>
        <w:ind w:left="5760" w:hanging="360"/>
      </w:pPr>
      <w:rPr>
        <w:rFonts w:ascii="Courier New" w:hAnsi="Courier New"/>
      </w:rPr>
    </w:lvl>
    <w:lvl w:ilvl="8" w:tplc="574C738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E37484DE">
      <w:start w:val="1"/>
      <w:numFmt w:val="bullet"/>
      <w:lvlText w:val="•"/>
      <w:lvlJc w:val="left"/>
      <w:pPr>
        <w:tabs>
          <w:tab w:val="num" w:pos="720"/>
        </w:tabs>
        <w:ind w:left="720" w:hanging="360"/>
      </w:pPr>
      <w:rPr>
        <w:rFonts w:ascii="Calibri" w:eastAsia="Calibri" w:hAnsi="Calibri" w:cs="Calibri"/>
        <w:b/>
        <w:i w:val="0"/>
        <w:strike w:val="0"/>
        <w:sz w:val="22"/>
      </w:rPr>
    </w:lvl>
    <w:lvl w:ilvl="1" w:tplc="A874EB62">
      <w:start w:val="1"/>
      <w:numFmt w:val="bullet"/>
      <w:lvlText w:val="o"/>
      <w:lvlJc w:val="left"/>
      <w:pPr>
        <w:tabs>
          <w:tab w:val="num" w:pos="1440"/>
        </w:tabs>
        <w:ind w:left="1440" w:hanging="360"/>
      </w:pPr>
      <w:rPr>
        <w:rFonts w:ascii="Courier New" w:hAnsi="Courier New"/>
      </w:rPr>
    </w:lvl>
    <w:lvl w:ilvl="2" w:tplc="B58E7E12">
      <w:start w:val="1"/>
      <w:numFmt w:val="bullet"/>
      <w:lvlText w:val=""/>
      <w:lvlJc w:val="left"/>
      <w:pPr>
        <w:tabs>
          <w:tab w:val="num" w:pos="2160"/>
        </w:tabs>
        <w:ind w:left="2160" w:hanging="360"/>
      </w:pPr>
      <w:rPr>
        <w:rFonts w:ascii="Wingdings" w:hAnsi="Wingdings"/>
      </w:rPr>
    </w:lvl>
    <w:lvl w:ilvl="3" w:tplc="E32EFF94">
      <w:start w:val="1"/>
      <w:numFmt w:val="bullet"/>
      <w:lvlText w:val=""/>
      <w:lvlJc w:val="left"/>
      <w:pPr>
        <w:tabs>
          <w:tab w:val="num" w:pos="2880"/>
        </w:tabs>
        <w:ind w:left="2880" w:hanging="360"/>
      </w:pPr>
      <w:rPr>
        <w:rFonts w:ascii="Symbol" w:hAnsi="Symbol"/>
      </w:rPr>
    </w:lvl>
    <w:lvl w:ilvl="4" w:tplc="761C7654">
      <w:start w:val="1"/>
      <w:numFmt w:val="bullet"/>
      <w:lvlText w:val="o"/>
      <w:lvlJc w:val="left"/>
      <w:pPr>
        <w:tabs>
          <w:tab w:val="num" w:pos="3600"/>
        </w:tabs>
        <w:ind w:left="3600" w:hanging="360"/>
      </w:pPr>
      <w:rPr>
        <w:rFonts w:ascii="Courier New" w:hAnsi="Courier New"/>
      </w:rPr>
    </w:lvl>
    <w:lvl w:ilvl="5" w:tplc="11042002">
      <w:start w:val="1"/>
      <w:numFmt w:val="bullet"/>
      <w:lvlText w:val=""/>
      <w:lvlJc w:val="left"/>
      <w:pPr>
        <w:tabs>
          <w:tab w:val="num" w:pos="4320"/>
        </w:tabs>
        <w:ind w:left="4320" w:hanging="360"/>
      </w:pPr>
      <w:rPr>
        <w:rFonts w:ascii="Wingdings" w:hAnsi="Wingdings"/>
      </w:rPr>
    </w:lvl>
    <w:lvl w:ilvl="6" w:tplc="4E8818B2">
      <w:start w:val="1"/>
      <w:numFmt w:val="bullet"/>
      <w:lvlText w:val=""/>
      <w:lvlJc w:val="left"/>
      <w:pPr>
        <w:tabs>
          <w:tab w:val="num" w:pos="5040"/>
        </w:tabs>
        <w:ind w:left="5040" w:hanging="360"/>
      </w:pPr>
      <w:rPr>
        <w:rFonts w:ascii="Symbol" w:hAnsi="Symbol"/>
      </w:rPr>
    </w:lvl>
    <w:lvl w:ilvl="7" w:tplc="C4D6F7AE">
      <w:start w:val="1"/>
      <w:numFmt w:val="bullet"/>
      <w:lvlText w:val="o"/>
      <w:lvlJc w:val="left"/>
      <w:pPr>
        <w:tabs>
          <w:tab w:val="num" w:pos="5760"/>
        </w:tabs>
        <w:ind w:left="5760" w:hanging="360"/>
      </w:pPr>
      <w:rPr>
        <w:rFonts w:ascii="Courier New" w:hAnsi="Courier New"/>
      </w:rPr>
    </w:lvl>
    <w:lvl w:ilvl="8" w:tplc="61B25A1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C2F6D6E0">
      <w:start w:val="1"/>
      <w:numFmt w:val="bullet"/>
      <w:lvlText w:val="•"/>
      <w:lvlJc w:val="left"/>
      <w:pPr>
        <w:tabs>
          <w:tab w:val="num" w:pos="720"/>
        </w:tabs>
        <w:ind w:left="720" w:hanging="360"/>
      </w:pPr>
      <w:rPr>
        <w:rFonts w:ascii="Calibri" w:eastAsia="Calibri" w:hAnsi="Calibri" w:cs="Calibri"/>
        <w:b w:val="0"/>
        <w:i w:val="0"/>
        <w:strike w:val="0"/>
        <w:sz w:val="22"/>
      </w:rPr>
    </w:lvl>
    <w:lvl w:ilvl="1" w:tplc="E8DCBCFE">
      <w:start w:val="1"/>
      <w:numFmt w:val="bullet"/>
      <w:lvlText w:val="o"/>
      <w:lvlJc w:val="left"/>
      <w:pPr>
        <w:tabs>
          <w:tab w:val="num" w:pos="1440"/>
        </w:tabs>
        <w:ind w:left="1440" w:hanging="360"/>
      </w:pPr>
      <w:rPr>
        <w:rFonts w:ascii="Courier New" w:hAnsi="Courier New"/>
      </w:rPr>
    </w:lvl>
    <w:lvl w:ilvl="2" w:tplc="F2B0CD24">
      <w:start w:val="1"/>
      <w:numFmt w:val="bullet"/>
      <w:lvlText w:val=""/>
      <w:lvlJc w:val="left"/>
      <w:pPr>
        <w:tabs>
          <w:tab w:val="num" w:pos="2160"/>
        </w:tabs>
        <w:ind w:left="2160" w:hanging="360"/>
      </w:pPr>
      <w:rPr>
        <w:rFonts w:ascii="Wingdings" w:hAnsi="Wingdings"/>
      </w:rPr>
    </w:lvl>
    <w:lvl w:ilvl="3" w:tplc="522CE47E">
      <w:start w:val="1"/>
      <w:numFmt w:val="bullet"/>
      <w:lvlText w:val=""/>
      <w:lvlJc w:val="left"/>
      <w:pPr>
        <w:tabs>
          <w:tab w:val="num" w:pos="2880"/>
        </w:tabs>
        <w:ind w:left="2880" w:hanging="360"/>
      </w:pPr>
      <w:rPr>
        <w:rFonts w:ascii="Symbol" w:hAnsi="Symbol"/>
      </w:rPr>
    </w:lvl>
    <w:lvl w:ilvl="4" w:tplc="683E7EC8">
      <w:start w:val="1"/>
      <w:numFmt w:val="bullet"/>
      <w:lvlText w:val="o"/>
      <w:lvlJc w:val="left"/>
      <w:pPr>
        <w:tabs>
          <w:tab w:val="num" w:pos="3600"/>
        </w:tabs>
        <w:ind w:left="3600" w:hanging="360"/>
      </w:pPr>
      <w:rPr>
        <w:rFonts w:ascii="Courier New" w:hAnsi="Courier New"/>
      </w:rPr>
    </w:lvl>
    <w:lvl w:ilvl="5" w:tplc="1D1066A0">
      <w:start w:val="1"/>
      <w:numFmt w:val="bullet"/>
      <w:lvlText w:val=""/>
      <w:lvlJc w:val="left"/>
      <w:pPr>
        <w:tabs>
          <w:tab w:val="num" w:pos="4320"/>
        </w:tabs>
        <w:ind w:left="4320" w:hanging="360"/>
      </w:pPr>
      <w:rPr>
        <w:rFonts w:ascii="Wingdings" w:hAnsi="Wingdings"/>
      </w:rPr>
    </w:lvl>
    <w:lvl w:ilvl="6" w:tplc="929849EE">
      <w:start w:val="1"/>
      <w:numFmt w:val="bullet"/>
      <w:lvlText w:val=""/>
      <w:lvlJc w:val="left"/>
      <w:pPr>
        <w:tabs>
          <w:tab w:val="num" w:pos="5040"/>
        </w:tabs>
        <w:ind w:left="5040" w:hanging="360"/>
      </w:pPr>
      <w:rPr>
        <w:rFonts w:ascii="Symbol" w:hAnsi="Symbol"/>
      </w:rPr>
    </w:lvl>
    <w:lvl w:ilvl="7" w:tplc="C2D855CA">
      <w:start w:val="1"/>
      <w:numFmt w:val="bullet"/>
      <w:lvlText w:val="o"/>
      <w:lvlJc w:val="left"/>
      <w:pPr>
        <w:tabs>
          <w:tab w:val="num" w:pos="5760"/>
        </w:tabs>
        <w:ind w:left="5760" w:hanging="360"/>
      </w:pPr>
      <w:rPr>
        <w:rFonts w:ascii="Courier New" w:hAnsi="Courier New"/>
      </w:rPr>
    </w:lvl>
    <w:lvl w:ilvl="8" w:tplc="82F8C636">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2DBC030C">
      <w:start w:val="1"/>
      <w:numFmt w:val="bullet"/>
      <w:lvlText w:val="•"/>
      <w:lvlJc w:val="left"/>
      <w:pPr>
        <w:tabs>
          <w:tab w:val="num" w:pos="720"/>
        </w:tabs>
        <w:ind w:left="720" w:hanging="360"/>
      </w:pPr>
      <w:rPr>
        <w:rFonts w:ascii="Calibri" w:eastAsia="Calibri" w:hAnsi="Calibri" w:cs="Calibri"/>
        <w:b w:val="0"/>
        <w:i w:val="0"/>
        <w:strike w:val="0"/>
        <w:sz w:val="22"/>
      </w:rPr>
    </w:lvl>
    <w:lvl w:ilvl="1" w:tplc="478E9352">
      <w:start w:val="1"/>
      <w:numFmt w:val="bullet"/>
      <w:lvlText w:val="o"/>
      <w:lvlJc w:val="left"/>
      <w:pPr>
        <w:tabs>
          <w:tab w:val="num" w:pos="1440"/>
        </w:tabs>
        <w:ind w:left="1440" w:hanging="360"/>
      </w:pPr>
      <w:rPr>
        <w:rFonts w:ascii="Courier New" w:hAnsi="Courier New"/>
      </w:rPr>
    </w:lvl>
    <w:lvl w:ilvl="2" w:tplc="1B90AFA0">
      <w:start w:val="1"/>
      <w:numFmt w:val="bullet"/>
      <w:lvlText w:val=""/>
      <w:lvlJc w:val="left"/>
      <w:pPr>
        <w:tabs>
          <w:tab w:val="num" w:pos="2160"/>
        </w:tabs>
        <w:ind w:left="2160" w:hanging="360"/>
      </w:pPr>
      <w:rPr>
        <w:rFonts w:ascii="Wingdings" w:hAnsi="Wingdings"/>
      </w:rPr>
    </w:lvl>
    <w:lvl w:ilvl="3" w:tplc="410CBE5A">
      <w:start w:val="1"/>
      <w:numFmt w:val="bullet"/>
      <w:lvlText w:val=""/>
      <w:lvlJc w:val="left"/>
      <w:pPr>
        <w:tabs>
          <w:tab w:val="num" w:pos="2880"/>
        </w:tabs>
        <w:ind w:left="2880" w:hanging="360"/>
      </w:pPr>
      <w:rPr>
        <w:rFonts w:ascii="Symbol" w:hAnsi="Symbol"/>
      </w:rPr>
    </w:lvl>
    <w:lvl w:ilvl="4" w:tplc="2CE49996">
      <w:start w:val="1"/>
      <w:numFmt w:val="bullet"/>
      <w:lvlText w:val="o"/>
      <w:lvlJc w:val="left"/>
      <w:pPr>
        <w:tabs>
          <w:tab w:val="num" w:pos="3600"/>
        </w:tabs>
        <w:ind w:left="3600" w:hanging="360"/>
      </w:pPr>
      <w:rPr>
        <w:rFonts w:ascii="Courier New" w:hAnsi="Courier New"/>
      </w:rPr>
    </w:lvl>
    <w:lvl w:ilvl="5" w:tplc="B56EED5E">
      <w:start w:val="1"/>
      <w:numFmt w:val="bullet"/>
      <w:lvlText w:val=""/>
      <w:lvlJc w:val="left"/>
      <w:pPr>
        <w:tabs>
          <w:tab w:val="num" w:pos="4320"/>
        </w:tabs>
        <w:ind w:left="4320" w:hanging="360"/>
      </w:pPr>
      <w:rPr>
        <w:rFonts w:ascii="Wingdings" w:hAnsi="Wingdings"/>
      </w:rPr>
    </w:lvl>
    <w:lvl w:ilvl="6" w:tplc="D77089FA">
      <w:start w:val="1"/>
      <w:numFmt w:val="bullet"/>
      <w:lvlText w:val=""/>
      <w:lvlJc w:val="left"/>
      <w:pPr>
        <w:tabs>
          <w:tab w:val="num" w:pos="5040"/>
        </w:tabs>
        <w:ind w:left="5040" w:hanging="360"/>
      </w:pPr>
      <w:rPr>
        <w:rFonts w:ascii="Symbol" w:hAnsi="Symbol"/>
      </w:rPr>
    </w:lvl>
    <w:lvl w:ilvl="7" w:tplc="BA2CBBC2">
      <w:start w:val="1"/>
      <w:numFmt w:val="bullet"/>
      <w:lvlText w:val="o"/>
      <w:lvlJc w:val="left"/>
      <w:pPr>
        <w:tabs>
          <w:tab w:val="num" w:pos="5760"/>
        </w:tabs>
        <w:ind w:left="5760" w:hanging="360"/>
      </w:pPr>
      <w:rPr>
        <w:rFonts w:ascii="Courier New" w:hAnsi="Courier New"/>
      </w:rPr>
    </w:lvl>
    <w:lvl w:ilvl="8" w:tplc="AE2C3CEE">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D6CAD72">
      <w:start w:val="1"/>
      <w:numFmt w:val="bullet"/>
      <w:lvlText w:val="•"/>
      <w:lvlJc w:val="left"/>
      <w:pPr>
        <w:tabs>
          <w:tab w:val="num" w:pos="720"/>
        </w:tabs>
        <w:ind w:left="720" w:hanging="360"/>
      </w:pPr>
      <w:rPr>
        <w:rFonts w:ascii="Calibri" w:eastAsia="Calibri" w:hAnsi="Calibri" w:cs="Calibri"/>
        <w:b w:val="0"/>
        <w:i w:val="0"/>
        <w:strike w:val="0"/>
        <w:sz w:val="22"/>
      </w:rPr>
    </w:lvl>
    <w:lvl w:ilvl="1" w:tplc="7F4860F6">
      <w:start w:val="1"/>
      <w:numFmt w:val="bullet"/>
      <w:lvlText w:val="o"/>
      <w:lvlJc w:val="left"/>
      <w:pPr>
        <w:tabs>
          <w:tab w:val="num" w:pos="1440"/>
        </w:tabs>
        <w:ind w:left="1440" w:hanging="360"/>
      </w:pPr>
      <w:rPr>
        <w:rFonts w:ascii="Courier New" w:hAnsi="Courier New"/>
      </w:rPr>
    </w:lvl>
    <w:lvl w:ilvl="2" w:tplc="225C6E64">
      <w:start w:val="1"/>
      <w:numFmt w:val="bullet"/>
      <w:lvlText w:val=""/>
      <w:lvlJc w:val="left"/>
      <w:pPr>
        <w:tabs>
          <w:tab w:val="num" w:pos="2160"/>
        </w:tabs>
        <w:ind w:left="2160" w:hanging="360"/>
      </w:pPr>
      <w:rPr>
        <w:rFonts w:ascii="Wingdings" w:hAnsi="Wingdings"/>
      </w:rPr>
    </w:lvl>
    <w:lvl w:ilvl="3" w:tplc="4C72379E">
      <w:start w:val="1"/>
      <w:numFmt w:val="bullet"/>
      <w:lvlText w:val=""/>
      <w:lvlJc w:val="left"/>
      <w:pPr>
        <w:tabs>
          <w:tab w:val="num" w:pos="2880"/>
        </w:tabs>
        <w:ind w:left="2880" w:hanging="360"/>
      </w:pPr>
      <w:rPr>
        <w:rFonts w:ascii="Symbol" w:hAnsi="Symbol"/>
      </w:rPr>
    </w:lvl>
    <w:lvl w:ilvl="4" w:tplc="02C0CC46">
      <w:start w:val="1"/>
      <w:numFmt w:val="bullet"/>
      <w:lvlText w:val="o"/>
      <w:lvlJc w:val="left"/>
      <w:pPr>
        <w:tabs>
          <w:tab w:val="num" w:pos="3600"/>
        </w:tabs>
        <w:ind w:left="3600" w:hanging="360"/>
      </w:pPr>
      <w:rPr>
        <w:rFonts w:ascii="Courier New" w:hAnsi="Courier New"/>
      </w:rPr>
    </w:lvl>
    <w:lvl w:ilvl="5" w:tplc="550640A8">
      <w:start w:val="1"/>
      <w:numFmt w:val="bullet"/>
      <w:lvlText w:val=""/>
      <w:lvlJc w:val="left"/>
      <w:pPr>
        <w:tabs>
          <w:tab w:val="num" w:pos="4320"/>
        </w:tabs>
        <w:ind w:left="4320" w:hanging="360"/>
      </w:pPr>
      <w:rPr>
        <w:rFonts w:ascii="Wingdings" w:hAnsi="Wingdings"/>
      </w:rPr>
    </w:lvl>
    <w:lvl w:ilvl="6" w:tplc="F4725340">
      <w:start w:val="1"/>
      <w:numFmt w:val="bullet"/>
      <w:lvlText w:val=""/>
      <w:lvlJc w:val="left"/>
      <w:pPr>
        <w:tabs>
          <w:tab w:val="num" w:pos="5040"/>
        </w:tabs>
        <w:ind w:left="5040" w:hanging="360"/>
      </w:pPr>
      <w:rPr>
        <w:rFonts w:ascii="Symbol" w:hAnsi="Symbol"/>
      </w:rPr>
    </w:lvl>
    <w:lvl w:ilvl="7" w:tplc="0E0E76BA">
      <w:start w:val="1"/>
      <w:numFmt w:val="bullet"/>
      <w:lvlText w:val="o"/>
      <w:lvlJc w:val="left"/>
      <w:pPr>
        <w:tabs>
          <w:tab w:val="num" w:pos="5760"/>
        </w:tabs>
        <w:ind w:left="5760" w:hanging="360"/>
      </w:pPr>
      <w:rPr>
        <w:rFonts w:ascii="Courier New" w:hAnsi="Courier New"/>
      </w:rPr>
    </w:lvl>
    <w:lvl w:ilvl="8" w:tplc="626C3034">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0F9670CA">
      <w:start w:val="1"/>
      <w:numFmt w:val="bullet"/>
      <w:lvlText w:val="•"/>
      <w:lvlJc w:val="left"/>
      <w:pPr>
        <w:tabs>
          <w:tab w:val="num" w:pos="720"/>
        </w:tabs>
        <w:ind w:left="720" w:hanging="360"/>
      </w:pPr>
      <w:rPr>
        <w:rFonts w:ascii="Calibri" w:eastAsia="Calibri" w:hAnsi="Calibri" w:cs="Calibri"/>
        <w:b w:val="0"/>
        <w:i w:val="0"/>
        <w:strike w:val="0"/>
        <w:sz w:val="22"/>
      </w:rPr>
    </w:lvl>
    <w:lvl w:ilvl="1" w:tplc="89B20C2C">
      <w:start w:val="1"/>
      <w:numFmt w:val="bullet"/>
      <w:lvlText w:val="o"/>
      <w:lvlJc w:val="left"/>
      <w:pPr>
        <w:tabs>
          <w:tab w:val="num" w:pos="1440"/>
        </w:tabs>
        <w:ind w:left="1440" w:hanging="360"/>
      </w:pPr>
      <w:rPr>
        <w:rFonts w:ascii="Courier New" w:hAnsi="Courier New"/>
      </w:rPr>
    </w:lvl>
    <w:lvl w:ilvl="2" w:tplc="2FF67BEA">
      <w:start w:val="1"/>
      <w:numFmt w:val="bullet"/>
      <w:lvlText w:val=""/>
      <w:lvlJc w:val="left"/>
      <w:pPr>
        <w:tabs>
          <w:tab w:val="num" w:pos="2160"/>
        </w:tabs>
        <w:ind w:left="2160" w:hanging="360"/>
      </w:pPr>
      <w:rPr>
        <w:rFonts w:ascii="Wingdings" w:hAnsi="Wingdings"/>
      </w:rPr>
    </w:lvl>
    <w:lvl w:ilvl="3" w:tplc="423A0C80">
      <w:start w:val="1"/>
      <w:numFmt w:val="bullet"/>
      <w:lvlText w:val=""/>
      <w:lvlJc w:val="left"/>
      <w:pPr>
        <w:tabs>
          <w:tab w:val="num" w:pos="2880"/>
        </w:tabs>
        <w:ind w:left="2880" w:hanging="360"/>
      </w:pPr>
      <w:rPr>
        <w:rFonts w:ascii="Symbol" w:hAnsi="Symbol"/>
      </w:rPr>
    </w:lvl>
    <w:lvl w:ilvl="4" w:tplc="D4FC69C2">
      <w:start w:val="1"/>
      <w:numFmt w:val="bullet"/>
      <w:lvlText w:val="o"/>
      <w:lvlJc w:val="left"/>
      <w:pPr>
        <w:tabs>
          <w:tab w:val="num" w:pos="3600"/>
        </w:tabs>
        <w:ind w:left="3600" w:hanging="360"/>
      </w:pPr>
      <w:rPr>
        <w:rFonts w:ascii="Courier New" w:hAnsi="Courier New"/>
      </w:rPr>
    </w:lvl>
    <w:lvl w:ilvl="5" w:tplc="ABA449FE">
      <w:start w:val="1"/>
      <w:numFmt w:val="bullet"/>
      <w:lvlText w:val=""/>
      <w:lvlJc w:val="left"/>
      <w:pPr>
        <w:tabs>
          <w:tab w:val="num" w:pos="4320"/>
        </w:tabs>
        <w:ind w:left="4320" w:hanging="360"/>
      </w:pPr>
      <w:rPr>
        <w:rFonts w:ascii="Wingdings" w:hAnsi="Wingdings"/>
      </w:rPr>
    </w:lvl>
    <w:lvl w:ilvl="6" w:tplc="FAB23550">
      <w:start w:val="1"/>
      <w:numFmt w:val="bullet"/>
      <w:lvlText w:val=""/>
      <w:lvlJc w:val="left"/>
      <w:pPr>
        <w:tabs>
          <w:tab w:val="num" w:pos="5040"/>
        </w:tabs>
        <w:ind w:left="5040" w:hanging="360"/>
      </w:pPr>
      <w:rPr>
        <w:rFonts w:ascii="Symbol" w:hAnsi="Symbol"/>
      </w:rPr>
    </w:lvl>
    <w:lvl w:ilvl="7" w:tplc="A3881332">
      <w:start w:val="1"/>
      <w:numFmt w:val="bullet"/>
      <w:lvlText w:val="o"/>
      <w:lvlJc w:val="left"/>
      <w:pPr>
        <w:tabs>
          <w:tab w:val="num" w:pos="5760"/>
        </w:tabs>
        <w:ind w:left="5760" w:hanging="360"/>
      </w:pPr>
      <w:rPr>
        <w:rFonts w:ascii="Courier New" w:hAnsi="Courier New"/>
      </w:rPr>
    </w:lvl>
    <w:lvl w:ilvl="8" w:tplc="B6BAB3B8">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94866000">
      <w:start w:val="1"/>
      <w:numFmt w:val="bullet"/>
      <w:lvlText w:val="•"/>
      <w:lvlJc w:val="left"/>
      <w:pPr>
        <w:tabs>
          <w:tab w:val="num" w:pos="720"/>
        </w:tabs>
        <w:ind w:left="720" w:hanging="360"/>
      </w:pPr>
      <w:rPr>
        <w:rFonts w:ascii="Calibri" w:eastAsia="Calibri" w:hAnsi="Calibri" w:cs="Calibri"/>
        <w:b w:val="0"/>
        <w:i w:val="0"/>
        <w:strike w:val="0"/>
        <w:sz w:val="22"/>
      </w:rPr>
    </w:lvl>
    <w:lvl w:ilvl="1" w:tplc="4B94C658">
      <w:start w:val="1"/>
      <w:numFmt w:val="bullet"/>
      <w:lvlText w:val="o"/>
      <w:lvlJc w:val="left"/>
      <w:pPr>
        <w:tabs>
          <w:tab w:val="num" w:pos="1440"/>
        </w:tabs>
        <w:ind w:left="1440" w:hanging="360"/>
      </w:pPr>
      <w:rPr>
        <w:rFonts w:ascii="Courier New" w:hAnsi="Courier New"/>
      </w:rPr>
    </w:lvl>
    <w:lvl w:ilvl="2" w:tplc="C74673A2">
      <w:start w:val="1"/>
      <w:numFmt w:val="bullet"/>
      <w:lvlText w:val=""/>
      <w:lvlJc w:val="left"/>
      <w:pPr>
        <w:tabs>
          <w:tab w:val="num" w:pos="2160"/>
        </w:tabs>
        <w:ind w:left="2160" w:hanging="360"/>
      </w:pPr>
      <w:rPr>
        <w:rFonts w:ascii="Wingdings" w:hAnsi="Wingdings"/>
      </w:rPr>
    </w:lvl>
    <w:lvl w:ilvl="3" w:tplc="A9B897CA">
      <w:start w:val="1"/>
      <w:numFmt w:val="bullet"/>
      <w:lvlText w:val=""/>
      <w:lvlJc w:val="left"/>
      <w:pPr>
        <w:tabs>
          <w:tab w:val="num" w:pos="2880"/>
        </w:tabs>
        <w:ind w:left="2880" w:hanging="360"/>
      </w:pPr>
      <w:rPr>
        <w:rFonts w:ascii="Symbol" w:hAnsi="Symbol"/>
      </w:rPr>
    </w:lvl>
    <w:lvl w:ilvl="4" w:tplc="A66855C0">
      <w:start w:val="1"/>
      <w:numFmt w:val="bullet"/>
      <w:lvlText w:val="o"/>
      <w:lvlJc w:val="left"/>
      <w:pPr>
        <w:tabs>
          <w:tab w:val="num" w:pos="3600"/>
        </w:tabs>
        <w:ind w:left="3600" w:hanging="360"/>
      </w:pPr>
      <w:rPr>
        <w:rFonts w:ascii="Courier New" w:hAnsi="Courier New"/>
      </w:rPr>
    </w:lvl>
    <w:lvl w:ilvl="5" w:tplc="133E94AA">
      <w:start w:val="1"/>
      <w:numFmt w:val="bullet"/>
      <w:lvlText w:val=""/>
      <w:lvlJc w:val="left"/>
      <w:pPr>
        <w:tabs>
          <w:tab w:val="num" w:pos="4320"/>
        </w:tabs>
        <w:ind w:left="4320" w:hanging="360"/>
      </w:pPr>
      <w:rPr>
        <w:rFonts w:ascii="Wingdings" w:hAnsi="Wingdings"/>
      </w:rPr>
    </w:lvl>
    <w:lvl w:ilvl="6" w:tplc="DB0E3896">
      <w:start w:val="1"/>
      <w:numFmt w:val="bullet"/>
      <w:lvlText w:val=""/>
      <w:lvlJc w:val="left"/>
      <w:pPr>
        <w:tabs>
          <w:tab w:val="num" w:pos="5040"/>
        </w:tabs>
        <w:ind w:left="5040" w:hanging="360"/>
      </w:pPr>
      <w:rPr>
        <w:rFonts w:ascii="Symbol" w:hAnsi="Symbol"/>
      </w:rPr>
    </w:lvl>
    <w:lvl w:ilvl="7" w:tplc="4498EC82">
      <w:start w:val="1"/>
      <w:numFmt w:val="bullet"/>
      <w:lvlText w:val="o"/>
      <w:lvlJc w:val="left"/>
      <w:pPr>
        <w:tabs>
          <w:tab w:val="num" w:pos="5760"/>
        </w:tabs>
        <w:ind w:left="5760" w:hanging="360"/>
      </w:pPr>
      <w:rPr>
        <w:rFonts w:ascii="Courier New" w:hAnsi="Courier New"/>
      </w:rPr>
    </w:lvl>
    <w:lvl w:ilvl="8" w:tplc="C492C88C">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C848FAB4">
      <w:start w:val="1"/>
      <w:numFmt w:val="bullet"/>
      <w:lvlText w:val="•"/>
      <w:lvlJc w:val="left"/>
      <w:pPr>
        <w:tabs>
          <w:tab w:val="num" w:pos="720"/>
        </w:tabs>
        <w:ind w:left="720" w:hanging="360"/>
      </w:pPr>
      <w:rPr>
        <w:rFonts w:ascii="Calibri" w:eastAsia="Calibri" w:hAnsi="Calibri" w:cs="Calibri"/>
        <w:b w:val="0"/>
        <w:i w:val="0"/>
        <w:strike w:val="0"/>
        <w:sz w:val="22"/>
      </w:rPr>
    </w:lvl>
    <w:lvl w:ilvl="1" w:tplc="4EEC288C">
      <w:start w:val="1"/>
      <w:numFmt w:val="bullet"/>
      <w:lvlText w:val="o"/>
      <w:lvlJc w:val="left"/>
      <w:pPr>
        <w:tabs>
          <w:tab w:val="num" w:pos="1440"/>
        </w:tabs>
        <w:ind w:left="1440" w:hanging="360"/>
      </w:pPr>
      <w:rPr>
        <w:rFonts w:ascii="Courier New" w:hAnsi="Courier New"/>
      </w:rPr>
    </w:lvl>
    <w:lvl w:ilvl="2" w:tplc="D4CAEC98">
      <w:start w:val="1"/>
      <w:numFmt w:val="bullet"/>
      <w:lvlText w:val=""/>
      <w:lvlJc w:val="left"/>
      <w:pPr>
        <w:tabs>
          <w:tab w:val="num" w:pos="2160"/>
        </w:tabs>
        <w:ind w:left="2160" w:hanging="360"/>
      </w:pPr>
      <w:rPr>
        <w:rFonts w:ascii="Wingdings" w:hAnsi="Wingdings"/>
      </w:rPr>
    </w:lvl>
    <w:lvl w:ilvl="3" w:tplc="427C13E8">
      <w:start w:val="1"/>
      <w:numFmt w:val="bullet"/>
      <w:lvlText w:val=""/>
      <w:lvlJc w:val="left"/>
      <w:pPr>
        <w:tabs>
          <w:tab w:val="num" w:pos="2880"/>
        </w:tabs>
        <w:ind w:left="2880" w:hanging="360"/>
      </w:pPr>
      <w:rPr>
        <w:rFonts w:ascii="Symbol" w:hAnsi="Symbol"/>
      </w:rPr>
    </w:lvl>
    <w:lvl w:ilvl="4" w:tplc="27AEAF96">
      <w:start w:val="1"/>
      <w:numFmt w:val="bullet"/>
      <w:lvlText w:val="o"/>
      <w:lvlJc w:val="left"/>
      <w:pPr>
        <w:tabs>
          <w:tab w:val="num" w:pos="3600"/>
        </w:tabs>
        <w:ind w:left="3600" w:hanging="360"/>
      </w:pPr>
      <w:rPr>
        <w:rFonts w:ascii="Courier New" w:hAnsi="Courier New"/>
      </w:rPr>
    </w:lvl>
    <w:lvl w:ilvl="5" w:tplc="88860DBE">
      <w:start w:val="1"/>
      <w:numFmt w:val="bullet"/>
      <w:lvlText w:val=""/>
      <w:lvlJc w:val="left"/>
      <w:pPr>
        <w:tabs>
          <w:tab w:val="num" w:pos="4320"/>
        </w:tabs>
        <w:ind w:left="4320" w:hanging="360"/>
      </w:pPr>
      <w:rPr>
        <w:rFonts w:ascii="Wingdings" w:hAnsi="Wingdings"/>
      </w:rPr>
    </w:lvl>
    <w:lvl w:ilvl="6" w:tplc="B3AEA882">
      <w:start w:val="1"/>
      <w:numFmt w:val="bullet"/>
      <w:lvlText w:val=""/>
      <w:lvlJc w:val="left"/>
      <w:pPr>
        <w:tabs>
          <w:tab w:val="num" w:pos="5040"/>
        </w:tabs>
        <w:ind w:left="5040" w:hanging="360"/>
      </w:pPr>
      <w:rPr>
        <w:rFonts w:ascii="Symbol" w:hAnsi="Symbol"/>
      </w:rPr>
    </w:lvl>
    <w:lvl w:ilvl="7" w:tplc="11CAD768">
      <w:start w:val="1"/>
      <w:numFmt w:val="bullet"/>
      <w:lvlText w:val="o"/>
      <w:lvlJc w:val="left"/>
      <w:pPr>
        <w:tabs>
          <w:tab w:val="num" w:pos="5760"/>
        </w:tabs>
        <w:ind w:left="5760" w:hanging="360"/>
      </w:pPr>
      <w:rPr>
        <w:rFonts w:ascii="Courier New" w:hAnsi="Courier New"/>
      </w:rPr>
    </w:lvl>
    <w:lvl w:ilvl="8" w:tplc="58FA0264">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C2EC76E8">
      <w:start w:val="1"/>
      <w:numFmt w:val="bullet"/>
      <w:lvlText w:val="•"/>
      <w:lvlJc w:val="left"/>
      <w:pPr>
        <w:tabs>
          <w:tab w:val="num" w:pos="720"/>
        </w:tabs>
        <w:ind w:left="720" w:hanging="360"/>
      </w:pPr>
      <w:rPr>
        <w:rFonts w:ascii="Calibri" w:eastAsia="Calibri" w:hAnsi="Calibri" w:cs="Calibri"/>
        <w:b w:val="0"/>
        <w:i w:val="0"/>
        <w:strike w:val="0"/>
        <w:sz w:val="22"/>
      </w:rPr>
    </w:lvl>
    <w:lvl w:ilvl="1" w:tplc="19B80C84">
      <w:start w:val="1"/>
      <w:numFmt w:val="bullet"/>
      <w:lvlText w:val="o"/>
      <w:lvlJc w:val="left"/>
      <w:pPr>
        <w:tabs>
          <w:tab w:val="num" w:pos="1440"/>
        </w:tabs>
        <w:ind w:left="1440" w:hanging="360"/>
      </w:pPr>
      <w:rPr>
        <w:rFonts w:ascii="Courier New" w:hAnsi="Courier New"/>
      </w:rPr>
    </w:lvl>
    <w:lvl w:ilvl="2" w:tplc="85800A2C">
      <w:start w:val="1"/>
      <w:numFmt w:val="bullet"/>
      <w:lvlText w:val=""/>
      <w:lvlJc w:val="left"/>
      <w:pPr>
        <w:tabs>
          <w:tab w:val="num" w:pos="2160"/>
        </w:tabs>
        <w:ind w:left="2160" w:hanging="360"/>
      </w:pPr>
      <w:rPr>
        <w:rFonts w:ascii="Wingdings" w:hAnsi="Wingdings"/>
      </w:rPr>
    </w:lvl>
    <w:lvl w:ilvl="3" w:tplc="A5D0BC84">
      <w:start w:val="1"/>
      <w:numFmt w:val="bullet"/>
      <w:lvlText w:val=""/>
      <w:lvlJc w:val="left"/>
      <w:pPr>
        <w:tabs>
          <w:tab w:val="num" w:pos="2880"/>
        </w:tabs>
        <w:ind w:left="2880" w:hanging="360"/>
      </w:pPr>
      <w:rPr>
        <w:rFonts w:ascii="Symbol" w:hAnsi="Symbol"/>
      </w:rPr>
    </w:lvl>
    <w:lvl w:ilvl="4" w:tplc="C1DEE6EA">
      <w:start w:val="1"/>
      <w:numFmt w:val="bullet"/>
      <w:lvlText w:val="o"/>
      <w:lvlJc w:val="left"/>
      <w:pPr>
        <w:tabs>
          <w:tab w:val="num" w:pos="3600"/>
        </w:tabs>
        <w:ind w:left="3600" w:hanging="360"/>
      </w:pPr>
      <w:rPr>
        <w:rFonts w:ascii="Courier New" w:hAnsi="Courier New"/>
      </w:rPr>
    </w:lvl>
    <w:lvl w:ilvl="5" w:tplc="58E48044">
      <w:start w:val="1"/>
      <w:numFmt w:val="bullet"/>
      <w:lvlText w:val=""/>
      <w:lvlJc w:val="left"/>
      <w:pPr>
        <w:tabs>
          <w:tab w:val="num" w:pos="4320"/>
        </w:tabs>
        <w:ind w:left="4320" w:hanging="360"/>
      </w:pPr>
      <w:rPr>
        <w:rFonts w:ascii="Wingdings" w:hAnsi="Wingdings"/>
      </w:rPr>
    </w:lvl>
    <w:lvl w:ilvl="6" w:tplc="3E349AF6">
      <w:start w:val="1"/>
      <w:numFmt w:val="bullet"/>
      <w:lvlText w:val=""/>
      <w:lvlJc w:val="left"/>
      <w:pPr>
        <w:tabs>
          <w:tab w:val="num" w:pos="5040"/>
        </w:tabs>
        <w:ind w:left="5040" w:hanging="360"/>
      </w:pPr>
      <w:rPr>
        <w:rFonts w:ascii="Symbol" w:hAnsi="Symbol"/>
      </w:rPr>
    </w:lvl>
    <w:lvl w:ilvl="7" w:tplc="583EBA58">
      <w:start w:val="1"/>
      <w:numFmt w:val="bullet"/>
      <w:lvlText w:val="o"/>
      <w:lvlJc w:val="left"/>
      <w:pPr>
        <w:tabs>
          <w:tab w:val="num" w:pos="5760"/>
        </w:tabs>
        <w:ind w:left="5760" w:hanging="360"/>
      </w:pPr>
      <w:rPr>
        <w:rFonts w:ascii="Courier New" w:hAnsi="Courier New"/>
      </w:rPr>
    </w:lvl>
    <w:lvl w:ilvl="8" w:tplc="71F8D0C4">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3F0E90F4">
      <w:start w:val="1"/>
      <w:numFmt w:val="bullet"/>
      <w:lvlText w:val="•"/>
      <w:lvlJc w:val="left"/>
      <w:pPr>
        <w:tabs>
          <w:tab w:val="num" w:pos="720"/>
        </w:tabs>
        <w:ind w:left="720" w:hanging="360"/>
      </w:pPr>
      <w:rPr>
        <w:rFonts w:ascii="Calibri" w:eastAsia="Calibri" w:hAnsi="Calibri" w:cs="Calibri"/>
        <w:b w:val="0"/>
        <w:i w:val="0"/>
        <w:strike w:val="0"/>
        <w:sz w:val="22"/>
      </w:rPr>
    </w:lvl>
    <w:lvl w:ilvl="1" w:tplc="658649D4">
      <w:start w:val="1"/>
      <w:numFmt w:val="bullet"/>
      <w:lvlText w:val="o"/>
      <w:lvlJc w:val="left"/>
      <w:pPr>
        <w:tabs>
          <w:tab w:val="num" w:pos="1440"/>
        </w:tabs>
        <w:ind w:left="1440" w:hanging="360"/>
      </w:pPr>
      <w:rPr>
        <w:rFonts w:ascii="Courier New" w:hAnsi="Courier New"/>
      </w:rPr>
    </w:lvl>
    <w:lvl w:ilvl="2" w:tplc="D04EDF34">
      <w:start w:val="1"/>
      <w:numFmt w:val="bullet"/>
      <w:lvlText w:val=""/>
      <w:lvlJc w:val="left"/>
      <w:pPr>
        <w:tabs>
          <w:tab w:val="num" w:pos="2160"/>
        </w:tabs>
        <w:ind w:left="2160" w:hanging="360"/>
      </w:pPr>
      <w:rPr>
        <w:rFonts w:ascii="Wingdings" w:hAnsi="Wingdings"/>
      </w:rPr>
    </w:lvl>
    <w:lvl w:ilvl="3" w:tplc="78389DEC">
      <w:start w:val="1"/>
      <w:numFmt w:val="bullet"/>
      <w:lvlText w:val=""/>
      <w:lvlJc w:val="left"/>
      <w:pPr>
        <w:tabs>
          <w:tab w:val="num" w:pos="2880"/>
        </w:tabs>
        <w:ind w:left="2880" w:hanging="360"/>
      </w:pPr>
      <w:rPr>
        <w:rFonts w:ascii="Symbol" w:hAnsi="Symbol"/>
      </w:rPr>
    </w:lvl>
    <w:lvl w:ilvl="4" w:tplc="F7FE77DE">
      <w:start w:val="1"/>
      <w:numFmt w:val="bullet"/>
      <w:lvlText w:val="o"/>
      <w:lvlJc w:val="left"/>
      <w:pPr>
        <w:tabs>
          <w:tab w:val="num" w:pos="3600"/>
        </w:tabs>
        <w:ind w:left="3600" w:hanging="360"/>
      </w:pPr>
      <w:rPr>
        <w:rFonts w:ascii="Courier New" w:hAnsi="Courier New"/>
      </w:rPr>
    </w:lvl>
    <w:lvl w:ilvl="5" w:tplc="0EA8AE3A">
      <w:start w:val="1"/>
      <w:numFmt w:val="bullet"/>
      <w:lvlText w:val=""/>
      <w:lvlJc w:val="left"/>
      <w:pPr>
        <w:tabs>
          <w:tab w:val="num" w:pos="4320"/>
        </w:tabs>
        <w:ind w:left="4320" w:hanging="360"/>
      </w:pPr>
      <w:rPr>
        <w:rFonts w:ascii="Wingdings" w:hAnsi="Wingdings"/>
      </w:rPr>
    </w:lvl>
    <w:lvl w:ilvl="6" w:tplc="841A4D8C">
      <w:start w:val="1"/>
      <w:numFmt w:val="bullet"/>
      <w:lvlText w:val=""/>
      <w:lvlJc w:val="left"/>
      <w:pPr>
        <w:tabs>
          <w:tab w:val="num" w:pos="5040"/>
        </w:tabs>
        <w:ind w:left="5040" w:hanging="360"/>
      </w:pPr>
      <w:rPr>
        <w:rFonts w:ascii="Symbol" w:hAnsi="Symbol"/>
      </w:rPr>
    </w:lvl>
    <w:lvl w:ilvl="7" w:tplc="61F2022A">
      <w:start w:val="1"/>
      <w:numFmt w:val="bullet"/>
      <w:lvlText w:val="o"/>
      <w:lvlJc w:val="left"/>
      <w:pPr>
        <w:tabs>
          <w:tab w:val="num" w:pos="5760"/>
        </w:tabs>
        <w:ind w:left="5760" w:hanging="360"/>
      </w:pPr>
      <w:rPr>
        <w:rFonts w:ascii="Courier New" w:hAnsi="Courier New"/>
      </w:rPr>
    </w:lvl>
    <w:lvl w:ilvl="8" w:tplc="7048F902">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38F0ACD6">
      <w:start w:val="1"/>
      <w:numFmt w:val="bullet"/>
      <w:lvlText w:val="•"/>
      <w:lvlJc w:val="left"/>
      <w:pPr>
        <w:tabs>
          <w:tab w:val="num" w:pos="720"/>
        </w:tabs>
        <w:ind w:left="720" w:hanging="360"/>
      </w:pPr>
      <w:rPr>
        <w:rFonts w:ascii="Arial" w:eastAsia="Arial" w:hAnsi="Arial" w:cs="Arial"/>
        <w:b w:val="0"/>
        <w:i w:val="0"/>
        <w:strike w:val="0"/>
        <w:sz w:val="24"/>
      </w:rPr>
    </w:lvl>
    <w:lvl w:ilvl="1" w:tplc="20164C40">
      <w:start w:val="1"/>
      <w:numFmt w:val="bullet"/>
      <w:lvlText w:val="o"/>
      <w:lvlJc w:val="left"/>
      <w:pPr>
        <w:tabs>
          <w:tab w:val="num" w:pos="1440"/>
        </w:tabs>
        <w:ind w:left="1440" w:hanging="360"/>
      </w:pPr>
      <w:rPr>
        <w:rFonts w:ascii="Courier New" w:hAnsi="Courier New"/>
      </w:rPr>
    </w:lvl>
    <w:lvl w:ilvl="2" w:tplc="8CDA1130">
      <w:start w:val="1"/>
      <w:numFmt w:val="bullet"/>
      <w:lvlText w:val=""/>
      <w:lvlJc w:val="left"/>
      <w:pPr>
        <w:tabs>
          <w:tab w:val="num" w:pos="2160"/>
        </w:tabs>
        <w:ind w:left="2160" w:hanging="360"/>
      </w:pPr>
      <w:rPr>
        <w:rFonts w:ascii="Wingdings" w:hAnsi="Wingdings"/>
      </w:rPr>
    </w:lvl>
    <w:lvl w:ilvl="3" w:tplc="A230937A">
      <w:start w:val="1"/>
      <w:numFmt w:val="bullet"/>
      <w:lvlText w:val=""/>
      <w:lvlJc w:val="left"/>
      <w:pPr>
        <w:tabs>
          <w:tab w:val="num" w:pos="2880"/>
        </w:tabs>
        <w:ind w:left="2880" w:hanging="360"/>
      </w:pPr>
      <w:rPr>
        <w:rFonts w:ascii="Symbol" w:hAnsi="Symbol"/>
      </w:rPr>
    </w:lvl>
    <w:lvl w:ilvl="4" w:tplc="11FA099E">
      <w:start w:val="1"/>
      <w:numFmt w:val="bullet"/>
      <w:lvlText w:val="o"/>
      <w:lvlJc w:val="left"/>
      <w:pPr>
        <w:tabs>
          <w:tab w:val="num" w:pos="3600"/>
        </w:tabs>
        <w:ind w:left="3600" w:hanging="360"/>
      </w:pPr>
      <w:rPr>
        <w:rFonts w:ascii="Courier New" w:hAnsi="Courier New"/>
      </w:rPr>
    </w:lvl>
    <w:lvl w:ilvl="5" w:tplc="2D6255D6">
      <w:start w:val="1"/>
      <w:numFmt w:val="bullet"/>
      <w:lvlText w:val=""/>
      <w:lvlJc w:val="left"/>
      <w:pPr>
        <w:tabs>
          <w:tab w:val="num" w:pos="4320"/>
        </w:tabs>
        <w:ind w:left="4320" w:hanging="360"/>
      </w:pPr>
      <w:rPr>
        <w:rFonts w:ascii="Wingdings" w:hAnsi="Wingdings"/>
      </w:rPr>
    </w:lvl>
    <w:lvl w:ilvl="6" w:tplc="73481536">
      <w:start w:val="1"/>
      <w:numFmt w:val="bullet"/>
      <w:lvlText w:val=""/>
      <w:lvlJc w:val="left"/>
      <w:pPr>
        <w:tabs>
          <w:tab w:val="num" w:pos="5040"/>
        </w:tabs>
        <w:ind w:left="5040" w:hanging="360"/>
      </w:pPr>
      <w:rPr>
        <w:rFonts w:ascii="Symbol" w:hAnsi="Symbol"/>
      </w:rPr>
    </w:lvl>
    <w:lvl w:ilvl="7" w:tplc="37AAD07E">
      <w:start w:val="1"/>
      <w:numFmt w:val="bullet"/>
      <w:lvlText w:val="o"/>
      <w:lvlJc w:val="left"/>
      <w:pPr>
        <w:tabs>
          <w:tab w:val="num" w:pos="5760"/>
        </w:tabs>
        <w:ind w:left="5760" w:hanging="360"/>
      </w:pPr>
      <w:rPr>
        <w:rFonts w:ascii="Courier New" w:hAnsi="Courier New"/>
      </w:rPr>
    </w:lvl>
    <w:lvl w:ilvl="8" w:tplc="09880670">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A4327A38">
      <w:start w:val="1"/>
      <w:numFmt w:val="bullet"/>
      <w:lvlText w:val="•"/>
      <w:lvlJc w:val="left"/>
      <w:pPr>
        <w:tabs>
          <w:tab w:val="num" w:pos="720"/>
        </w:tabs>
        <w:ind w:left="720" w:hanging="360"/>
      </w:pPr>
      <w:rPr>
        <w:rFonts w:ascii="Arial" w:eastAsia="Arial" w:hAnsi="Arial" w:cs="Arial"/>
        <w:b w:val="0"/>
        <w:i w:val="0"/>
        <w:strike w:val="0"/>
        <w:sz w:val="24"/>
      </w:rPr>
    </w:lvl>
    <w:lvl w:ilvl="1" w:tplc="4C943E1A">
      <w:start w:val="1"/>
      <w:numFmt w:val="bullet"/>
      <w:lvlText w:val="o"/>
      <w:lvlJc w:val="left"/>
      <w:pPr>
        <w:tabs>
          <w:tab w:val="num" w:pos="1440"/>
        </w:tabs>
        <w:ind w:left="1440" w:hanging="360"/>
      </w:pPr>
      <w:rPr>
        <w:rFonts w:ascii="Courier New" w:hAnsi="Courier New"/>
      </w:rPr>
    </w:lvl>
    <w:lvl w:ilvl="2" w:tplc="BBAAE1B8">
      <w:start w:val="1"/>
      <w:numFmt w:val="bullet"/>
      <w:lvlText w:val=""/>
      <w:lvlJc w:val="left"/>
      <w:pPr>
        <w:tabs>
          <w:tab w:val="num" w:pos="2160"/>
        </w:tabs>
        <w:ind w:left="2160" w:hanging="360"/>
      </w:pPr>
      <w:rPr>
        <w:rFonts w:ascii="Wingdings" w:hAnsi="Wingdings"/>
      </w:rPr>
    </w:lvl>
    <w:lvl w:ilvl="3" w:tplc="EE00FEE2">
      <w:start w:val="1"/>
      <w:numFmt w:val="bullet"/>
      <w:lvlText w:val=""/>
      <w:lvlJc w:val="left"/>
      <w:pPr>
        <w:tabs>
          <w:tab w:val="num" w:pos="2880"/>
        </w:tabs>
        <w:ind w:left="2880" w:hanging="360"/>
      </w:pPr>
      <w:rPr>
        <w:rFonts w:ascii="Symbol" w:hAnsi="Symbol"/>
      </w:rPr>
    </w:lvl>
    <w:lvl w:ilvl="4" w:tplc="B7BC45F0">
      <w:start w:val="1"/>
      <w:numFmt w:val="bullet"/>
      <w:lvlText w:val="o"/>
      <w:lvlJc w:val="left"/>
      <w:pPr>
        <w:tabs>
          <w:tab w:val="num" w:pos="3600"/>
        </w:tabs>
        <w:ind w:left="3600" w:hanging="360"/>
      </w:pPr>
      <w:rPr>
        <w:rFonts w:ascii="Courier New" w:hAnsi="Courier New"/>
      </w:rPr>
    </w:lvl>
    <w:lvl w:ilvl="5" w:tplc="6FD0D79A">
      <w:start w:val="1"/>
      <w:numFmt w:val="bullet"/>
      <w:lvlText w:val=""/>
      <w:lvlJc w:val="left"/>
      <w:pPr>
        <w:tabs>
          <w:tab w:val="num" w:pos="4320"/>
        </w:tabs>
        <w:ind w:left="4320" w:hanging="360"/>
      </w:pPr>
      <w:rPr>
        <w:rFonts w:ascii="Wingdings" w:hAnsi="Wingdings"/>
      </w:rPr>
    </w:lvl>
    <w:lvl w:ilvl="6" w:tplc="A79A2BDE">
      <w:start w:val="1"/>
      <w:numFmt w:val="bullet"/>
      <w:lvlText w:val=""/>
      <w:lvlJc w:val="left"/>
      <w:pPr>
        <w:tabs>
          <w:tab w:val="num" w:pos="5040"/>
        </w:tabs>
        <w:ind w:left="5040" w:hanging="360"/>
      </w:pPr>
      <w:rPr>
        <w:rFonts w:ascii="Symbol" w:hAnsi="Symbol"/>
      </w:rPr>
    </w:lvl>
    <w:lvl w:ilvl="7" w:tplc="402649A6">
      <w:start w:val="1"/>
      <w:numFmt w:val="bullet"/>
      <w:lvlText w:val="o"/>
      <w:lvlJc w:val="left"/>
      <w:pPr>
        <w:tabs>
          <w:tab w:val="num" w:pos="5760"/>
        </w:tabs>
        <w:ind w:left="5760" w:hanging="360"/>
      </w:pPr>
      <w:rPr>
        <w:rFonts w:ascii="Courier New" w:hAnsi="Courier New"/>
      </w:rPr>
    </w:lvl>
    <w:lvl w:ilvl="8" w:tplc="F85C99C8">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57583DD2">
      <w:start w:val="1"/>
      <w:numFmt w:val="bullet"/>
      <w:lvlText w:val="•"/>
      <w:lvlJc w:val="left"/>
      <w:pPr>
        <w:tabs>
          <w:tab w:val="num" w:pos="720"/>
        </w:tabs>
        <w:ind w:left="720" w:hanging="360"/>
      </w:pPr>
      <w:rPr>
        <w:rFonts w:ascii="Arial" w:eastAsia="Arial" w:hAnsi="Arial" w:cs="Arial"/>
        <w:b w:val="0"/>
        <w:i w:val="0"/>
        <w:strike w:val="0"/>
        <w:sz w:val="24"/>
      </w:rPr>
    </w:lvl>
    <w:lvl w:ilvl="1" w:tplc="2A88F86A">
      <w:start w:val="1"/>
      <w:numFmt w:val="bullet"/>
      <w:lvlText w:val="o"/>
      <w:lvlJc w:val="left"/>
      <w:pPr>
        <w:tabs>
          <w:tab w:val="num" w:pos="1440"/>
        </w:tabs>
        <w:ind w:left="1440" w:hanging="360"/>
      </w:pPr>
      <w:rPr>
        <w:rFonts w:ascii="Courier New" w:hAnsi="Courier New"/>
      </w:rPr>
    </w:lvl>
    <w:lvl w:ilvl="2" w:tplc="A3B6EBAE">
      <w:start w:val="1"/>
      <w:numFmt w:val="bullet"/>
      <w:lvlText w:val=""/>
      <w:lvlJc w:val="left"/>
      <w:pPr>
        <w:tabs>
          <w:tab w:val="num" w:pos="2160"/>
        </w:tabs>
        <w:ind w:left="2160" w:hanging="360"/>
      </w:pPr>
      <w:rPr>
        <w:rFonts w:ascii="Wingdings" w:hAnsi="Wingdings"/>
      </w:rPr>
    </w:lvl>
    <w:lvl w:ilvl="3" w:tplc="2542B40A">
      <w:start w:val="1"/>
      <w:numFmt w:val="bullet"/>
      <w:lvlText w:val=""/>
      <w:lvlJc w:val="left"/>
      <w:pPr>
        <w:tabs>
          <w:tab w:val="num" w:pos="2880"/>
        </w:tabs>
        <w:ind w:left="2880" w:hanging="360"/>
      </w:pPr>
      <w:rPr>
        <w:rFonts w:ascii="Symbol" w:hAnsi="Symbol"/>
      </w:rPr>
    </w:lvl>
    <w:lvl w:ilvl="4" w:tplc="6472C8D6">
      <w:start w:val="1"/>
      <w:numFmt w:val="bullet"/>
      <w:lvlText w:val="o"/>
      <w:lvlJc w:val="left"/>
      <w:pPr>
        <w:tabs>
          <w:tab w:val="num" w:pos="3600"/>
        </w:tabs>
        <w:ind w:left="3600" w:hanging="360"/>
      </w:pPr>
      <w:rPr>
        <w:rFonts w:ascii="Courier New" w:hAnsi="Courier New"/>
      </w:rPr>
    </w:lvl>
    <w:lvl w:ilvl="5" w:tplc="6BBECA74">
      <w:start w:val="1"/>
      <w:numFmt w:val="bullet"/>
      <w:lvlText w:val=""/>
      <w:lvlJc w:val="left"/>
      <w:pPr>
        <w:tabs>
          <w:tab w:val="num" w:pos="4320"/>
        </w:tabs>
        <w:ind w:left="4320" w:hanging="360"/>
      </w:pPr>
      <w:rPr>
        <w:rFonts w:ascii="Wingdings" w:hAnsi="Wingdings"/>
      </w:rPr>
    </w:lvl>
    <w:lvl w:ilvl="6" w:tplc="4C6671C0">
      <w:start w:val="1"/>
      <w:numFmt w:val="bullet"/>
      <w:lvlText w:val=""/>
      <w:lvlJc w:val="left"/>
      <w:pPr>
        <w:tabs>
          <w:tab w:val="num" w:pos="5040"/>
        </w:tabs>
        <w:ind w:left="5040" w:hanging="360"/>
      </w:pPr>
      <w:rPr>
        <w:rFonts w:ascii="Symbol" w:hAnsi="Symbol"/>
      </w:rPr>
    </w:lvl>
    <w:lvl w:ilvl="7" w:tplc="66AE9638">
      <w:start w:val="1"/>
      <w:numFmt w:val="bullet"/>
      <w:lvlText w:val="o"/>
      <w:lvlJc w:val="left"/>
      <w:pPr>
        <w:tabs>
          <w:tab w:val="num" w:pos="5760"/>
        </w:tabs>
        <w:ind w:left="5760" w:hanging="360"/>
      </w:pPr>
      <w:rPr>
        <w:rFonts w:ascii="Courier New" w:hAnsi="Courier New"/>
      </w:rPr>
    </w:lvl>
    <w:lvl w:ilvl="8" w:tplc="5B1C95E0">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C998655A">
      <w:start w:val="1"/>
      <w:numFmt w:val="bullet"/>
      <w:lvlText w:val="•"/>
      <w:lvlJc w:val="left"/>
      <w:pPr>
        <w:tabs>
          <w:tab w:val="num" w:pos="720"/>
        </w:tabs>
        <w:ind w:left="720" w:hanging="360"/>
      </w:pPr>
      <w:rPr>
        <w:rFonts w:ascii="Arial" w:eastAsia="Arial" w:hAnsi="Arial" w:cs="Arial"/>
        <w:b w:val="0"/>
        <w:i w:val="0"/>
        <w:strike w:val="0"/>
        <w:sz w:val="24"/>
      </w:rPr>
    </w:lvl>
    <w:lvl w:ilvl="1" w:tplc="91FA9BB0">
      <w:start w:val="1"/>
      <w:numFmt w:val="bullet"/>
      <w:lvlText w:val="o"/>
      <w:lvlJc w:val="left"/>
      <w:pPr>
        <w:tabs>
          <w:tab w:val="num" w:pos="1440"/>
        </w:tabs>
        <w:ind w:left="1440" w:hanging="360"/>
      </w:pPr>
      <w:rPr>
        <w:rFonts w:ascii="Courier New" w:hAnsi="Courier New"/>
      </w:rPr>
    </w:lvl>
    <w:lvl w:ilvl="2" w:tplc="50728342">
      <w:start w:val="1"/>
      <w:numFmt w:val="bullet"/>
      <w:lvlText w:val=""/>
      <w:lvlJc w:val="left"/>
      <w:pPr>
        <w:tabs>
          <w:tab w:val="num" w:pos="2160"/>
        </w:tabs>
        <w:ind w:left="2160" w:hanging="360"/>
      </w:pPr>
      <w:rPr>
        <w:rFonts w:ascii="Wingdings" w:hAnsi="Wingdings"/>
      </w:rPr>
    </w:lvl>
    <w:lvl w:ilvl="3" w:tplc="0640FFD8">
      <w:start w:val="1"/>
      <w:numFmt w:val="bullet"/>
      <w:lvlText w:val=""/>
      <w:lvlJc w:val="left"/>
      <w:pPr>
        <w:tabs>
          <w:tab w:val="num" w:pos="2880"/>
        </w:tabs>
        <w:ind w:left="2880" w:hanging="360"/>
      </w:pPr>
      <w:rPr>
        <w:rFonts w:ascii="Symbol" w:hAnsi="Symbol"/>
      </w:rPr>
    </w:lvl>
    <w:lvl w:ilvl="4" w:tplc="C46612DC">
      <w:start w:val="1"/>
      <w:numFmt w:val="bullet"/>
      <w:lvlText w:val="o"/>
      <w:lvlJc w:val="left"/>
      <w:pPr>
        <w:tabs>
          <w:tab w:val="num" w:pos="3600"/>
        </w:tabs>
        <w:ind w:left="3600" w:hanging="360"/>
      </w:pPr>
      <w:rPr>
        <w:rFonts w:ascii="Courier New" w:hAnsi="Courier New"/>
      </w:rPr>
    </w:lvl>
    <w:lvl w:ilvl="5" w:tplc="E89EA47A">
      <w:start w:val="1"/>
      <w:numFmt w:val="bullet"/>
      <w:lvlText w:val=""/>
      <w:lvlJc w:val="left"/>
      <w:pPr>
        <w:tabs>
          <w:tab w:val="num" w:pos="4320"/>
        </w:tabs>
        <w:ind w:left="4320" w:hanging="360"/>
      </w:pPr>
      <w:rPr>
        <w:rFonts w:ascii="Wingdings" w:hAnsi="Wingdings"/>
      </w:rPr>
    </w:lvl>
    <w:lvl w:ilvl="6" w:tplc="781C298E">
      <w:start w:val="1"/>
      <w:numFmt w:val="bullet"/>
      <w:lvlText w:val=""/>
      <w:lvlJc w:val="left"/>
      <w:pPr>
        <w:tabs>
          <w:tab w:val="num" w:pos="5040"/>
        </w:tabs>
        <w:ind w:left="5040" w:hanging="360"/>
      </w:pPr>
      <w:rPr>
        <w:rFonts w:ascii="Symbol" w:hAnsi="Symbol"/>
      </w:rPr>
    </w:lvl>
    <w:lvl w:ilvl="7" w:tplc="A620B456">
      <w:start w:val="1"/>
      <w:numFmt w:val="bullet"/>
      <w:lvlText w:val="o"/>
      <w:lvlJc w:val="left"/>
      <w:pPr>
        <w:tabs>
          <w:tab w:val="num" w:pos="5760"/>
        </w:tabs>
        <w:ind w:left="5760" w:hanging="360"/>
      </w:pPr>
      <w:rPr>
        <w:rFonts w:ascii="Courier New" w:hAnsi="Courier New"/>
      </w:rPr>
    </w:lvl>
    <w:lvl w:ilvl="8" w:tplc="CE80B114">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3F36609E">
      <w:start w:val="1"/>
      <w:numFmt w:val="bullet"/>
      <w:lvlText w:val="•"/>
      <w:lvlJc w:val="left"/>
      <w:pPr>
        <w:tabs>
          <w:tab w:val="num" w:pos="720"/>
        </w:tabs>
        <w:ind w:left="720" w:hanging="360"/>
      </w:pPr>
      <w:rPr>
        <w:rFonts w:ascii="Arial" w:eastAsia="Arial" w:hAnsi="Arial" w:cs="Arial"/>
        <w:b w:val="0"/>
        <w:i w:val="0"/>
        <w:strike w:val="0"/>
        <w:sz w:val="24"/>
      </w:rPr>
    </w:lvl>
    <w:lvl w:ilvl="1" w:tplc="10A280C4">
      <w:start w:val="1"/>
      <w:numFmt w:val="bullet"/>
      <w:lvlText w:val="o"/>
      <w:lvlJc w:val="left"/>
      <w:pPr>
        <w:tabs>
          <w:tab w:val="num" w:pos="1440"/>
        </w:tabs>
        <w:ind w:left="1440" w:hanging="360"/>
      </w:pPr>
      <w:rPr>
        <w:rFonts w:ascii="Courier New" w:hAnsi="Courier New"/>
      </w:rPr>
    </w:lvl>
    <w:lvl w:ilvl="2" w:tplc="4AA8A400">
      <w:start w:val="1"/>
      <w:numFmt w:val="bullet"/>
      <w:lvlText w:val=""/>
      <w:lvlJc w:val="left"/>
      <w:pPr>
        <w:tabs>
          <w:tab w:val="num" w:pos="2160"/>
        </w:tabs>
        <w:ind w:left="2160" w:hanging="360"/>
      </w:pPr>
      <w:rPr>
        <w:rFonts w:ascii="Wingdings" w:hAnsi="Wingdings"/>
      </w:rPr>
    </w:lvl>
    <w:lvl w:ilvl="3" w:tplc="3604AADA">
      <w:start w:val="1"/>
      <w:numFmt w:val="bullet"/>
      <w:lvlText w:val=""/>
      <w:lvlJc w:val="left"/>
      <w:pPr>
        <w:tabs>
          <w:tab w:val="num" w:pos="2880"/>
        </w:tabs>
        <w:ind w:left="2880" w:hanging="360"/>
      </w:pPr>
      <w:rPr>
        <w:rFonts w:ascii="Symbol" w:hAnsi="Symbol"/>
      </w:rPr>
    </w:lvl>
    <w:lvl w:ilvl="4" w:tplc="1B04E27A">
      <w:start w:val="1"/>
      <w:numFmt w:val="bullet"/>
      <w:lvlText w:val="o"/>
      <w:lvlJc w:val="left"/>
      <w:pPr>
        <w:tabs>
          <w:tab w:val="num" w:pos="3600"/>
        </w:tabs>
        <w:ind w:left="3600" w:hanging="360"/>
      </w:pPr>
      <w:rPr>
        <w:rFonts w:ascii="Courier New" w:hAnsi="Courier New"/>
      </w:rPr>
    </w:lvl>
    <w:lvl w:ilvl="5" w:tplc="F3246048">
      <w:start w:val="1"/>
      <w:numFmt w:val="bullet"/>
      <w:lvlText w:val=""/>
      <w:lvlJc w:val="left"/>
      <w:pPr>
        <w:tabs>
          <w:tab w:val="num" w:pos="4320"/>
        </w:tabs>
        <w:ind w:left="4320" w:hanging="360"/>
      </w:pPr>
      <w:rPr>
        <w:rFonts w:ascii="Wingdings" w:hAnsi="Wingdings"/>
      </w:rPr>
    </w:lvl>
    <w:lvl w:ilvl="6" w:tplc="080E7E56">
      <w:start w:val="1"/>
      <w:numFmt w:val="bullet"/>
      <w:lvlText w:val=""/>
      <w:lvlJc w:val="left"/>
      <w:pPr>
        <w:tabs>
          <w:tab w:val="num" w:pos="5040"/>
        </w:tabs>
        <w:ind w:left="5040" w:hanging="360"/>
      </w:pPr>
      <w:rPr>
        <w:rFonts w:ascii="Symbol" w:hAnsi="Symbol"/>
      </w:rPr>
    </w:lvl>
    <w:lvl w:ilvl="7" w:tplc="1C1EF2BE">
      <w:start w:val="1"/>
      <w:numFmt w:val="bullet"/>
      <w:lvlText w:val="o"/>
      <w:lvlJc w:val="left"/>
      <w:pPr>
        <w:tabs>
          <w:tab w:val="num" w:pos="5760"/>
        </w:tabs>
        <w:ind w:left="5760" w:hanging="360"/>
      </w:pPr>
      <w:rPr>
        <w:rFonts w:ascii="Courier New" w:hAnsi="Courier New"/>
      </w:rPr>
    </w:lvl>
    <w:lvl w:ilvl="8" w:tplc="0810BDF8">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2836218A">
      <w:start w:val="1"/>
      <w:numFmt w:val="bullet"/>
      <w:lvlText w:val="•"/>
      <w:lvlJc w:val="left"/>
      <w:pPr>
        <w:tabs>
          <w:tab w:val="num" w:pos="720"/>
        </w:tabs>
        <w:ind w:left="720" w:hanging="360"/>
      </w:pPr>
      <w:rPr>
        <w:rFonts w:ascii="Arial" w:eastAsia="Arial" w:hAnsi="Arial" w:cs="Arial"/>
        <w:b w:val="0"/>
        <w:i w:val="0"/>
        <w:strike w:val="0"/>
        <w:sz w:val="24"/>
      </w:rPr>
    </w:lvl>
    <w:lvl w:ilvl="1" w:tplc="2E721BB4">
      <w:start w:val="1"/>
      <w:numFmt w:val="bullet"/>
      <w:lvlText w:val="o"/>
      <w:lvlJc w:val="left"/>
      <w:pPr>
        <w:tabs>
          <w:tab w:val="num" w:pos="1440"/>
        </w:tabs>
        <w:ind w:left="1440" w:hanging="360"/>
      </w:pPr>
      <w:rPr>
        <w:rFonts w:ascii="Courier New" w:hAnsi="Courier New"/>
      </w:rPr>
    </w:lvl>
    <w:lvl w:ilvl="2" w:tplc="428A081A">
      <w:start w:val="1"/>
      <w:numFmt w:val="bullet"/>
      <w:lvlText w:val=""/>
      <w:lvlJc w:val="left"/>
      <w:pPr>
        <w:tabs>
          <w:tab w:val="num" w:pos="2160"/>
        </w:tabs>
        <w:ind w:left="2160" w:hanging="360"/>
      </w:pPr>
      <w:rPr>
        <w:rFonts w:ascii="Wingdings" w:hAnsi="Wingdings"/>
      </w:rPr>
    </w:lvl>
    <w:lvl w:ilvl="3" w:tplc="46CEE220">
      <w:start w:val="1"/>
      <w:numFmt w:val="bullet"/>
      <w:lvlText w:val=""/>
      <w:lvlJc w:val="left"/>
      <w:pPr>
        <w:tabs>
          <w:tab w:val="num" w:pos="2880"/>
        </w:tabs>
        <w:ind w:left="2880" w:hanging="360"/>
      </w:pPr>
      <w:rPr>
        <w:rFonts w:ascii="Symbol" w:hAnsi="Symbol"/>
      </w:rPr>
    </w:lvl>
    <w:lvl w:ilvl="4" w:tplc="A230B94C">
      <w:start w:val="1"/>
      <w:numFmt w:val="bullet"/>
      <w:lvlText w:val="o"/>
      <w:lvlJc w:val="left"/>
      <w:pPr>
        <w:tabs>
          <w:tab w:val="num" w:pos="3600"/>
        </w:tabs>
        <w:ind w:left="3600" w:hanging="360"/>
      </w:pPr>
      <w:rPr>
        <w:rFonts w:ascii="Courier New" w:hAnsi="Courier New"/>
      </w:rPr>
    </w:lvl>
    <w:lvl w:ilvl="5" w:tplc="16C009F8">
      <w:start w:val="1"/>
      <w:numFmt w:val="bullet"/>
      <w:lvlText w:val=""/>
      <w:lvlJc w:val="left"/>
      <w:pPr>
        <w:tabs>
          <w:tab w:val="num" w:pos="4320"/>
        </w:tabs>
        <w:ind w:left="4320" w:hanging="360"/>
      </w:pPr>
      <w:rPr>
        <w:rFonts w:ascii="Wingdings" w:hAnsi="Wingdings"/>
      </w:rPr>
    </w:lvl>
    <w:lvl w:ilvl="6" w:tplc="C97042A2">
      <w:start w:val="1"/>
      <w:numFmt w:val="bullet"/>
      <w:lvlText w:val=""/>
      <w:lvlJc w:val="left"/>
      <w:pPr>
        <w:tabs>
          <w:tab w:val="num" w:pos="5040"/>
        </w:tabs>
        <w:ind w:left="5040" w:hanging="360"/>
      </w:pPr>
      <w:rPr>
        <w:rFonts w:ascii="Symbol" w:hAnsi="Symbol"/>
      </w:rPr>
    </w:lvl>
    <w:lvl w:ilvl="7" w:tplc="AB428814">
      <w:start w:val="1"/>
      <w:numFmt w:val="bullet"/>
      <w:lvlText w:val="o"/>
      <w:lvlJc w:val="left"/>
      <w:pPr>
        <w:tabs>
          <w:tab w:val="num" w:pos="5760"/>
        </w:tabs>
        <w:ind w:left="5760" w:hanging="360"/>
      </w:pPr>
      <w:rPr>
        <w:rFonts w:ascii="Courier New" w:hAnsi="Courier New"/>
      </w:rPr>
    </w:lvl>
    <w:lvl w:ilvl="8" w:tplc="0A769204">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00A89AA8">
      <w:start w:val="1"/>
      <w:numFmt w:val="bullet"/>
      <w:lvlText w:val="•"/>
      <w:lvlJc w:val="left"/>
      <w:pPr>
        <w:tabs>
          <w:tab w:val="num" w:pos="720"/>
        </w:tabs>
        <w:ind w:left="720" w:hanging="360"/>
      </w:pPr>
      <w:rPr>
        <w:rFonts w:ascii="Arial" w:eastAsia="Arial" w:hAnsi="Arial" w:cs="Arial"/>
        <w:b w:val="0"/>
        <w:i w:val="0"/>
        <w:strike w:val="0"/>
        <w:sz w:val="24"/>
      </w:rPr>
    </w:lvl>
    <w:lvl w:ilvl="1" w:tplc="A89E51FE">
      <w:start w:val="1"/>
      <w:numFmt w:val="bullet"/>
      <w:lvlText w:val="o"/>
      <w:lvlJc w:val="left"/>
      <w:pPr>
        <w:tabs>
          <w:tab w:val="num" w:pos="1440"/>
        </w:tabs>
        <w:ind w:left="1440" w:hanging="360"/>
      </w:pPr>
      <w:rPr>
        <w:rFonts w:ascii="Courier New" w:hAnsi="Courier New"/>
      </w:rPr>
    </w:lvl>
    <w:lvl w:ilvl="2" w:tplc="1376D514">
      <w:start w:val="1"/>
      <w:numFmt w:val="bullet"/>
      <w:lvlText w:val=""/>
      <w:lvlJc w:val="left"/>
      <w:pPr>
        <w:tabs>
          <w:tab w:val="num" w:pos="2160"/>
        </w:tabs>
        <w:ind w:left="2160" w:hanging="360"/>
      </w:pPr>
      <w:rPr>
        <w:rFonts w:ascii="Wingdings" w:hAnsi="Wingdings"/>
      </w:rPr>
    </w:lvl>
    <w:lvl w:ilvl="3" w:tplc="E4588E50">
      <w:start w:val="1"/>
      <w:numFmt w:val="bullet"/>
      <w:lvlText w:val=""/>
      <w:lvlJc w:val="left"/>
      <w:pPr>
        <w:tabs>
          <w:tab w:val="num" w:pos="2880"/>
        </w:tabs>
        <w:ind w:left="2880" w:hanging="360"/>
      </w:pPr>
      <w:rPr>
        <w:rFonts w:ascii="Symbol" w:hAnsi="Symbol"/>
      </w:rPr>
    </w:lvl>
    <w:lvl w:ilvl="4" w:tplc="10C80604">
      <w:start w:val="1"/>
      <w:numFmt w:val="bullet"/>
      <w:lvlText w:val="o"/>
      <w:lvlJc w:val="left"/>
      <w:pPr>
        <w:tabs>
          <w:tab w:val="num" w:pos="3600"/>
        </w:tabs>
        <w:ind w:left="3600" w:hanging="360"/>
      </w:pPr>
      <w:rPr>
        <w:rFonts w:ascii="Courier New" w:hAnsi="Courier New"/>
      </w:rPr>
    </w:lvl>
    <w:lvl w:ilvl="5" w:tplc="10C6CD52">
      <w:start w:val="1"/>
      <w:numFmt w:val="bullet"/>
      <w:lvlText w:val=""/>
      <w:lvlJc w:val="left"/>
      <w:pPr>
        <w:tabs>
          <w:tab w:val="num" w:pos="4320"/>
        </w:tabs>
        <w:ind w:left="4320" w:hanging="360"/>
      </w:pPr>
      <w:rPr>
        <w:rFonts w:ascii="Wingdings" w:hAnsi="Wingdings"/>
      </w:rPr>
    </w:lvl>
    <w:lvl w:ilvl="6" w:tplc="83026BD6">
      <w:start w:val="1"/>
      <w:numFmt w:val="bullet"/>
      <w:lvlText w:val=""/>
      <w:lvlJc w:val="left"/>
      <w:pPr>
        <w:tabs>
          <w:tab w:val="num" w:pos="5040"/>
        </w:tabs>
        <w:ind w:left="5040" w:hanging="360"/>
      </w:pPr>
      <w:rPr>
        <w:rFonts w:ascii="Symbol" w:hAnsi="Symbol"/>
      </w:rPr>
    </w:lvl>
    <w:lvl w:ilvl="7" w:tplc="59A8DA6A">
      <w:start w:val="1"/>
      <w:numFmt w:val="bullet"/>
      <w:lvlText w:val="o"/>
      <w:lvlJc w:val="left"/>
      <w:pPr>
        <w:tabs>
          <w:tab w:val="num" w:pos="5760"/>
        </w:tabs>
        <w:ind w:left="5760" w:hanging="360"/>
      </w:pPr>
      <w:rPr>
        <w:rFonts w:ascii="Courier New" w:hAnsi="Courier New"/>
      </w:rPr>
    </w:lvl>
    <w:lvl w:ilvl="8" w:tplc="B1A46D2E">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0FDA5E1C">
      <w:start w:val="1"/>
      <w:numFmt w:val="bullet"/>
      <w:lvlText w:val="•"/>
      <w:lvlJc w:val="left"/>
      <w:pPr>
        <w:tabs>
          <w:tab w:val="num" w:pos="720"/>
        </w:tabs>
        <w:ind w:left="720" w:hanging="360"/>
      </w:pPr>
      <w:rPr>
        <w:rFonts w:ascii="Arial" w:eastAsia="Arial" w:hAnsi="Arial" w:cs="Arial"/>
        <w:b w:val="0"/>
        <w:i w:val="0"/>
        <w:strike w:val="0"/>
        <w:sz w:val="24"/>
      </w:rPr>
    </w:lvl>
    <w:lvl w:ilvl="1" w:tplc="D5606664">
      <w:start w:val="1"/>
      <w:numFmt w:val="bullet"/>
      <w:lvlText w:val="o"/>
      <w:lvlJc w:val="left"/>
      <w:pPr>
        <w:tabs>
          <w:tab w:val="num" w:pos="1440"/>
        </w:tabs>
        <w:ind w:left="1440" w:hanging="360"/>
      </w:pPr>
      <w:rPr>
        <w:rFonts w:ascii="Courier New" w:hAnsi="Courier New"/>
      </w:rPr>
    </w:lvl>
    <w:lvl w:ilvl="2" w:tplc="7B2A6292">
      <w:start w:val="1"/>
      <w:numFmt w:val="bullet"/>
      <w:lvlText w:val=""/>
      <w:lvlJc w:val="left"/>
      <w:pPr>
        <w:tabs>
          <w:tab w:val="num" w:pos="2160"/>
        </w:tabs>
        <w:ind w:left="2160" w:hanging="360"/>
      </w:pPr>
      <w:rPr>
        <w:rFonts w:ascii="Wingdings" w:hAnsi="Wingdings"/>
      </w:rPr>
    </w:lvl>
    <w:lvl w:ilvl="3" w:tplc="03A65670">
      <w:start w:val="1"/>
      <w:numFmt w:val="bullet"/>
      <w:lvlText w:val=""/>
      <w:lvlJc w:val="left"/>
      <w:pPr>
        <w:tabs>
          <w:tab w:val="num" w:pos="2880"/>
        </w:tabs>
        <w:ind w:left="2880" w:hanging="360"/>
      </w:pPr>
      <w:rPr>
        <w:rFonts w:ascii="Symbol" w:hAnsi="Symbol"/>
      </w:rPr>
    </w:lvl>
    <w:lvl w:ilvl="4" w:tplc="7C54129E">
      <w:start w:val="1"/>
      <w:numFmt w:val="bullet"/>
      <w:lvlText w:val="o"/>
      <w:lvlJc w:val="left"/>
      <w:pPr>
        <w:tabs>
          <w:tab w:val="num" w:pos="3600"/>
        </w:tabs>
        <w:ind w:left="3600" w:hanging="360"/>
      </w:pPr>
      <w:rPr>
        <w:rFonts w:ascii="Courier New" w:hAnsi="Courier New"/>
      </w:rPr>
    </w:lvl>
    <w:lvl w:ilvl="5" w:tplc="BA7227C0">
      <w:start w:val="1"/>
      <w:numFmt w:val="bullet"/>
      <w:lvlText w:val=""/>
      <w:lvlJc w:val="left"/>
      <w:pPr>
        <w:tabs>
          <w:tab w:val="num" w:pos="4320"/>
        </w:tabs>
        <w:ind w:left="4320" w:hanging="360"/>
      </w:pPr>
      <w:rPr>
        <w:rFonts w:ascii="Wingdings" w:hAnsi="Wingdings"/>
      </w:rPr>
    </w:lvl>
    <w:lvl w:ilvl="6" w:tplc="5608E1FE">
      <w:start w:val="1"/>
      <w:numFmt w:val="bullet"/>
      <w:lvlText w:val=""/>
      <w:lvlJc w:val="left"/>
      <w:pPr>
        <w:tabs>
          <w:tab w:val="num" w:pos="5040"/>
        </w:tabs>
        <w:ind w:left="5040" w:hanging="360"/>
      </w:pPr>
      <w:rPr>
        <w:rFonts w:ascii="Symbol" w:hAnsi="Symbol"/>
      </w:rPr>
    </w:lvl>
    <w:lvl w:ilvl="7" w:tplc="89A4C498">
      <w:start w:val="1"/>
      <w:numFmt w:val="bullet"/>
      <w:lvlText w:val="o"/>
      <w:lvlJc w:val="left"/>
      <w:pPr>
        <w:tabs>
          <w:tab w:val="num" w:pos="5760"/>
        </w:tabs>
        <w:ind w:left="5760" w:hanging="360"/>
      </w:pPr>
      <w:rPr>
        <w:rFonts w:ascii="Courier New" w:hAnsi="Courier New"/>
      </w:rPr>
    </w:lvl>
    <w:lvl w:ilvl="8" w:tplc="79CC0164">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7CEC0114">
      <w:start w:val="1"/>
      <w:numFmt w:val="bullet"/>
      <w:lvlText w:val="•"/>
      <w:lvlJc w:val="left"/>
      <w:pPr>
        <w:tabs>
          <w:tab w:val="num" w:pos="720"/>
        </w:tabs>
        <w:ind w:left="720" w:hanging="360"/>
      </w:pPr>
      <w:rPr>
        <w:rFonts w:ascii="Arial" w:eastAsia="Arial" w:hAnsi="Arial" w:cs="Arial"/>
        <w:b w:val="0"/>
        <w:i w:val="0"/>
        <w:strike w:val="0"/>
        <w:sz w:val="24"/>
      </w:rPr>
    </w:lvl>
    <w:lvl w:ilvl="1" w:tplc="D6F86972">
      <w:start w:val="1"/>
      <w:numFmt w:val="bullet"/>
      <w:lvlText w:val="o"/>
      <w:lvlJc w:val="left"/>
      <w:pPr>
        <w:tabs>
          <w:tab w:val="num" w:pos="1440"/>
        </w:tabs>
        <w:ind w:left="1440" w:hanging="360"/>
      </w:pPr>
      <w:rPr>
        <w:rFonts w:ascii="Courier New" w:hAnsi="Courier New"/>
      </w:rPr>
    </w:lvl>
    <w:lvl w:ilvl="2" w:tplc="936E75EE">
      <w:start w:val="1"/>
      <w:numFmt w:val="bullet"/>
      <w:lvlText w:val=""/>
      <w:lvlJc w:val="left"/>
      <w:pPr>
        <w:tabs>
          <w:tab w:val="num" w:pos="2160"/>
        </w:tabs>
        <w:ind w:left="2160" w:hanging="360"/>
      </w:pPr>
      <w:rPr>
        <w:rFonts w:ascii="Wingdings" w:hAnsi="Wingdings"/>
      </w:rPr>
    </w:lvl>
    <w:lvl w:ilvl="3" w:tplc="B2285320">
      <w:start w:val="1"/>
      <w:numFmt w:val="bullet"/>
      <w:lvlText w:val=""/>
      <w:lvlJc w:val="left"/>
      <w:pPr>
        <w:tabs>
          <w:tab w:val="num" w:pos="2880"/>
        </w:tabs>
        <w:ind w:left="2880" w:hanging="360"/>
      </w:pPr>
      <w:rPr>
        <w:rFonts w:ascii="Symbol" w:hAnsi="Symbol"/>
      </w:rPr>
    </w:lvl>
    <w:lvl w:ilvl="4" w:tplc="4576449E">
      <w:start w:val="1"/>
      <w:numFmt w:val="bullet"/>
      <w:lvlText w:val="o"/>
      <w:lvlJc w:val="left"/>
      <w:pPr>
        <w:tabs>
          <w:tab w:val="num" w:pos="3600"/>
        </w:tabs>
        <w:ind w:left="3600" w:hanging="360"/>
      </w:pPr>
      <w:rPr>
        <w:rFonts w:ascii="Courier New" w:hAnsi="Courier New"/>
      </w:rPr>
    </w:lvl>
    <w:lvl w:ilvl="5" w:tplc="EE66504E">
      <w:start w:val="1"/>
      <w:numFmt w:val="bullet"/>
      <w:lvlText w:val=""/>
      <w:lvlJc w:val="left"/>
      <w:pPr>
        <w:tabs>
          <w:tab w:val="num" w:pos="4320"/>
        </w:tabs>
        <w:ind w:left="4320" w:hanging="360"/>
      </w:pPr>
      <w:rPr>
        <w:rFonts w:ascii="Wingdings" w:hAnsi="Wingdings"/>
      </w:rPr>
    </w:lvl>
    <w:lvl w:ilvl="6" w:tplc="21E6C36A">
      <w:start w:val="1"/>
      <w:numFmt w:val="bullet"/>
      <w:lvlText w:val=""/>
      <w:lvlJc w:val="left"/>
      <w:pPr>
        <w:tabs>
          <w:tab w:val="num" w:pos="5040"/>
        </w:tabs>
        <w:ind w:left="5040" w:hanging="360"/>
      </w:pPr>
      <w:rPr>
        <w:rFonts w:ascii="Symbol" w:hAnsi="Symbol"/>
      </w:rPr>
    </w:lvl>
    <w:lvl w:ilvl="7" w:tplc="56B4CC94">
      <w:start w:val="1"/>
      <w:numFmt w:val="bullet"/>
      <w:lvlText w:val="o"/>
      <w:lvlJc w:val="left"/>
      <w:pPr>
        <w:tabs>
          <w:tab w:val="num" w:pos="5760"/>
        </w:tabs>
        <w:ind w:left="5760" w:hanging="360"/>
      </w:pPr>
      <w:rPr>
        <w:rFonts w:ascii="Courier New" w:hAnsi="Courier New"/>
      </w:rPr>
    </w:lvl>
    <w:lvl w:ilvl="8" w:tplc="CBC84922">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90ACAC16">
      <w:start w:val="1"/>
      <w:numFmt w:val="bullet"/>
      <w:lvlText w:val="•"/>
      <w:lvlJc w:val="left"/>
      <w:pPr>
        <w:tabs>
          <w:tab w:val="num" w:pos="720"/>
        </w:tabs>
        <w:ind w:left="720" w:hanging="360"/>
      </w:pPr>
      <w:rPr>
        <w:rFonts w:ascii="Arial" w:eastAsia="Arial" w:hAnsi="Arial" w:cs="Arial"/>
        <w:b w:val="0"/>
        <w:i w:val="0"/>
        <w:strike w:val="0"/>
        <w:sz w:val="24"/>
      </w:rPr>
    </w:lvl>
    <w:lvl w:ilvl="1" w:tplc="53DA4136">
      <w:start w:val="1"/>
      <w:numFmt w:val="bullet"/>
      <w:lvlText w:val="o"/>
      <w:lvlJc w:val="left"/>
      <w:pPr>
        <w:tabs>
          <w:tab w:val="num" w:pos="1440"/>
        </w:tabs>
        <w:ind w:left="1440" w:hanging="360"/>
      </w:pPr>
      <w:rPr>
        <w:rFonts w:ascii="Courier New" w:hAnsi="Courier New"/>
      </w:rPr>
    </w:lvl>
    <w:lvl w:ilvl="2" w:tplc="2A8A5A1C">
      <w:start w:val="1"/>
      <w:numFmt w:val="bullet"/>
      <w:lvlText w:val=""/>
      <w:lvlJc w:val="left"/>
      <w:pPr>
        <w:tabs>
          <w:tab w:val="num" w:pos="2160"/>
        </w:tabs>
        <w:ind w:left="2160" w:hanging="360"/>
      </w:pPr>
      <w:rPr>
        <w:rFonts w:ascii="Wingdings" w:hAnsi="Wingdings"/>
      </w:rPr>
    </w:lvl>
    <w:lvl w:ilvl="3" w:tplc="7D3E2EDE">
      <w:start w:val="1"/>
      <w:numFmt w:val="bullet"/>
      <w:lvlText w:val=""/>
      <w:lvlJc w:val="left"/>
      <w:pPr>
        <w:tabs>
          <w:tab w:val="num" w:pos="2880"/>
        </w:tabs>
        <w:ind w:left="2880" w:hanging="360"/>
      </w:pPr>
      <w:rPr>
        <w:rFonts w:ascii="Symbol" w:hAnsi="Symbol"/>
      </w:rPr>
    </w:lvl>
    <w:lvl w:ilvl="4" w:tplc="4F2A98A2">
      <w:start w:val="1"/>
      <w:numFmt w:val="bullet"/>
      <w:lvlText w:val="o"/>
      <w:lvlJc w:val="left"/>
      <w:pPr>
        <w:tabs>
          <w:tab w:val="num" w:pos="3600"/>
        </w:tabs>
        <w:ind w:left="3600" w:hanging="360"/>
      </w:pPr>
      <w:rPr>
        <w:rFonts w:ascii="Courier New" w:hAnsi="Courier New"/>
      </w:rPr>
    </w:lvl>
    <w:lvl w:ilvl="5" w:tplc="06122AD4">
      <w:start w:val="1"/>
      <w:numFmt w:val="bullet"/>
      <w:lvlText w:val=""/>
      <w:lvlJc w:val="left"/>
      <w:pPr>
        <w:tabs>
          <w:tab w:val="num" w:pos="4320"/>
        </w:tabs>
        <w:ind w:left="4320" w:hanging="360"/>
      </w:pPr>
      <w:rPr>
        <w:rFonts w:ascii="Wingdings" w:hAnsi="Wingdings"/>
      </w:rPr>
    </w:lvl>
    <w:lvl w:ilvl="6" w:tplc="821AC5DC">
      <w:start w:val="1"/>
      <w:numFmt w:val="bullet"/>
      <w:lvlText w:val=""/>
      <w:lvlJc w:val="left"/>
      <w:pPr>
        <w:tabs>
          <w:tab w:val="num" w:pos="5040"/>
        </w:tabs>
        <w:ind w:left="5040" w:hanging="360"/>
      </w:pPr>
      <w:rPr>
        <w:rFonts w:ascii="Symbol" w:hAnsi="Symbol"/>
      </w:rPr>
    </w:lvl>
    <w:lvl w:ilvl="7" w:tplc="164A70A8">
      <w:start w:val="1"/>
      <w:numFmt w:val="bullet"/>
      <w:lvlText w:val="o"/>
      <w:lvlJc w:val="left"/>
      <w:pPr>
        <w:tabs>
          <w:tab w:val="num" w:pos="5760"/>
        </w:tabs>
        <w:ind w:left="5760" w:hanging="360"/>
      </w:pPr>
      <w:rPr>
        <w:rFonts w:ascii="Courier New" w:hAnsi="Courier New"/>
      </w:rPr>
    </w:lvl>
    <w:lvl w:ilvl="8" w:tplc="4E6870E6">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B8B47B32">
      <w:start w:val="1"/>
      <w:numFmt w:val="bullet"/>
      <w:lvlText w:val="•"/>
      <w:lvlJc w:val="left"/>
      <w:pPr>
        <w:tabs>
          <w:tab w:val="num" w:pos="720"/>
        </w:tabs>
        <w:ind w:left="720" w:hanging="360"/>
      </w:pPr>
      <w:rPr>
        <w:rFonts w:ascii="Arial" w:eastAsia="Arial" w:hAnsi="Arial" w:cs="Arial"/>
        <w:b w:val="0"/>
        <w:i w:val="0"/>
        <w:strike w:val="0"/>
        <w:sz w:val="24"/>
      </w:rPr>
    </w:lvl>
    <w:lvl w:ilvl="1" w:tplc="8A52014C">
      <w:start w:val="1"/>
      <w:numFmt w:val="bullet"/>
      <w:lvlText w:val="o"/>
      <w:lvlJc w:val="left"/>
      <w:pPr>
        <w:tabs>
          <w:tab w:val="num" w:pos="1440"/>
        </w:tabs>
        <w:ind w:left="1440" w:hanging="360"/>
      </w:pPr>
      <w:rPr>
        <w:rFonts w:ascii="Courier New" w:hAnsi="Courier New"/>
      </w:rPr>
    </w:lvl>
    <w:lvl w:ilvl="2" w:tplc="10E0B7A6">
      <w:start w:val="1"/>
      <w:numFmt w:val="bullet"/>
      <w:lvlText w:val=""/>
      <w:lvlJc w:val="left"/>
      <w:pPr>
        <w:tabs>
          <w:tab w:val="num" w:pos="2160"/>
        </w:tabs>
        <w:ind w:left="2160" w:hanging="360"/>
      </w:pPr>
      <w:rPr>
        <w:rFonts w:ascii="Wingdings" w:hAnsi="Wingdings"/>
      </w:rPr>
    </w:lvl>
    <w:lvl w:ilvl="3" w:tplc="FD3EE314">
      <w:start w:val="1"/>
      <w:numFmt w:val="bullet"/>
      <w:lvlText w:val=""/>
      <w:lvlJc w:val="left"/>
      <w:pPr>
        <w:tabs>
          <w:tab w:val="num" w:pos="2880"/>
        </w:tabs>
        <w:ind w:left="2880" w:hanging="360"/>
      </w:pPr>
      <w:rPr>
        <w:rFonts w:ascii="Symbol" w:hAnsi="Symbol"/>
      </w:rPr>
    </w:lvl>
    <w:lvl w:ilvl="4" w:tplc="F1C476F4">
      <w:start w:val="1"/>
      <w:numFmt w:val="bullet"/>
      <w:lvlText w:val="o"/>
      <w:lvlJc w:val="left"/>
      <w:pPr>
        <w:tabs>
          <w:tab w:val="num" w:pos="3600"/>
        </w:tabs>
        <w:ind w:left="3600" w:hanging="360"/>
      </w:pPr>
      <w:rPr>
        <w:rFonts w:ascii="Courier New" w:hAnsi="Courier New"/>
      </w:rPr>
    </w:lvl>
    <w:lvl w:ilvl="5" w:tplc="003A058C">
      <w:start w:val="1"/>
      <w:numFmt w:val="bullet"/>
      <w:lvlText w:val=""/>
      <w:lvlJc w:val="left"/>
      <w:pPr>
        <w:tabs>
          <w:tab w:val="num" w:pos="4320"/>
        </w:tabs>
        <w:ind w:left="4320" w:hanging="360"/>
      </w:pPr>
      <w:rPr>
        <w:rFonts w:ascii="Wingdings" w:hAnsi="Wingdings"/>
      </w:rPr>
    </w:lvl>
    <w:lvl w:ilvl="6" w:tplc="03D660D4">
      <w:start w:val="1"/>
      <w:numFmt w:val="bullet"/>
      <w:lvlText w:val=""/>
      <w:lvlJc w:val="left"/>
      <w:pPr>
        <w:tabs>
          <w:tab w:val="num" w:pos="5040"/>
        </w:tabs>
        <w:ind w:left="5040" w:hanging="360"/>
      </w:pPr>
      <w:rPr>
        <w:rFonts w:ascii="Symbol" w:hAnsi="Symbol"/>
      </w:rPr>
    </w:lvl>
    <w:lvl w:ilvl="7" w:tplc="0BDEA31C">
      <w:start w:val="1"/>
      <w:numFmt w:val="bullet"/>
      <w:lvlText w:val="o"/>
      <w:lvlJc w:val="left"/>
      <w:pPr>
        <w:tabs>
          <w:tab w:val="num" w:pos="5760"/>
        </w:tabs>
        <w:ind w:left="5760" w:hanging="360"/>
      </w:pPr>
      <w:rPr>
        <w:rFonts w:ascii="Courier New" w:hAnsi="Courier New"/>
      </w:rPr>
    </w:lvl>
    <w:lvl w:ilvl="8" w:tplc="DB6C698E">
      <w:start w:val="1"/>
      <w:numFmt w:val="bullet"/>
      <w:lvlText w:val=""/>
      <w:lvlJc w:val="left"/>
      <w:pPr>
        <w:tabs>
          <w:tab w:val="num" w:pos="6480"/>
        </w:tabs>
        <w:ind w:left="6480" w:hanging="360"/>
      </w:pPr>
      <w:rPr>
        <w:rFonts w:ascii="Wingdings" w:hAnsi="Wingdings"/>
      </w:rPr>
    </w:lvl>
  </w:abstractNum>
  <w:num w:numId="1" w16cid:durableId="2144887422">
    <w:abstractNumId w:val="0"/>
  </w:num>
  <w:num w:numId="2" w16cid:durableId="1998335010">
    <w:abstractNumId w:val="1"/>
  </w:num>
  <w:num w:numId="3" w16cid:durableId="1729036665">
    <w:abstractNumId w:val="2"/>
  </w:num>
  <w:num w:numId="4" w16cid:durableId="2040429321">
    <w:abstractNumId w:val="3"/>
  </w:num>
  <w:num w:numId="5" w16cid:durableId="43070490">
    <w:abstractNumId w:val="4"/>
  </w:num>
  <w:num w:numId="6" w16cid:durableId="2100564263">
    <w:abstractNumId w:val="5"/>
  </w:num>
  <w:num w:numId="7" w16cid:durableId="1599171456">
    <w:abstractNumId w:val="6"/>
  </w:num>
  <w:num w:numId="8" w16cid:durableId="1388647427">
    <w:abstractNumId w:val="7"/>
  </w:num>
  <w:num w:numId="9" w16cid:durableId="1308054471">
    <w:abstractNumId w:val="8"/>
  </w:num>
  <w:num w:numId="10" w16cid:durableId="1896424695">
    <w:abstractNumId w:val="9"/>
  </w:num>
  <w:num w:numId="11" w16cid:durableId="229003351">
    <w:abstractNumId w:val="10"/>
  </w:num>
  <w:num w:numId="12" w16cid:durableId="1358962831">
    <w:abstractNumId w:val="11"/>
  </w:num>
  <w:num w:numId="13" w16cid:durableId="1122454347">
    <w:abstractNumId w:val="12"/>
  </w:num>
  <w:num w:numId="14" w16cid:durableId="1537885094">
    <w:abstractNumId w:val="13"/>
  </w:num>
  <w:num w:numId="15" w16cid:durableId="1894732187">
    <w:abstractNumId w:val="14"/>
  </w:num>
  <w:num w:numId="16" w16cid:durableId="1901401332">
    <w:abstractNumId w:val="15"/>
  </w:num>
  <w:num w:numId="17" w16cid:durableId="2140416005">
    <w:abstractNumId w:val="16"/>
  </w:num>
  <w:num w:numId="18" w16cid:durableId="1495294346">
    <w:abstractNumId w:val="17"/>
  </w:num>
  <w:num w:numId="19" w16cid:durableId="1396859832">
    <w:abstractNumId w:val="18"/>
  </w:num>
  <w:num w:numId="20" w16cid:durableId="990140401">
    <w:abstractNumId w:val="19"/>
  </w:num>
  <w:num w:numId="21" w16cid:durableId="974405387">
    <w:abstractNumId w:val="20"/>
  </w:num>
  <w:num w:numId="22" w16cid:durableId="1460881245">
    <w:abstractNumId w:val="21"/>
  </w:num>
  <w:num w:numId="23" w16cid:durableId="1906578">
    <w:abstractNumId w:val="22"/>
  </w:num>
  <w:num w:numId="24" w16cid:durableId="1341927515">
    <w:abstractNumId w:val="23"/>
  </w:num>
  <w:num w:numId="25" w16cid:durableId="178659668">
    <w:abstractNumId w:val="24"/>
  </w:num>
  <w:num w:numId="26" w16cid:durableId="1024482120">
    <w:abstractNumId w:val="25"/>
  </w:num>
  <w:num w:numId="27" w16cid:durableId="2064063814">
    <w:abstractNumId w:val="26"/>
  </w:num>
  <w:num w:numId="28" w16cid:durableId="651182556">
    <w:abstractNumId w:val="27"/>
  </w:num>
  <w:num w:numId="29" w16cid:durableId="1960381098">
    <w:abstractNumId w:val="28"/>
  </w:num>
  <w:num w:numId="30" w16cid:durableId="834418764">
    <w:abstractNumId w:val="29"/>
  </w:num>
  <w:num w:numId="31" w16cid:durableId="2023819123">
    <w:abstractNumId w:val="30"/>
  </w:num>
  <w:num w:numId="32" w16cid:durableId="1236553921">
    <w:abstractNumId w:val="31"/>
  </w:num>
  <w:num w:numId="33" w16cid:durableId="1332754205">
    <w:abstractNumId w:val="32"/>
  </w:num>
  <w:num w:numId="34" w16cid:durableId="1895506932">
    <w:abstractNumId w:val="33"/>
  </w:num>
  <w:num w:numId="35" w16cid:durableId="110207271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noLeading/>
    <w:suppressTopSpacingWP/>
    <w:compatSetting w:name="compatibilityMode" w:uri="http://schemas.microsoft.com/office/word" w:val="12"/>
    <w:compatSetting w:name="useWord2013TrackBottomHyphenation" w:uri="http://schemas.microsoft.com/office/word" w:val="1"/>
  </w:compat>
  <w:rsids>
    <w:rsidRoot w:val="00A77B3E"/>
    <w:rsid w:val="00A77B3E"/>
    <w:rsid w:val="00C56203"/>
    <w:rsid w:val="00CA2A55"/>
    <w:rsid w:val="00CD5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0E55C"/>
  <w15:docId w15:val="{82738F63-0960-41BB-82A0-5F8385F3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7325</Words>
  <Characters>41756</Characters>
  <Application>Microsoft Office Word</Application>
  <DocSecurity>0</DocSecurity>
  <Lines>2319</Lines>
  <Paragraphs>908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Ex99.1-Q1-2023</dc:title>
  <cp:lastModifiedBy>Maico, Mark</cp:lastModifiedBy>
  <cp:revision>2</cp:revision>
  <dcterms:created xsi:type="dcterms:W3CDTF">2023-05-03T12:53:00Z</dcterms:created>
  <dcterms:modified xsi:type="dcterms:W3CDTF">2023-05-03T12:54:00Z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aa9c44f932daa8ba6e7e429b36e907d15285c7a6077fce734bafe87fe640f0e5</vt:lpwstr>
  </property>
</Properties>
</file>