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47C2" w14:textId="7D0AB6C5" w:rsidR="002E15A0" w:rsidRDefault="009859CC" w:rsidP="00214001">
      <w:pPr>
        <w:shd w:val="clear" w:color="auto" w:fill="FFFFFF"/>
        <w:jc w:val="center"/>
        <w:outlineLvl w:val="0"/>
        <w:rPr>
          <w:b/>
          <w:bCs/>
          <w:color w:val="000000"/>
        </w:rPr>
      </w:pPr>
      <w:r w:rsidRPr="00117071">
        <w:rPr>
          <w:b/>
          <w:bCs/>
          <w:color w:val="000000"/>
        </w:rPr>
        <w:t>GEE Group</w:t>
      </w:r>
      <w:r w:rsidR="00B27558" w:rsidRPr="00117071">
        <w:rPr>
          <w:b/>
          <w:bCs/>
          <w:color w:val="000000"/>
        </w:rPr>
        <w:t xml:space="preserve"> </w:t>
      </w:r>
      <w:r w:rsidR="00D319FA" w:rsidRPr="00117071">
        <w:rPr>
          <w:b/>
          <w:bCs/>
          <w:color w:val="000000"/>
        </w:rPr>
        <w:t>A</w:t>
      </w:r>
      <w:r w:rsidR="007A1FF9" w:rsidRPr="00117071">
        <w:rPr>
          <w:b/>
          <w:bCs/>
          <w:color w:val="000000"/>
        </w:rPr>
        <w:t>nnounces</w:t>
      </w:r>
      <w:r w:rsidR="00556A6D" w:rsidRPr="00117071">
        <w:rPr>
          <w:b/>
          <w:bCs/>
          <w:color w:val="000000"/>
        </w:rPr>
        <w:t xml:space="preserve"> </w:t>
      </w:r>
      <w:r w:rsidR="007A1FF9" w:rsidRPr="00117071">
        <w:rPr>
          <w:b/>
          <w:bCs/>
          <w:color w:val="000000"/>
        </w:rPr>
        <w:t>Results</w:t>
      </w:r>
      <w:r w:rsidR="00FE6634">
        <w:rPr>
          <w:b/>
          <w:bCs/>
          <w:color w:val="000000"/>
        </w:rPr>
        <w:t xml:space="preserve"> for</w:t>
      </w:r>
      <w:r w:rsidR="00433EFA">
        <w:rPr>
          <w:b/>
          <w:bCs/>
          <w:color w:val="000000"/>
        </w:rPr>
        <w:t xml:space="preserve"> the</w:t>
      </w:r>
      <w:r w:rsidR="007A1FF9" w:rsidRPr="00117071">
        <w:rPr>
          <w:b/>
          <w:bCs/>
          <w:color w:val="000000"/>
        </w:rPr>
        <w:t xml:space="preserve"> </w:t>
      </w:r>
      <w:r w:rsidR="00EF73B1" w:rsidRPr="00117071">
        <w:rPr>
          <w:b/>
          <w:bCs/>
          <w:color w:val="000000"/>
        </w:rPr>
        <w:t>Fiscal 20</w:t>
      </w:r>
      <w:r w:rsidR="00976032" w:rsidRPr="00117071">
        <w:rPr>
          <w:b/>
          <w:bCs/>
          <w:color w:val="000000"/>
        </w:rPr>
        <w:t>2</w:t>
      </w:r>
      <w:r w:rsidR="00676966">
        <w:rPr>
          <w:b/>
          <w:bCs/>
          <w:color w:val="000000"/>
        </w:rPr>
        <w:t>3</w:t>
      </w:r>
      <w:r w:rsidR="002A580A">
        <w:rPr>
          <w:b/>
          <w:bCs/>
          <w:color w:val="000000"/>
        </w:rPr>
        <w:t xml:space="preserve"> </w:t>
      </w:r>
      <w:r w:rsidR="007A2639">
        <w:rPr>
          <w:b/>
          <w:bCs/>
          <w:color w:val="000000"/>
        </w:rPr>
        <w:t>Second</w:t>
      </w:r>
      <w:r w:rsidR="00ED0F32" w:rsidRPr="00117071">
        <w:rPr>
          <w:b/>
          <w:bCs/>
          <w:color w:val="000000"/>
        </w:rPr>
        <w:t xml:space="preserve"> </w:t>
      </w:r>
      <w:r w:rsidR="00556A6D" w:rsidRPr="00117071">
        <w:rPr>
          <w:b/>
          <w:bCs/>
          <w:color w:val="000000"/>
        </w:rPr>
        <w:t>Quarter</w:t>
      </w:r>
      <w:r w:rsidR="003F5111">
        <w:rPr>
          <w:b/>
          <w:bCs/>
          <w:color w:val="000000"/>
        </w:rPr>
        <w:t xml:space="preserve"> and YTD</w:t>
      </w:r>
    </w:p>
    <w:p w14:paraId="31E65349" w14:textId="77777777" w:rsidR="00214001" w:rsidRDefault="00214001" w:rsidP="784656E5">
      <w:pPr>
        <w:shd w:val="clear" w:color="auto" w:fill="FFFFFF" w:themeFill="background1"/>
        <w:spacing w:before="120"/>
        <w:jc w:val="both"/>
        <w:outlineLvl w:val="0"/>
        <w:rPr>
          <w:b/>
          <w:bCs/>
          <w:color w:val="000000" w:themeColor="text1"/>
        </w:rPr>
      </w:pPr>
    </w:p>
    <w:p w14:paraId="2187850C" w14:textId="263BEFAE" w:rsidR="00214001" w:rsidRPr="00214001" w:rsidRDefault="001444E6" w:rsidP="784656E5">
      <w:pPr>
        <w:shd w:val="clear" w:color="auto" w:fill="FFFFFF" w:themeFill="background1"/>
        <w:spacing w:before="120"/>
        <w:jc w:val="both"/>
        <w:outlineLvl w:val="0"/>
        <w:rPr>
          <w:color w:val="000000" w:themeColor="text1"/>
        </w:rPr>
      </w:pPr>
      <w:r w:rsidRPr="784656E5">
        <w:rPr>
          <w:b/>
          <w:bCs/>
          <w:color w:val="000000" w:themeColor="text1"/>
        </w:rPr>
        <w:t>Jacksonville</w:t>
      </w:r>
      <w:r w:rsidR="00404047" w:rsidRPr="784656E5">
        <w:rPr>
          <w:b/>
          <w:bCs/>
          <w:color w:val="000000" w:themeColor="text1"/>
        </w:rPr>
        <w:t>,</w:t>
      </w:r>
      <w:r w:rsidRPr="784656E5">
        <w:rPr>
          <w:b/>
          <w:bCs/>
          <w:color w:val="000000" w:themeColor="text1"/>
        </w:rPr>
        <w:t xml:space="preserve"> FL</w:t>
      </w:r>
      <w:r w:rsidR="00404047" w:rsidRPr="784656E5">
        <w:rPr>
          <w:b/>
          <w:bCs/>
          <w:color w:val="000000" w:themeColor="text1"/>
        </w:rPr>
        <w:t xml:space="preserve">, </w:t>
      </w:r>
      <w:r w:rsidR="007A2639">
        <w:rPr>
          <w:b/>
          <w:bCs/>
          <w:color w:val="000000" w:themeColor="text1"/>
        </w:rPr>
        <w:t>May</w:t>
      </w:r>
      <w:r w:rsidR="00EE672A" w:rsidRPr="784656E5">
        <w:rPr>
          <w:b/>
          <w:bCs/>
          <w:color w:val="000000" w:themeColor="text1"/>
        </w:rPr>
        <w:t xml:space="preserve"> 1</w:t>
      </w:r>
      <w:r w:rsidR="007A2639">
        <w:rPr>
          <w:b/>
          <w:bCs/>
          <w:color w:val="000000" w:themeColor="text1"/>
        </w:rPr>
        <w:t>5</w:t>
      </w:r>
      <w:r w:rsidR="00AF1E61" w:rsidRPr="784656E5">
        <w:rPr>
          <w:b/>
          <w:bCs/>
          <w:color w:val="000000" w:themeColor="text1"/>
        </w:rPr>
        <w:t>, 20</w:t>
      </w:r>
      <w:r w:rsidR="00976032" w:rsidRPr="784656E5">
        <w:rPr>
          <w:b/>
          <w:bCs/>
          <w:color w:val="000000" w:themeColor="text1"/>
        </w:rPr>
        <w:t>2</w:t>
      </w:r>
      <w:r w:rsidR="00174173" w:rsidRPr="784656E5">
        <w:rPr>
          <w:b/>
          <w:bCs/>
          <w:color w:val="000000" w:themeColor="text1"/>
        </w:rPr>
        <w:t xml:space="preserve">3 </w:t>
      </w:r>
      <w:r w:rsidR="00D319FA" w:rsidRPr="784656E5">
        <w:rPr>
          <w:color w:val="000000" w:themeColor="text1"/>
        </w:rPr>
        <w:t>/</w:t>
      </w:r>
      <w:r w:rsidR="00D049E3" w:rsidRPr="784656E5">
        <w:rPr>
          <w:color w:val="000000" w:themeColor="text1"/>
        </w:rPr>
        <w:t>Accesswire</w:t>
      </w:r>
      <w:r w:rsidR="00174173" w:rsidRPr="784656E5">
        <w:rPr>
          <w:color w:val="000000" w:themeColor="text1"/>
        </w:rPr>
        <w:t>/</w:t>
      </w:r>
      <w:r w:rsidR="00D319FA" w:rsidRPr="784656E5">
        <w:rPr>
          <w:color w:val="000000" w:themeColor="text1"/>
        </w:rPr>
        <w:t> –</w:t>
      </w:r>
      <w:r w:rsidR="00556A6D" w:rsidRPr="784656E5">
        <w:rPr>
          <w:b/>
          <w:bCs/>
          <w:color w:val="000000" w:themeColor="text1"/>
        </w:rPr>
        <w:t> GEE Group</w:t>
      </w:r>
      <w:r w:rsidR="00A14FB7">
        <w:rPr>
          <w:b/>
          <w:bCs/>
          <w:color w:val="000000" w:themeColor="text1"/>
        </w:rPr>
        <w:t xml:space="preserve"> </w:t>
      </w:r>
      <w:r w:rsidR="00556A6D" w:rsidRPr="784656E5">
        <w:rPr>
          <w:b/>
          <w:bCs/>
          <w:color w:val="000000" w:themeColor="text1"/>
        </w:rPr>
        <w:t xml:space="preserve">Inc. </w:t>
      </w:r>
      <w:r w:rsidR="000B6121" w:rsidRPr="784656E5">
        <w:rPr>
          <w:b/>
          <w:bCs/>
          <w:color w:val="000000" w:themeColor="text1"/>
        </w:rPr>
        <w:t>(NYSE American</w:t>
      </w:r>
      <w:r w:rsidR="00D319FA" w:rsidRPr="784656E5">
        <w:rPr>
          <w:b/>
          <w:bCs/>
          <w:color w:val="000000" w:themeColor="text1"/>
        </w:rPr>
        <w:t>:</w:t>
      </w:r>
      <w:r w:rsidR="00D11263" w:rsidRPr="784656E5">
        <w:rPr>
          <w:b/>
          <w:bCs/>
          <w:color w:val="000000" w:themeColor="text1"/>
        </w:rPr>
        <w:t xml:space="preserve"> </w:t>
      </w:r>
      <w:r w:rsidR="00D319FA" w:rsidRPr="784656E5">
        <w:rPr>
          <w:b/>
          <w:bCs/>
          <w:color w:val="000000" w:themeColor="text1"/>
        </w:rPr>
        <w:t>JOB)</w:t>
      </w:r>
      <w:r w:rsidR="00D319FA" w:rsidRPr="784656E5">
        <w:rPr>
          <w:color w:val="000000" w:themeColor="text1"/>
        </w:rPr>
        <w:t> </w:t>
      </w:r>
      <w:r w:rsidR="00EF14CB" w:rsidRPr="784656E5">
        <w:rPr>
          <w:color w:val="000000" w:themeColor="text1"/>
        </w:rPr>
        <w:t xml:space="preserve">together with its subsidiaries </w:t>
      </w:r>
      <w:r w:rsidR="00C01030" w:rsidRPr="784656E5">
        <w:rPr>
          <w:color w:val="000000" w:themeColor="text1"/>
        </w:rPr>
        <w:t xml:space="preserve">(collectively </w:t>
      </w:r>
      <w:r w:rsidR="00EF14CB" w:rsidRPr="784656E5">
        <w:rPr>
          <w:color w:val="000000" w:themeColor="text1"/>
        </w:rPr>
        <w:t xml:space="preserve">referred to as </w:t>
      </w:r>
      <w:r w:rsidR="00D319FA" w:rsidRPr="784656E5">
        <w:rPr>
          <w:color w:val="000000" w:themeColor="text1"/>
        </w:rPr>
        <w:t>the</w:t>
      </w:r>
      <w:r w:rsidR="00556A6D" w:rsidRPr="784656E5">
        <w:rPr>
          <w:color w:val="000000" w:themeColor="text1"/>
        </w:rPr>
        <w:t xml:space="preserve"> </w:t>
      </w:r>
      <w:r w:rsidR="001A2159" w:rsidRPr="784656E5">
        <w:rPr>
          <w:color w:val="000000" w:themeColor="text1"/>
        </w:rPr>
        <w:t>“</w:t>
      </w:r>
      <w:r w:rsidR="00556A6D" w:rsidRPr="784656E5">
        <w:rPr>
          <w:color w:val="000000" w:themeColor="text1"/>
        </w:rPr>
        <w:t>Company”</w:t>
      </w:r>
      <w:r w:rsidR="003E4F4A">
        <w:rPr>
          <w:color w:val="000000" w:themeColor="text1"/>
        </w:rPr>
        <w:t xml:space="preserve">, </w:t>
      </w:r>
      <w:r w:rsidR="00556A6D" w:rsidRPr="784656E5">
        <w:rPr>
          <w:color w:val="000000" w:themeColor="text1"/>
        </w:rPr>
        <w:t>“GEE Group</w:t>
      </w:r>
      <w:r w:rsidR="00D319FA" w:rsidRPr="784656E5">
        <w:rPr>
          <w:color w:val="000000" w:themeColor="text1"/>
        </w:rPr>
        <w:t>”</w:t>
      </w:r>
      <w:r w:rsidR="003E4F4A">
        <w:rPr>
          <w:color w:val="000000" w:themeColor="text1"/>
        </w:rPr>
        <w:t>, “us”, “our”, or “we”</w:t>
      </w:r>
      <w:r w:rsidR="00D319FA" w:rsidRPr="784656E5">
        <w:rPr>
          <w:color w:val="000000" w:themeColor="text1"/>
        </w:rPr>
        <w:t>)</w:t>
      </w:r>
      <w:r w:rsidR="00A11567" w:rsidRPr="784656E5">
        <w:rPr>
          <w:color w:val="000000" w:themeColor="text1"/>
        </w:rPr>
        <w:t>,</w:t>
      </w:r>
      <w:r w:rsidR="00433EFA">
        <w:rPr>
          <w:color w:val="000000" w:themeColor="text1"/>
        </w:rPr>
        <w:t xml:space="preserve"> a</w:t>
      </w:r>
      <w:r w:rsidR="00A11567" w:rsidRPr="784656E5">
        <w:rPr>
          <w:color w:val="000000" w:themeColor="text1"/>
        </w:rPr>
        <w:t xml:space="preserve"> provider</w:t>
      </w:r>
      <w:r w:rsidR="00433EFA">
        <w:rPr>
          <w:color w:val="000000" w:themeColor="text1"/>
        </w:rPr>
        <w:t xml:space="preserve"> </w:t>
      </w:r>
      <w:r w:rsidR="00A11567" w:rsidRPr="784656E5">
        <w:rPr>
          <w:color w:val="000000" w:themeColor="text1"/>
        </w:rPr>
        <w:t>of professional staffing services and</w:t>
      </w:r>
      <w:r w:rsidR="00404047" w:rsidRPr="784656E5">
        <w:rPr>
          <w:color w:val="000000" w:themeColor="text1"/>
        </w:rPr>
        <w:t xml:space="preserve"> human resource</w:t>
      </w:r>
      <w:r w:rsidR="00A11567" w:rsidRPr="784656E5">
        <w:rPr>
          <w:color w:val="000000" w:themeColor="text1"/>
        </w:rPr>
        <w:t xml:space="preserve"> solutions, today</w:t>
      </w:r>
      <w:r w:rsidR="00D319FA" w:rsidRPr="784656E5">
        <w:rPr>
          <w:color w:val="000000" w:themeColor="text1"/>
        </w:rPr>
        <w:t xml:space="preserve"> </w:t>
      </w:r>
      <w:r w:rsidR="00404047" w:rsidRPr="784656E5">
        <w:rPr>
          <w:color w:val="000000" w:themeColor="text1"/>
        </w:rPr>
        <w:t xml:space="preserve">announced </w:t>
      </w:r>
      <w:r w:rsidR="00C01030" w:rsidRPr="784656E5">
        <w:rPr>
          <w:color w:val="000000" w:themeColor="text1"/>
        </w:rPr>
        <w:t xml:space="preserve">consolidated </w:t>
      </w:r>
      <w:r w:rsidR="00404047" w:rsidRPr="784656E5">
        <w:rPr>
          <w:color w:val="000000" w:themeColor="text1"/>
        </w:rPr>
        <w:t xml:space="preserve">results for the </w:t>
      </w:r>
      <w:r w:rsidR="00C01030" w:rsidRPr="784656E5">
        <w:rPr>
          <w:color w:val="000000" w:themeColor="text1"/>
        </w:rPr>
        <w:t xml:space="preserve">fiscal </w:t>
      </w:r>
      <w:r w:rsidR="2AA43EAE" w:rsidRPr="784656E5">
        <w:rPr>
          <w:color w:val="000000" w:themeColor="text1"/>
        </w:rPr>
        <w:t xml:space="preserve">2023 </w:t>
      </w:r>
      <w:r w:rsidR="007A2639">
        <w:rPr>
          <w:color w:val="000000" w:themeColor="text1"/>
        </w:rPr>
        <w:t>second</w:t>
      </w:r>
      <w:r w:rsidR="00D319FA" w:rsidRPr="784656E5">
        <w:rPr>
          <w:color w:val="000000" w:themeColor="text1"/>
        </w:rPr>
        <w:t xml:space="preserve"> quarter </w:t>
      </w:r>
      <w:r w:rsidR="000B6121" w:rsidRPr="784656E5">
        <w:rPr>
          <w:color w:val="000000" w:themeColor="text1"/>
        </w:rPr>
        <w:t xml:space="preserve">ended </w:t>
      </w:r>
      <w:r w:rsidR="007A2639">
        <w:rPr>
          <w:color w:val="000000" w:themeColor="text1"/>
        </w:rPr>
        <w:t>March</w:t>
      </w:r>
      <w:r w:rsidR="00FA5ABC" w:rsidRPr="784656E5">
        <w:rPr>
          <w:color w:val="000000" w:themeColor="text1"/>
        </w:rPr>
        <w:t xml:space="preserve"> </w:t>
      </w:r>
      <w:r w:rsidR="000B6121" w:rsidRPr="784656E5">
        <w:rPr>
          <w:color w:val="000000" w:themeColor="text1"/>
        </w:rPr>
        <w:t>3</w:t>
      </w:r>
      <w:r w:rsidR="00FA5ABC" w:rsidRPr="784656E5">
        <w:rPr>
          <w:color w:val="000000" w:themeColor="text1"/>
        </w:rPr>
        <w:t>1</w:t>
      </w:r>
      <w:r w:rsidR="000B6121" w:rsidRPr="784656E5">
        <w:rPr>
          <w:color w:val="000000" w:themeColor="text1"/>
        </w:rPr>
        <w:t>, 20</w:t>
      </w:r>
      <w:r w:rsidR="00976032" w:rsidRPr="784656E5">
        <w:rPr>
          <w:color w:val="000000" w:themeColor="text1"/>
        </w:rPr>
        <w:t>2</w:t>
      </w:r>
      <w:r w:rsidR="007A2639">
        <w:rPr>
          <w:color w:val="000000" w:themeColor="text1"/>
        </w:rPr>
        <w:t>3</w:t>
      </w:r>
      <w:r w:rsidR="00D319FA" w:rsidRPr="784656E5">
        <w:rPr>
          <w:color w:val="000000" w:themeColor="text1"/>
        </w:rPr>
        <w:t>.</w:t>
      </w:r>
      <w:r w:rsidR="00525F21" w:rsidRPr="784656E5">
        <w:rPr>
          <w:color w:val="000000" w:themeColor="text1"/>
        </w:rPr>
        <w:t xml:space="preserve">  All amounts presented herein are </w:t>
      </w:r>
      <w:r w:rsidR="002A580A" w:rsidRPr="784656E5">
        <w:rPr>
          <w:color w:val="000000" w:themeColor="text1"/>
        </w:rPr>
        <w:t>consolidated</w:t>
      </w:r>
      <w:r w:rsidR="00C01030" w:rsidRPr="784656E5">
        <w:rPr>
          <w:color w:val="000000" w:themeColor="text1"/>
        </w:rPr>
        <w:t xml:space="preserve"> or derived from consolidated amounts</w:t>
      </w:r>
      <w:r w:rsidR="002A580A" w:rsidRPr="784656E5">
        <w:rPr>
          <w:color w:val="000000" w:themeColor="text1"/>
        </w:rPr>
        <w:t xml:space="preserve">, </w:t>
      </w:r>
      <w:r w:rsidR="00C01030" w:rsidRPr="784656E5">
        <w:rPr>
          <w:color w:val="000000" w:themeColor="text1"/>
        </w:rPr>
        <w:t xml:space="preserve">and are </w:t>
      </w:r>
      <w:r w:rsidR="00525F21" w:rsidRPr="784656E5">
        <w:rPr>
          <w:color w:val="000000" w:themeColor="text1"/>
        </w:rPr>
        <w:t>rounded and</w:t>
      </w:r>
      <w:r w:rsidR="000A6371" w:rsidRPr="784656E5">
        <w:rPr>
          <w:color w:val="000000" w:themeColor="text1"/>
        </w:rPr>
        <w:t xml:space="preserve"> represent approximations, accordingly.</w:t>
      </w:r>
    </w:p>
    <w:p w14:paraId="78B641BA" w14:textId="74E3CA48" w:rsidR="00214001" w:rsidRPr="007202FC" w:rsidRDefault="00B33E51" w:rsidP="55C4ABAD">
      <w:pPr>
        <w:shd w:val="clear" w:color="auto" w:fill="FFFFFF" w:themeFill="background1"/>
        <w:spacing w:before="240"/>
        <w:jc w:val="both"/>
        <w:outlineLvl w:val="0"/>
        <w:rPr>
          <w:b/>
          <w:bCs/>
          <w:color w:val="000000" w:themeColor="text1"/>
        </w:rPr>
      </w:pPr>
      <w:r>
        <w:rPr>
          <w:b/>
          <w:bCs/>
          <w:color w:val="000000" w:themeColor="text1"/>
        </w:rPr>
        <w:t>2023 Second Quarter and YTD Highlights</w:t>
      </w:r>
    </w:p>
    <w:p w14:paraId="45DCCEDF" w14:textId="3656581D" w:rsidR="002A580A" w:rsidRPr="00FA75D5" w:rsidRDefault="002A580A" w:rsidP="00214001">
      <w:pPr>
        <w:pStyle w:val="ListParagraph"/>
        <w:shd w:val="clear" w:color="auto" w:fill="FFFFFF" w:themeFill="background1"/>
        <w:spacing w:before="120"/>
        <w:jc w:val="both"/>
        <w:outlineLvl w:val="0"/>
        <w:rPr>
          <w:rFonts w:ascii="Times New Roman" w:hAnsi="Times New Roman" w:cs="Times New Roman"/>
          <w:color w:val="000000" w:themeColor="text1"/>
        </w:rPr>
      </w:pPr>
    </w:p>
    <w:p w14:paraId="238F8787" w14:textId="5438EC06" w:rsidR="006201DF" w:rsidRPr="00FA75D5" w:rsidRDefault="1C46CD1D" w:rsidP="006201DF">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FA75D5">
        <w:rPr>
          <w:rFonts w:ascii="Times New Roman" w:hAnsi="Times New Roman" w:cs="Times New Roman"/>
          <w:color w:val="000000" w:themeColor="text1"/>
        </w:rPr>
        <w:t>Professional contract services revenue</w:t>
      </w:r>
      <w:r w:rsidR="00174D14" w:rsidRPr="00FA75D5">
        <w:rPr>
          <w:rFonts w:ascii="Times New Roman" w:hAnsi="Times New Roman" w:cs="Times New Roman"/>
          <w:color w:val="000000" w:themeColor="text1"/>
        </w:rPr>
        <w:t>s</w:t>
      </w:r>
      <w:r w:rsidR="00752B0D" w:rsidRPr="00FA75D5">
        <w:rPr>
          <w:rFonts w:ascii="Times New Roman" w:hAnsi="Times New Roman" w:cs="Times New Roman"/>
          <w:color w:val="000000" w:themeColor="text1"/>
        </w:rPr>
        <w:t xml:space="preserve"> for the three and six-month</w:t>
      </w:r>
      <w:r w:rsidR="006F626A" w:rsidRPr="00FA75D5">
        <w:rPr>
          <w:rFonts w:ascii="Times New Roman" w:hAnsi="Times New Roman" w:cs="Times New Roman"/>
          <w:color w:val="000000" w:themeColor="text1"/>
        </w:rPr>
        <w:t xml:space="preserve"> periods ended March 31, 2023 were $</w:t>
      </w:r>
      <w:r w:rsidR="004C3F5C" w:rsidRPr="00FA75D5">
        <w:rPr>
          <w:rFonts w:ascii="Times New Roman" w:hAnsi="Times New Roman" w:cs="Times New Roman"/>
          <w:color w:val="000000" w:themeColor="text1"/>
        </w:rPr>
        <w:t>30.</w:t>
      </w:r>
      <w:r w:rsidR="00C175AC">
        <w:rPr>
          <w:rFonts w:ascii="Times New Roman" w:hAnsi="Times New Roman" w:cs="Times New Roman"/>
          <w:color w:val="000000" w:themeColor="text1"/>
        </w:rPr>
        <w:t>8</w:t>
      </w:r>
      <w:r w:rsidR="004C3F5C" w:rsidRPr="00FA75D5">
        <w:rPr>
          <w:rFonts w:ascii="Times New Roman" w:hAnsi="Times New Roman" w:cs="Times New Roman"/>
          <w:color w:val="000000" w:themeColor="text1"/>
        </w:rPr>
        <w:t xml:space="preserve"> million and $62.5</w:t>
      </w:r>
      <w:r w:rsidR="009E122A" w:rsidRPr="00FA75D5">
        <w:rPr>
          <w:rFonts w:ascii="Times New Roman" w:hAnsi="Times New Roman" w:cs="Times New Roman"/>
          <w:color w:val="000000" w:themeColor="text1"/>
        </w:rPr>
        <w:t xml:space="preserve"> million</w:t>
      </w:r>
      <w:r w:rsidRPr="00FA75D5">
        <w:rPr>
          <w:rFonts w:ascii="Times New Roman" w:hAnsi="Times New Roman" w:cs="Times New Roman"/>
          <w:color w:val="000000" w:themeColor="text1"/>
        </w:rPr>
        <w:t>,</w:t>
      </w:r>
      <w:r w:rsidR="009F7B16" w:rsidRPr="00FA75D5">
        <w:rPr>
          <w:rFonts w:ascii="Times New Roman" w:hAnsi="Times New Roman" w:cs="Times New Roman"/>
          <w:color w:val="000000" w:themeColor="text1"/>
        </w:rPr>
        <w:t xml:space="preserve"> up </w:t>
      </w:r>
      <w:r w:rsidR="003D00A5" w:rsidRPr="00FA75D5">
        <w:rPr>
          <w:rFonts w:ascii="Times New Roman" w:hAnsi="Times New Roman" w:cs="Times New Roman"/>
          <w:color w:val="000000" w:themeColor="text1"/>
        </w:rPr>
        <w:t>$0.</w:t>
      </w:r>
      <w:r w:rsidR="00896F00">
        <w:rPr>
          <w:rFonts w:ascii="Times New Roman" w:hAnsi="Times New Roman" w:cs="Times New Roman"/>
          <w:color w:val="000000" w:themeColor="text1"/>
        </w:rPr>
        <w:t>7</w:t>
      </w:r>
      <w:r w:rsidR="003D00A5" w:rsidRPr="00FA75D5">
        <w:rPr>
          <w:rFonts w:ascii="Times New Roman" w:hAnsi="Times New Roman" w:cs="Times New Roman"/>
          <w:color w:val="000000" w:themeColor="text1"/>
        </w:rPr>
        <w:t xml:space="preserve"> million</w:t>
      </w:r>
      <w:r w:rsidR="00880CAC" w:rsidRPr="00FA75D5">
        <w:rPr>
          <w:rFonts w:ascii="Times New Roman" w:hAnsi="Times New Roman" w:cs="Times New Roman"/>
          <w:color w:val="000000" w:themeColor="text1"/>
        </w:rPr>
        <w:t xml:space="preserve"> and </w:t>
      </w:r>
      <w:r w:rsidR="00896F00">
        <w:rPr>
          <w:rFonts w:ascii="Times New Roman" w:hAnsi="Times New Roman" w:cs="Times New Roman"/>
          <w:color w:val="000000" w:themeColor="text1"/>
        </w:rPr>
        <w:t>near level,</w:t>
      </w:r>
      <w:r w:rsidR="003B4505" w:rsidRPr="00FA75D5">
        <w:rPr>
          <w:rFonts w:ascii="Times New Roman" w:hAnsi="Times New Roman" w:cs="Times New Roman"/>
          <w:color w:val="000000" w:themeColor="text1"/>
        </w:rPr>
        <w:t xml:space="preserve"> respectively, </w:t>
      </w:r>
      <w:r w:rsidR="00896F00">
        <w:rPr>
          <w:rFonts w:ascii="Times New Roman" w:hAnsi="Times New Roman" w:cs="Times New Roman"/>
          <w:color w:val="000000" w:themeColor="text1"/>
        </w:rPr>
        <w:t>compared with</w:t>
      </w:r>
      <w:r w:rsidR="003B4505" w:rsidRPr="00FA75D5">
        <w:rPr>
          <w:rFonts w:ascii="Times New Roman" w:hAnsi="Times New Roman" w:cs="Times New Roman"/>
          <w:color w:val="000000" w:themeColor="text1"/>
        </w:rPr>
        <w:t xml:space="preserve"> the </w:t>
      </w:r>
      <w:r w:rsidR="007613DB">
        <w:rPr>
          <w:rFonts w:ascii="Times New Roman" w:hAnsi="Times New Roman" w:cs="Times New Roman"/>
          <w:color w:val="000000" w:themeColor="text1"/>
        </w:rPr>
        <w:t>same</w:t>
      </w:r>
      <w:r w:rsidR="003B4505" w:rsidRPr="00FA75D5">
        <w:rPr>
          <w:rFonts w:ascii="Times New Roman" w:hAnsi="Times New Roman" w:cs="Times New Roman"/>
          <w:color w:val="000000" w:themeColor="text1"/>
        </w:rPr>
        <w:t xml:space="preserve"> fiscal 2022 period</w:t>
      </w:r>
      <w:r w:rsidR="00723F3A" w:rsidRPr="00FA75D5">
        <w:rPr>
          <w:rFonts w:ascii="Times New Roman" w:hAnsi="Times New Roman" w:cs="Times New Roman"/>
          <w:color w:val="000000" w:themeColor="text1"/>
        </w:rPr>
        <w:t xml:space="preserve">s.  Excluding the </w:t>
      </w:r>
      <w:r w:rsidR="006201DF" w:rsidRPr="00FA75D5">
        <w:rPr>
          <w:rFonts w:ascii="Times New Roman" w:hAnsi="Times New Roman" w:cs="Times New Roman"/>
          <w:color w:val="000000" w:themeColor="text1"/>
        </w:rPr>
        <w:t>effects of certain discreet (non-recurring) projects for professional staffing support provided to former COVID-19 response vaccination and testing facilities</w:t>
      </w:r>
      <w:r w:rsidR="003D324B">
        <w:rPr>
          <w:rFonts w:ascii="Times New Roman" w:hAnsi="Times New Roman" w:cs="Times New Roman"/>
          <w:color w:val="000000" w:themeColor="text1"/>
        </w:rPr>
        <w:t xml:space="preserve"> during the </w:t>
      </w:r>
      <w:r w:rsidR="00833600">
        <w:rPr>
          <w:rFonts w:ascii="Times New Roman" w:hAnsi="Times New Roman" w:cs="Times New Roman"/>
          <w:color w:val="000000" w:themeColor="text1"/>
        </w:rPr>
        <w:t xml:space="preserve">comparable fiscal </w:t>
      </w:r>
      <w:r w:rsidR="003D324B">
        <w:rPr>
          <w:rFonts w:ascii="Times New Roman" w:hAnsi="Times New Roman" w:cs="Times New Roman"/>
          <w:color w:val="000000" w:themeColor="text1"/>
        </w:rPr>
        <w:t>2022</w:t>
      </w:r>
      <w:r w:rsidR="00833600">
        <w:rPr>
          <w:rFonts w:ascii="Times New Roman" w:hAnsi="Times New Roman" w:cs="Times New Roman"/>
          <w:color w:val="000000" w:themeColor="text1"/>
        </w:rPr>
        <w:t xml:space="preserve"> periods</w:t>
      </w:r>
      <w:r w:rsidR="006201DF" w:rsidRPr="00FA75D5">
        <w:rPr>
          <w:rFonts w:ascii="Times New Roman" w:hAnsi="Times New Roman" w:cs="Times New Roman"/>
          <w:color w:val="000000" w:themeColor="text1"/>
        </w:rPr>
        <w:t xml:space="preserve">, </w:t>
      </w:r>
      <w:r w:rsidR="007613DB">
        <w:rPr>
          <w:rFonts w:ascii="Times New Roman" w:hAnsi="Times New Roman" w:cs="Times New Roman"/>
          <w:color w:val="000000" w:themeColor="text1"/>
        </w:rPr>
        <w:t xml:space="preserve">remaining </w:t>
      </w:r>
      <w:r w:rsidR="006201DF" w:rsidRPr="00FA75D5">
        <w:rPr>
          <w:rFonts w:ascii="Times New Roman" w:hAnsi="Times New Roman" w:cs="Times New Roman"/>
          <w:color w:val="000000" w:themeColor="text1"/>
        </w:rPr>
        <w:t>professional contract services revenues increased $</w:t>
      </w:r>
      <w:r w:rsidR="00CC23D2" w:rsidRPr="00FA75D5">
        <w:rPr>
          <w:rFonts w:ascii="Times New Roman" w:hAnsi="Times New Roman" w:cs="Times New Roman"/>
          <w:color w:val="000000" w:themeColor="text1"/>
        </w:rPr>
        <w:t>1.6 million</w:t>
      </w:r>
      <w:r w:rsidR="003D324B">
        <w:rPr>
          <w:rFonts w:ascii="Times New Roman" w:hAnsi="Times New Roman" w:cs="Times New Roman"/>
          <w:color w:val="000000" w:themeColor="text1"/>
        </w:rPr>
        <w:t xml:space="preserve"> and $</w:t>
      </w:r>
      <w:r w:rsidR="00A35E13">
        <w:rPr>
          <w:rFonts w:ascii="Times New Roman" w:hAnsi="Times New Roman" w:cs="Times New Roman"/>
          <w:color w:val="000000" w:themeColor="text1"/>
        </w:rPr>
        <w:t>3.</w:t>
      </w:r>
      <w:r w:rsidR="00A30C25">
        <w:rPr>
          <w:rFonts w:ascii="Times New Roman" w:hAnsi="Times New Roman" w:cs="Times New Roman"/>
          <w:color w:val="000000" w:themeColor="text1"/>
        </w:rPr>
        <w:t>1</w:t>
      </w:r>
      <w:r w:rsidR="003D324B">
        <w:rPr>
          <w:rFonts w:ascii="Times New Roman" w:hAnsi="Times New Roman" w:cs="Times New Roman"/>
          <w:color w:val="000000" w:themeColor="text1"/>
        </w:rPr>
        <w:t xml:space="preserve"> million</w:t>
      </w:r>
      <w:r w:rsidR="006201DF" w:rsidRPr="00FA75D5">
        <w:rPr>
          <w:rFonts w:ascii="Times New Roman" w:hAnsi="Times New Roman" w:cs="Times New Roman"/>
          <w:color w:val="000000" w:themeColor="text1"/>
        </w:rPr>
        <w:t xml:space="preserve">, </w:t>
      </w:r>
      <w:r w:rsidR="004C16F1">
        <w:rPr>
          <w:rFonts w:ascii="Times New Roman" w:hAnsi="Times New Roman" w:cs="Times New Roman"/>
          <w:color w:val="000000" w:themeColor="text1"/>
        </w:rPr>
        <w:t xml:space="preserve">respectively, </w:t>
      </w:r>
      <w:r w:rsidR="006201DF" w:rsidRPr="00FA75D5">
        <w:rPr>
          <w:rFonts w:ascii="Times New Roman" w:hAnsi="Times New Roman" w:cs="Times New Roman"/>
          <w:color w:val="000000" w:themeColor="text1"/>
        </w:rPr>
        <w:t xml:space="preserve">or </w:t>
      </w:r>
      <w:r w:rsidR="00A75868">
        <w:rPr>
          <w:rFonts w:ascii="Times New Roman" w:hAnsi="Times New Roman" w:cs="Times New Roman"/>
          <w:color w:val="000000" w:themeColor="text1"/>
        </w:rPr>
        <w:t xml:space="preserve">by </w:t>
      </w:r>
      <w:r w:rsidR="006201DF" w:rsidRPr="00FA75D5">
        <w:rPr>
          <w:rFonts w:ascii="Times New Roman" w:hAnsi="Times New Roman" w:cs="Times New Roman"/>
          <w:color w:val="000000" w:themeColor="text1"/>
        </w:rPr>
        <w:t>5%</w:t>
      </w:r>
      <w:r w:rsidR="003D324B">
        <w:rPr>
          <w:rFonts w:ascii="Times New Roman" w:hAnsi="Times New Roman" w:cs="Times New Roman"/>
          <w:color w:val="000000" w:themeColor="text1"/>
        </w:rPr>
        <w:t xml:space="preserve"> </w:t>
      </w:r>
      <w:r w:rsidR="004C16F1">
        <w:rPr>
          <w:rFonts w:ascii="Times New Roman" w:hAnsi="Times New Roman" w:cs="Times New Roman"/>
          <w:color w:val="000000" w:themeColor="text1"/>
        </w:rPr>
        <w:t>each period</w:t>
      </w:r>
      <w:r w:rsidR="006201DF" w:rsidRPr="00FA75D5">
        <w:rPr>
          <w:rFonts w:ascii="Times New Roman" w:hAnsi="Times New Roman" w:cs="Times New Roman"/>
          <w:color w:val="000000" w:themeColor="text1"/>
        </w:rPr>
        <w:t>.</w:t>
      </w:r>
      <w:r w:rsidR="00A80A8D">
        <w:rPr>
          <w:rFonts w:ascii="Times New Roman" w:hAnsi="Times New Roman" w:cs="Times New Roman"/>
          <w:color w:val="000000" w:themeColor="text1"/>
        </w:rPr>
        <w:t xml:space="preserve">  </w:t>
      </w:r>
      <w:r w:rsidR="00833600">
        <w:rPr>
          <w:rFonts w:ascii="Times New Roman" w:hAnsi="Times New Roman" w:cs="Times New Roman"/>
          <w:color w:val="000000" w:themeColor="text1"/>
        </w:rPr>
        <w:t>Information Technology (</w:t>
      </w:r>
      <w:r w:rsidR="00A80A8D">
        <w:rPr>
          <w:rFonts w:ascii="Times New Roman" w:hAnsi="Times New Roman" w:cs="Times New Roman"/>
          <w:color w:val="000000" w:themeColor="text1"/>
        </w:rPr>
        <w:t>IT</w:t>
      </w:r>
      <w:r w:rsidR="00833600">
        <w:rPr>
          <w:rFonts w:ascii="Times New Roman" w:hAnsi="Times New Roman" w:cs="Times New Roman"/>
          <w:color w:val="000000" w:themeColor="text1"/>
        </w:rPr>
        <w:t>)</w:t>
      </w:r>
      <w:r w:rsidR="00A80A8D">
        <w:rPr>
          <w:rFonts w:ascii="Times New Roman" w:hAnsi="Times New Roman" w:cs="Times New Roman"/>
          <w:color w:val="000000" w:themeColor="text1"/>
        </w:rPr>
        <w:t xml:space="preserve"> </w:t>
      </w:r>
      <w:r w:rsidR="00833600">
        <w:rPr>
          <w:rFonts w:ascii="Times New Roman" w:hAnsi="Times New Roman" w:cs="Times New Roman"/>
          <w:color w:val="000000" w:themeColor="text1"/>
        </w:rPr>
        <w:t>led our professional contract services revenue growth at 11% and 13%, respectively, during the three-month and six-month periods ended March 31, 2023, over prior comparable periods.</w:t>
      </w:r>
    </w:p>
    <w:p w14:paraId="4F437EC2" w14:textId="77777777" w:rsidR="00B73C36" w:rsidRPr="00FA75D5" w:rsidRDefault="00B73C36" w:rsidP="00B73C36">
      <w:pPr>
        <w:pStyle w:val="ListParagraph"/>
        <w:rPr>
          <w:rFonts w:ascii="Times New Roman" w:hAnsi="Times New Roman" w:cs="Times New Roman"/>
          <w:color w:val="000000" w:themeColor="text1"/>
        </w:rPr>
      </w:pPr>
    </w:p>
    <w:p w14:paraId="17659F58" w14:textId="20DCDB8C" w:rsidR="003D324B" w:rsidRDefault="0000284D" w:rsidP="003D324B">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FA75D5">
        <w:rPr>
          <w:rFonts w:ascii="Times New Roman" w:hAnsi="Times New Roman" w:cs="Times New Roman"/>
          <w:color w:val="000000" w:themeColor="text1"/>
        </w:rPr>
        <w:t>Direct hire placement revenues for the three and six-months ended March 31, 202</w:t>
      </w:r>
      <w:r w:rsidR="00B41CD0" w:rsidRPr="00FA75D5">
        <w:rPr>
          <w:rFonts w:ascii="Times New Roman" w:hAnsi="Times New Roman" w:cs="Times New Roman"/>
          <w:color w:val="000000" w:themeColor="text1"/>
        </w:rPr>
        <w:t>3</w:t>
      </w:r>
      <w:r w:rsidRPr="00FA75D5">
        <w:rPr>
          <w:rFonts w:ascii="Times New Roman" w:hAnsi="Times New Roman" w:cs="Times New Roman"/>
          <w:color w:val="000000" w:themeColor="text1"/>
        </w:rPr>
        <w:t xml:space="preserve"> were $</w:t>
      </w:r>
      <w:r w:rsidR="00B41CD0" w:rsidRPr="00FA75D5">
        <w:rPr>
          <w:rFonts w:ascii="Times New Roman" w:hAnsi="Times New Roman" w:cs="Times New Roman"/>
          <w:color w:val="000000" w:themeColor="text1"/>
        </w:rPr>
        <w:t>4</w:t>
      </w:r>
      <w:r w:rsidRPr="00FA75D5">
        <w:rPr>
          <w:rFonts w:ascii="Times New Roman" w:hAnsi="Times New Roman" w:cs="Times New Roman"/>
          <w:color w:val="000000" w:themeColor="text1"/>
        </w:rPr>
        <w:t>.9 million and $</w:t>
      </w:r>
      <w:r w:rsidR="00C003F0" w:rsidRPr="00FA75D5">
        <w:rPr>
          <w:rFonts w:ascii="Times New Roman" w:hAnsi="Times New Roman" w:cs="Times New Roman"/>
          <w:color w:val="000000" w:themeColor="text1"/>
        </w:rPr>
        <w:t>10</w:t>
      </w:r>
      <w:r w:rsidRPr="00FA75D5">
        <w:rPr>
          <w:rFonts w:ascii="Times New Roman" w:hAnsi="Times New Roman" w:cs="Times New Roman"/>
          <w:color w:val="000000" w:themeColor="text1"/>
        </w:rPr>
        <w:t>.</w:t>
      </w:r>
      <w:r w:rsidR="00C003F0" w:rsidRPr="00FA75D5">
        <w:rPr>
          <w:rFonts w:ascii="Times New Roman" w:hAnsi="Times New Roman" w:cs="Times New Roman"/>
          <w:color w:val="000000" w:themeColor="text1"/>
        </w:rPr>
        <w:t>6</w:t>
      </w:r>
      <w:r w:rsidRPr="00FA75D5">
        <w:rPr>
          <w:rFonts w:ascii="Times New Roman" w:hAnsi="Times New Roman" w:cs="Times New Roman"/>
          <w:color w:val="000000" w:themeColor="text1"/>
        </w:rPr>
        <w:t xml:space="preserve"> million, as compared with $</w:t>
      </w:r>
      <w:r w:rsidR="0026459A" w:rsidRPr="00FA75D5">
        <w:rPr>
          <w:rFonts w:ascii="Times New Roman" w:hAnsi="Times New Roman" w:cs="Times New Roman"/>
          <w:color w:val="000000" w:themeColor="text1"/>
        </w:rPr>
        <w:t>5</w:t>
      </w:r>
      <w:r w:rsidRPr="00FA75D5">
        <w:rPr>
          <w:rFonts w:ascii="Times New Roman" w:hAnsi="Times New Roman" w:cs="Times New Roman"/>
          <w:color w:val="000000" w:themeColor="text1"/>
        </w:rPr>
        <w:t>.</w:t>
      </w:r>
      <w:r w:rsidR="0026459A" w:rsidRPr="00FA75D5">
        <w:rPr>
          <w:rFonts w:ascii="Times New Roman" w:hAnsi="Times New Roman" w:cs="Times New Roman"/>
          <w:color w:val="000000" w:themeColor="text1"/>
        </w:rPr>
        <w:t>9</w:t>
      </w:r>
      <w:r w:rsidRPr="00FA75D5">
        <w:rPr>
          <w:rFonts w:ascii="Times New Roman" w:hAnsi="Times New Roman" w:cs="Times New Roman"/>
          <w:color w:val="000000" w:themeColor="text1"/>
        </w:rPr>
        <w:t xml:space="preserve"> million and $</w:t>
      </w:r>
      <w:r w:rsidR="0026459A" w:rsidRPr="00FA75D5">
        <w:rPr>
          <w:rFonts w:ascii="Times New Roman" w:hAnsi="Times New Roman" w:cs="Times New Roman"/>
          <w:color w:val="000000" w:themeColor="text1"/>
        </w:rPr>
        <w:t>12</w:t>
      </w:r>
      <w:r w:rsidRPr="00FA75D5">
        <w:rPr>
          <w:rFonts w:ascii="Times New Roman" w:hAnsi="Times New Roman" w:cs="Times New Roman"/>
          <w:color w:val="000000" w:themeColor="text1"/>
        </w:rPr>
        <w:t>.</w:t>
      </w:r>
      <w:r w:rsidR="0026459A" w:rsidRPr="00FA75D5">
        <w:rPr>
          <w:rFonts w:ascii="Times New Roman" w:hAnsi="Times New Roman" w:cs="Times New Roman"/>
          <w:color w:val="000000" w:themeColor="text1"/>
        </w:rPr>
        <w:t>0</w:t>
      </w:r>
      <w:r w:rsidRPr="00FA75D5">
        <w:rPr>
          <w:rFonts w:ascii="Times New Roman" w:hAnsi="Times New Roman" w:cs="Times New Roman"/>
          <w:color w:val="000000" w:themeColor="text1"/>
        </w:rPr>
        <w:t xml:space="preserve"> million, for the three and six-months ended March 31, 202</w:t>
      </w:r>
      <w:r w:rsidR="0026459A" w:rsidRPr="00FA75D5">
        <w:rPr>
          <w:rFonts w:ascii="Times New Roman" w:hAnsi="Times New Roman" w:cs="Times New Roman"/>
          <w:color w:val="000000" w:themeColor="text1"/>
        </w:rPr>
        <w:t>2</w:t>
      </w:r>
      <w:r w:rsidR="00C97B11">
        <w:rPr>
          <w:rFonts w:ascii="Times New Roman" w:hAnsi="Times New Roman" w:cs="Times New Roman"/>
          <w:color w:val="000000" w:themeColor="text1"/>
        </w:rPr>
        <w:t>, respectively</w:t>
      </w:r>
      <w:r w:rsidRPr="00FA75D5">
        <w:rPr>
          <w:rFonts w:ascii="Times New Roman" w:hAnsi="Times New Roman" w:cs="Times New Roman"/>
          <w:color w:val="000000" w:themeColor="text1"/>
        </w:rPr>
        <w:t xml:space="preserve">.  </w:t>
      </w:r>
      <w:r w:rsidR="005C3093" w:rsidRPr="00FA75D5">
        <w:rPr>
          <w:rFonts w:ascii="Times New Roman" w:hAnsi="Times New Roman" w:cs="Times New Roman"/>
          <w:color w:val="000000" w:themeColor="text1"/>
        </w:rPr>
        <w:t>Demand for the Company’s direct hire</w:t>
      </w:r>
      <w:r w:rsidR="00912698">
        <w:rPr>
          <w:rFonts w:ascii="Times New Roman" w:hAnsi="Times New Roman" w:cs="Times New Roman"/>
          <w:color w:val="000000" w:themeColor="text1"/>
        </w:rPr>
        <w:t xml:space="preserve"> placement</w:t>
      </w:r>
      <w:r w:rsidR="005C3093" w:rsidRPr="00FA75D5">
        <w:rPr>
          <w:rFonts w:ascii="Times New Roman" w:hAnsi="Times New Roman" w:cs="Times New Roman"/>
          <w:color w:val="000000" w:themeColor="text1"/>
        </w:rPr>
        <w:t xml:space="preserve"> services was</w:t>
      </w:r>
      <w:r w:rsidR="006E54BA">
        <w:rPr>
          <w:rFonts w:ascii="Times New Roman" w:hAnsi="Times New Roman" w:cs="Times New Roman"/>
          <w:color w:val="000000" w:themeColor="text1"/>
        </w:rPr>
        <w:t xml:space="preserve"> significantly higher </w:t>
      </w:r>
      <w:r w:rsidR="005C3093" w:rsidRPr="00FA75D5">
        <w:rPr>
          <w:rFonts w:ascii="Times New Roman" w:hAnsi="Times New Roman" w:cs="Times New Roman"/>
          <w:color w:val="000000" w:themeColor="text1"/>
        </w:rPr>
        <w:t xml:space="preserve">during </w:t>
      </w:r>
      <w:r w:rsidR="006E54BA">
        <w:rPr>
          <w:rFonts w:ascii="Times New Roman" w:hAnsi="Times New Roman" w:cs="Times New Roman"/>
          <w:color w:val="000000" w:themeColor="text1"/>
        </w:rPr>
        <w:t>fiscal 2022</w:t>
      </w:r>
      <w:r w:rsidR="003D324B">
        <w:rPr>
          <w:rFonts w:ascii="Times New Roman" w:hAnsi="Times New Roman" w:cs="Times New Roman"/>
          <w:color w:val="000000" w:themeColor="text1"/>
        </w:rPr>
        <w:t>,</w:t>
      </w:r>
      <w:r w:rsidR="00912698">
        <w:rPr>
          <w:rFonts w:ascii="Times New Roman" w:hAnsi="Times New Roman" w:cs="Times New Roman"/>
          <w:color w:val="000000" w:themeColor="text1"/>
        </w:rPr>
        <w:t xml:space="preserve"> primarily</w:t>
      </w:r>
      <w:r w:rsidR="005C3093" w:rsidRPr="00FB1C4B">
        <w:rPr>
          <w:rFonts w:ascii="Times New Roman" w:hAnsi="Times New Roman" w:cs="Times New Roman"/>
          <w:color w:val="000000" w:themeColor="text1"/>
        </w:rPr>
        <w:t xml:space="preserve"> </w:t>
      </w:r>
      <w:r w:rsidR="006E54BA">
        <w:rPr>
          <w:rFonts w:ascii="Times New Roman" w:hAnsi="Times New Roman" w:cs="Times New Roman"/>
          <w:color w:val="000000" w:themeColor="text1"/>
        </w:rPr>
        <w:t>due to</w:t>
      </w:r>
      <w:r w:rsidR="00433EFA">
        <w:rPr>
          <w:rFonts w:ascii="Times New Roman" w:hAnsi="Times New Roman" w:cs="Times New Roman"/>
          <w:color w:val="000000" w:themeColor="text1"/>
        </w:rPr>
        <w:t xml:space="preserve"> a</w:t>
      </w:r>
      <w:r w:rsidR="00912698">
        <w:rPr>
          <w:rFonts w:ascii="Times New Roman" w:hAnsi="Times New Roman" w:cs="Times New Roman"/>
          <w:color w:val="000000" w:themeColor="text1"/>
        </w:rPr>
        <w:t xml:space="preserve"> stronger economy coupled with a</w:t>
      </w:r>
      <w:r w:rsidR="00433EFA">
        <w:rPr>
          <w:rFonts w:ascii="Times New Roman" w:hAnsi="Times New Roman" w:cs="Times New Roman"/>
          <w:color w:val="000000" w:themeColor="text1"/>
        </w:rPr>
        <w:t xml:space="preserve"> continued “post COVID</w:t>
      </w:r>
      <w:r w:rsidR="00F56681">
        <w:rPr>
          <w:rFonts w:ascii="Times New Roman" w:hAnsi="Times New Roman" w:cs="Times New Roman"/>
          <w:color w:val="000000" w:themeColor="text1"/>
        </w:rPr>
        <w:t>-19</w:t>
      </w:r>
      <w:r w:rsidR="00433EFA">
        <w:rPr>
          <w:rFonts w:ascii="Times New Roman" w:hAnsi="Times New Roman" w:cs="Times New Roman"/>
          <w:color w:val="000000" w:themeColor="text1"/>
        </w:rPr>
        <w:t xml:space="preserve"> bounce”</w:t>
      </w:r>
      <w:r w:rsidR="00912698">
        <w:rPr>
          <w:rFonts w:ascii="Times New Roman" w:hAnsi="Times New Roman" w:cs="Times New Roman"/>
          <w:color w:val="000000" w:themeColor="text1"/>
        </w:rPr>
        <w:t xml:space="preserve"> in employment</w:t>
      </w:r>
      <w:r w:rsidR="00BA2D0E">
        <w:rPr>
          <w:rFonts w:ascii="Times New Roman" w:hAnsi="Times New Roman" w:cs="Times New Roman"/>
          <w:color w:val="000000" w:themeColor="text1"/>
        </w:rPr>
        <w:t xml:space="preserve"> that fiscal year</w:t>
      </w:r>
      <w:r w:rsidR="00AC7E56">
        <w:rPr>
          <w:rFonts w:ascii="Times New Roman" w:hAnsi="Times New Roman" w:cs="Times New Roman"/>
          <w:color w:val="000000" w:themeColor="text1"/>
        </w:rPr>
        <w:t xml:space="preserve">. The result was </w:t>
      </w:r>
      <w:r w:rsidR="00433EFA">
        <w:rPr>
          <w:rFonts w:ascii="Times New Roman" w:hAnsi="Times New Roman" w:cs="Times New Roman"/>
          <w:color w:val="000000" w:themeColor="text1"/>
        </w:rPr>
        <w:t>a more</w:t>
      </w:r>
      <w:r w:rsidR="005C3093" w:rsidRPr="00FB1C4B">
        <w:rPr>
          <w:rFonts w:ascii="Times New Roman" w:hAnsi="Times New Roman" w:cs="Times New Roman"/>
          <w:color w:val="000000" w:themeColor="text1"/>
        </w:rPr>
        <w:t xml:space="preserve"> </w:t>
      </w:r>
      <w:r w:rsidR="00896F00">
        <w:rPr>
          <w:rFonts w:ascii="Times New Roman" w:hAnsi="Times New Roman" w:cs="Times New Roman"/>
          <w:color w:val="000000" w:themeColor="text1"/>
        </w:rPr>
        <w:t xml:space="preserve">favorable </w:t>
      </w:r>
      <w:r w:rsidR="00231DDB">
        <w:rPr>
          <w:rFonts w:ascii="Times New Roman" w:hAnsi="Times New Roman" w:cs="Times New Roman"/>
          <w:color w:val="000000" w:themeColor="text1"/>
        </w:rPr>
        <w:t>labor market</w:t>
      </w:r>
      <w:r w:rsidR="00912698">
        <w:rPr>
          <w:rFonts w:ascii="Times New Roman" w:hAnsi="Times New Roman" w:cs="Times New Roman"/>
          <w:color w:val="000000" w:themeColor="text1"/>
        </w:rPr>
        <w:t xml:space="preserve"> for permanent</w:t>
      </w:r>
      <w:r w:rsidR="00D22293">
        <w:rPr>
          <w:rFonts w:ascii="Times New Roman" w:hAnsi="Times New Roman" w:cs="Times New Roman"/>
          <w:color w:val="000000" w:themeColor="text1"/>
        </w:rPr>
        <w:t>, full-time</w:t>
      </w:r>
      <w:r w:rsidR="00912698">
        <w:rPr>
          <w:rFonts w:ascii="Times New Roman" w:hAnsi="Times New Roman" w:cs="Times New Roman"/>
          <w:color w:val="000000" w:themeColor="text1"/>
        </w:rPr>
        <w:t xml:space="preserve"> hires resulting in</w:t>
      </w:r>
      <w:r w:rsidR="00E22AFE">
        <w:rPr>
          <w:rFonts w:ascii="Times New Roman" w:hAnsi="Times New Roman" w:cs="Times New Roman"/>
          <w:color w:val="000000" w:themeColor="text1"/>
        </w:rPr>
        <w:t xml:space="preserve"> a</w:t>
      </w:r>
      <w:r w:rsidR="00912698">
        <w:rPr>
          <w:rFonts w:ascii="Times New Roman" w:hAnsi="Times New Roman" w:cs="Times New Roman"/>
          <w:color w:val="000000" w:themeColor="text1"/>
        </w:rPr>
        <w:t xml:space="preserve"> </w:t>
      </w:r>
      <w:r w:rsidR="005C3093" w:rsidRPr="00FB1C4B">
        <w:rPr>
          <w:rFonts w:ascii="Times New Roman" w:hAnsi="Times New Roman" w:cs="Times New Roman"/>
          <w:color w:val="000000" w:themeColor="text1"/>
        </w:rPr>
        <w:t>reco</w:t>
      </w:r>
      <w:r w:rsidR="00912698">
        <w:rPr>
          <w:rFonts w:ascii="Times New Roman" w:hAnsi="Times New Roman" w:cs="Times New Roman"/>
          <w:color w:val="000000" w:themeColor="text1"/>
        </w:rPr>
        <w:t>rd</w:t>
      </w:r>
      <w:r w:rsidR="005C3093" w:rsidRPr="00FB1C4B">
        <w:rPr>
          <w:rFonts w:ascii="Times New Roman" w:hAnsi="Times New Roman" w:cs="Times New Roman"/>
          <w:color w:val="000000" w:themeColor="text1"/>
        </w:rPr>
        <w:t xml:space="preserve"> high</w:t>
      </w:r>
      <w:r w:rsidR="00EA5A4E">
        <w:rPr>
          <w:rFonts w:ascii="Times New Roman" w:hAnsi="Times New Roman" w:cs="Times New Roman"/>
          <w:color w:val="000000" w:themeColor="text1"/>
        </w:rPr>
        <w:t xml:space="preserve"> for</w:t>
      </w:r>
      <w:r w:rsidR="005C3093" w:rsidRPr="00FB1C4B">
        <w:rPr>
          <w:rFonts w:ascii="Times New Roman" w:hAnsi="Times New Roman" w:cs="Times New Roman"/>
          <w:color w:val="000000" w:themeColor="text1"/>
        </w:rPr>
        <w:t xml:space="preserve"> direct hire </w:t>
      </w:r>
      <w:r w:rsidR="00EA5A4E">
        <w:rPr>
          <w:rFonts w:ascii="Times New Roman" w:hAnsi="Times New Roman" w:cs="Times New Roman"/>
          <w:color w:val="000000" w:themeColor="text1"/>
        </w:rPr>
        <w:t xml:space="preserve">placement </w:t>
      </w:r>
      <w:r w:rsidR="005C3093" w:rsidRPr="00FB1C4B">
        <w:rPr>
          <w:rFonts w:ascii="Times New Roman" w:hAnsi="Times New Roman" w:cs="Times New Roman"/>
          <w:color w:val="000000" w:themeColor="text1"/>
        </w:rPr>
        <w:t>production</w:t>
      </w:r>
      <w:r w:rsidR="00D22293">
        <w:rPr>
          <w:rFonts w:ascii="Times New Roman" w:hAnsi="Times New Roman" w:cs="Times New Roman"/>
          <w:color w:val="000000" w:themeColor="text1"/>
        </w:rPr>
        <w:t xml:space="preserve"> in fiscal 2022</w:t>
      </w:r>
      <w:r w:rsidR="005C3093" w:rsidRPr="00FB1C4B">
        <w:rPr>
          <w:rFonts w:ascii="Times New Roman" w:hAnsi="Times New Roman" w:cs="Times New Roman"/>
          <w:color w:val="000000" w:themeColor="text1"/>
        </w:rPr>
        <w:t>.</w:t>
      </w:r>
      <w:r w:rsidR="00B33A51" w:rsidRPr="00FB1C4B">
        <w:rPr>
          <w:rFonts w:ascii="Times New Roman" w:hAnsi="Times New Roman" w:cs="Times New Roman"/>
          <w:color w:val="000000" w:themeColor="text1"/>
        </w:rPr>
        <w:t xml:space="preserve">  </w:t>
      </w:r>
    </w:p>
    <w:p w14:paraId="309EA65F" w14:textId="77777777" w:rsidR="003D324B" w:rsidRPr="00A36962" w:rsidRDefault="003D324B" w:rsidP="00A36962">
      <w:pPr>
        <w:pStyle w:val="ListParagraph"/>
        <w:rPr>
          <w:rFonts w:ascii="Times New Roman" w:hAnsi="Times New Roman" w:cs="Times New Roman"/>
          <w:color w:val="000000" w:themeColor="text1"/>
        </w:rPr>
      </w:pPr>
    </w:p>
    <w:p w14:paraId="21D36E99" w14:textId="1AC8395C" w:rsidR="00FA75D5" w:rsidRPr="00A36962" w:rsidRDefault="003D324B" w:rsidP="00764CFB">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Pr>
          <w:rFonts w:ascii="Times New Roman" w:hAnsi="Times New Roman" w:cs="Times New Roman"/>
          <w:color w:val="000000" w:themeColor="text1"/>
        </w:rPr>
        <w:t>Consolidated r</w:t>
      </w:r>
      <w:r w:rsidRPr="00FA75D5">
        <w:rPr>
          <w:rFonts w:ascii="Times New Roman" w:hAnsi="Times New Roman" w:cs="Times New Roman"/>
          <w:color w:val="000000" w:themeColor="text1"/>
        </w:rPr>
        <w:t xml:space="preserve">evenues for the three and six-month periods ended March 31, 2023 were $38.9 million and $80.0 million, down 2% and </w:t>
      </w:r>
      <w:r w:rsidRPr="00C97B11">
        <w:rPr>
          <w:rFonts w:ascii="Times New Roman" w:hAnsi="Times New Roman" w:cs="Times New Roman"/>
          <w:color w:val="000000" w:themeColor="text1"/>
        </w:rPr>
        <w:t>3%, respectively, over the comparable fiscal 2022 periods</w:t>
      </w:r>
      <w:r w:rsidR="004F6041">
        <w:rPr>
          <w:rFonts w:ascii="Times New Roman" w:hAnsi="Times New Roman" w:cs="Times New Roman"/>
          <w:color w:val="000000" w:themeColor="text1"/>
        </w:rPr>
        <w:t xml:space="preserve">. </w:t>
      </w:r>
      <w:r w:rsidR="006E54BA" w:rsidRPr="00C97B11">
        <w:rPr>
          <w:rFonts w:ascii="Times New Roman" w:hAnsi="Times New Roman" w:cs="Times New Roman"/>
          <w:color w:val="000000" w:themeColor="text1"/>
        </w:rPr>
        <w:t>Th</w:t>
      </w:r>
      <w:r w:rsidR="001307D4" w:rsidRPr="00C97B11">
        <w:rPr>
          <w:rFonts w:ascii="Times New Roman" w:hAnsi="Times New Roman" w:cs="Times New Roman"/>
          <w:color w:val="000000" w:themeColor="text1"/>
        </w:rPr>
        <w:t>e</w:t>
      </w:r>
      <w:r w:rsidR="006E54BA" w:rsidRPr="00C97B11">
        <w:rPr>
          <w:rFonts w:ascii="Times New Roman" w:hAnsi="Times New Roman" w:cs="Times New Roman"/>
          <w:color w:val="000000" w:themeColor="text1"/>
        </w:rPr>
        <w:t xml:space="preserve"> slight </w:t>
      </w:r>
      <w:r w:rsidR="001307D4" w:rsidRPr="00C97B11">
        <w:rPr>
          <w:rFonts w:ascii="Times New Roman" w:hAnsi="Times New Roman" w:cs="Times New Roman"/>
          <w:color w:val="000000" w:themeColor="text1"/>
        </w:rPr>
        <w:t xml:space="preserve">quarter over quarter </w:t>
      </w:r>
      <w:r w:rsidR="00764CFB" w:rsidRPr="00C97B11">
        <w:rPr>
          <w:rFonts w:ascii="Times New Roman" w:hAnsi="Times New Roman" w:cs="Times New Roman"/>
          <w:color w:val="000000" w:themeColor="text1"/>
        </w:rPr>
        <w:t>decline</w:t>
      </w:r>
      <w:r w:rsidR="00896F00">
        <w:rPr>
          <w:rFonts w:ascii="Times New Roman" w:hAnsi="Times New Roman" w:cs="Times New Roman"/>
          <w:color w:val="000000" w:themeColor="text1"/>
        </w:rPr>
        <w:t>s</w:t>
      </w:r>
      <w:r w:rsidR="00764CFB" w:rsidRPr="00C97B11">
        <w:rPr>
          <w:rFonts w:ascii="Times New Roman" w:hAnsi="Times New Roman" w:cs="Times New Roman"/>
          <w:color w:val="000000" w:themeColor="text1"/>
        </w:rPr>
        <w:t xml:space="preserve"> </w:t>
      </w:r>
      <w:r w:rsidR="006E54BA" w:rsidRPr="00C97B11">
        <w:rPr>
          <w:rFonts w:ascii="Times New Roman" w:hAnsi="Times New Roman" w:cs="Times New Roman"/>
          <w:color w:val="000000" w:themeColor="text1"/>
        </w:rPr>
        <w:t>can be attributed</w:t>
      </w:r>
      <w:r w:rsidR="004F6041">
        <w:rPr>
          <w:rFonts w:ascii="Times New Roman" w:hAnsi="Times New Roman" w:cs="Times New Roman"/>
          <w:color w:val="000000" w:themeColor="text1"/>
        </w:rPr>
        <w:t xml:space="preserve"> primarily</w:t>
      </w:r>
      <w:r w:rsidR="006E54BA" w:rsidRPr="00C97B11">
        <w:rPr>
          <w:rFonts w:ascii="Times New Roman" w:hAnsi="Times New Roman" w:cs="Times New Roman"/>
          <w:color w:val="000000" w:themeColor="text1"/>
        </w:rPr>
        <w:t xml:space="preserve"> to 2022’s </w:t>
      </w:r>
      <w:r w:rsidR="00671011" w:rsidRPr="00C97B11">
        <w:rPr>
          <w:rFonts w:ascii="Times New Roman" w:hAnsi="Times New Roman" w:cs="Times New Roman"/>
          <w:color w:val="000000" w:themeColor="text1"/>
        </w:rPr>
        <w:t>better than expected performance</w:t>
      </w:r>
      <w:r w:rsidR="00CA59C4">
        <w:rPr>
          <w:rFonts w:ascii="Times New Roman" w:hAnsi="Times New Roman" w:cs="Times New Roman"/>
          <w:color w:val="000000" w:themeColor="text1"/>
        </w:rPr>
        <w:t xml:space="preserve"> in direct hire place</w:t>
      </w:r>
      <w:r w:rsidR="00AF583D">
        <w:rPr>
          <w:rFonts w:ascii="Times New Roman" w:hAnsi="Times New Roman" w:cs="Times New Roman"/>
          <w:color w:val="000000" w:themeColor="text1"/>
        </w:rPr>
        <w:t>ment revenues and a more robust economy</w:t>
      </w:r>
      <w:r w:rsidR="00721CF8">
        <w:rPr>
          <w:rFonts w:ascii="Times New Roman" w:hAnsi="Times New Roman" w:cs="Times New Roman"/>
          <w:color w:val="000000" w:themeColor="text1"/>
        </w:rPr>
        <w:t xml:space="preserve"> in that fiscal year</w:t>
      </w:r>
      <w:r w:rsidR="00CA59C4">
        <w:rPr>
          <w:rFonts w:ascii="Times New Roman" w:hAnsi="Times New Roman" w:cs="Times New Roman"/>
          <w:color w:val="000000" w:themeColor="text1"/>
        </w:rPr>
        <w:t xml:space="preserve">. </w:t>
      </w:r>
      <w:r w:rsidR="004F6041">
        <w:rPr>
          <w:rFonts w:ascii="Times New Roman" w:hAnsi="Times New Roman" w:cs="Times New Roman"/>
          <w:color w:val="000000" w:themeColor="text1"/>
        </w:rPr>
        <w:t xml:space="preserve">Despite some </w:t>
      </w:r>
      <w:r w:rsidR="00CA59C4">
        <w:rPr>
          <w:rFonts w:ascii="Times New Roman" w:hAnsi="Times New Roman" w:cs="Times New Roman"/>
          <w:color w:val="000000" w:themeColor="text1"/>
        </w:rPr>
        <w:t xml:space="preserve">potential </w:t>
      </w:r>
      <w:r w:rsidR="004F6041">
        <w:rPr>
          <w:rFonts w:ascii="Times New Roman" w:hAnsi="Times New Roman" w:cs="Times New Roman"/>
          <w:color w:val="000000" w:themeColor="text1"/>
        </w:rPr>
        <w:t>headwinds,</w:t>
      </w:r>
      <w:r w:rsidR="00671011" w:rsidRPr="00C97B11">
        <w:rPr>
          <w:rFonts w:ascii="Times New Roman" w:hAnsi="Times New Roman" w:cs="Times New Roman"/>
          <w:color w:val="000000" w:themeColor="text1"/>
        </w:rPr>
        <w:t xml:space="preserve"> </w:t>
      </w:r>
      <w:r w:rsidR="004F6041">
        <w:rPr>
          <w:rFonts w:ascii="Times New Roman" w:hAnsi="Times New Roman" w:cs="Times New Roman"/>
          <w:color w:val="000000" w:themeColor="text1"/>
        </w:rPr>
        <w:t>w</w:t>
      </w:r>
      <w:r w:rsidR="54DC94F5" w:rsidRPr="00E73DAB">
        <w:rPr>
          <w:rFonts w:ascii="Times New Roman" w:hAnsi="Times New Roman" w:cs="Times New Roman"/>
          <w:color w:val="000000" w:themeColor="text1"/>
        </w:rPr>
        <w:t>e</w:t>
      </w:r>
      <w:r w:rsidR="06BE874C" w:rsidRPr="00E73DAB">
        <w:rPr>
          <w:rFonts w:ascii="Times New Roman" w:hAnsi="Times New Roman" w:cs="Times New Roman"/>
          <w:color w:val="000000" w:themeColor="text1"/>
        </w:rPr>
        <w:t xml:space="preserve"> remain </w:t>
      </w:r>
      <w:r w:rsidR="3C3EC8A9" w:rsidRPr="00E73DAB">
        <w:rPr>
          <w:rFonts w:ascii="Times New Roman" w:hAnsi="Times New Roman" w:cs="Times New Roman"/>
          <w:color w:val="000000" w:themeColor="text1"/>
        </w:rPr>
        <w:t xml:space="preserve">cautiously </w:t>
      </w:r>
      <w:r w:rsidR="06BE874C" w:rsidRPr="00E73DAB">
        <w:rPr>
          <w:rFonts w:ascii="Times New Roman" w:hAnsi="Times New Roman" w:cs="Times New Roman"/>
          <w:color w:val="000000" w:themeColor="text1"/>
        </w:rPr>
        <w:t>optimistic</w:t>
      </w:r>
      <w:r w:rsidR="004F6041">
        <w:rPr>
          <w:rFonts w:ascii="Times New Roman" w:hAnsi="Times New Roman" w:cs="Times New Roman"/>
          <w:color w:val="000000" w:themeColor="text1"/>
        </w:rPr>
        <w:t xml:space="preserve"> </w:t>
      </w:r>
      <w:r w:rsidR="06BE874C" w:rsidRPr="00E73DAB">
        <w:rPr>
          <w:rFonts w:ascii="Times New Roman" w:hAnsi="Times New Roman" w:cs="Times New Roman"/>
          <w:color w:val="000000" w:themeColor="text1"/>
        </w:rPr>
        <w:t>about</w:t>
      </w:r>
      <w:r w:rsidR="2DB9D13A" w:rsidRPr="00E73DAB">
        <w:rPr>
          <w:rFonts w:ascii="Times New Roman" w:hAnsi="Times New Roman" w:cs="Times New Roman"/>
          <w:color w:val="000000" w:themeColor="text1"/>
        </w:rPr>
        <w:t xml:space="preserve"> our overall revenue</w:t>
      </w:r>
      <w:r w:rsidR="00EC675F">
        <w:rPr>
          <w:rFonts w:ascii="Times New Roman" w:hAnsi="Times New Roman" w:cs="Times New Roman"/>
          <w:color w:val="000000" w:themeColor="text1"/>
        </w:rPr>
        <w:t xml:space="preserve"> generation</w:t>
      </w:r>
      <w:r w:rsidR="2DB9D13A" w:rsidRPr="00E73DAB">
        <w:rPr>
          <w:rFonts w:ascii="Times New Roman" w:hAnsi="Times New Roman" w:cs="Times New Roman"/>
          <w:color w:val="000000" w:themeColor="text1"/>
        </w:rPr>
        <w:t xml:space="preserve"> </w:t>
      </w:r>
      <w:r w:rsidR="00AF583D">
        <w:rPr>
          <w:rFonts w:ascii="Times New Roman" w:hAnsi="Times New Roman" w:cs="Times New Roman"/>
          <w:color w:val="000000" w:themeColor="text1"/>
        </w:rPr>
        <w:t xml:space="preserve">capability </w:t>
      </w:r>
      <w:r w:rsidR="2DB9D13A" w:rsidRPr="00E73DAB">
        <w:rPr>
          <w:rFonts w:ascii="Times New Roman" w:hAnsi="Times New Roman" w:cs="Times New Roman"/>
          <w:color w:val="000000" w:themeColor="text1"/>
        </w:rPr>
        <w:t xml:space="preserve">for </w:t>
      </w:r>
      <w:r w:rsidR="00764CFB" w:rsidRPr="00E73DAB">
        <w:rPr>
          <w:rFonts w:ascii="Times New Roman" w:hAnsi="Times New Roman" w:cs="Times New Roman"/>
          <w:color w:val="000000" w:themeColor="text1"/>
        </w:rPr>
        <w:t xml:space="preserve">the remainder of </w:t>
      </w:r>
      <w:r w:rsidR="2DB9D13A" w:rsidRPr="00E73DAB">
        <w:rPr>
          <w:rFonts w:ascii="Times New Roman" w:hAnsi="Times New Roman" w:cs="Times New Roman"/>
          <w:color w:val="000000" w:themeColor="text1"/>
        </w:rPr>
        <w:t>fiscal 2023</w:t>
      </w:r>
      <w:r w:rsidR="00764CFB" w:rsidRPr="00E73DAB">
        <w:rPr>
          <w:rFonts w:ascii="Times New Roman" w:hAnsi="Times New Roman" w:cs="Times New Roman"/>
          <w:color w:val="000000" w:themeColor="text1"/>
        </w:rPr>
        <w:t xml:space="preserve">, </w:t>
      </w:r>
      <w:r w:rsidR="00231DDB" w:rsidRPr="00E73DAB">
        <w:rPr>
          <w:rFonts w:ascii="Times New Roman" w:hAnsi="Times New Roman" w:cs="Times New Roman"/>
          <w:color w:val="000000" w:themeColor="text1"/>
        </w:rPr>
        <w:t>based on recent predictions</w:t>
      </w:r>
      <w:r w:rsidR="00764CFB" w:rsidRPr="00E73DAB">
        <w:rPr>
          <w:rFonts w:ascii="Times New Roman" w:hAnsi="Times New Roman" w:cs="Times New Roman"/>
          <w:color w:val="000000" w:themeColor="text1"/>
        </w:rPr>
        <w:t xml:space="preserve"> </w:t>
      </w:r>
      <w:r w:rsidR="00231DDB" w:rsidRPr="00E73DAB">
        <w:rPr>
          <w:rFonts w:ascii="Times New Roman" w:hAnsi="Times New Roman" w:cs="Times New Roman"/>
          <w:color w:val="000000" w:themeColor="text1"/>
        </w:rPr>
        <w:t>regarding</w:t>
      </w:r>
      <w:r w:rsidR="004F6041">
        <w:rPr>
          <w:rFonts w:ascii="Times New Roman" w:hAnsi="Times New Roman" w:cs="Times New Roman"/>
          <w:color w:val="000000" w:themeColor="text1"/>
        </w:rPr>
        <w:t xml:space="preserve"> the state of the</w:t>
      </w:r>
      <w:r w:rsidR="00764CFB" w:rsidRPr="00E73DAB">
        <w:rPr>
          <w:rFonts w:ascii="Times New Roman" w:hAnsi="Times New Roman" w:cs="Times New Roman"/>
          <w:color w:val="000000" w:themeColor="text1"/>
        </w:rPr>
        <w:t xml:space="preserve"> labor </w:t>
      </w:r>
      <w:r w:rsidR="00231DDB" w:rsidRPr="00E73DAB">
        <w:rPr>
          <w:rFonts w:ascii="Times New Roman" w:hAnsi="Times New Roman" w:cs="Times New Roman"/>
          <w:color w:val="000000" w:themeColor="text1"/>
        </w:rPr>
        <w:t xml:space="preserve">market </w:t>
      </w:r>
      <w:r w:rsidR="00764CFB" w:rsidRPr="00E73DAB">
        <w:rPr>
          <w:rFonts w:ascii="Times New Roman" w:hAnsi="Times New Roman" w:cs="Times New Roman"/>
          <w:color w:val="000000" w:themeColor="text1"/>
        </w:rPr>
        <w:t xml:space="preserve">and </w:t>
      </w:r>
      <w:r w:rsidR="00E13EBE">
        <w:rPr>
          <w:rFonts w:ascii="Times New Roman" w:hAnsi="Times New Roman" w:cs="Times New Roman"/>
          <w:color w:val="000000" w:themeColor="text1"/>
        </w:rPr>
        <w:t xml:space="preserve">forecasted </w:t>
      </w:r>
      <w:r w:rsidR="004F6041">
        <w:rPr>
          <w:rFonts w:ascii="Times New Roman" w:hAnsi="Times New Roman" w:cs="Times New Roman"/>
          <w:color w:val="000000" w:themeColor="text1"/>
        </w:rPr>
        <w:t>macro</w:t>
      </w:r>
      <w:r w:rsidR="00764CFB" w:rsidRPr="00E73DAB">
        <w:rPr>
          <w:rFonts w:ascii="Times New Roman" w:hAnsi="Times New Roman" w:cs="Times New Roman"/>
          <w:color w:val="000000" w:themeColor="text1"/>
        </w:rPr>
        <w:t>economic conditions</w:t>
      </w:r>
      <w:r w:rsidR="2DB9D13A" w:rsidRPr="00E73DAB">
        <w:rPr>
          <w:rFonts w:ascii="Times New Roman" w:hAnsi="Times New Roman" w:cs="Times New Roman"/>
          <w:color w:val="000000" w:themeColor="text1"/>
        </w:rPr>
        <w:t>.</w:t>
      </w:r>
      <w:r w:rsidR="06BE874C" w:rsidRPr="00A36962">
        <w:rPr>
          <w:color w:val="000000" w:themeColor="text1"/>
        </w:rPr>
        <w:t xml:space="preserve"> </w:t>
      </w:r>
    </w:p>
    <w:p w14:paraId="4746AE49" w14:textId="77777777" w:rsidR="00FA75D5" w:rsidRPr="00FB1C4B" w:rsidRDefault="00FA75D5" w:rsidP="00FA75D5">
      <w:pPr>
        <w:pStyle w:val="ListParagraph"/>
        <w:rPr>
          <w:rFonts w:ascii="Times New Roman" w:hAnsi="Times New Roman" w:cs="Times New Roman"/>
          <w:color w:val="000000" w:themeColor="text1"/>
        </w:rPr>
      </w:pPr>
    </w:p>
    <w:p w14:paraId="3322FD0C" w14:textId="33F2C492" w:rsidR="00441AB0" w:rsidRDefault="00DC0061" w:rsidP="00441AB0">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A7796E">
        <w:rPr>
          <w:rFonts w:ascii="Times New Roman" w:hAnsi="Times New Roman" w:cs="Times New Roman"/>
          <w:color w:val="000000" w:themeColor="text1"/>
        </w:rPr>
        <w:t>Gross profits and</w:t>
      </w:r>
      <w:r w:rsidR="00335A33">
        <w:rPr>
          <w:rFonts w:ascii="Times New Roman" w:hAnsi="Times New Roman" w:cs="Times New Roman"/>
          <w:color w:val="000000" w:themeColor="text1"/>
        </w:rPr>
        <w:t xml:space="preserve"> gross</w:t>
      </w:r>
      <w:r w:rsidRPr="00A7796E">
        <w:rPr>
          <w:rFonts w:ascii="Times New Roman" w:hAnsi="Times New Roman" w:cs="Times New Roman"/>
          <w:color w:val="000000" w:themeColor="text1"/>
        </w:rPr>
        <w:t xml:space="preserve"> margins were $1</w:t>
      </w:r>
      <w:r w:rsidR="006E4CDC" w:rsidRPr="00A7796E">
        <w:rPr>
          <w:rFonts w:ascii="Times New Roman" w:hAnsi="Times New Roman" w:cs="Times New Roman"/>
          <w:color w:val="000000" w:themeColor="text1"/>
        </w:rPr>
        <w:t>3</w:t>
      </w:r>
      <w:r w:rsidRPr="00A7796E">
        <w:rPr>
          <w:rFonts w:ascii="Times New Roman" w:hAnsi="Times New Roman" w:cs="Times New Roman"/>
          <w:color w:val="000000" w:themeColor="text1"/>
        </w:rPr>
        <w:t>.</w:t>
      </w:r>
      <w:r w:rsidR="00724C4C" w:rsidRPr="00A7796E">
        <w:rPr>
          <w:rFonts w:ascii="Times New Roman" w:hAnsi="Times New Roman" w:cs="Times New Roman"/>
          <w:color w:val="000000" w:themeColor="text1"/>
        </w:rPr>
        <w:t>2</w:t>
      </w:r>
      <w:r w:rsidRPr="00A7796E">
        <w:rPr>
          <w:rFonts w:ascii="Times New Roman" w:hAnsi="Times New Roman" w:cs="Times New Roman"/>
          <w:color w:val="000000" w:themeColor="text1"/>
        </w:rPr>
        <w:t xml:space="preserve"> million,</w:t>
      </w:r>
      <w:r w:rsidR="007613DB">
        <w:rPr>
          <w:rFonts w:ascii="Times New Roman" w:hAnsi="Times New Roman" w:cs="Times New Roman"/>
          <w:color w:val="000000" w:themeColor="text1"/>
        </w:rPr>
        <w:t xml:space="preserve"> and</w:t>
      </w:r>
      <w:r w:rsidRPr="00A7796E">
        <w:rPr>
          <w:rFonts w:ascii="Times New Roman" w:hAnsi="Times New Roman" w:cs="Times New Roman"/>
          <w:color w:val="000000" w:themeColor="text1"/>
        </w:rPr>
        <w:t xml:space="preserve"> 3</w:t>
      </w:r>
      <w:r w:rsidR="00724C4C" w:rsidRPr="00A7796E">
        <w:rPr>
          <w:rFonts w:ascii="Times New Roman" w:hAnsi="Times New Roman" w:cs="Times New Roman"/>
          <w:color w:val="000000" w:themeColor="text1"/>
        </w:rPr>
        <w:t>4</w:t>
      </w:r>
      <w:r w:rsidR="009B46AB">
        <w:rPr>
          <w:rFonts w:ascii="Times New Roman" w:hAnsi="Times New Roman" w:cs="Times New Roman"/>
          <w:color w:val="000000" w:themeColor="text1"/>
        </w:rPr>
        <w:t>.0</w:t>
      </w:r>
      <w:r w:rsidRPr="00A7796E">
        <w:rPr>
          <w:rFonts w:ascii="Times New Roman" w:hAnsi="Times New Roman" w:cs="Times New Roman"/>
          <w:color w:val="000000" w:themeColor="text1"/>
        </w:rPr>
        <w:t>%, and $</w:t>
      </w:r>
      <w:r w:rsidR="00152A94" w:rsidRPr="00A7796E">
        <w:rPr>
          <w:rFonts w:ascii="Times New Roman" w:hAnsi="Times New Roman" w:cs="Times New Roman"/>
          <w:color w:val="000000" w:themeColor="text1"/>
        </w:rPr>
        <w:t>27</w:t>
      </w:r>
      <w:r w:rsidRPr="00A7796E">
        <w:rPr>
          <w:rFonts w:ascii="Times New Roman" w:hAnsi="Times New Roman" w:cs="Times New Roman"/>
          <w:color w:val="000000" w:themeColor="text1"/>
        </w:rPr>
        <w:t>.</w:t>
      </w:r>
      <w:r w:rsidR="00152A94" w:rsidRPr="00A7796E">
        <w:rPr>
          <w:rFonts w:ascii="Times New Roman" w:hAnsi="Times New Roman" w:cs="Times New Roman"/>
          <w:color w:val="000000" w:themeColor="text1"/>
        </w:rPr>
        <w:t>6</w:t>
      </w:r>
      <w:r w:rsidRPr="00A7796E">
        <w:rPr>
          <w:rFonts w:ascii="Times New Roman" w:hAnsi="Times New Roman" w:cs="Times New Roman"/>
          <w:color w:val="000000" w:themeColor="text1"/>
        </w:rPr>
        <w:t xml:space="preserve"> million, </w:t>
      </w:r>
      <w:r w:rsidR="007613DB">
        <w:rPr>
          <w:rFonts w:ascii="Times New Roman" w:hAnsi="Times New Roman" w:cs="Times New Roman"/>
          <w:color w:val="000000" w:themeColor="text1"/>
        </w:rPr>
        <w:t>and</w:t>
      </w:r>
      <w:r w:rsidRPr="00A7796E">
        <w:rPr>
          <w:rFonts w:ascii="Times New Roman" w:hAnsi="Times New Roman" w:cs="Times New Roman"/>
          <w:color w:val="000000" w:themeColor="text1"/>
        </w:rPr>
        <w:t xml:space="preserve"> 3</w:t>
      </w:r>
      <w:r w:rsidR="00152A94" w:rsidRPr="00A7796E">
        <w:rPr>
          <w:rFonts w:ascii="Times New Roman" w:hAnsi="Times New Roman" w:cs="Times New Roman"/>
          <w:color w:val="000000" w:themeColor="text1"/>
        </w:rPr>
        <w:t>4</w:t>
      </w:r>
      <w:r w:rsidR="0009233B">
        <w:rPr>
          <w:rFonts w:ascii="Times New Roman" w:hAnsi="Times New Roman" w:cs="Times New Roman"/>
          <w:color w:val="000000" w:themeColor="text1"/>
        </w:rPr>
        <w:t>.5</w:t>
      </w:r>
      <w:r w:rsidRPr="00A7796E">
        <w:rPr>
          <w:rFonts w:ascii="Times New Roman" w:hAnsi="Times New Roman" w:cs="Times New Roman"/>
          <w:color w:val="000000" w:themeColor="text1"/>
        </w:rPr>
        <w:t>%, for the three and six-month periods ended March 31, 202</w:t>
      </w:r>
      <w:r w:rsidR="00A556D5">
        <w:rPr>
          <w:rFonts w:ascii="Times New Roman" w:hAnsi="Times New Roman" w:cs="Times New Roman"/>
          <w:color w:val="000000" w:themeColor="text1"/>
        </w:rPr>
        <w:t>3</w:t>
      </w:r>
      <w:r w:rsidRPr="00A7796E">
        <w:rPr>
          <w:rFonts w:ascii="Times New Roman" w:hAnsi="Times New Roman" w:cs="Times New Roman"/>
          <w:color w:val="000000" w:themeColor="text1"/>
        </w:rPr>
        <w:t xml:space="preserve">, respectively, </w:t>
      </w:r>
      <w:r w:rsidR="00F578C4" w:rsidRPr="00A7796E">
        <w:rPr>
          <w:rFonts w:ascii="Times New Roman" w:hAnsi="Times New Roman" w:cs="Times New Roman"/>
          <w:color w:val="000000" w:themeColor="text1"/>
        </w:rPr>
        <w:t xml:space="preserve">compared to $14.5 million, </w:t>
      </w:r>
      <w:r w:rsidR="007613DB">
        <w:rPr>
          <w:rFonts w:ascii="Times New Roman" w:hAnsi="Times New Roman" w:cs="Times New Roman"/>
          <w:color w:val="000000" w:themeColor="text1"/>
        </w:rPr>
        <w:t>and</w:t>
      </w:r>
      <w:r w:rsidR="00F578C4" w:rsidRPr="00A7796E">
        <w:rPr>
          <w:rFonts w:ascii="Times New Roman" w:hAnsi="Times New Roman" w:cs="Times New Roman"/>
          <w:color w:val="000000" w:themeColor="text1"/>
        </w:rPr>
        <w:t xml:space="preserve"> </w:t>
      </w:r>
      <w:r w:rsidR="001A7081" w:rsidRPr="00A7796E">
        <w:rPr>
          <w:rFonts w:ascii="Times New Roman" w:hAnsi="Times New Roman" w:cs="Times New Roman"/>
          <w:color w:val="000000" w:themeColor="text1"/>
        </w:rPr>
        <w:t>36</w:t>
      </w:r>
      <w:r w:rsidR="0009233B">
        <w:rPr>
          <w:rFonts w:ascii="Times New Roman" w:hAnsi="Times New Roman" w:cs="Times New Roman"/>
          <w:color w:val="000000" w:themeColor="text1"/>
        </w:rPr>
        <w:t>.6</w:t>
      </w:r>
      <w:r w:rsidR="001A7081" w:rsidRPr="00A7796E">
        <w:rPr>
          <w:rFonts w:ascii="Times New Roman" w:hAnsi="Times New Roman" w:cs="Times New Roman"/>
          <w:color w:val="000000" w:themeColor="text1"/>
        </w:rPr>
        <w:t xml:space="preserve">%, and $30.1 million, </w:t>
      </w:r>
      <w:r w:rsidR="007613DB">
        <w:rPr>
          <w:rFonts w:ascii="Times New Roman" w:hAnsi="Times New Roman" w:cs="Times New Roman"/>
          <w:color w:val="000000" w:themeColor="text1"/>
        </w:rPr>
        <w:t>and</w:t>
      </w:r>
      <w:r w:rsidR="0009233B">
        <w:rPr>
          <w:rFonts w:ascii="Times New Roman" w:hAnsi="Times New Roman" w:cs="Times New Roman"/>
          <w:color w:val="000000" w:themeColor="text1"/>
        </w:rPr>
        <w:t xml:space="preserve"> 36.5%, </w:t>
      </w:r>
      <w:r w:rsidR="001A7081" w:rsidRPr="00A7796E">
        <w:rPr>
          <w:rFonts w:ascii="Times New Roman" w:hAnsi="Times New Roman" w:cs="Times New Roman"/>
          <w:color w:val="000000" w:themeColor="text1"/>
        </w:rPr>
        <w:t>respectively,</w:t>
      </w:r>
      <w:r w:rsidRPr="00A7796E">
        <w:rPr>
          <w:rFonts w:ascii="Times New Roman" w:hAnsi="Times New Roman" w:cs="Times New Roman"/>
          <w:color w:val="000000" w:themeColor="text1"/>
        </w:rPr>
        <w:t xml:space="preserve"> f</w:t>
      </w:r>
      <w:r w:rsidR="00896F00">
        <w:rPr>
          <w:rFonts w:ascii="Times New Roman" w:hAnsi="Times New Roman" w:cs="Times New Roman"/>
          <w:color w:val="000000" w:themeColor="text1"/>
        </w:rPr>
        <w:t>or the</w:t>
      </w:r>
      <w:r w:rsidRPr="00A7796E">
        <w:rPr>
          <w:rFonts w:ascii="Times New Roman" w:hAnsi="Times New Roman" w:cs="Times New Roman"/>
          <w:color w:val="000000" w:themeColor="text1"/>
        </w:rPr>
        <w:t xml:space="preserve"> comparable fiscal 202</w:t>
      </w:r>
      <w:r w:rsidR="001A7081" w:rsidRPr="00A7796E">
        <w:rPr>
          <w:rFonts w:ascii="Times New Roman" w:hAnsi="Times New Roman" w:cs="Times New Roman"/>
          <w:color w:val="000000" w:themeColor="text1"/>
        </w:rPr>
        <w:t>2</w:t>
      </w:r>
      <w:r w:rsidRPr="00A7796E">
        <w:rPr>
          <w:rFonts w:ascii="Times New Roman" w:hAnsi="Times New Roman" w:cs="Times New Roman"/>
          <w:color w:val="000000" w:themeColor="text1"/>
        </w:rPr>
        <w:t xml:space="preserve"> periods.</w:t>
      </w:r>
      <w:r w:rsidR="00FB1C4B" w:rsidRPr="00A7796E">
        <w:rPr>
          <w:rFonts w:ascii="Times New Roman" w:hAnsi="Times New Roman" w:cs="Times New Roman"/>
          <w:color w:val="000000" w:themeColor="text1"/>
        </w:rPr>
        <w:t xml:space="preserve">  </w:t>
      </w:r>
      <w:r w:rsidR="00F07675" w:rsidRPr="00A7796E">
        <w:rPr>
          <w:rFonts w:ascii="Times New Roman" w:hAnsi="Times New Roman" w:cs="Times New Roman"/>
          <w:color w:val="000000" w:themeColor="text1"/>
        </w:rPr>
        <w:t xml:space="preserve">In addition to the effects of </w:t>
      </w:r>
      <w:r w:rsidR="007613DB">
        <w:rPr>
          <w:rFonts w:ascii="Times New Roman" w:hAnsi="Times New Roman" w:cs="Times New Roman"/>
          <w:color w:val="000000" w:themeColor="text1"/>
        </w:rPr>
        <w:t>record high</w:t>
      </w:r>
      <w:r w:rsidR="00F07675" w:rsidRPr="00A7796E">
        <w:rPr>
          <w:rFonts w:ascii="Times New Roman" w:hAnsi="Times New Roman" w:cs="Times New Roman"/>
          <w:color w:val="000000" w:themeColor="text1"/>
        </w:rPr>
        <w:t xml:space="preserve"> direct hire </w:t>
      </w:r>
      <w:r w:rsidR="00BD1CB2">
        <w:rPr>
          <w:rFonts w:ascii="Times New Roman" w:hAnsi="Times New Roman" w:cs="Times New Roman"/>
          <w:color w:val="000000" w:themeColor="text1"/>
        </w:rPr>
        <w:t xml:space="preserve">placement </w:t>
      </w:r>
      <w:r w:rsidR="00F07675" w:rsidRPr="00A7796E">
        <w:rPr>
          <w:rFonts w:ascii="Times New Roman" w:hAnsi="Times New Roman" w:cs="Times New Roman"/>
          <w:color w:val="000000" w:themeColor="text1"/>
        </w:rPr>
        <w:t>business</w:t>
      </w:r>
      <w:r w:rsidR="00896F00">
        <w:rPr>
          <w:rFonts w:ascii="Times New Roman" w:hAnsi="Times New Roman" w:cs="Times New Roman"/>
          <w:color w:val="000000" w:themeColor="text1"/>
        </w:rPr>
        <w:t xml:space="preserve"> in fiscal 202</w:t>
      </w:r>
      <w:r w:rsidR="007613DB">
        <w:rPr>
          <w:rFonts w:ascii="Times New Roman" w:hAnsi="Times New Roman" w:cs="Times New Roman"/>
          <w:color w:val="000000" w:themeColor="text1"/>
        </w:rPr>
        <w:t>2</w:t>
      </w:r>
      <w:r w:rsidR="00896F00">
        <w:rPr>
          <w:rFonts w:ascii="Times New Roman" w:hAnsi="Times New Roman" w:cs="Times New Roman"/>
          <w:color w:val="000000" w:themeColor="text1"/>
        </w:rPr>
        <w:t xml:space="preserve"> </w:t>
      </w:r>
      <w:r w:rsidR="00F07675" w:rsidRPr="00A7796E">
        <w:rPr>
          <w:rFonts w:ascii="Times New Roman" w:hAnsi="Times New Roman" w:cs="Times New Roman"/>
          <w:color w:val="000000" w:themeColor="text1"/>
        </w:rPr>
        <w:t>(which has 100% gross margin</w:t>
      </w:r>
      <w:r w:rsidR="00F56681">
        <w:rPr>
          <w:rFonts w:ascii="Times New Roman" w:hAnsi="Times New Roman" w:cs="Times New Roman"/>
          <w:color w:val="000000" w:themeColor="text1"/>
        </w:rPr>
        <w:t xml:space="preserve"> and </w:t>
      </w:r>
      <w:r w:rsidR="00BD1CB2">
        <w:rPr>
          <w:rFonts w:ascii="Times New Roman" w:hAnsi="Times New Roman" w:cs="Times New Roman"/>
          <w:color w:val="000000" w:themeColor="text1"/>
        </w:rPr>
        <w:lastRenderedPageBreak/>
        <w:t xml:space="preserve">increases </w:t>
      </w:r>
      <w:r w:rsidR="00F56681">
        <w:rPr>
          <w:rFonts w:ascii="Times New Roman" w:hAnsi="Times New Roman" w:cs="Times New Roman"/>
          <w:color w:val="000000" w:themeColor="text1"/>
        </w:rPr>
        <w:t>overall</w:t>
      </w:r>
      <w:r w:rsidR="00BD1CB2">
        <w:rPr>
          <w:rFonts w:ascii="Times New Roman" w:hAnsi="Times New Roman" w:cs="Times New Roman"/>
          <w:color w:val="000000" w:themeColor="text1"/>
        </w:rPr>
        <w:t xml:space="preserve"> gross margin</w:t>
      </w:r>
      <w:r w:rsidR="00F07675" w:rsidRPr="00A7796E">
        <w:rPr>
          <w:rFonts w:ascii="Times New Roman" w:hAnsi="Times New Roman" w:cs="Times New Roman"/>
          <w:color w:val="000000" w:themeColor="text1"/>
        </w:rPr>
        <w:t>) and fiscal 2022’s non-recurring COVID-19</w:t>
      </w:r>
      <w:r w:rsidR="007613DB">
        <w:rPr>
          <w:rFonts w:ascii="Times New Roman" w:hAnsi="Times New Roman" w:cs="Times New Roman"/>
          <w:color w:val="000000" w:themeColor="text1"/>
        </w:rPr>
        <w:t xml:space="preserve"> </w:t>
      </w:r>
      <w:r w:rsidR="00F07675" w:rsidRPr="00A7796E">
        <w:rPr>
          <w:rFonts w:ascii="Times New Roman" w:hAnsi="Times New Roman" w:cs="Times New Roman"/>
          <w:color w:val="000000" w:themeColor="text1"/>
        </w:rPr>
        <w:t>re</w:t>
      </w:r>
      <w:r w:rsidR="007613DB">
        <w:rPr>
          <w:rFonts w:ascii="Times New Roman" w:hAnsi="Times New Roman" w:cs="Times New Roman"/>
          <w:color w:val="000000" w:themeColor="text1"/>
        </w:rPr>
        <w:t>sponse</w:t>
      </w:r>
      <w:r w:rsidR="00F07675" w:rsidRPr="00A7796E">
        <w:rPr>
          <w:rFonts w:ascii="Times New Roman" w:hAnsi="Times New Roman" w:cs="Times New Roman"/>
          <w:color w:val="000000" w:themeColor="text1"/>
        </w:rPr>
        <w:t xml:space="preserve"> projects, t</w:t>
      </w:r>
      <w:r w:rsidR="3098787F" w:rsidRPr="00A7796E">
        <w:rPr>
          <w:rFonts w:ascii="Times New Roman" w:hAnsi="Times New Roman" w:cs="Times New Roman"/>
          <w:color w:val="000000" w:themeColor="text1"/>
        </w:rPr>
        <w:t>he decreases in gross profit and</w:t>
      </w:r>
      <w:r w:rsidR="00087368" w:rsidRPr="00A7796E">
        <w:rPr>
          <w:rFonts w:ascii="Times New Roman" w:hAnsi="Times New Roman" w:cs="Times New Roman"/>
          <w:color w:val="000000" w:themeColor="text1"/>
        </w:rPr>
        <w:t xml:space="preserve"> gross</w:t>
      </w:r>
      <w:r w:rsidR="3098787F" w:rsidRPr="00A7796E">
        <w:rPr>
          <w:rFonts w:ascii="Times New Roman" w:hAnsi="Times New Roman" w:cs="Times New Roman"/>
          <w:color w:val="000000" w:themeColor="text1"/>
        </w:rPr>
        <w:t xml:space="preserve"> margin are </w:t>
      </w:r>
      <w:r w:rsidR="00F07675" w:rsidRPr="00A7796E">
        <w:rPr>
          <w:rFonts w:ascii="Times New Roman" w:hAnsi="Times New Roman" w:cs="Times New Roman"/>
          <w:color w:val="000000" w:themeColor="text1"/>
        </w:rPr>
        <w:t>attributable</w:t>
      </w:r>
      <w:r w:rsidR="00764CFB">
        <w:rPr>
          <w:rFonts w:ascii="Times New Roman" w:hAnsi="Times New Roman" w:cs="Times New Roman"/>
          <w:color w:val="000000" w:themeColor="text1"/>
        </w:rPr>
        <w:t>, in part,</w:t>
      </w:r>
      <w:r w:rsidR="3098787F" w:rsidRPr="00A7796E">
        <w:rPr>
          <w:rFonts w:ascii="Times New Roman" w:hAnsi="Times New Roman" w:cs="Times New Roman"/>
          <w:color w:val="000000" w:themeColor="text1"/>
        </w:rPr>
        <w:t xml:space="preserve"> to</w:t>
      </w:r>
      <w:r w:rsidR="00813FC0" w:rsidRPr="00A7796E">
        <w:rPr>
          <w:rFonts w:ascii="Times New Roman" w:eastAsia="Times New Roman" w:hAnsi="Times New Roman" w:cs="Times New Roman"/>
        </w:rPr>
        <w:t xml:space="preserve"> increases in contractor pay associated with recent inflation resulting in some spread compression within the Professional Services Segment. The Company has stepped-up counter-inflationary </w:t>
      </w:r>
      <w:r w:rsidR="00764CFB">
        <w:rPr>
          <w:rFonts w:ascii="Times New Roman" w:eastAsia="Times New Roman" w:hAnsi="Times New Roman" w:cs="Times New Roman"/>
        </w:rPr>
        <w:t xml:space="preserve">measures, including </w:t>
      </w:r>
      <w:r w:rsidR="00813FC0" w:rsidRPr="00A7796E">
        <w:rPr>
          <w:rFonts w:ascii="Times New Roman" w:eastAsia="Times New Roman" w:hAnsi="Times New Roman" w:cs="Times New Roman"/>
        </w:rPr>
        <w:t>increases in</w:t>
      </w:r>
      <w:r w:rsidR="00F56681">
        <w:rPr>
          <w:rFonts w:ascii="Times New Roman" w:eastAsia="Times New Roman" w:hAnsi="Times New Roman" w:cs="Times New Roman"/>
        </w:rPr>
        <w:t xml:space="preserve"> mark-ups,</w:t>
      </w:r>
      <w:r w:rsidR="00813FC0" w:rsidRPr="00A7796E">
        <w:rPr>
          <w:rFonts w:ascii="Times New Roman" w:eastAsia="Times New Roman" w:hAnsi="Times New Roman" w:cs="Times New Roman"/>
        </w:rPr>
        <w:t xml:space="preserve"> bill rates and spreads in order to </w:t>
      </w:r>
      <w:r w:rsidR="003E05B7">
        <w:rPr>
          <w:rFonts w:ascii="Times New Roman" w:eastAsia="Times New Roman" w:hAnsi="Times New Roman" w:cs="Times New Roman"/>
        </w:rPr>
        <w:t>ameliorate</w:t>
      </w:r>
      <w:r w:rsidR="00813FC0" w:rsidRPr="00A7796E">
        <w:rPr>
          <w:rFonts w:ascii="Times New Roman" w:eastAsia="Times New Roman" w:hAnsi="Times New Roman" w:cs="Times New Roman"/>
        </w:rPr>
        <w:t xml:space="preserve"> recent margin compression.</w:t>
      </w:r>
      <w:r w:rsidR="003E05B7">
        <w:rPr>
          <w:rFonts w:ascii="Times New Roman" w:eastAsia="Times New Roman" w:hAnsi="Times New Roman" w:cs="Times New Roman"/>
        </w:rPr>
        <w:t xml:space="preserve"> </w:t>
      </w:r>
      <w:r w:rsidR="00652367" w:rsidRPr="00A7796E">
        <w:rPr>
          <w:rFonts w:ascii="Times New Roman" w:hAnsi="Times New Roman" w:cs="Times New Roman"/>
          <w:color w:val="000000" w:themeColor="text1"/>
        </w:rPr>
        <w:t>GEE Group’s</w:t>
      </w:r>
      <w:r w:rsidR="3A291EAE" w:rsidRPr="00A7796E">
        <w:rPr>
          <w:rFonts w:ascii="Times New Roman" w:hAnsi="Times New Roman" w:cs="Times New Roman"/>
          <w:color w:val="000000" w:themeColor="text1"/>
        </w:rPr>
        <w:t xml:space="preserve"> current </w:t>
      </w:r>
      <w:r w:rsidR="007613DB">
        <w:rPr>
          <w:rFonts w:ascii="Times New Roman" w:hAnsi="Times New Roman" w:cs="Times New Roman"/>
          <w:color w:val="000000" w:themeColor="text1"/>
        </w:rPr>
        <w:t xml:space="preserve">gross margin </w:t>
      </w:r>
      <w:r w:rsidR="00BC52B8" w:rsidRPr="00A7796E">
        <w:rPr>
          <w:rFonts w:ascii="Times New Roman" w:hAnsi="Times New Roman" w:cs="Times New Roman"/>
          <w:color w:val="000000" w:themeColor="text1"/>
        </w:rPr>
        <w:t>percentage</w:t>
      </w:r>
      <w:r w:rsidR="007613DB">
        <w:rPr>
          <w:rFonts w:ascii="Times New Roman" w:hAnsi="Times New Roman" w:cs="Times New Roman"/>
          <w:color w:val="000000" w:themeColor="text1"/>
        </w:rPr>
        <w:t>s</w:t>
      </w:r>
      <w:r w:rsidR="00BC52B8" w:rsidRPr="00A7796E">
        <w:rPr>
          <w:rFonts w:ascii="Times New Roman" w:hAnsi="Times New Roman" w:cs="Times New Roman"/>
          <w:color w:val="000000" w:themeColor="text1"/>
        </w:rPr>
        <w:t xml:space="preserve"> </w:t>
      </w:r>
      <w:r w:rsidR="00A556D5">
        <w:rPr>
          <w:rFonts w:ascii="Times New Roman" w:hAnsi="Times New Roman" w:cs="Times New Roman"/>
          <w:color w:val="000000" w:themeColor="text1"/>
        </w:rPr>
        <w:t>remain</w:t>
      </w:r>
      <w:r w:rsidR="2F69DB6B" w:rsidRPr="00A7796E">
        <w:rPr>
          <w:rFonts w:ascii="Times New Roman" w:hAnsi="Times New Roman" w:cs="Times New Roman"/>
          <w:color w:val="000000" w:themeColor="text1"/>
        </w:rPr>
        <w:t xml:space="preserve"> relatively</w:t>
      </w:r>
      <w:r w:rsidR="72698C55" w:rsidRPr="00A7796E">
        <w:rPr>
          <w:rFonts w:ascii="Times New Roman" w:hAnsi="Times New Roman" w:cs="Times New Roman"/>
          <w:color w:val="000000" w:themeColor="text1"/>
        </w:rPr>
        <w:t xml:space="preserve"> high</w:t>
      </w:r>
      <w:r w:rsidR="00231DDB">
        <w:rPr>
          <w:rFonts w:ascii="Times New Roman" w:hAnsi="Times New Roman" w:cs="Times New Roman"/>
          <w:color w:val="000000" w:themeColor="text1"/>
        </w:rPr>
        <w:t xml:space="preserve"> and</w:t>
      </w:r>
      <w:r w:rsidR="00F56681">
        <w:rPr>
          <w:rFonts w:ascii="Times New Roman" w:hAnsi="Times New Roman" w:cs="Times New Roman"/>
          <w:color w:val="000000" w:themeColor="text1"/>
        </w:rPr>
        <w:t xml:space="preserve"> very</w:t>
      </w:r>
      <w:r w:rsidR="00231DDB">
        <w:rPr>
          <w:rFonts w:ascii="Times New Roman" w:hAnsi="Times New Roman" w:cs="Times New Roman"/>
          <w:color w:val="000000" w:themeColor="text1"/>
        </w:rPr>
        <w:t xml:space="preserve"> competitive</w:t>
      </w:r>
      <w:r w:rsidR="290B026A" w:rsidRPr="00A7796E">
        <w:rPr>
          <w:rFonts w:ascii="Times New Roman" w:hAnsi="Times New Roman" w:cs="Times New Roman"/>
          <w:color w:val="000000" w:themeColor="text1"/>
        </w:rPr>
        <w:t>,</w:t>
      </w:r>
      <w:r w:rsidR="72698C55" w:rsidRPr="00A7796E">
        <w:rPr>
          <w:rFonts w:ascii="Times New Roman" w:hAnsi="Times New Roman" w:cs="Times New Roman"/>
          <w:color w:val="000000" w:themeColor="text1"/>
        </w:rPr>
        <w:t xml:space="preserve"> as compared</w:t>
      </w:r>
      <w:r w:rsidR="00BC52B8" w:rsidRPr="00A7796E">
        <w:rPr>
          <w:rFonts w:ascii="Times New Roman" w:hAnsi="Times New Roman" w:cs="Times New Roman"/>
          <w:color w:val="000000" w:themeColor="text1"/>
        </w:rPr>
        <w:t xml:space="preserve"> </w:t>
      </w:r>
      <w:r w:rsidR="003E05B7">
        <w:rPr>
          <w:rFonts w:ascii="Times New Roman" w:hAnsi="Times New Roman" w:cs="Times New Roman"/>
          <w:color w:val="000000" w:themeColor="text1"/>
        </w:rPr>
        <w:t>to its peer group.</w:t>
      </w:r>
    </w:p>
    <w:p w14:paraId="2CCB87B6" w14:textId="77777777" w:rsidR="00A556D5" w:rsidRPr="00A36962" w:rsidRDefault="00A556D5" w:rsidP="00A36962">
      <w:pPr>
        <w:pStyle w:val="ListParagraph"/>
        <w:rPr>
          <w:rFonts w:ascii="Times New Roman" w:hAnsi="Times New Roman" w:cs="Times New Roman"/>
          <w:color w:val="000000" w:themeColor="text1"/>
        </w:rPr>
      </w:pPr>
    </w:p>
    <w:p w14:paraId="4D5ABB2D" w14:textId="5AA3D3A8" w:rsidR="00A556D5" w:rsidRPr="00A7796E" w:rsidRDefault="00A556D5" w:rsidP="00441AB0">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Pr>
          <w:rFonts w:ascii="Times New Roman" w:hAnsi="Times New Roman" w:cs="Times New Roman"/>
          <w:color w:val="000000" w:themeColor="text1"/>
        </w:rPr>
        <w:t>Selling, general and administrative expense</w:t>
      </w:r>
      <w:r w:rsidR="00BC30B3">
        <w:rPr>
          <w:rFonts w:ascii="Times New Roman" w:hAnsi="Times New Roman" w:cs="Times New Roman"/>
          <w:color w:val="000000" w:themeColor="text1"/>
        </w:rPr>
        <w:t>s</w:t>
      </w:r>
      <w:r w:rsidR="00CF047E">
        <w:rPr>
          <w:rFonts w:ascii="Times New Roman" w:hAnsi="Times New Roman" w:cs="Times New Roman"/>
          <w:color w:val="000000" w:themeColor="text1"/>
        </w:rPr>
        <w:t xml:space="preserve"> (“SG&amp;A”)</w:t>
      </w:r>
      <w:r w:rsidR="00BC30B3">
        <w:rPr>
          <w:rFonts w:ascii="Times New Roman" w:hAnsi="Times New Roman" w:cs="Times New Roman"/>
          <w:color w:val="000000" w:themeColor="text1"/>
        </w:rPr>
        <w:t xml:space="preserve"> </w:t>
      </w:r>
      <w:r w:rsidR="00414A65">
        <w:rPr>
          <w:rFonts w:ascii="Times New Roman" w:hAnsi="Times New Roman" w:cs="Times New Roman"/>
          <w:color w:val="000000" w:themeColor="text1"/>
        </w:rPr>
        <w:t xml:space="preserve">for the three and six-month </w:t>
      </w:r>
      <w:r w:rsidR="00414A65" w:rsidRPr="00C870D2">
        <w:rPr>
          <w:rFonts w:ascii="Times New Roman" w:hAnsi="Times New Roman" w:cs="Times New Roman"/>
          <w:color w:val="000000" w:themeColor="text1"/>
        </w:rPr>
        <w:t>periods ended March 31, 2023</w:t>
      </w:r>
      <w:r w:rsidR="009D2446">
        <w:rPr>
          <w:rFonts w:ascii="Times New Roman" w:hAnsi="Times New Roman" w:cs="Times New Roman"/>
          <w:color w:val="000000" w:themeColor="text1"/>
        </w:rPr>
        <w:t xml:space="preserve"> were </w:t>
      </w:r>
      <w:r w:rsidR="00BA3CCF">
        <w:rPr>
          <w:rFonts w:ascii="Times New Roman" w:hAnsi="Times New Roman" w:cs="Times New Roman"/>
          <w:color w:val="000000" w:themeColor="text1"/>
        </w:rPr>
        <w:t>$</w:t>
      </w:r>
      <w:r w:rsidR="00FA36DA">
        <w:rPr>
          <w:rFonts w:ascii="Times New Roman" w:hAnsi="Times New Roman" w:cs="Times New Roman"/>
          <w:color w:val="000000" w:themeColor="text1"/>
        </w:rPr>
        <w:t>11.7 million and $24.5 mi</w:t>
      </w:r>
      <w:r w:rsidR="00AF3F28">
        <w:rPr>
          <w:rFonts w:ascii="Times New Roman" w:hAnsi="Times New Roman" w:cs="Times New Roman"/>
          <w:color w:val="000000" w:themeColor="text1"/>
        </w:rPr>
        <w:t xml:space="preserve">llion, </w:t>
      </w:r>
      <w:r w:rsidR="009D2446">
        <w:rPr>
          <w:rFonts w:ascii="Times New Roman" w:hAnsi="Times New Roman" w:cs="Times New Roman"/>
          <w:color w:val="000000" w:themeColor="text1"/>
        </w:rPr>
        <w:t xml:space="preserve">down </w:t>
      </w:r>
      <w:r w:rsidR="00026CAA">
        <w:rPr>
          <w:rFonts w:ascii="Times New Roman" w:hAnsi="Times New Roman" w:cs="Times New Roman"/>
          <w:color w:val="000000" w:themeColor="text1"/>
        </w:rPr>
        <w:t xml:space="preserve">4% and </w:t>
      </w:r>
      <w:r w:rsidR="00896F00">
        <w:rPr>
          <w:rFonts w:ascii="Times New Roman" w:hAnsi="Times New Roman" w:cs="Times New Roman"/>
          <w:color w:val="000000" w:themeColor="text1"/>
        </w:rPr>
        <w:t>level, r</w:t>
      </w:r>
      <w:r w:rsidR="00AF3F28">
        <w:rPr>
          <w:rFonts w:ascii="Times New Roman" w:hAnsi="Times New Roman" w:cs="Times New Roman"/>
          <w:color w:val="000000" w:themeColor="text1"/>
        </w:rPr>
        <w:t>espectively</w:t>
      </w:r>
      <w:r w:rsidR="00026CAA">
        <w:rPr>
          <w:rFonts w:ascii="Times New Roman" w:hAnsi="Times New Roman" w:cs="Times New Roman"/>
          <w:color w:val="000000" w:themeColor="text1"/>
        </w:rPr>
        <w:t xml:space="preserve">, </w:t>
      </w:r>
      <w:r w:rsidR="00896F00">
        <w:rPr>
          <w:rFonts w:ascii="Times New Roman" w:hAnsi="Times New Roman" w:cs="Times New Roman"/>
          <w:color w:val="000000" w:themeColor="text1"/>
        </w:rPr>
        <w:t>compared with</w:t>
      </w:r>
      <w:r w:rsidR="00026CAA">
        <w:rPr>
          <w:rFonts w:ascii="Times New Roman" w:hAnsi="Times New Roman" w:cs="Times New Roman"/>
          <w:color w:val="000000" w:themeColor="text1"/>
        </w:rPr>
        <w:t xml:space="preserve"> the </w:t>
      </w:r>
      <w:r w:rsidR="007613DB">
        <w:rPr>
          <w:rFonts w:ascii="Times New Roman" w:hAnsi="Times New Roman" w:cs="Times New Roman"/>
          <w:color w:val="000000" w:themeColor="text1"/>
        </w:rPr>
        <w:t>same</w:t>
      </w:r>
      <w:r w:rsidR="00026CAA">
        <w:rPr>
          <w:rFonts w:ascii="Times New Roman" w:hAnsi="Times New Roman" w:cs="Times New Roman"/>
          <w:color w:val="000000" w:themeColor="text1"/>
        </w:rPr>
        <w:t xml:space="preserve"> fiscal 2022 periods.  </w:t>
      </w:r>
      <w:r w:rsidR="009C632E" w:rsidRPr="009C632E">
        <w:rPr>
          <w:rFonts w:ascii="Times New Roman" w:hAnsi="Times New Roman" w:cs="Times New Roman"/>
          <w:color w:val="000000" w:themeColor="text1"/>
        </w:rPr>
        <w:t>SG&amp;A for the three-month period ended March 31, 2023, as a percentage of revenues, w</w:t>
      </w:r>
      <w:r w:rsidR="007613DB">
        <w:rPr>
          <w:rFonts w:ascii="Times New Roman" w:hAnsi="Times New Roman" w:cs="Times New Roman"/>
          <w:color w:val="000000" w:themeColor="text1"/>
        </w:rPr>
        <w:t>as</w:t>
      </w:r>
      <w:r w:rsidR="009C632E" w:rsidRPr="009C632E">
        <w:rPr>
          <w:rFonts w:ascii="Times New Roman" w:hAnsi="Times New Roman" w:cs="Times New Roman"/>
          <w:color w:val="000000" w:themeColor="text1"/>
        </w:rPr>
        <w:t xml:space="preserve"> 30% compared to 31% for the three-month period ended March 31, 2022. SG&amp;A for the three-month period ended March 31, 2022 included the settlement of a legal matter totaling $975</w:t>
      </w:r>
      <w:r w:rsidR="00617199">
        <w:rPr>
          <w:rFonts w:ascii="Times New Roman" w:hAnsi="Times New Roman" w:cs="Times New Roman"/>
          <w:color w:val="000000" w:themeColor="text1"/>
        </w:rPr>
        <w:t xml:space="preserve"> thousand</w:t>
      </w:r>
      <w:r w:rsidR="009C632E" w:rsidRPr="009C632E">
        <w:rPr>
          <w:rFonts w:ascii="Times New Roman" w:hAnsi="Times New Roman" w:cs="Times New Roman"/>
          <w:color w:val="000000" w:themeColor="text1"/>
        </w:rPr>
        <w:t xml:space="preserve">. The small net increase in SG&amp;A relative to revenue excluding the impact of this non-recurring </w:t>
      </w:r>
      <w:r w:rsidR="007613DB">
        <w:rPr>
          <w:rFonts w:ascii="Times New Roman" w:hAnsi="Times New Roman" w:cs="Times New Roman"/>
          <w:color w:val="000000" w:themeColor="text1"/>
        </w:rPr>
        <w:t>fiscal 2022 charge</w:t>
      </w:r>
      <w:r w:rsidR="009C632E" w:rsidRPr="009C632E">
        <w:rPr>
          <w:rFonts w:ascii="Times New Roman" w:hAnsi="Times New Roman" w:cs="Times New Roman"/>
          <w:color w:val="000000" w:themeColor="text1"/>
        </w:rPr>
        <w:t xml:space="preserve"> is largely a result of the effects of inflation on compensation and other operating costs. In</w:t>
      </w:r>
      <w:r w:rsidR="00F10407">
        <w:rPr>
          <w:rFonts w:ascii="Times New Roman" w:hAnsi="Times New Roman" w:cs="Times New Roman"/>
          <w:color w:val="000000" w:themeColor="text1"/>
        </w:rPr>
        <w:t xml:space="preserve"> the latter part of</w:t>
      </w:r>
      <w:r w:rsidR="009C632E" w:rsidRPr="009C632E">
        <w:rPr>
          <w:rFonts w:ascii="Times New Roman" w:hAnsi="Times New Roman" w:cs="Times New Roman"/>
          <w:color w:val="000000" w:themeColor="text1"/>
        </w:rPr>
        <w:t xml:space="preserve"> February and</w:t>
      </w:r>
      <w:r w:rsidR="00F10407">
        <w:rPr>
          <w:rFonts w:ascii="Times New Roman" w:hAnsi="Times New Roman" w:cs="Times New Roman"/>
          <w:color w:val="000000" w:themeColor="text1"/>
        </w:rPr>
        <w:t xml:space="preserve"> in</w:t>
      </w:r>
      <w:r w:rsidR="009C632E" w:rsidRPr="009C632E">
        <w:rPr>
          <w:rFonts w:ascii="Times New Roman" w:hAnsi="Times New Roman" w:cs="Times New Roman"/>
          <w:color w:val="000000" w:themeColor="text1"/>
        </w:rPr>
        <w:t xml:space="preserve"> March 2023, the Company implemented certain cost reductions with estimated annual savings of approximately $4.0 million</w:t>
      </w:r>
      <w:r w:rsidR="007613DB">
        <w:rPr>
          <w:rFonts w:ascii="Times New Roman" w:hAnsi="Times New Roman" w:cs="Times New Roman"/>
          <w:color w:val="000000" w:themeColor="text1"/>
        </w:rPr>
        <w:t>, which are expected to have a positive impact on results for the remainder of fiscal 2023</w:t>
      </w:r>
      <w:r w:rsidR="009C632E" w:rsidRPr="009C632E">
        <w:rPr>
          <w:rFonts w:ascii="Times New Roman" w:hAnsi="Times New Roman" w:cs="Times New Roman"/>
          <w:color w:val="000000" w:themeColor="text1"/>
        </w:rPr>
        <w:t xml:space="preserve">. The Company monitors operating costs including the impacts of inflation with a view towards identifying and taking advantage of potential cost reductions on a routine basis.   </w:t>
      </w:r>
    </w:p>
    <w:p w14:paraId="60528E73" w14:textId="77777777" w:rsidR="00441AB0" w:rsidRPr="00A7796E" w:rsidRDefault="00441AB0" w:rsidP="00441AB0">
      <w:pPr>
        <w:pStyle w:val="ListParagraph"/>
        <w:rPr>
          <w:rFonts w:ascii="Times New Roman" w:hAnsi="Times New Roman" w:cs="Times New Roman"/>
          <w:color w:val="000000" w:themeColor="text1"/>
        </w:rPr>
      </w:pPr>
    </w:p>
    <w:p w14:paraId="3A94C06B" w14:textId="2988FBD2" w:rsidR="55C4ABAD" w:rsidRPr="00C870D2" w:rsidRDefault="0070460E" w:rsidP="00411876">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C870D2">
        <w:rPr>
          <w:rFonts w:ascii="Times New Roman" w:hAnsi="Times New Roman" w:cs="Times New Roman"/>
          <w:color w:val="000000" w:themeColor="text1"/>
        </w:rPr>
        <w:t xml:space="preserve">Net income </w:t>
      </w:r>
      <w:r w:rsidR="00091F60" w:rsidRPr="00C870D2">
        <w:rPr>
          <w:rFonts w:ascii="Times New Roman" w:hAnsi="Times New Roman" w:cs="Times New Roman"/>
          <w:color w:val="000000" w:themeColor="text1"/>
        </w:rPr>
        <w:t xml:space="preserve">for the </w:t>
      </w:r>
      <w:r w:rsidR="00CA2E4C" w:rsidRPr="00C870D2">
        <w:rPr>
          <w:rFonts w:ascii="Times New Roman" w:hAnsi="Times New Roman" w:cs="Times New Roman"/>
          <w:color w:val="000000" w:themeColor="text1"/>
        </w:rPr>
        <w:t>three</w:t>
      </w:r>
      <w:r w:rsidR="009E1EC4" w:rsidRPr="00C870D2">
        <w:rPr>
          <w:rFonts w:ascii="Times New Roman" w:hAnsi="Times New Roman" w:cs="Times New Roman"/>
          <w:color w:val="000000" w:themeColor="text1"/>
        </w:rPr>
        <w:t xml:space="preserve"> and six-month periods ended March 31, 2023, was </w:t>
      </w:r>
      <w:r w:rsidR="000E1124" w:rsidRPr="00C870D2">
        <w:rPr>
          <w:rFonts w:ascii="Times New Roman" w:hAnsi="Times New Roman" w:cs="Times New Roman"/>
          <w:color w:val="000000" w:themeColor="text1"/>
        </w:rPr>
        <w:t>$0.</w:t>
      </w:r>
      <w:r w:rsidR="00617199">
        <w:rPr>
          <w:rFonts w:ascii="Times New Roman" w:hAnsi="Times New Roman" w:cs="Times New Roman"/>
          <w:color w:val="000000" w:themeColor="text1"/>
        </w:rPr>
        <w:t>7</w:t>
      </w:r>
      <w:r w:rsidR="000E1124" w:rsidRPr="00C870D2">
        <w:rPr>
          <w:rFonts w:ascii="Times New Roman" w:hAnsi="Times New Roman" w:cs="Times New Roman"/>
          <w:color w:val="000000" w:themeColor="text1"/>
        </w:rPr>
        <w:t xml:space="preserve"> million, or $</w:t>
      </w:r>
      <w:r w:rsidR="0058681E" w:rsidRPr="00C870D2">
        <w:rPr>
          <w:rFonts w:ascii="Times New Roman" w:hAnsi="Times New Roman" w:cs="Times New Roman"/>
          <w:color w:val="000000" w:themeColor="text1"/>
        </w:rPr>
        <w:t>0.01 per diluted share, and $</w:t>
      </w:r>
      <w:r w:rsidR="007E209D" w:rsidRPr="00C870D2">
        <w:rPr>
          <w:rFonts w:ascii="Times New Roman" w:hAnsi="Times New Roman" w:cs="Times New Roman"/>
          <w:color w:val="000000" w:themeColor="text1"/>
        </w:rPr>
        <w:t>1.3 million, or $</w:t>
      </w:r>
      <w:r w:rsidR="009F1713" w:rsidRPr="00C870D2">
        <w:rPr>
          <w:rFonts w:ascii="Times New Roman" w:hAnsi="Times New Roman" w:cs="Times New Roman"/>
          <w:color w:val="000000" w:themeColor="text1"/>
        </w:rPr>
        <w:t>0.01</w:t>
      </w:r>
      <w:r w:rsidR="00CA0D1B" w:rsidRPr="00C870D2">
        <w:rPr>
          <w:rFonts w:ascii="Times New Roman" w:hAnsi="Times New Roman" w:cs="Times New Roman"/>
          <w:color w:val="000000" w:themeColor="text1"/>
        </w:rPr>
        <w:t xml:space="preserve"> per diluted share</w:t>
      </w:r>
      <w:r w:rsidR="004A0103" w:rsidRPr="00C870D2">
        <w:rPr>
          <w:rFonts w:ascii="Times New Roman" w:hAnsi="Times New Roman" w:cs="Times New Roman"/>
          <w:color w:val="000000" w:themeColor="text1"/>
        </w:rPr>
        <w:t xml:space="preserve">, as compared with </w:t>
      </w:r>
      <w:r w:rsidR="005D138F" w:rsidRPr="00C870D2">
        <w:rPr>
          <w:rFonts w:ascii="Times New Roman" w:hAnsi="Times New Roman" w:cs="Times New Roman"/>
          <w:color w:val="000000" w:themeColor="text1"/>
        </w:rPr>
        <w:t>net income of $</w:t>
      </w:r>
      <w:r w:rsidR="00A60C54" w:rsidRPr="00C870D2">
        <w:rPr>
          <w:rFonts w:ascii="Times New Roman" w:hAnsi="Times New Roman" w:cs="Times New Roman"/>
          <w:color w:val="000000" w:themeColor="text1"/>
        </w:rPr>
        <w:t>1.1 million, or $0.01 per diluted share, and $17.</w:t>
      </w:r>
      <w:r w:rsidR="00617199">
        <w:rPr>
          <w:rFonts w:ascii="Times New Roman" w:hAnsi="Times New Roman" w:cs="Times New Roman"/>
          <w:color w:val="000000" w:themeColor="text1"/>
        </w:rPr>
        <w:t>8</w:t>
      </w:r>
      <w:r w:rsidR="00A60C54" w:rsidRPr="00C870D2">
        <w:rPr>
          <w:rFonts w:ascii="Times New Roman" w:hAnsi="Times New Roman" w:cs="Times New Roman"/>
          <w:color w:val="000000" w:themeColor="text1"/>
        </w:rPr>
        <w:t xml:space="preserve"> million</w:t>
      </w:r>
      <w:r w:rsidR="00D40695" w:rsidRPr="00C870D2">
        <w:rPr>
          <w:rFonts w:ascii="Times New Roman" w:hAnsi="Times New Roman" w:cs="Times New Roman"/>
          <w:color w:val="000000" w:themeColor="text1"/>
        </w:rPr>
        <w:t>, or $0.15 per diluted share for the three and six-month ended March 31, 2022</w:t>
      </w:r>
      <w:r w:rsidR="0068007B" w:rsidRPr="00C870D2">
        <w:rPr>
          <w:rFonts w:ascii="Times New Roman" w:hAnsi="Times New Roman" w:cs="Times New Roman"/>
          <w:color w:val="000000" w:themeColor="text1"/>
        </w:rPr>
        <w:t xml:space="preserve">. </w:t>
      </w:r>
      <w:r w:rsidRPr="00C870D2">
        <w:rPr>
          <w:rFonts w:ascii="Times New Roman" w:hAnsi="Times New Roman" w:cs="Times New Roman"/>
          <w:color w:val="000000" w:themeColor="text1"/>
        </w:rPr>
        <w:t xml:space="preserve"> </w:t>
      </w:r>
      <w:r w:rsidR="00D83044" w:rsidRPr="00C870D2">
        <w:rPr>
          <w:rFonts w:ascii="Times New Roman" w:hAnsi="Times New Roman" w:cs="Times New Roman"/>
          <w:color w:val="000000" w:themeColor="text1"/>
        </w:rPr>
        <w:t xml:space="preserve">The </w:t>
      </w:r>
      <w:r w:rsidR="00662F8A">
        <w:rPr>
          <w:rFonts w:ascii="Times New Roman" w:hAnsi="Times New Roman" w:cs="Times New Roman"/>
          <w:color w:val="000000" w:themeColor="text1"/>
        </w:rPr>
        <w:t xml:space="preserve">significant </w:t>
      </w:r>
      <w:r w:rsidR="00D83044" w:rsidRPr="00C870D2">
        <w:rPr>
          <w:rFonts w:ascii="Times New Roman" w:hAnsi="Times New Roman" w:cs="Times New Roman"/>
          <w:color w:val="000000" w:themeColor="text1"/>
        </w:rPr>
        <w:t xml:space="preserve">decrease in net income </w:t>
      </w:r>
      <w:r w:rsidR="00662F8A">
        <w:rPr>
          <w:rFonts w:ascii="Times New Roman" w:hAnsi="Times New Roman" w:cs="Times New Roman"/>
          <w:color w:val="000000" w:themeColor="text1"/>
        </w:rPr>
        <w:t xml:space="preserve">for the six months ended March 31, 2023, </w:t>
      </w:r>
      <w:r w:rsidR="00D83044" w:rsidRPr="00C870D2">
        <w:rPr>
          <w:rFonts w:ascii="Times New Roman" w:hAnsi="Times New Roman" w:cs="Times New Roman"/>
          <w:color w:val="000000" w:themeColor="text1"/>
        </w:rPr>
        <w:t>is mainly attributable to gains of $16</w:t>
      </w:r>
      <w:r w:rsidR="00D52749">
        <w:rPr>
          <w:rFonts w:ascii="Times New Roman" w:hAnsi="Times New Roman" w:cs="Times New Roman"/>
          <w:color w:val="000000" w:themeColor="text1"/>
        </w:rPr>
        <w:t>.8 million</w:t>
      </w:r>
      <w:r w:rsidR="00D83044" w:rsidRPr="00C870D2">
        <w:rPr>
          <w:rFonts w:ascii="Times New Roman" w:hAnsi="Times New Roman" w:cs="Times New Roman"/>
          <w:color w:val="000000" w:themeColor="text1"/>
        </w:rPr>
        <w:t xml:space="preserve"> from extinguishment of the Company’s remaining PPP loans, offset by a $2</w:t>
      </w:r>
      <w:r w:rsidR="00032691">
        <w:rPr>
          <w:rFonts w:ascii="Times New Roman" w:hAnsi="Times New Roman" w:cs="Times New Roman"/>
          <w:color w:val="000000" w:themeColor="text1"/>
        </w:rPr>
        <w:t>.</w:t>
      </w:r>
      <w:r w:rsidR="00B31435">
        <w:rPr>
          <w:rFonts w:ascii="Times New Roman" w:hAnsi="Times New Roman" w:cs="Times New Roman"/>
          <w:color w:val="000000" w:themeColor="text1"/>
        </w:rPr>
        <w:t>15</w:t>
      </w:r>
      <w:r w:rsidR="00032691">
        <w:rPr>
          <w:rFonts w:ascii="Times New Roman" w:hAnsi="Times New Roman" w:cs="Times New Roman"/>
          <w:color w:val="000000" w:themeColor="text1"/>
        </w:rPr>
        <w:t xml:space="preserve"> million</w:t>
      </w:r>
      <w:r w:rsidR="00D83044" w:rsidRPr="00C870D2">
        <w:rPr>
          <w:rFonts w:ascii="Times New Roman" w:hAnsi="Times New Roman" w:cs="Times New Roman"/>
          <w:color w:val="000000" w:themeColor="text1"/>
        </w:rPr>
        <w:t xml:space="preserve"> non-cash goodwill impairment charge during the six months ended March 31, 2022. The remaining net </w:t>
      </w:r>
      <w:r w:rsidR="00FD43C1">
        <w:rPr>
          <w:rFonts w:ascii="Times New Roman" w:hAnsi="Times New Roman" w:cs="Times New Roman"/>
          <w:color w:val="000000" w:themeColor="text1"/>
        </w:rPr>
        <w:t>decrease</w:t>
      </w:r>
      <w:r w:rsidR="00FD43C1" w:rsidRPr="00C870D2">
        <w:rPr>
          <w:rFonts w:ascii="Times New Roman" w:hAnsi="Times New Roman" w:cs="Times New Roman"/>
          <w:color w:val="000000" w:themeColor="text1"/>
        </w:rPr>
        <w:t xml:space="preserve"> </w:t>
      </w:r>
      <w:r w:rsidR="00D83044" w:rsidRPr="00C870D2">
        <w:rPr>
          <w:rFonts w:ascii="Times New Roman" w:hAnsi="Times New Roman" w:cs="Times New Roman"/>
          <w:color w:val="000000" w:themeColor="text1"/>
        </w:rPr>
        <w:t>is consistent with the dec</w:t>
      </w:r>
      <w:r w:rsidR="00231DDB">
        <w:rPr>
          <w:rFonts w:ascii="Times New Roman" w:hAnsi="Times New Roman" w:cs="Times New Roman"/>
          <w:color w:val="000000" w:themeColor="text1"/>
        </w:rPr>
        <w:t>lines</w:t>
      </w:r>
      <w:r w:rsidR="00D83044" w:rsidRPr="00C870D2">
        <w:rPr>
          <w:rFonts w:ascii="Times New Roman" w:hAnsi="Times New Roman" w:cs="Times New Roman"/>
          <w:color w:val="000000" w:themeColor="text1"/>
        </w:rPr>
        <w:t xml:space="preserve"> in gross profit and gross margin</w:t>
      </w:r>
      <w:r w:rsidR="00A556D5">
        <w:rPr>
          <w:rFonts w:ascii="Times New Roman" w:hAnsi="Times New Roman" w:cs="Times New Roman"/>
          <w:color w:val="000000" w:themeColor="text1"/>
        </w:rPr>
        <w:t>s</w:t>
      </w:r>
      <w:r w:rsidR="00D83044" w:rsidRPr="00C870D2">
        <w:rPr>
          <w:rFonts w:ascii="Times New Roman" w:hAnsi="Times New Roman" w:cs="Times New Roman"/>
          <w:color w:val="000000" w:themeColor="text1"/>
        </w:rPr>
        <w:t xml:space="preserve"> for the six months ended March 31, 2023</w:t>
      </w:r>
      <w:r w:rsidR="00662F8A">
        <w:rPr>
          <w:rFonts w:ascii="Times New Roman" w:hAnsi="Times New Roman" w:cs="Times New Roman"/>
          <w:color w:val="000000" w:themeColor="text1"/>
        </w:rPr>
        <w:t>, from their record levels during the comparable fiscal 2022 periods</w:t>
      </w:r>
      <w:r w:rsidR="00D83044" w:rsidRPr="00C870D2">
        <w:rPr>
          <w:rFonts w:ascii="Times New Roman" w:hAnsi="Times New Roman" w:cs="Times New Roman"/>
          <w:color w:val="000000" w:themeColor="text1"/>
        </w:rPr>
        <w:t>,</w:t>
      </w:r>
      <w:r w:rsidR="006D413D" w:rsidRPr="00C870D2">
        <w:rPr>
          <w:rFonts w:ascii="Times New Roman" w:hAnsi="Times New Roman" w:cs="Times New Roman"/>
          <w:color w:val="000000" w:themeColor="text1"/>
        </w:rPr>
        <w:t xml:space="preserve"> </w:t>
      </w:r>
      <w:r w:rsidR="00A556D5">
        <w:rPr>
          <w:rFonts w:ascii="Times New Roman" w:hAnsi="Times New Roman" w:cs="Times New Roman"/>
          <w:color w:val="000000" w:themeColor="text1"/>
        </w:rPr>
        <w:t>as explained above</w:t>
      </w:r>
      <w:r w:rsidR="00660D6B" w:rsidRPr="00C870D2">
        <w:rPr>
          <w:rFonts w:ascii="Times New Roman" w:hAnsi="Times New Roman" w:cs="Times New Roman"/>
          <w:color w:val="000000" w:themeColor="text1"/>
        </w:rPr>
        <w:t xml:space="preserve">. </w:t>
      </w:r>
      <w:r w:rsidR="00C870D2">
        <w:rPr>
          <w:rFonts w:ascii="Times New Roman" w:hAnsi="Times New Roman" w:cs="Times New Roman"/>
          <w:color w:val="000000" w:themeColor="text1"/>
        </w:rPr>
        <w:t>A</w:t>
      </w:r>
      <w:r w:rsidR="00231DDB">
        <w:rPr>
          <w:rFonts w:ascii="Times New Roman" w:hAnsi="Times New Roman" w:cs="Times New Roman"/>
          <w:color w:val="000000" w:themeColor="text1"/>
        </w:rPr>
        <w:t>lso as discussed above</w:t>
      </w:r>
      <w:r w:rsidR="00C870D2">
        <w:rPr>
          <w:rFonts w:ascii="Times New Roman" w:hAnsi="Times New Roman" w:cs="Times New Roman"/>
          <w:color w:val="000000" w:themeColor="text1"/>
        </w:rPr>
        <w:t>, o</w:t>
      </w:r>
      <w:r w:rsidR="617669BF" w:rsidRPr="00C870D2">
        <w:rPr>
          <w:rFonts w:ascii="Times New Roman" w:hAnsi="Times New Roman" w:cs="Times New Roman"/>
          <w:color w:val="000000" w:themeColor="text1"/>
        </w:rPr>
        <w:t xml:space="preserve">ur </w:t>
      </w:r>
      <w:r w:rsidR="00662F8A">
        <w:rPr>
          <w:rFonts w:ascii="Times New Roman" w:hAnsi="Times New Roman" w:cs="Times New Roman"/>
          <w:color w:val="000000" w:themeColor="text1"/>
        </w:rPr>
        <w:t>recent</w:t>
      </w:r>
      <w:r w:rsidR="00103729" w:rsidRPr="00C870D2">
        <w:rPr>
          <w:rFonts w:ascii="Times New Roman" w:hAnsi="Times New Roman" w:cs="Times New Roman"/>
          <w:color w:val="000000" w:themeColor="text1"/>
        </w:rPr>
        <w:t xml:space="preserve"> </w:t>
      </w:r>
      <w:r w:rsidR="004C527A" w:rsidRPr="00C870D2">
        <w:rPr>
          <w:rFonts w:ascii="Times New Roman" w:hAnsi="Times New Roman" w:cs="Times New Roman"/>
          <w:color w:val="000000" w:themeColor="text1"/>
        </w:rPr>
        <w:t>price increases and targeted cost reductions</w:t>
      </w:r>
      <w:r w:rsidR="00103729" w:rsidRPr="00C870D2">
        <w:rPr>
          <w:rFonts w:ascii="Times New Roman" w:hAnsi="Times New Roman" w:cs="Times New Roman"/>
          <w:color w:val="000000" w:themeColor="text1"/>
        </w:rPr>
        <w:t xml:space="preserve"> are expected to begin to have positive effects on results </w:t>
      </w:r>
      <w:r w:rsidR="004C527A" w:rsidRPr="00C870D2">
        <w:rPr>
          <w:rFonts w:ascii="Times New Roman" w:hAnsi="Times New Roman" w:cs="Times New Roman"/>
          <w:color w:val="000000" w:themeColor="text1"/>
        </w:rPr>
        <w:t>during the remainder of fiscal 2023</w:t>
      </w:r>
      <w:r w:rsidR="00656268">
        <w:rPr>
          <w:rFonts w:ascii="Times New Roman" w:hAnsi="Times New Roman" w:cs="Times New Roman"/>
          <w:color w:val="000000" w:themeColor="text1"/>
        </w:rPr>
        <w:t>.</w:t>
      </w:r>
      <w:r w:rsidR="002031EA" w:rsidRPr="00C870D2">
        <w:rPr>
          <w:rFonts w:ascii="Times New Roman" w:hAnsi="Times New Roman" w:cs="Times New Roman"/>
          <w:color w:val="000000" w:themeColor="text1"/>
        </w:rPr>
        <w:t xml:space="preserve">  </w:t>
      </w:r>
    </w:p>
    <w:p w14:paraId="67049EB0" w14:textId="77777777" w:rsidR="00214001" w:rsidRPr="00FA5A19" w:rsidRDefault="00214001" w:rsidP="00C57419">
      <w:pPr>
        <w:pStyle w:val="ListParagraph"/>
        <w:shd w:val="clear" w:color="auto" w:fill="FFFFFF" w:themeFill="background1"/>
        <w:spacing w:before="120"/>
        <w:jc w:val="both"/>
        <w:outlineLvl w:val="0"/>
        <w:rPr>
          <w:rFonts w:ascii="Times New Roman" w:hAnsi="Times New Roman" w:cs="Times New Roman"/>
          <w:color w:val="000000" w:themeColor="text1"/>
        </w:rPr>
      </w:pPr>
    </w:p>
    <w:p w14:paraId="70696057" w14:textId="23BD51EB" w:rsidR="00C146CD" w:rsidRPr="00A7796E" w:rsidRDefault="00E8502B" w:rsidP="00214001">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FA5A19">
        <w:rPr>
          <w:rFonts w:ascii="Times New Roman" w:hAnsi="Times New Roman" w:cs="Times New Roman"/>
          <w:color w:val="000000" w:themeColor="text1"/>
        </w:rPr>
        <w:t>Adjusted EBITDA (a non-GAAP financial measure) for the</w:t>
      </w:r>
      <w:r w:rsidR="00A94EA1">
        <w:rPr>
          <w:rFonts w:ascii="Times New Roman" w:hAnsi="Times New Roman" w:cs="Times New Roman"/>
          <w:color w:val="000000" w:themeColor="text1"/>
        </w:rPr>
        <w:t xml:space="preserve"> three </w:t>
      </w:r>
      <w:r w:rsidR="002744D0">
        <w:rPr>
          <w:rFonts w:ascii="Times New Roman" w:hAnsi="Times New Roman" w:cs="Times New Roman"/>
          <w:color w:val="000000" w:themeColor="text1"/>
        </w:rPr>
        <w:t xml:space="preserve">and six-month periods ended March 31, 2023, was </w:t>
      </w:r>
      <w:r w:rsidR="00C61FD5">
        <w:rPr>
          <w:rFonts w:ascii="Times New Roman" w:hAnsi="Times New Roman" w:cs="Times New Roman"/>
          <w:color w:val="000000" w:themeColor="text1"/>
        </w:rPr>
        <w:t>$1</w:t>
      </w:r>
      <w:r w:rsidR="2B801674" w:rsidRPr="00FA5A19">
        <w:rPr>
          <w:rFonts w:ascii="Times New Roman" w:hAnsi="Times New Roman" w:cs="Times New Roman"/>
          <w:color w:val="000000" w:themeColor="text1"/>
        </w:rPr>
        <w:t>.</w:t>
      </w:r>
      <w:r w:rsidR="00E14E33">
        <w:rPr>
          <w:rFonts w:ascii="Times New Roman" w:hAnsi="Times New Roman" w:cs="Times New Roman"/>
          <w:color w:val="000000" w:themeColor="text1"/>
        </w:rPr>
        <w:t>7</w:t>
      </w:r>
      <w:r w:rsidRPr="00FA5A19">
        <w:rPr>
          <w:rFonts w:ascii="Times New Roman" w:hAnsi="Times New Roman" w:cs="Times New Roman"/>
          <w:color w:val="000000" w:themeColor="text1"/>
        </w:rPr>
        <w:t xml:space="preserve"> million</w:t>
      </w:r>
      <w:r w:rsidR="00E14E33">
        <w:rPr>
          <w:rFonts w:ascii="Times New Roman" w:hAnsi="Times New Roman" w:cs="Times New Roman"/>
          <w:color w:val="000000" w:themeColor="text1"/>
        </w:rPr>
        <w:t xml:space="preserve"> and $</w:t>
      </w:r>
      <w:r w:rsidR="00A50329">
        <w:rPr>
          <w:rFonts w:ascii="Times New Roman" w:hAnsi="Times New Roman" w:cs="Times New Roman"/>
          <w:color w:val="000000" w:themeColor="text1"/>
        </w:rPr>
        <w:t>3</w:t>
      </w:r>
      <w:r w:rsidR="00E14E33">
        <w:rPr>
          <w:rFonts w:ascii="Times New Roman" w:hAnsi="Times New Roman" w:cs="Times New Roman"/>
          <w:color w:val="000000" w:themeColor="text1"/>
        </w:rPr>
        <w:t>.</w:t>
      </w:r>
      <w:r w:rsidR="00A50329">
        <w:rPr>
          <w:rFonts w:ascii="Times New Roman" w:hAnsi="Times New Roman" w:cs="Times New Roman"/>
          <w:color w:val="000000" w:themeColor="text1"/>
        </w:rPr>
        <w:t>7</w:t>
      </w:r>
      <w:r w:rsidR="00E14E33">
        <w:rPr>
          <w:rFonts w:ascii="Times New Roman" w:hAnsi="Times New Roman" w:cs="Times New Roman"/>
          <w:color w:val="000000" w:themeColor="text1"/>
        </w:rPr>
        <w:t xml:space="preserve"> million</w:t>
      </w:r>
      <w:r w:rsidR="00595A5E">
        <w:rPr>
          <w:rFonts w:ascii="Times New Roman" w:hAnsi="Times New Roman" w:cs="Times New Roman"/>
          <w:color w:val="000000" w:themeColor="text1"/>
        </w:rPr>
        <w:t>, respectively</w:t>
      </w:r>
      <w:r w:rsidR="0C4DA67A" w:rsidRPr="00FA5A19">
        <w:rPr>
          <w:rFonts w:ascii="Times New Roman" w:hAnsi="Times New Roman" w:cs="Times New Roman"/>
          <w:color w:val="000000" w:themeColor="text1"/>
        </w:rPr>
        <w:t xml:space="preserve">, </w:t>
      </w:r>
      <w:r w:rsidR="00A9454C" w:rsidRPr="00FA5A19">
        <w:rPr>
          <w:rFonts w:ascii="Times New Roman" w:hAnsi="Times New Roman" w:cs="Times New Roman"/>
          <w:color w:val="000000" w:themeColor="text1"/>
        </w:rPr>
        <w:t>as compared</w:t>
      </w:r>
      <w:r w:rsidR="00A9454C" w:rsidRPr="00A7796E">
        <w:rPr>
          <w:rFonts w:ascii="Times New Roman" w:hAnsi="Times New Roman" w:cs="Times New Roman"/>
          <w:color w:val="000000" w:themeColor="text1"/>
        </w:rPr>
        <w:t xml:space="preserve"> with $</w:t>
      </w:r>
      <w:r w:rsidR="00595A5E">
        <w:rPr>
          <w:rFonts w:ascii="Times New Roman" w:hAnsi="Times New Roman" w:cs="Times New Roman"/>
          <w:color w:val="000000" w:themeColor="text1"/>
        </w:rPr>
        <w:t>3</w:t>
      </w:r>
      <w:r w:rsidR="30276286" w:rsidRPr="00A7796E">
        <w:rPr>
          <w:rFonts w:ascii="Times New Roman" w:hAnsi="Times New Roman" w:cs="Times New Roman"/>
          <w:color w:val="000000" w:themeColor="text1"/>
        </w:rPr>
        <w:t>.</w:t>
      </w:r>
      <w:r w:rsidR="00595A5E">
        <w:rPr>
          <w:rFonts w:ascii="Times New Roman" w:hAnsi="Times New Roman" w:cs="Times New Roman"/>
          <w:color w:val="000000" w:themeColor="text1"/>
        </w:rPr>
        <w:t>4</w:t>
      </w:r>
      <w:r w:rsidR="30276286" w:rsidRPr="00A7796E">
        <w:rPr>
          <w:rFonts w:ascii="Times New Roman" w:hAnsi="Times New Roman" w:cs="Times New Roman"/>
          <w:color w:val="000000" w:themeColor="text1"/>
        </w:rPr>
        <w:t xml:space="preserve"> </w:t>
      </w:r>
      <w:r w:rsidR="00A9454C" w:rsidRPr="00A7796E">
        <w:rPr>
          <w:rFonts w:ascii="Times New Roman" w:hAnsi="Times New Roman" w:cs="Times New Roman"/>
          <w:color w:val="000000" w:themeColor="text1"/>
        </w:rPr>
        <w:t xml:space="preserve">million </w:t>
      </w:r>
      <w:r w:rsidR="009556F4">
        <w:rPr>
          <w:rFonts w:ascii="Times New Roman" w:hAnsi="Times New Roman" w:cs="Times New Roman"/>
          <w:color w:val="000000" w:themeColor="text1"/>
        </w:rPr>
        <w:t>and $7.3 million</w:t>
      </w:r>
      <w:r w:rsidR="00A75616">
        <w:rPr>
          <w:rFonts w:ascii="Times New Roman" w:hAnsi="Times New Roman" w:cs="Times New Roman"/>
          <w:color w:val="000000" w:themeColor="text1"/>
        </w:rPr>
        <w:t>,</w:t>
      </w:r>
      <w:r w:rsidR="00A75616" w:rsidRPr="00A75616">
        <w:rPr>
          <w:rFonts w:ascii="Times New Roman" w:hAnsi="Times New Roman" w:cs="Times New Roman"/>
          <w:color w:val="000000" w:themeColor="text1"/>
        </w:rPr>
        <w:t xml:space="preserve"> </w:t>
      </w:r>
      <w:r w:rsidR="00A75616" w:rsidRPr="00A7796E">
        <w:rPr>
          <w:rFonts w:ascii="Times New Roman" w:hAnsi="Times New Roman" w:cs="Times New Roman"/>
          <w:color w:val="000000" w:themeColor="text1"/>
        </w:rPr>
        <w:t>respectively, from comparable fiscal 2022 periods</w:t>
      </w:r>
      <w:r w:rsidRPr="00A7796E">
        <w:rPr>
          <w:rFonts w:ascii="Times New Roman" w:hAnsi="Times New Roman" w:cs="Times New Roman"/>
          <w:color w:val="000000" w:themeColor="text1"/>
        </w:rPr>
        <w:t>.</w:t>
      </w:r>
      <w:r w:rsidR="002031EA" w:rsidRPr="00A7796E">
        <w:rPr>
          <w:rFonts w:ascii="Times New Roman" w:hAnsi="Times New Roman" w:cs="Times New Roman"/>
          <w:color w:val="000000" w:themeColor="text1"/>
        </w:rPr>
        <w:t xml:space="preserve"> </w:t>
      </w:r>
      <w:r w:rsidR="00103729" w:rsidRPr="00A7796E">
        <w:rPr>
          <w:rFonts w:ascii="Times New Roman" w:hAnsi="Times New Roman" w:cs="Times New Roman"/>
          <w:color w:val="000000" w:themeColor="text1"/>
        </w:rPr>
        <w:t xml:space="preserve"> A</w:t>
      </w:r>
      <w:r w:rsidR="004C527A" w:rsidRPr="00A7796E">
        <w:rPr>
          <w:rFonts w:ascii="Times New Roman" w:hAnsi="Times New Roman" w:cs="Times New Roman"/>
          <w:color w:val="000000" w:themeColor="text1"/>
        </w:rPr>
        <w:t xml:space="preserve">s discussed above, </w:t>
      </w:r>
      <w:r w:rsidR="00662F8A">
        <w:rPr>
          <w:rFonts w:ascii="Times New Roman" w:hAnsi="Times New Roman" w:cs="Times New Roman"/>
          <w:color w:val="000000" w:themeColor="text1"/>
        </w:rPr>
        <w:t>higher</w:t>
      </w:r>
      <w:r w:rsidR="00A556D5">
        <w:rPr>
          <w:rFonts w:ascii="Times New Roman" w:hAnsi="Times New Roman" w:cs="Times New Roman"/>
          <w:color w:val="000000" w:themeColor="text1"/>
        </w:rPr>
        <w:t xml:space="preserve"> direct hire revenues </w:t>
      </w:r>
      <w:r w:rsidR="00662F8A">
        <w:rPr>
          <w:rFonts w:ascii="Times New Roman" w:hAnsi="Times New Roman" w:cs="Times New Roman"/>
          <w:color w:val="000000" w:themeColor="text1"/>
        </w:rPr>
        <w:t>and</w:t>
      </w:r>
      <w:r w:rsidR="00A556D5">
        <w:rPr>
          <w:rFonts w:ascii="Times New Roman" w:hAnsi="Times New Roman" w:cs="Times New Roman"/>
          <w:color w:val="000000" w:themeColor="text1"/>
        </w:rPr>
        <w:t xml:space="preserve"> gross profit</w:t>
      </w:r>
      <w:r w:rsidR="00662F8A">
        <w:rPr>
          <w:rFonts w:ascii="Times New Roman" w:hAnsi="Times New Roman" w:cs="Times New Roman"/>
          <w:color w:val="000000" w:themeColor="text1"/>
        </w:rPr>
        <w:t xml:space="preserve"> in fiscal 2022,</w:t>
      </w:r>
      <w:r w:rsidR="00A556D5">
        <w:rPr>
          <w:rFonts w:ascii="Times New Roman" w:hAnsi="Times New Roman" w:cs="Times New Roman"/>
          <w:color w:val="000000" w:themeColor="text1"/>
        </w:rPr>
        <w:t xml:space="preserve"> and recent inflation in wages and other costs were the primary drivers of the decline in earnings during the three-month and six-month periods ended March 31, 2023, compared with comparable prior periods.  T</w:t>
      </w:r>
      <w:r w:rsidR="004C527A" w:rsidRPr="00A7796E">
        <w:rPr>
          <w:rFonts w:ascii="Times New Roman" w:hAnsi="Times New Roman" w:cs="Times New Roman"/>
          <w:color w:val="000000" w:themeColor="text1"/>
        </w:rPr>
        <w:t xml:space="preserve">he Company expects </w:t>
      </w:r>
      <w:r w:rsidR="219C7745" w:rsidRPr="00A7796E">
        <w:rPr>
          <w:rFonts w:ascii="Times New Roman" w:hAnsi="Times New Roman" w:cs="Times New Roman"/>
          <w:color w:val="000000" w:themeColor="text1"/>
        </w:rPr>
        <w:t xml:space="preserve">recent </w:t>
      </w:r>
      <w:r w:rsidR="004C527A" w:rsidRPr="00A7796E">
        <w:rPr>
          <w:rFonts w:ascii="Times New Roman" w:hAnsi="Times New Roman" w:cs="Times New Roman"/>
          <w:color w:val="000000" w:themeColor="text1"/>
        </w:rPr>
        <w:t xml:space="preserve">price increases and targeted cost reductions </w:t>
      </w:r>
      <w:r w:rsidR="00D93A25" w:rsidRPr="00A7796E">
        <w:rPr>
          <w:rFonts w:ascii="Times New Roman" w:hAnsi="Times New Roman" w:cs="Times New Roman"/>
          <w:color w:val="000000" w:themeColor="text1"/>
        </w:rPr>
        <w:t xml:space="preserve">to begin to have positive effects </w:t>
      </w:r>
      <w:r w:rsidR="00D93A25" w:rsidRPr="00A7796E">
        <w:rPr>
          <w:rFonts w:ascii="Times New Roman" w:hAnsi="Times New Roman" w:cs="Times New Roman"/>
          <w:color w:val="000000" w:themeColor="text1"/>
        </w:rPr>
        <w:lastRenderedPageBreak/>
        <w:t xml:space="preserve">on results </w:t>
      </w:r>
      <w:r w:rsidR="004C527A" w:rsidRPr="00A7796E">
        <w:rPr>
          <w:rFonts w:ascii="Times New Roman" w:hAnsi="Times New Roman" w:cs="Times New Roman"/>
          <w:color w:val="000000" w:themeColor="text1"/>
        </w:rPr>
        <w:t xml:space="preserve">during the remainder of fiscal 2023. </w:t>
      </w:r>
      <w:r w:rsidR="00652367" w:rsidRPr="00A7796E">
        <w:rPr>
          <w:rFonts w:ascii="Times New Roman" w:hAnsi="Times New Roman" w:cs="Times New Roman"/>
          <w:color w:val="000000" w:themeColor="text1"/>
        </w:rPr>
        <w:t xml:space="preserve">Reconciliations of </w:t>
      </w:r>
      <w:r w:rsidR="009B1AC3" w:rsidRPr="00A7796E">
        <w:rPr>
          <w:rFonts w:ascii="Times New Roman" w:hAnsi="Times New Roman" w:cs="Times New Roman"/>
          <w:color w:val="000000" w:themeColor="text1"/>
        </w:rPr>
        <w:t xml:space="preserve">net income to </w:t>
      </w:r>
      <w:r w:rsidR="00652367" w:rsidRPr="00A7796E">
        <w:rPr>
          <w:rFonts w:ascii="Times New Roman" w:hAnsi="Times New Roman" w:cs="Times New Roman"/>
          <w:color w:val="000000" w:themeColor="text1"/>
        </w:rPr>
        <w:t>non-GAAP Adju</w:t>
      </w:r>
      <w:r w:rsidR="009B1AC3" w:rsidRPr="00A7796E">
        <w:rPr>
          <w:rFonts w:ascii="Times New Roman" w:hAnsi="Times New Roman" w:cs="Times New Roman"/>
          <w:color w:val="000000" w:themeColor="text1"/>
        </w:rPr>
        <w:t xml:space="preserve">sted EBITDA </w:t>
      </w:r>
      <w:r w:rsidR="00652367" w:rsidRPr="00A7796E">
        <w:rPr>
          <w:rFonts w:ascii="Times New Roman" w:hAnsi="Times New Roman" w:cs="Times New Roman"/>
          <w:color w:val="000000" w:themeColor="text1"/>
        </w:rPr>
        <w:t>are attached hereto.</w:t>
      </w:r>
    </w:p>
    <w:p w14:paraId="73E4493C" w14:textId="77777777" w:rsidR="0086076E" w:rsidRPr="00A7796E" w:rsidRDefault="0086076E" w:rsidP="00C57419">
      <w:pPr>
        <w:pStyle w:val="ListParagraph"/>
        <w:shd w:val="clear" w:color="auto" w:fill="FFFFFF" w:themeFill="background1"/>
        <w:spacing w:before="120"/>
        <w:jc w:val="both"/>
        <w:outlineLvl w:val="0"/>
        <w:rPr>
          <w:rFonts w:ascii="Times New Roman" w:hAnsi="Times New Roman" w:cs="Times New Roman"/>
          <w:color w:val="000000" w:themeColor="text1"/>
        </w:rPr>
      </w:pPr>
    </w:p>
    <w:p w14:paraId="247B85A8" w14:textId="41AEFB53" w:rsidR="006D3CFF" w:rsidRPr="006349C5" w:rsidRDefault="003F350A" w:rsidP="784656E5">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6349C5">
        <w:rPr>
          <w:rFonts w:ascii="Times New Roman" w:hAnsi="Times New Roman" w:cs="Times New Roman"/>
          <w:color w:val="000000" w:themeColor="text1"/>
        </w:rPr>
        <w:t xml:space="preserve">Adjusted free </w:t>
      </w:r>
      <w:r w:rsidR="008D45DB" w:rsidRPr="006349C5">
        <w:rPr>
          <w:rFonts w:ascii="Times New Roman" w:hAnsi="Times New Roman" w:cs="Times New Roman"/>
          <w:color w:val="000000" w:themeColor="text1"/>
        </w:rPr>
        <w:t xml:space="preserve">cash flow </w:t>
      </w:r>
      <w:r w:rsidR="00EE7770" w:rsidRPr="006349C5">
        <w:rPr>
          <w:rFonts w:ascii="Times New Roman" w:hAnsi="Times New Roman" w:cs="Times New Roman"/>
          <w:color w:val="000000" w:themeColor="text1"/>
        </w:rPr>
        <w:t xml:space="preserve">(a non-GAAP financial measure) </w:t>
      </w:r>
      <w:r w:rsidR="006349C5">
        <w:rPr>
          <w:rFonts w:ascii="Times New Roman" w:hAnsi="Times New Roman" w:cs="Times New Roman"/>
          <w:color w:val="000000" w:themeColor="text1"/>
        </w:rPr>
        <w:t>YTD of fiscal year</w:t>
      </w:r>
      <w:r w:rsidR="1FED370D" w:rsidRPr="006349C5">
        <w:rPr>
          <w:rFonts w:ascii="Times New Roman" w:hAnsi="Times New Roman" w:cs="Times New Roman"/>
          <w:color w:val="000000" w:themeColor="text1"/>
        </w:rPr>
        <w:t xml:space="preserve"> </w:t>
      </w:r>
      <w:r w:rsidR="703BC37A" w:rsidRPr="006349C5">
        <w:rPr>
          <w:rFonts w:ascii="Times New Roman" w:hAnsi="Times New Roman" w:cs="Times New Roman"/>
          <w:color w:val="000000" w:themeColor="text1"/>
        </w:rPr>
        <w:t>2023</w:t>
      </w:r>
      <w:r w:rsidR="006349C5">
        <w:rPr>
          <w:rFonts w:ascii="Times New Roman" w:hAnsi="Times New Roman" w:cs="Times New Roman"/>
          <w:color w:val="000000" w:themeColor="text1"/>
        </w:rPr>
        <w:t xml:space="preserve"> </w:t>
      </w:r>
      <w:r w:rsidR="00031C8D">
        <w:rPr>
          <w:rFonts w:ascii="Times New Roman" w:hAnsi="Times New Roman" w:cs="Times New Roman"/>
          <w:color w:val="000000" w:themeColor="text1"/>
        </w:rPr>
        <w:t>was</w:t>
      </w:r>
      <w:r w:rsidR="006349C5">
        <w:rPr>
          <w:rFonts w:ascii="Times New Roman" w:hAnsi="Times New Roman" w:cs="Times New Roman"/>
          <w:color w:val="000000" w:themeColor="text1"/>
        </w:rPr>
        <w:t xml:space="preserve"> $</w:t>
      </w:r>
      <w:r w:rsidR="00BF2800">
        <w:rPr>
          <w:rFonts w:ascii="Times New Roman" w:hAnsi="Times New Roman" w:cs="Times New Roman"/>
          <w:color w:val="000000" w:themeColor="text1"/>
        </w:rPr>
        <w:t>3</w:t>
      </w:r>
      <w:r w:rsidR="006349C5">
        <w:rPr>
          <w:rFonts w:ascii="Times New Roman" w:hAnsi="Times New Roman" w:cs="Times New Roman"/>
          <w:color w:val="000000" w:themeColor="text1"/>
        </w:rPr>
        <w:t>.2 million</w:t>
      </w:r>
      <w:r w:rsidR="00662F8A">
        <w:rPr>
          <w:rFonts w:ascii="Times New Roman" w:hAnsi="Times New Roman" w:cs="Times New Roman"/>
          <w:color w:val="000000" w:themeColor="text1"/>
        </w:rPr>
        <w:t>, as compared with $</w:t>
      </w:r>
      <w:r w:rsidR="006A7066">
        <w:rPr>
          <w:rFonts w:ascii="Times New Roman" w:hAnsi="Times New Roman" w:cs="Times New Roman"/>
          <w:color w:val="000000" w:themeColor="text1"/>
        </w:rPr>
        <w:t>6.1</w:t>
      </w:r>
      <w:r w:rsidR="00662F8A">
        <w:rPr>
          <w:rFonts w:ascii="Times New Roman" w:hAnsi="Times New Roman" w:cs="Times New Roman"/>
          <w:color w:val="000000" w:themeColor="text1"/>
        </w:rPr>
        <w:t xml:space="preserve"> million for the first half of fiscal 2022</w:t>
      </w:r>
      <w:r w:rsidR="006349C5">
        <w:rPr>
          <w:rFonts w:ascii="Times New Roman" w:hAnsi="Times New Roman" w:cs="Times New Roman"/>
          <w:color w:val="000000" w:themeColor="text1"/>
        </w:rPr>
        <w:t xml:space="preserve">.  </w:t>
      </w:r>
      <w:r w:rsidRPr="006349C5">
        <w:rPr>
          <w:rFonts w:ascii="Times New Roman" w:hAnsi="Times New Roman" w:cs="Times New Roman"/>
          <w:color w:val="000000" w:themeColor="text1"/>
        </w:rPr>
        <w:t>Adjusted f</w:t>
      </w:r>
      <w:r w:rsidR="00382AB4" w:rsidRPr="006349C5">
        <w:rPr>
          <w:rFonts w:ascii="Times New Roman" w:hAnsi="Times New Roman" w:cs="Times New Roman"/>
          <w:color w:val="000000" w:themeColor="text1"/>
        </w:rPr>
        <w:t>ree cash flow</w:t>
      </w:r>
      <w:r w:rsidR="16FB1E53" w:rsidRPr="006349C5">
        <w:rPr>
          <w:rFonts w:ascii="Times New Roman" w:hAnsi="Times New Roman" w:cs="Times New Roman"/>
          <w:color w:val="000000" w:themeColor="text1"/>
        </w:rPr>
        <w:t xml:space="preserve"> </w:t>
      </w:r>
      <w:r w:rsidRPr="006349C5">
        <w:rPr>
          <w:rFonts w:ascii="Times New Roman" w:hAnsi="Times New Roman" w:cs="Times New Roman"/>
          <w:color w:val="000000" w:themeColor="text1"/>
        </w:rPr>
        <w:t>has been adjusted to exclude</w:t>
      </w:r>
      <w:r w:rsidR="006D3CFF" w:rsidRPr="006349C5">
        <w:rPr>
          <w:rFonts w:ascii="Times New Roman" w:hAnsi="Times New Roman" w:cs="Times New Roman"/>
          <w:color w:val="000000" w:themeColor="text1"/>
        </w:rPr>
        <w:t xml:space="preserve"> </w:t>
      </w:r>
      <w:r w:rsidRPr="006349C5">
        <w:rPr>
          <w:rFonts w:ascii="Times New Roman" w:hAnsi="Times New Roman" w:cs="Times New Roman"/>
          <w:color w:val="000000" w:themeColor="text1"/>
        </w:rPr>
        <w:t>payments of the two</w:t>
      </w:r>
      <w:r w:rsidR="006D3CFF" w:rsidRPr="006349C5">
        <w:rPr>
          <w:rFonts w:ascii="Times New Roman" w:hAnsi="Times New Roman" w:cs="Times New Roman"/>
          <w:color w:val="000000" w:themeColor="text1"/>
        </w:rPr>
        <w:t xml:space="preserve"> insta</w:t>
      </w:r>
      <w:r w:rsidR="00E220FE" w:rsidRPr="006349C5">
        <w:rPr>
          <w:rFonts w:ascii="Times New Roman" w:hAnsi="Times New Roman" w:cs="Times New Roman"/>
          <w:color w:val="000000" w:themeColor="text1"/>
        </w:rPr>
        <w:t>l</w:t>
      </w:r>
      <w:r w:rsidR="006D3CFF" w:rsidRPr="006349C5">
        <w:rPr>
          <w:rFonts w:ascii="Times New Roman" w:hAnsi="Times New Roman" w:cs="Times New Roman"/>
          <w:color w:val="000000" w:themeColor="text1"/>
        </w:rPr>
        <w:t>lment</w:t>
      </w:r>
      <w:r w:rsidRPr="006349C5">
        <w:rPr>
          <w:rFonts w:ascii="Times New Roman" w:hAnsi="Times New Roman" w:cs="Times New Roman"/>
          <w:color w:val="000000" w:themeColor="text1"/>
        </w:rPr>
        <w:t>s</w:t>
      </w:r>
      <w:r w:rsidR="006D3CFF" w:rsidRPr="006349C5">
        <w:rPr>
          <w:rFonts w:ascii="Times New Roman" w:hAnsi="Times New Roman" w:cs="Times New Roman"/>
          <w:color w:val="000000" w:themeColor="text1"/>
        </w:rPr>
        <w:t xml:space="preserve"> of </w:t>
      </w:r>
      <w:r w:rsidRPr="006349C5">
        <w:rPr>
          <w:rFonts w:ascii="Times New Roman" w:hAnsi="Times New Roman" w:cs="Times New Roman"/>
          <w:color w:val="000000" w:themeColor="text1"/>
        </w:rPr>
        <w:t xml:space="preserve">deferred </w:t>
      </w:r>
      <w:r w:rsidR="006D3CFF" w:rsidRPr="006349C5">
        <w:rPr>
          <w:rFonts w:ascii="Times New Roman" w:hAnsi="Times New Roman" w:cs="Times New Roman"/>
          <w:color w:val="000000" w:themeColor="text1"/>
        </w:rPr>
        <w:t xml:space="preserve">FICA </w:t>
      </w:r>
      <w:r w:rsidR="00382AB4" w:rsidRPr="006349C5">
        <w:rPr>
          <w:rFonts w:ascii="Times New Roman" w:hAnsi="Times New Roman" w:cs="Times New Roman"/>
          <w:color w:val="000000" w:themeColor="text1"/>
        </w:rPr>
        <w:t xml:space="preserve">taxes of $1.8 million </w:t>
      </w:r>
      <w:r w:rsidR="00662F8A">
        <w:rPr>
          <w:rFonts w:ascii="Times New Roman" w:hAnsi="Times New Roman" w:cs="Times New Roman"/>
          <w:color w:val="000000" w:themeColor="text1"/>
        </w:rPr>
        <w:t>during</w:t>
      </w:r>
      <w:r w:rsidRPr="006349C5">
        <w:rPr>
          <w:rFonts w:ascii="Times New Roman" w:hAnsi="Times New Roman" w:cs="Times New Roman"/>
          <w:color w:val="000000" w:themeColor="text1"/>
        </w:rPr>
        <w:t xml:space="preserve"> </w:t>
      </w:r>
      <w:r w:rsidR="00662F8A">
        <w:rPr>
          <w:rFonts w:ascii="Times New Roman" w:hAnsi="Times New Roman" w:cs="Times New Roman"/>
          <w:color w:val="000000" w:themeColor="text1"/>
        </w:rPr>
        <w:t xml:space="preserve">each period </w:t>
      </w:r>
      <w:r w:rsidR="00382AB4" w:rsidRPr="006349C5">
        <w:rPr>
          <w:rFonts w:ascii="Times New Roman" w:hAnsi="Times New Roman" w:cs="Times New Roman"/>
          <w:color w:val="000000" w:themeColor="text1"/>
        </w:rPr>
        <w:t>under the CARE</w:t>
      </w:r>
      <w:r w:rsidR="55E9D85F" w:rsidRPr="006349C5">
        <w:rPr>
          <w:rFonts w:ascii="Times New Roman" w:hAnsi="Times New Roman" w:cs="Times New Roman"/>
          <w:color w:val="000000" w:themeColor="text1"/>
        </w:rPr>
        <w:t>S</w:t>
      </w:r>
      <w:r w:rsidR="00382AB4" w:rsidRPr="006349C5">
        <w:rPr>
          <w:rFonts w:ascii="Times New Roman" w:hAnsi="Times New Roman" w:cs="Times New Roman"/>
          <w:color w:val="000000" w:themeColor="text1"/>
        </w:rPr>
        <w:t xml:space="preserve"> Act</w:t>
      </w:r>
      <w:r w:rsidR="00662F8A">
        <w:rPr>
          <w:rFonts w:ascii="Times New Roman" w:hAnsi="Times New Roman" w:cs="Times New Roman"/>
          <w:color w:val="000000" w:themeColor="text1"/>
        </w:rPr>
        <w:t xml:space="preserve">.  </w:t>
      </w:r>
      <w:r w:rsidR="006A7066">
        <w:rPr>
          <w:rFonts w:ascii="Times New Roman" w:hAnsi="Times New Roman" w:cs="Times New Roman"/>
          <w:color w:val="000000" w:themeColor="text1"/>
        </w:rPr>
        <w:t xml:space="preserve">Higher adjusted free cash flow during the first half of fiscal 2022, is largely the result of fiscal 2022’s extraordinary performance.  </w:t>
      </w:r>
      <w:r w:rsidR="00662F8A">
        <w:rPr>
          <w:rFonts w:ascii="Times New Roman" w:hAnsi="Times New Roman" w:cs="Times New Roman"/>
          <w:color w:val="000000" w:themeColor="text1"/>
        </w:rPr>
        <w:t>In addition, adjusted free cash flow for the first half of</w:t>
      </w:r>
      <w:r w:rsidR="00F10407">
        <w:rPr>
          <w:rFonts w:ascii="Times New Roman" w:hAnsi="Times New Roman" w:cs="Times New Roman"/>
          <w:color w:val="000000" w:themeColor="text1"/>
        </w:rPr>
        <w:t xml:space="preserve"> fiscal</w:t>
      </w:r>
      <w:r w:rsidR="00662F8A">
        <w:rPr>
          <w:rFonts w:ascii="Times New Roman" w:hAnsi="Times New Roman" w:cs="Times New Roman"/>
          <w:color w:val="000000" w:themeColor="text1"/>
        </w:rPr>
        <w:t xml:space="preserve"> 2023,</w:t>
      </w:r>
      <w:r w:rsidR="00434408">
        <w:rPr>
          <w:rFonts w:ascii="Times New Roman" w:hAnsi="Times New Roman" w:cs="Times New Roman"/>
          <w:color w:val="000000" w:themeColor="text1"/>
        </w:rPr>
        <w:t xml:space="preserve"> included </w:t>
      </w:r>
      <w:r w:rsidRPr="00F05739">
        <w:rPr>
          <w:rFonts w:ascii="Times New Roman" w:hAnsi="Times New Roman" w:cs="Times New Roman"/>
          <w:color w:val="000000" w:themeColor="text1"/>
        </w:rPr>
        <w:t>the effects of</w:t>
      </w:r>
      <w:r w:rsidR="71B7838B" w:rsidRPr="00F05739">
        <w:rPr>
          <w:rFonts w:ascii="Times New Roman" w:hAnsi="Times New Roman" w:cs="Times New Roman"/>
          <w:color w:val="000000" w:themeColor="text1"/>
        </w:rPr>
        <w:t xml:space="preserve"> annual cash bonus payments</w:t>
      </w:r>
      <w:r w:rsidR="7B11ED36" w:rsidRPr="00A12533">
        <w:rPr>
          <w:rFonts w:ascii="Times New Roman" w:hAnsi="Times New Roman" w:cs="Times New Roman"/>
          <w:color w:val="000000" w:themeColor="text1"/>
        </w:rPr>
        <w:t xml:space="preserve"> under the Company’s new performance-based</w:t>
      </w:r>
      <w:r w:rsidR="7B11ED36" w:rsidRPr="006349C5">
        <w:rPr>
          <w:rFonts w:ascii="Times New Roman" w:hAnsi="Times New Roman" w:cs="Times New Roman"/>
          <w:color w:val="000000" w:themeColor="text1"/>
        </w:rPr>
        <w:t xml:space="preserve"> incentive compensation program</w:t>
      </w:r>
      <w:r w:rsidR="00662F8A">
        <w:rPr>
          <w:rFonts w:ascii="Times New Roman" w:hAnsi="Times New Roman" w:cs="Times New Roman"/>
          <w:color w:val="000000" w:themeColor="text1"/>
        </w:rPr>
        <w:t xml:space="preserve"> following </w:t>
      </w:r>
      <w:r w:rsidR="006A7066">
        <w:rPr>
          <w:rFonts w:ascii="Times New Roman" w:hAnsi="Times New Roman" w:cs="Times New Roman"/>
          <w:color w:val="000000" w:themeColor="text1"/>
        </w:rPr>
        <w:t>fiscal 2022</w:t>
      </w:r>
      <w:r w:rsidR="00662F8A">
        <w:rPr>
          <w:rFonts w:ascii="Times New Roman" w:hAnsi="Times New Roman" w:cs="Times New Roman"/>
          <w:color w:val="000000" w:themeColor="text1"/>
        </w:rPr>
        <w:t>’s extraordinary performance</w:t>
      </w:r>
      <w:r w:rsidR="00382AB4" w:rsidRPr="006349C5">
        <w:rPr>
          <w:rFonts w:ascii="Times New Roman" w:hAnsi="Times New Roman" w:cs="Times New Roman"/>
          <w:color w:val="000000" w:themeColor="text1"/>
        </w:rPr>
        <w:t xml:space="preserve">. </w:t>
      </w:r>
      <w:r w:rsidR="46D24BFA" w:rsidRPr="006349C5">
        <w:rPr>
          <w:rFonts w:ascii="Times New Roman" w:hAnsi="Times New Roman" w:cs="Times New Roman"/>
          <w:color w:val="000000" w:themeColor="text1"/>
        </w:rPr>
        <w:t xml:space="preserve"> </w:t>
      </w:r>
      <w:r w:rsidR="009B1AC3" w:rsidRPr="006349C5">
        <w:rPr>
          <w:rFonts w:ascii="Times New Roman" w:hAnsi="Times New Roman" w:cs="Times New Roman"/>
          <w:color w:val="000000" w:themeColor="text1"/>
        </w:rPr>
        <w:t>Reconciliations of cash flow from operating activities to non-GAAP adjusted</w:t>
      </w:r>
      <w:r w:rsidR="00DC58B0" w:rsidRPr="006349C5">
        <w:rPr>
          <w:rFonts w:ascii="Times New Roman" w:hAnsi="Times New Roman" w:cs="Times New Roman"/>
          <w:color w:val="000000" w:themeColor="text1"/>
        </w:rPr>
        <w:t xml:space="preserve"> free</w:t>
      </w:r>
      <w:r w:rsidR="009B1AC3" w:rsidRPr="006349C5">
        <w:rPr>
          <w:rFonts w:ascii="Times New Roman" w:hAnsi="Times New Roman" w:cs="Times New Roman"/>
          <w:color w:val="000000" w:themeColor="text1"/>
        </w:rPr>
        <w:t xml:space="preserve"> cash flow are attached hereto.</w:t>
      </w:r>
    </w:p>
    <w:p w14:paraId="31C34FB4" w14:textId="77777777" w:rsidR="006D3CFF" w:rsidRPr="00710B12" w:rsidRDefault="006D3CFF" w:rsidP="00C57419">
      <w:pPr>
        <w:pStyle w:val="ListParagraph"/>
        <w:shd w:val="clear" w:color="auto" w:fill="FFFFFF" w:themeFill="background1"/>
        <w:spacing w:before="120"/>
        <w:jc w:val="both"/>
        <w:outlineLvl w:val="0"/>
        <w:rPr>
          <w:rFonts w:ascii="Times New Roman" w:hAnsi="Times New Roman" w:cs="Times New Roman"/>
          <w:color w:val="000000" w:themeColor="text1"/>
          <w:highlight w:val="yellow"/>
        </w:rPr>
      </w:pPr>
    </w:p>
    <w:p w14:paraId="18570390" w14:textId="2625B2A6" w:rsidR="0086076E" w:rsidRPr="006349C5" w:rsidRDefault="00332364" w:rsidP="784656E5">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6349C5">
        <w:rPr>
          <w:rFonts w:ascii="Times New Roman" w:hAnsi="Times New Roman" w:cs="Times New Roman"/>
          <w:color w:val="000000" w:themeColor="text1"/>
        </w:rPr>
        <w:t xml:space="preserve">As of </w:t>
      </w:r>
      <w:r w:rsidR="006349C5">
        <w:rPr>
          <w:rFonts w:ascii="Times New Roman" w:hAnsi="Times New Roman" w:cs="Times New Roman"/>
          <w:color w:val="000000" w:themeColor="text1"/>
        </w:rPr>
        <w:t>March</w:t>
      </w:r>
      <w:r w:rsidR="5D4A5299" w:rsidRPr="006349C5">
        <w:rPr>
          <w:rFonts w:ascii="Times New Roman" w:hAnsi="Times New Roman" w:cs="Times New Roman"/>
          <w:color w:val="000000" w:themeColor="text1"/>
        </w:rPr>
        <w:t xml:space="preserve"> 31</w:t>
      </w:r>
      <w:r w:rsidRPr="006349C5">
        <w:rPr>
          <w:rFonts w:ascii="Times New Roman" w:hAnsi="Times New Roman" w:cs="Times New Roman"/>
          <w:color w:val="000000" w:themeColor="text1"/>
        </w:rPr>
        <w:t>, 202</w:t>
      </w:r>
      <w:r w:rsidR="006349C5">
        <w:rPr>
          <w:rFonts w:ascii="Times New Roman" w:hAnsi="Times New Roman" w:cs="Times New Roman"/>
          <w:color w:val="000000" w:themeColor="text1"/>
        </w:rPr>
        <w:t>3</w:t>
      </w:r>
      <w:r w:rsidRPr="006349C5">
        <w:rPr>
          <w:rFonts w:ascii="Times New Roman" w:hAnsi="Times New Roman" w:cs="Times New Roman"/>
          <w:color w:val="000000" w:themeColor="text1"/>
        </w:rPr>
        <w:t>,</w:t>
      </w:r>
      <w:r w:rsidR="00750B36" w:rsidRPr="006349C5">
        <w:rPr>
          <w:rFonts w:ascii="Times New Roman" w:hAnsi="Times New Roman" w:cs="Times New Roman"/>
          <w:color w:val="000000" w:themeColor="text1"/>
        </w:rPr>
        <w:t xml:space="preserve"> </w:t>
      </w:r>
      <w:r w:rsidRPr="006349C5">
        <w:rPr>
          <w:rFonts w:ascii="Times New Roman" w:hAnsi="Times New Roman" w:cs="Times New Roman"/>
          <w:color w:val="000000" w:themeColor="text1"/>
        </w:rPr>
        <w:t>cash balance</w:t>
      </w:r>
      <w:r w:rsidR="00750B36" w:rsidRPr="006349C5">
        <w:rPr>
          <w:rFonts w:ascii="Times New Roman" w:hAnsi="Times New Roman" w:cs="Times New Roman"/>
          <w:color w:val="000000" w:themeColor="text1"/>
        </w:rPr>
        <w:t xml:space="preserve"> of </w:t>
      </w:r>
      <w:r w:rsidR="0035502E" w:rsidRPr="006349C5">
        <w:rPr>
          <w:rFonts w:ascii="Times New Roman" w:hAnsi="Times New Roman" w:cs="Times New Roman"/>
          <w:color w:val="000000" w:themeColor="text1"/>
        </w:rPr>
        <w:t>$</w:t>
      </w:r>
      <w:r w:rsidR="006349C5">
        <w:rPr>
          <w:rFonts w:ascii="Times New Roman" w:hAnsi="Times New Roman" w:cs="Times New Roman"/>
          <w:color w:val="000000" w:themeColor="text1"/>
        </w:rPr>
        <w:t>20</w:t>
      </w:r>
      <w:r w:rsidR="0035502E" w:rsidRPr="006349C5">
        <w:rPr>
          <w:rFonts w:ascii="Times New Roman" w:hAnsi="Times New Roman" w:cs="Times New Roman"/>
          <w:color w:val="000000" w:themeColor="text1"/>
        </w:rPr>
        <w:t>.</w:t>
      </w:r>
      <w:r w:rsidR="00EA030F">
        <w:rPr>
          <w:rFonts w:ascii="Times New Roman" w:hAnsi="Times New Roman" w:cs="Times New Roman"/>
          <w:color w:val="000000" w:themeColor="text1"/>
        </w:rPr>
        <w:t>1</w:t>
      </w:r>
      <w:r w:rsidR="0035502E" w:rsidRPr="006349C5">
        <w:rPr>
          <w:rFonts w:ascii="Times New Roman" w:hAnsi="Times New Roman" w:cs="Times New Roman"/>
          <w:color w:val="000000" w:themeColor="text1"/>
        </w:rPr>
        <w:t xml:space="preserve"> million</w:t>
      </w:r>
      <w:r w:rsidR="00750B36" w:rsidRPr="006349C5">
        <w:rPr>
          <w:rFonts w:ascii="Times New Roman" w:hAnsi="Times New Roman" w:cs="Times New Roman"/>
          <w:color w:val="000000" w:themeColor="text1"/>
        </w:rPr>
        <w:t xml:space="preserve"> </w:t>
      </w:r>
      <w:r w:rsidR="00A80A8D">
        <w:rPr>
          <w:rFonts w:ascii="Times New Roman" w:hAnsi="Times New Roman" w:cs="Times New Roman"/>
          <w:color w:val="000000" w:themeColor="text1"/>
        </w:rPr>
        <w:t>(up $</w:t>
      </w:r>
      <w:r w:rsidR="00A2043F">
        <w:rPr>
          <w:rFonts w:ascii="Times New Roman" w:hAnsi="Times New Roman" w:cs="Times New Roman"/>
          <w:color w:val="000000" w:themeColor="text1"/>
        </w:rPr>
        <w:t>1.3</w:t>
      </w:r>
      <w:r w:rsidR="00A80A8D">
        <w:rPr>
          <w:rFonts w:ascii="Times New Roman" w:hAnsi="Times New Roman" w:cs="Times New Roman"/>
          <w:color w:val="000000" w:themeColor="text1"/>
        </w:rPr>
        <w:t xml:space="preserve"> million since September 30, 2022), b</w:t>
      </w:r>
      <w:r w:rsidR="009D6B74" w:rsidRPr="006349C5">
        <w:rPr>
          <w:rFonts w:ascii="Times New Roman" w:hAnsi="Times New Roman" w:cs="Times New Roman"/>
          <w:color w:val="000000" w:themeColor="text1"/>
        </w:rPr>
        <w:t xml:space="preserve">orrowing availability </w:t>
      </w:r>
      <w:r w:rsidR="081B0C26" w:rsidRPr="006349C5">
        <w:rPr>
          <w:rFonts w:ascii="Times New Roman" w:hAnsi="Times New Roman" w:cs="Times New Roman"/>
          <w:color w:val="000000" w:themeColor="text1"/>
        </w:rPr>
        <w:t>under</w:t>
      </w:r>
      <w:r w:rsidR="00750B36" w:rsidRPr="006349C5">
        <w:rPr>
          <w:rFonts w:ascii="Times New Roman" w:hAnsi="Times New Roman" w:cs="Times New Roman"/>
          <w:color w:val="000000" w:themeColor="text1"/>
        </w:rPr>
        <w:t xml:space="preserve"> GEE</w:t>
      </w:r>
      <w:r w:rsidR="00503D47" w:rsidRPr="006349C5">
        <w:rPr>
          <w:rFonts w:ascii="Times New Roman" w:hAnsi="Times New Roman" w:cs="Times New Roman"/>
          <w:color w:val="000000" w:themeColor="text1"/>
        </w:rPr>
        <w:t xml:space="preserve"> Group</w:t>
      </w:r>
      <w:r w:rsidR="00750B36" w:rsidRPr="006349C5">
        <w:rPr>
          <w:rFonts w:ascii="Times New Roman" w:hAnsi="Times New Roman" w:cs="Times New Roman"/>
          <w:color w:val="000000" w:themeColor="text1"/>
        </w:rPr>
        <w:t xml:space="preserve">’s </w:t>
      </w:r>
      <w:r w:rsidR="009D6B74" w:rsidRPr="006349C5">
        <w:rPr>
          <w:rFonts w:ascii="Times New Roman" w:hAnsi="Times New Roman" w:cs="Times New Roman"/>
          <w:color w:val="000000" w:themeColor="text1"/>
        </w:rPr>
        <w:t>bank ABL</w:t>
      </w:r>
      <w:r w:rsidR="00750B36" w:rsidRPr="006349C5">
        <w:rPr>
          <w:rFonts w:ascii="Times New Roman" w:hAnsi="Times New Roman" w:cs="Times New Roman"/>
          <w:color w:val="000000" w:themeColor="text1"/>
        </w:rPr>
        <w:t xml:space="preserve"> credit facility</w:t>
      </w:r>
      <w:r w:rsidR="009D6B74" w:rsidRPr="006349C5">
        <w:rPr>
          <w:rFonts w:ascii="Times New Roman" w:hAnsi="Times New Roman" w:cs="Times New Roman"/>
          <w:color w:val="000000" w:themeColor="text1"/>
        </w:rPr>
        <w:t xml:space="preserve"> </w:t>
      </w:r>
      <w:r w:rsidR="382F36D9" w:rsidRPr="006349C5">
        <w:rPr>
          <w:rFonts w:ascii="Times New Roman" w:hAnsi="Times New Roman" w:cs="Times New Roman"/>
          <w:color w:val="000000" w:themeColor="text1"/>
        </w:rPr>
        <w:t>was</w:t>
      </w:r>
      <w:r w:rsidR="009D6B74" w:rsidRPr="006349C5">
        <w:rPr>
          <w:rFonts w:ascii="Times New Roman" w:hAnsi="Times New Roman" w:cs="Times New Roman"/>
          <w:color w:val="000000" w:themeColor="text1"/>
        </w:rPr>
        <w:t xml:space="preserve"> </w:t>
      </w:r>
      <w:r w:rsidR="000E6908" w:rsidRPr="006349C5">
        <w:rPr>
          <w:rFonts w:ascii="Times New Roman" w:hAnsi="Times New Roman" w:cs="Times New Roman"/>
          <w:color w:val="000000" w:themeColor="text1"/>
        </w:rPr>
        <w:t>$1</w:t>
      </w:r>
      <w:r w:rsidR="4731D945" w:rsidRPr="006349C5">
        <w:rPr>
          <w:rFonts w:ascii="Times New Roman" w:hAnsi="Times New Roman" w:cs="Times New Roman"/>
          <w:color w:val="000000" w:themeColor="text1"/>
        </w:rPr>
        <w:t>3.</w:t>
      </w:r>
      <w:r w:rsidR="00915AD4">
        <w:rPr>
          <w:rFonts w:ascii="Times New Roman" w:hAnsi="Times New Roman" w:cs="Times New Roman"/>
          <w:color w:val="000000" w:themeColor="text1"/>
        </w:rPr>
        <w:t>3</w:t>
      </w:r>
      <w:r w:rsidR="000E6908" w:rsidRPr="006349C5">
        <w:rPr>
          <w:rFonts w:ascii="Times New Roman" w:hAnsi="Times New Roman" w:cs="Times New Roman"/>
          <w:color w:val="000000" w:themeColor="text1"/>
        </w:rPr>
        <w:t xml:space="preserve"> million and</w:t>
      </w:r>
      <w:r w:rsidR="498518E0" w:rsidRPr="006349C5">
        <w:rPr>
          <w:rFonts w:ascii="Times New Roman" w:hAnsi="Times New Roman" w:cs="Times New Roman"/>
          <w:color w:val="000000" w:themeColor="text1"/>
        </w:rPr>
        <w:t xml:space="preserve"> </w:t>
      </w:r>
      <w:r w:rsidR="00061BE6" w:rsidRPr="006349C5">
        <w:rPr>
          <w:rFonts w:ascii="Times New Roman" w:hAnsi="Times New Roman" w:cs="Times New Roman"/>
          <w:color w:val="000000" w:themeColor="text1"/>
        </w:rPr>
        <w:t xml:space="preserve">net </w:t>
      </w:r>
      <w:r w:rsidR="0035502E" w:rsidRPr="006349C5">
        <w:rPr>
          <w:rFonts w:ascii="Times New Roman" w:hAnsi="Times New Roman" w:cs="Times New Roman"/>
          <w:color w:val="000000" w:themeColor="text1"/>
        </w:rPr>
        <w:t xml:space="preserve">working capital of </w:t>
      </w:r>
      <w:r w:rsidR="0086076E" w:rsidRPr="006349C5">
        <w:rPr>
          <w:rFonts w:ascii="Times New Roman" w:hAnsi="Times New Roman" w:cs="Times New Roman"/>
          <w:color w:val="000000" w:themeColor="text1"/>
        </w:rPr>
        <w:t>$</w:t>
      </w:r>
      <w:r w:rsidR="00047195">
        <w:rPr>
          <w:rFonts w:ascii="Times New Roman" w:hAnsi="Times New Roman" w:cs="Times New Roman"/>
          <w:color w:val="000000" w:themeColor="text1"/>
        </w:rPr>
        <w:t>29.9</w:t>
      </w:r>
      <w:r w:rsidR="0086076E" w:rsidRPr="006349C5">
        <w:rPr>
          <w:rFonts w:ascii="Times New Roman" w:hAnsi="Times New Roman" w:cs="Times New Roman"/>
          <w:color w:val="000000" w:themeColor="text1"/>
        </w:rPr>
        <w:t xml:space="preserve"> million</w:t>
      </w:r>
      <w:r w:rsidR="71459065" w:rsidRPr="006349C5">
        <w:rPr>
          <w:rFonts w:ascii="Times New Roman" w:hAnsi="Times New Roman" w:cs="Times New Roman"/>
          <w:color w:val="000000" w:themeColor="text1"/>
        </w:rPr>
        <w:t>.</w:t>
      </w:r>
      <w:r w:rsidR="00750B36" w:rsidRPr="006349C5">
        <w:rPr>
          <w:rFonts w:ascii="Times New Roman" w:hAnsi="Times New Roman" w:cs="Times New Roman"/>
          <w:color w:val="000000" w:themeColor="text1"/>
        </w:rPr>
        <w:t xml:space="preserve"> </w:t>
      </w:r>
      <w:r w:rsidR="0EF41A66" w:rsidRPr="006349C5">
        <w:rPr>
          <w:rFonts w:ascii="Times New Roman" w:hAnsi="Times New Roman" w:cs="Times New Roman"/>
          <w:color w:val="000000" w:themeColor="text1"/>
        </w:rPr>
        <w:t xml:space="preserve">As of </w:t>
      </w:r>
      <w:r w:rsidR="00915AD4">
        <w:rPr>
          <w:rFonts w:ascii="Times New Roman" w:hAnsi="Times New Roman" w:cs="Times New Roman"/>
          <w:color w:val="000000" w:themeColor="text1"/>
        </w:rPr>
        <w:t>March</w:t>
      </w:r>
      <w:r w:rsidR="0EF41A66" w:rsidRPr="006349C5">
        <w:rPr>
          <w:rFonts w:ascii="Times New Roman" w:hAnsi="Times New Roman" w:cs="Times New Roman"/>
          <w:color w:val="000000" w:themeColor="text1"/>
        </w:rPr>
        <w:t xml:space="preserve"> 31, 202</w:t>
      </w:r>
      <w:r w:rsidR="00915AD4">
        <w:rPr>
          <w:rFonts w:ascii="Times New Roman" w:hAnsi="Times New Roman" w:cs="Times New Roman"/>
          <w:color w:val="000000" w:themeColor="text1"/>
        </w:rPr>
        <w:t>3</w:t>
      </w:r>
      <w:r w:rsidR="0EF41A66" w:rsidRPr="006349C5">
        <w:rPr>
          <w:rFonts w:ascii="Times New Roman" w:hAnsi="Times New Roman" w:cs="Times New Roman"/>
          <w:color w:val="000000" w:themeColor="text1"/>
        </w:rPr>
        <w:t>,</w:t>
      </w:r>
      <w:r w:rsidR="00750B36" w:rsidRPr="006349C5">
        <w:rPr>
          <w:rFonts w:ascii="Times New Roman" w:hAnsi="Times New Roman" w:cs="Times New Roman"/>
          <w:color w:val="000000" w:themeColor="text1"/>
        </w:rPr>
        <w:t xml:space="preserve"> </w:t>
      </w:r>
      <w:r w:rsidR="00D5240E" w:rsidRPr="006349C5">
        <w:rPr>
          <w:rFonts w:ascii="Times New Roman" w:hAnsi="Times New Roman" w:cs="Times New Roman"/>
          <w:color w:val="000000" w:themeColor="text1"/>
        </w:rPr>
        <w:t>current ratio</w:t>
      </w:r>
      <w:r w:rsidR="00750B36" w:rsidRPr="006349C5">
        <w:rPr>
          <w:rFonts w:ascii="Times New Roman" w:hAnsi="Times New Roman" w:cs="Times New Roman"/>
          <w:color w:val="000000" w:themeColor="text1"/>
        </w:rPr>
        <w:t xml:space="preserve"> of </w:t>
      </w:r>
      <w:r w:rsidR="6E79805C" w:rsidRPr="006349C5">
        <w:rPr>
          <w:rFonts w:ascii="Times New Roman" w:hAnsi="Times New Roman" w:cs="Times New Roman"/>
          <w:color w:val="000000" w:themeColor="text1"/>
        </w:rPr>
        <w:t>3.6</w:t>
      </w:r>
      <w:r w:rsidR="00D5240E" w:rsidRPr="006349C5">
        <w:rPr>
          <w:rFonts w:ascii="Times New Roman" w:hAnsi="Times New Roman" w:cs="Times New Roman"/>
          <w:color w:val="000000" w:themeColor="text1"/>
        </w:rPr>
        <w:t>,</w:t>
      </w:r>
      <w:r w:rsidR="056701D9" w:rsidRPr="006349C5">
        <w:rPr>
          <w:rFonts w:ascii="Times New Roman" w:hAnsi="Times New Roman" w:cs="Times New Roman"/>
          <w:color w:val="000000" w:themeColor="text1"/>
        </w:rPr>
        <w:t xml:space="preserve"> </w:t>
      </w:r>
      <w:r w:rsidR="00D5240E" w:rsidRPr="006349C5">
        <w:rPr>
          <w:rFonts w:ascii="Times New Roman" w:hAnsi="Times New Roman" w:cs="Times New Roman"/>
          <w:color w:val="000000" w:themeColor="text1"/>
        </w:rPr>
        <w:t>shareholders</w:t>
      </w:r>
      <w:r w:rsidR="00E749F8" w:rsidRPr="006349C5">
        <w:rPr>
          <w:rFonts w:ascii="Times New Roman" w:hAnsi="Times New Roman" w:cs="Times New Roman"/>
          <w:color w:val="000000" w:themeColor="text1"/>
        </w:rPr>
        <w:t>’</w:t>
      </w:r>
      <w:r w:rsidR="00D5240E" w:rsidRPr="006349C5">
        <w:rPr>
          <w:rFonts w:ascii="Times New Roman" w:hAnsi="Times New Roman" w:cs="Times New Roman"/>
          <w:color w:val="000000" w:themeColor="text1"/>
        </w:rPr>
        <w:t xml:space="preserve"> equity</w:t>
      </w:r>
      <w:r w:rsidR="00750B36" w:rsidRPr="006349C5">
        <w:rPr>
          <w:rFonts w:ascii="Times New Roman" w:hAnsi="Times New Roman" w:cs="Times New Roman"/>
          <w:color w:val="000000" w:themeColor="text1"/>
        </w:rPr>
        <w:t xml:space="preserve"> of </w:t>
      </w:r>
      <w:r w:rsidR="00D5240E" w:rsidRPr="006349C5">
        <w:rPr>
          <w:rFonts w:ascii="Times New Roman" w:hAnsi="Times New Roman" w:cs="Times New Roman"/>
          <w:color w:val="000000" w:themeColor="text1"/>
        </w:rPr>
        <w:t>$10</w:t>
      </w:r>
      <w:r w:rsidR="24E2C0C9" w:rsidRPr="006349C5">
        <w:rPr>
          <w:rFonts w:ascii="Times New Roman" w:hAnsi="Times New Roman" w:cs="Times New Roman"/>
          <w:color w:val="000000" w:themeColor="text1"/>
        </w:rPr>
        <w:t>2</w:t>
      </w:r>
      <w:r w:rsidR="00D5240E" w:rsidRPr="006349C5">
        <w:rPr>
          <w:rFonts w:ascii="Times New Roman" w:hAnsi="Times New Roman" w:cs="Times New Roman"/>
          <w:color w:val="000000" w:themeColor="text1"/>
        </w:rPr>
        <w:t>.</w:t>
      </w:r>
      <w:r w:rsidR="006A1912">
        <w:rPr>
          <w:rFonts w:ascii="Times New Roman" w:hAnsi="Times New Roman" w:cs="Times New Roman"/>
          <w:color w:val="000000" w:themeColor="text1"/>
        </w:rPr>
        <w:t>8</w:t>
      </w:r>
      <w:r w:rsidR="00D5240E" w:rsidRPr="006349C5">
        <w:rPr>
          <w:rFonts w:ascii="Times New Roman" w:hAnsi="Times New Roman" w:cs="Times New Roman"/>
          <w:color w:val="000000" w:themeColor="text1"/>
        </w:rPr>
        <w:t xml:space="preserve"> million</w:t>
      </w:r>
      <w:r w:rsidR="00A9454C" w:rsidRPr="006349C5">
        <w:rPr>
          <w:rFonts w:ascii="Times New Roman" w:hAnsi="Times New Roman" w:cs="Times New Roman"/>
          <w:color w:val="000000" w:themeColor="text1"/>
        </w:rPr>
        <w:t>,</w:t>
      </w:r>
      <w:r w:rsidR="006A45D4" w:rsidRPr="006349C5">
        <w:rPr>
          <w:rFonts w:ascii="Times New Roman" w:hAnsi="Times New Roman" w:cs="Times New Roman"/>
          <w:color w:val="000000" w:themeColor="text1"/>
        </w:rPr>
        <w:t xml:space="preserve"> and zero long term debt.</w:t>
      </w:r>
    </w:p>
    <w:p w14:paraId="54500641" w14:textId="53805033" w:rsidR="002E15A0" w:rsidRPr="006349C5" w:rsidRDefault="00BB5F4B" w:rsidP="00C57419">
      <w:pPr>
        <w:pStyle w:val="ListParagraph"/>
        <w:shd w:val="clear" w:color="auto" w:fill="FFFFFF" w:themeFill="background1"/>
        <w:spacing w:before="120"/>
        <w:jc w:val="both"/>
        <w:outlineLvl w:val="0"/>
        <w:rPr>
          <w:rFonts w:ascii="Times New Roman" w:hAnsi="Times New Roman" w:cs="Times New Roman"/>
          <w:color w:val="000000" w:themeColor="text1"/>
        </w:rPr>
      </w:pPr>
      <w:r w:rsidRPr="006349C5">
        <w:rPr>
          <w:rFonts w:ascii="Times New Roman" w:hAnsi="Times New Roman" w:cs="Times New Roman"/>
          <w:color w:val="000000" w:themeColor="text1"/>
        </w:rPr>
        <w:t xml:space="preserve">  </w:t>
      </w:r>
    </w:p>
    <w:p w14:paraId="279593F4" w14:textId="0129CCAD" w:rsidR="55C4ABAD" w:rsidRPr="006349C5" w:rsidRDefault="00E749F8" w:rsidP="00E040A0">
      <w:pPr>
        <w:pStyle w:val="ListParagraph"/>
        <w:numPr>
          <w:ilvl w:val="0"/>
          <w:numId w:val="6"/>
        </w:numPr>
        <w:shd w:val="clear" w:color="auto" w:fill="FFFFFF" w:themeFill="background1"/>
        <w:spacing w:before="120"/>
        <w:jc w:val="both"/>
        <w:outlineLvl w:val="0"/>
        <w:rPr>
          <w:rFonts w:ascii="Times New Roman" w:hAnsi="Times New Roman" w:cs="Times New Roman"/>
          <w:color w:val="000000" w:themeColor="text1"/>
        </w:rPr>
      </w:pPr>
      <w:r w:rsidRPr="006349C5">
        <w:rPr>
          <w:rFonts w:ascii="Times New Roman" w:hAnsi="Times New Roman" w:cs="Times New Roman"/>
          <w:color w:val="000000" w:themeColor="text1"/>
        </w:rPr>
        <w:t>N</w:t>
      </w:r>
      <w:r w:rsidR="000E6908" w:rsidRPr="006349C5">
        <w:rPr>
          <w:rFonts w:ascii="Times New Roman" w:hAnsi="Times New Roman" w:cs="Times New Roman"/>
          <w:color w:val="000000" w:themeColor="text1"/>
        </w:rPr>
        <w:t>et book value per share and net tangible book value per share</w:t>
      </w:r>
      <w:r w:rsidR="00CB4AEA" w:rsidRPr="006349C5">
        <w:rPr>
          <w:rFonts w:ascii="Times New Roman" w:hAnsi="Times New Roman" w:cs="Times New Roman"/>
          <w:color w:val="000000" w:themeColor="text1"/>
        </w:rPr>
        <w:t xml:space="preserve"> </w:t>
      </w:r>
      <w:r w:rsidR="38B368FB" w:rsidRPr="006349C5">
        <w:rPr>
          <w:rFonts w:ascii="Times New Roman" w:hAnsi="Times New Roman" w:cs="Times New Roman"/>
          <w:color w:val="000000" w:themeColor="text1"/>
        </w:rPr>
        <w:t>were</w:t>
      </w:r>
      <w:r w:rsidR="009237BF" w:rsidRPr="006349C5">
        <w:rPr>
          <w:rFonts w:ascii="Times New Roman" w:hAnsi="Times New Roman" w:cs="Times New Roman"/>
          <w:color w:val="000000" w:themeColor="text1"/>
        </w:rPr>
        <w:t xml:space="preserve"> $0.</w:t>
      </w:r>
      <w:r w:rsidR="13F0453D" w:rsidRPr="006349C5">
        <w:rPr>
          <w:rFonts w:ascii="Times New Roman" w:hAnsi="Times New Roman" w:cs="Times New Roman"/>
          <w:color w:val="000000" w:themeColor="text1"/>
        </w:rPr>
        <w:t>9</w:t>
      </w:r>
      <w:r w:rsidR="004D3121">
        <w:rPr>
          <w:rFonts w:ascii="Times New Roman" w:hAnsi="Times New Roman" w:cs="Times New Roman"/>
          <w:color w:val="000000" w:themeColor="text1"/>
        </w:rPr>
        <w:t>0</w:t>
      </w:r>
      <w:r w:rsidR="009237BF" w:rsidRPr="006349C5">
        <w:rPr>
          <w:rFonts w:ascii="Times New Roman" w:hAnsi="Times New Roman" w:cs="Times New Roman"/>
          <w:color w:val="000000" w:themeColor="text1"/>
        </w:rPr>
        <w:t xml:space="preserve"> and </w:t>
      </w:r>
      <w:r w:rsidR="000E6908" w:rsidRPr="006349C5">
        <w:rPr>
          <w:rFonts w:ascii="Times New Roman" w:hAnsi="Times New Roman" w:cs="Times New Roman"/>
          <w:color w:val="000000" w:themeColor="text1"/>
        </w:rPr>
        <w:t>$</w:t>
      </w:r>
      <w:r w:rsidR="00C2093E" w:rsidRPr="006349C5">
        <w:rPr>
          <w:rFonts w:ascii="Times New Roman" w:hAnsi="Times New Roman" w:cs="Times New Roman"/>
          <w:color w:val="000000" w:themeColor="text1"/>
        </w:rPr>
        <w:t>0.</w:t>
      </w:r>
      <w:r w:rsidR="00942BB7" w:rsidRPr="006349C5">
        <w:rPr>
          <w:rFonts w:ascii="Times New Roman" w:hAnsi="Times New Roman" w:cs="Times New Roman"/>
          <w:color w:val="000000" w:themeColor="text1"/>
        </w:rPr>
        <w:t>2</w:t>
      </w:r>
      <w:r w:rsidR="004D3121">
        <w:rPr>
          <w:rFonts w:ascii="Times New Roman" w:hAnsi="Times New Roman" w:cs="Times New Roman"/>
          <w:color w:val="000000" w:themeColor="text1"/>
        </w:rPr>
        <w:t>8</w:t>
      </w:r>
      <w:r w:rsidR="009237BF" w:rsidRPr="006349C5">
        <w:rPr>
          <w:rFonts w:ascii="Times New Roman" w:hAnsi="Times New Roman" w:cs="Times New Roman"/>
          <w:color w:val="000000" w:themeColor="text1"/>
        </w:rPr>
        <w:t xml:space="preserve">, respectively, </w:t>
      </w:r>
      <w:r w:rsidR="00383D3B" w:rsidRPr="006349C5">
        <w:rPr>
          <w:rFonts w:ascii="Times New Roman" w:hAnsi="Times New Roman" w:cs="Times New Roman"/>
          <w:color w:val="000000" w:themeColor="text1"/>
        </w:rPr>
        <w:t>a</w:t>
      </w:r>
      <w:r w:rsidR="00803665" w:rsidRPr="006349C5">
        <w:rPr>
          <w:rFonts w:ascii="Times New Roman" w:hAnsi="Times New Roman" w:cs="Times New Roman"/>
          <w:color w:val="000000" w:themeColor="text1"/>
        </w:rPr>
        <w:t xml:space="preserve">s of </w:t>
      </w:r>
      <w:r w:rsidR="004D3121">
        <w:rPr>
          <w:rFonts w:ascii="Times New Roman" w:hAnsi="Times New Roman" w:cs="Times New Roman"/>
          <w:color w:val="000000" w:themeColor="text1"/>
        </w:rPr>
        <w:t>March</w:t>
      </w:r>
      <w:r w:rsidR="55D2CA01" w:rsidRPr="006349C5">
        <w:rPr>
          <w:rFonts w:ascii="Times New Roman" w:hAnsi="Times New Roman" w:cs="Times New Roman"/>
          <w:color w:val="000000" w:themeColor="text1"/>
        </w:rPr>
        <w:t xml:space="preserve"> 31</w:t>
      </w:r>
      <w:r w:rsidR="00803665" w:rsidRPr="006349C5">
        <w:rPr>
          <w:rFonts w:ascii="Times New Roman" w:hAnsi="Times New Roman" w:cs="Times New Roman"/>
          <w:color w:val="000000" w:themeColor="text1"/>
        </w:rPr>
        <w:t>, 202</w:t>
      </w:r>
      <w:r w:rsidR="004D3121">
        <w:rPr>
          <w:rFonts w:ascii="Times New Roman" w:hAnsi="Times New Roman" w:cs="Times New Roman"/>
          <w:color w:val="000000" w:themeColor="text1"/>
        </w:rPr>
        <w:t>3</w:t>
      </w:r>
      <w:r w:rsidR="00231DDB">
        <w:rPr>
          <w:rFonts w:ascii="Times New Roman" w:hAnsi="Times New Roman" w:cs="Times New Roman"/>
          <w:color w:val="000000" w:themeColor="text1"/>
        </w:rPr>
        <w:t>, both up in comparison to those as of September 30, 2022</w:t>
      </w:r>
      <w:r w:rsidR="00FC328D" w:rsidRPr="006349C5">
        <w:rPr>
          <w:rFonts w:ascii="Times New Roman" w:hAnsi="Times New Roman" w:cs="Times New Roman"/>
          <w:color w:val="000000" w:themeColor="text1"/>
        </w:rPr>
        <w:t xml:space="preserve">. </w:t>
      </w:r>
    </w:p>
    <w:p w14:paraId="240300BF" w14:textId="77777777" w:rsidR="00503D47" w:rsidRDefault="00503D47">
      <w:pPr>
        <w:rPr>
          <w:b/>
          <w:bCs/>
        </w:rPr>
      </w:pPr>
      <w:r>
        <w:rPr>
          <w:b/>
          <w:bCs/>
        </w:rPr>
        <w:br w:type="page"/>
      </w:r>
    </w:p>
    <w:p w14:paraId="11D445CA" w14:textId="63F0B2AA" w:rsidR="00D27F29" w:rsidRPr="00C57419" w:rsidRDefault="004B0345" w:rsidP="00386A0A">
      <w:pPr>
        <w:shd w:val="clear" w:color="auto" w:fill="FFFFFF" w:themeFill="background1"/>
        <w:spacing w:before="120"/>
        <w:jc w:val="both"/>
        <w:outlineLvl w:val="0"/>
        <w:rPr>
          <w:b/>
          <w:bCs/>
          <w:color w:val="7F7F7F" w:themeColor="text1" w:themeTint="80"/>
        </w:rPr>
      </w:pPr>
      <w:r w:rsidRPr="784656E5">
        <w:rPr>
          <w:b/>
          <w:bCs/>
        </w:rPr>
        <w:lastRenderedPageBreak/>
        <w:t>Management Comments</w:t>
      </w:r>
    </w:p>
    <w:p w14:paraId="12ABD6C8" w14:textId="77777777" w:rsidR="00386A0A" w:rsidRDefault="00386A0A" w:rsidP="00386A0A">
      <w:pPr>
        <w:pStyle w:val="NormalWeb"/>
        <w:shd w:val="clear" w:color="auto" w:fill="FFFFFF" w:themeFill="background1"/>
        <w:spacing w:before="120" w:beforeAutospacing="0" w:after="0" w:afterAutospacing="0"/>
        <w:jc w:val="both"/>
        <w:rPr>
          <w:rFonts w:ascii="Times New Roman" w:eastAsia="Times New Roman" w:hAnsi="Times New Roman"/>
          <w:sz w:val="24"/>
          <w:szCs w:val="24"/>
        </w:rPr>
      </w:pPr>
    </w:p>
    <w:p w14:paraId="0C1DB295" w14:textId="73F2B53F" w:rsidR="006804D2" w:rsidRDefault="000F12DF" w:rsidP="00386A0A">
      <w:pPr>
        <w:pStyle w:val="NormalWeb"/>
        <w:shd w:val="clear" w:color="auto" w:fill="FFFFFF" w:themeFill="background1"/>
        <w:spacing w:before="120" w:beforeAutospacing="0" w:after="0" w:afterAutospacing="0"/>
        <w:jc w:val="both"/>
        <w:rPr>
          <w:rFonts w:ascii="Times New Roman" w:eastAsia="Times New Roman" w:hAnsi="Times New Roman"/>
          <w:sz w:val="24"/>
          <w:szCs w:val="24"/>
        </w:rPr>
      </w:pPr>
      <w:r w:rsidRPr="784656E5">
        <w:rPr>
          <w:rFonts w:ascii="Times New Roman" w:eastAsia="Times New Roman" w:hAnsi="Times New Roman"/>
          <w:sz w:val="24"/>
          <w:szCs w:val="24"/>
        </w:rPr>
        <w:t>Derek E. Dewan</w:t>
      </w:r>
      <w:r w:rsidR="00D319FA" w:rsidRPr="784656E5">
        <w:rPr>
          <w:rFonts w:ascii="Times New Roman" w:eastAsia="Times New Roman" w:hAnsi="Times New Roman"/>
          <w:sz w:val="24"/>
          <w:szCs w:val="24"/>
        </w:rPr>
        <w:t>,</w:t>
      </w:r>
      <w:r w:rsidRPr="784656E5">
        <w:rPr>
          <w:rFonts w:ascii="Times New Roman" w:eastAsia="Times New Roman" w:hAnsi="Times New Roman"/>
          <w:sz w:val="24"/>
          <w:szCs w:val="24"/>
        </w:rPr>
        <w:t xml:space="preserve"> Chairman and</w:t>
      </w:r>
      <w:r w:rsidR="00D319FA" w:rsidRPr="784656E5">
        <w:rPr>
          <w:rFonts w:ascii="Times New Roman" w:eastAsia="Times New Roman" w:hAnsi="Times New Roman"/>
          <w:sz w:val="24"/>
          <w:szCs w:val="24"/>
        </w:rPr>
        <w:t xml:space="preserve"> Chief</w:t>
      </w:r>
      <w:r w:rsidR="001B3683" w:rsidRPr="784656E5">
        <w:rPr>
          <w:rFonts w:ascii="Times New Roman" w:eastAsia="Times New Roman" w:hAnsi="Times New Roman"/>
          <w:sz w:val="24"/>
          <w:szCs w:val="24"/>
        </w:rPr>
        <w:t xml:space="preserve"> Executive Officer of GEE Group</w:t>
      </w:r>
      <w:r w:rsidR="00F435B0" w:rsidRPr="784656E5">
        <w:rPr>
          <w:rFonts w:ascii="Times New Roman" w:eastAsia="Times New Roman" w:hAnsi="Times New Roman"/>
          <w:sz w:val="24"/>
          <w:szCs w:val="24"/>
        </w:rPr>
        <w:t xml:space="preserve">, </w:t>
      </w:r>
      <w:r w:rsidR="00621F04" w:rsidRPr="784656E5">
        <w:rPr>
          <w:rFonts w:ascii="Times New Roman" w:eastAsia="Times New Roman" w:hAnsi="Times New Roman"/>
          <w:sz w:val="24"/>
          <w:szCs w:val="24"/>
        </w:rPr>
        <w:t>commented,</w:t>
      </w:r>
      <w:r w:rsidR="00833600">
        <w:rPr>
          <w:rFonts w:ascii="Times New Roman" w:eastAsia="Times New Roman" w:hAnsi="Times New Roman"/>
          <w:sz w:val="24"/>
          <w:szCs w:val="24"/>
        </w:rPr>
        <w:t xml:space="preserve"> “We are pleased with o</w:t>
      </w:r>
      <w:r w:rsidR="64CC6A70" w:rsidRPr="784656E5">
        <w:rPr>
          <w:rFonts w:ascii="Times New Roman" w:eastAsia="Times New Roman" w:hAnsi="Times New Roman"/>
          <w:sz w:val="24"/>
          <w:szCs w:val="24"/>
        </w:rPr>
        <w:t xml:space="preserve">ur </w:t>
      </w:r>
      <w:r w:rsidR="00A2318D">
        <w:rPr>
          <w:rFonts w:ascii="Times New Roman" w:eastAsia="Times New Roman" w:hAnsi="Times New Roman"/>
          <w:sz w:val="24"/>
          <w:szCs w:val="24"/>
        </w:rPr>
        <w:t xml:space="preserve">results for the </w:t>
      </w:r>
      <w:r w:rsidR="00896F00">
        <w:rPr>
          <w:rFonts w:ascii="Times New Roman" w:eastAsia="Times New Roman" w:hAnsi="Times New Roman"/>
          <w:sz w:val="24"/>
          <w:szCs w:val="24"/>
        </w:rPr>
        <w:t xml:space="preserve">fiscal second quarter and </w:t>
      </w:r>
      <w:r w:rsidR="004D3121">
        <w:rPr>
          <w:rFonts w:ascii="Times New Roman" w:eastAsia="Times New Roman" w:hAnsi="Times New Roman"/>
          <w:sz w:val="24"/>
          <w:szCs w:val="24"/>
        </w:rPr>
        <w:t xml:space="preserve">first half </w:t>
      </w:r>
      <w:r w:rsidR="00A2318D">
        <w:rPr>
          <w:rFonts w:ascii="Times New Roman" w:eastAsia="Times New Roman" w:hAnsi="Times New Roman"/>
          <w:sz w:val="24"/>
          <w:szCs w:val="24"/>
        </w:rPr>
        <w:t xml:space="preserve">of </w:t>
      </w:r>
      <w:r w:rsidR="004D3121">
        <w:rPr>
          <w:rFonts w:ascii="Times New Roman" w:eastAsia="Times New Roman" w:hAnsi="Times New Roman"/>
          <w:sz w:val="24"/>
          <w:szCs w:val="24"/>
        </w:rPr>
        <w:t xml:space="preserve">fiscal </w:t>
      </w:r>
      <w:r w:rsidR="64CC6A70" w:rsidRPr="784656E5">
        <w:rPr>
          <w:rFonts w:ascii="Times New Roman" w:eastAsia="Times New Roman" w:hAnsi="Times New Roman"/>
          <w:sz w:val="24"/>
          <w:szCs w:val="24"/>
        </w:rPr>
        <w:t>2023</w:t>
      </w:r>
      <w:r w:rsidR="469515B9" w:rsidRPr="784656E5">
        <w:rPr>
          <w:rFonts w:ascii="Times New Roman" w:eastAsia="Times New Roman" w:hAnsi="Times New Roman"/>
          <w:sz w:val="24"/>
          <w:szCs w:val="24"/>
        </w:rPr>
        <w:t>,</w:t>
      </w:r>
      <w:r w:rsidR="5120FD52" w:rsidRPr="784656E5">
        <w:rPr>
          <w:rFonts w:ascii="Times New Roman" w:eastAsia="Times New Roman" w:hAnsi="Times New Roman"/>
          <w:sz w:val="24"/>
          <w:szCs w:val="24"/>
        </w:rPr>
        <w:t xml:space="preserve"> especially considering</w:t>
      </w:r>
      <w:r w:rsidR="006A73ED">
        <w:rPr>
          <w:rFonts w:ascii="Times New Roman" w:eastAsia="Times New Roman" w:hAnsi="Times New Roman"/>
          <w:sz w:val="24"/>
          <w:szCs w:val="24"/>
        </w:rPr>
        <w:t xml:space="preserve"> the </w:t>
      </w:r>
      <w:r w:rsidR="5120FD52" w:rsidRPr="784656E5">
        <w:rPr>
          <w:rFonts w:ascii="Times New Roman" w:eastAsia="Times New Roman" w:hAnsi="Times New Roman"/>
          <w:sz w:val="24"/>
          <w:szCs w:val="24"/>
        </w:rPr>
        <w:t>volatility and uncertainties that</w:t>
      </w:r>
      <w:r w:rsidR="176559D3" w:rsidRPr="784656E5">
        <w:rPr>
          <w:rFonts w:ascii="Times New Roman" w:eastAsia="Times New Roman" w:hAnsi="Times New Roman"/>
          <w:sz w:val="24"/>
          <w:szCs w:val="24"/>
        </w:rPr>
        <w:t xml:space="preserve"> </w:t>
      </w:r>
      <w:r w:rsidR="5120FD52" w:rsidRPr="784656E5">
        <w:rPr>
          <w:rFonts w:ascii="Times New Roman" w:eastAsia="Times New Roman" w:hAnsi="Times New Roman"/>
          <w:sz w:val="24"/>
          <w:szCs w:val="24"/>
        </w:rPr>
        <w:t>persist in our economy</w:t>
      </w:r>
      <w:r w:rsidR="0AF2AF97" w:rsidRPr="784656E5">
        <w:rPr>
          <w:rFonts w:ascii="Times New Roman" w:eastAsia="Times New Roman" w:hAnsi="Times New Roman"/>
          <w:sz w:val="24"/>
          <w:szCs w:val="24"/>
        </w:rPr>
        <w:t xml:space="preserve"> and labor markets</w:t>
      </w:r>
      <w:r w:rsidR="0C1581BD" w:rsidRPr="784656E5">
        <w:rPr>
          <w:rFonts w:ascii="Times New Roman" w:eastAsia="Times New Roman" w:hAnsi="Times New Roman"/>
          <w:sz w:val="24"/>
          <w:szCs w:val="24"/>
        </w:rPr>
        <w:t>.</w:t>
      </w:r>
      <w:r w:rsidR="00F05739">
        <w:rPr>
          <w:rFonts w:ascii="Times New Roman" w:eastAsia="Times New Roman" w:hAnsi="Times New Roman"/>
          <w:sz w:val="24"/>
          <w:szCs w:val="24"/>
        </w:rPr>
        <w:t xml:space="preserve"> </w:t>
      </w:r>
      <w:r w:rsidR="00A2318D">
        <w:rPr>
          <w:rFonts w:ascii="Times New Roman" w:eastAsia="Times New Roman" w:hAnsi="Times New Roman"/>
          <w:sz w:val="24"/>
          <w:szCs w:val="24"/>
        </w:rPr>
        <w:t>We are especially pleased with revenue performance in our professional IT contract services markets, which have grown by double digits so far in 2023. W</w:t>
      </w:r>
      <w:r w:rsidR="2F045453" w:rsidRPr="784656E5">
        <w:rPr>
          <w:rFonts w:ascii="Times New Roman" w:eastAsia="Times New Roman" w:hAnsi="Times New Roman"/>
          <w:sz w:val="24"/>
          <w:szCs w:val="24"/>
        </w:rPr>
        <w:t xml:space="preserve">e </w:t>
      </w:r>
      <w:r w:rsidR="571EF22A" w:rsidRPr="784656E5">
        <w:rPr>
          <w:rFonts w:ascii="Times New Roman" w:eastAsia="Times New Roman" w:hAnsi="Times New Roman"/>
          <w:sz w:val="24"/>
          <w:szCs w:val="24"/>
        </w:rPr>
        <w:t>continue to express th</w:t>
      </w:r>
      <w:r w:rsidR="00A2318D">
        <w:rPr>
          <w:rFonts w:ascii="Times New Roman" w:eastAsia="Times New Roman" w:hAnsi="Times New Roman"/>
          <w:sz w:val="24"/>
          <w:szCs w:val="24"/>
        </w:rPr>
        <w:t>e</w:t>
      </w:r>
      <w:r w:rsidR="571EF22A" w:rsidRPr="784656E5">
        <w:rPr>
          <w:rFonts w:ascii="Times New Roman" w:eastAsia="Times New Roman" w:hAnsi="Times New Roman"/>
          <w:sz w:val="24"/>
          <w:szCs w:val="24"/>
        </w:rPr>
        <w:t xml:space="preserve"> same cautious optimism</w:t>
      </w:r>
      <w:r w:rsidR="494B4B56" w:rsidRPr="784656E5">
        <w:rPr>
          <w:rFonts w:ascii="Times New Roman" w:eastAsia="Times New Roman" w:hAnsi="Times New Roman"/>
          <w:sz w:val="24"/>
          <w:szCs w:val="24"/>
        </w:rPr>
        <w:t xml:space="preserve"> for future</w:t>
      </w:r>
      <w:r w:rsidR="00744EBC" w:rsidRPr="784656E5">
        <w:rPr>
          <w:rFonts w:ascii="Times New Roman" w:eastAsia="Times New Roman" w:hAnsi="Times New Roman"/>
          <w:sz w:val="24"/>
          <w:szCs w:val="24"/>
        </w:rPr>
        <w:t xml:space="preserve"> profitable</w:t>
      </w:r>
      <w:r w:rsidR="003A7D73">
        <w:rPr>
          <w:rFonts w:ascii="Times New Roman" w:eastAsia="Times New Roman" w:hAnsi="Times New Roman"/>
          <w:sz w:val="24"/>
          <w:szCs w:val="24"/>
        </w:rPr>
        <w:t xml:space="preserve"> organic</w:t>
      </w:r>
      <w:r w:rsidR="00744EBC" w:rsidRPr="784656E5">
        <w:rPr>
          <w:rFonts w:ascii="Times New Roman" w:eastAsia="Times New Roman" w:hAnsi="Times New Roman"/>
          <w:sz w:val="24"/>
          <w:szCs w:val="24"/>
        </w:rPr>
        <w:t xml:space="preserve"> growth</w:t>
      </w:r>
      <w:r w:rsidR="412FB33B" w:rsidRPr="784656E5">
        <w:rPr>
          <w:rFonts w:ascii="Times New Roman" w:eastAsia="Times New Roman" w:hAnsi="Times New Roman"/>
          <w:sz w:val="24"/>
          <w:szCs w:val="24"/>
        </w:rPr>
        <w:t>,</w:t>
      </w:r>
      <w:r w:rsidR="003A7D73">
        <w:rPr>
          <w:rFonts w:ascii="Times New Roman" w:eastAsia="Times New Roman" w:hAnsi="Times New Roman"/>
          <w:sz w:val="24"/>
          <w:szCs w:val="24"/>
        </w:rPr>
        <w:t xml:space="preserve"> increased</w:t>
      </w:r>
      <w:r w:rsidR="412FB33B" w:rsidRPr="784656E5">
        <w:rPr>
          <w:rFonts w:ascii="Times New Roman" w:eastAsia="Times New Roman" w:hAnsi="Times New Roman"/>
          <w:sz w:val="24"/>
          <w:szCs w:val="24"/>
        </w:rPr>
        <w:t xml:space="preserve"> </w:t>
      </w:r>
      <w:r w:rsidR="00744EBC" w:rsidRPr="784656E5">
        <w:rPr>
          <w:rFonts w:ascii="Times New Roman" w:eastAsia="Times New Roman" w:hAnsi="Times New Roman"/>
          <w:sz w:val="24"/>
          <w:szCs w:val="24"/>
        </w:rPr>
        <w:t xml:space="preserve">earnings </w:t>
      </w:r>
      <w:r w:rsidR="5751C1FB" w:rsidRPr="784656E5">
        <w:rPr>
          <w:rFonts w:ascii="Times New Roman" w:eastAsia="Times New Roman" w:hAnsi="Times New Roman"/>
          <w:sz w:val="24"/>
          <w:szCs w:val="24"/>
        </w:rPr>
        <w:t>and</w:t>
      </w:r>
      <w:r w:rsidR="003A7D73">
        <w:rPr>
          <w:rFonts w:ascii="Times New Roman" w:eastAsia="Times New Roman" w:hAnsi="Times New Roman"/>
          <w:sz w:val="24"/>
          <w:szCs w:val="24"/>
        </w:rPr>
        <w:t xml:space="preserve"> enhanced </w:t>
      </w:r>
      <w:r w:rsidR="5751C1FB" w:rsidRPr="784656E5">
        <w:rPr>
          <w:rFonts w:ascii="Times New Roman" w:eastAsia="Times New Roman" w:hAnsi="Times New Roman"/>
          <w:sz w:val="24"/>
          <w:szCs w:val="24"/>
        </w:rPr>
        <w:t>free cash flow</w:t>
      </w:r>
      <w:r w:rsidR="00744EBC" w:rsidRPr="784656E5">
        <w:rPr>
          <w:rFonts w:ascii="Times New Roman" w:eastAsia="Times New Roman" w:hAnsi="Times New Roman"/>
          <w:sz w:val="24"/>
          <w:szCs w:val="24"/>
        </w:rPr>
        <w:t xml:space="preserve"> </w:t>
      </w:r>
      <w:r w:rsidR="2EBDD6B7" w:rsidRPr="784656E5">
        <w:rPr>
          <w:rFonts w:ascii="Times New Roman" w:eastAsia="Times New Roman" w:hAnsi="Times New Roman"/>
          <w:sz w:val="24"/>
          <w:szCs w:val="24"/>
        </w:rPr>
        <w:t xml:space="preserve">for </w:t>
      </w:r>
      <w:r w:rsidR="00A2318D">
        <w:rPr>
          <w:rFonts w:ascii="Times New Roman" w:eastAsia="Times New Roman" w:hAnsi="Times New Roman"/>
          <w:sz w:val="24"/>
          <w:szCs w:val="24"/>
        </w:rPr>
        <w:t xml:space="preserve">the remainder of </w:t>
      </w:r>
      <w:r w:rsidR="2EBDD6B7" w:rsidRPr="784656E5">
        <w:rPr>
          <w:rFonts w:ascii="Times New Roman" w:eastAsia="Times New Roman" w:hAnsi="Times New Roman"/>
          <w:sz w:val="24"/>
          <w:szCs w:val="24"/>
        </w:rPr>
        <w:t>fiscal 2023</w:t>
      </w:r>
      <w:r w:rsidR="00434408">
        <w:rPr>
          <w:rFonts w:ascii="Times New Roman" w:eastAsia="Times New Roman" w:hAnsi="Times New Roman"/>
          <w:sz w:val="24"/>
          <w:szCs w:val="24"/>
        </w:rPr>
        <w:t>.</w:t>
      </w:r>
      <w:r w:rsidR="00781B77">
        <w:rPr>
          <w:rFonts w:ascii="Times New Roman" w:eastAsia="Times New Roman" w:hAnsi="Times New Roman"/>
          <w:sz w:val="24"/>
          <w:szCs w:val="24"/>
        </w:rPr>
        <w:t xml:space="preserve"> B</w:t>
      </w:r>
      <w:r w:rsidR="00781B77" w:rsidRPr="00781B77">
        <w:rPr>
          <w:rFonts w:ascii="Times New Roman" w:eastAsia="Times New Roman" w:hAnsi="Times New Roman"/>
          <w:sz w:val="24"/>
          <w:szCs w:val="24"/>
        </w:rPr>
        <w:t>eginning i</w:t>
      </w:r>
      <w:r w:rsidR="00781B77">
        <w:rPr>
          <w:rFonts w:ascii="Times New Roman" w:eastAsia="Times New Roman" w:hAnsi="Times New Roman"/>
          <w:sz w:val="24"/>
          <w:szCs w:val="24"/>
        </w:rPr>
        <w:t>n the fiscal 2023 third quarter,</w:t>
      </w:r>
      <w:r w:rsidR="00781B77" w:rsidRPr="00781B77">
        <w:rPr>
          <w:rFonts w:ascii="Times New Roman" w:eastAsia="Times New Roman" w:hAnsi="Times New Roman"/>
          <w:sz w:val="24"/>
          <w:szCs w:val="24"/>
        </w:rPr>
        <w:t xml:space="preserve"> </w:t>
      </w:r>
      <w:r w:rsidR="00781B77">
        <w:rPr>
          <w:rFonts w:ascii="Times New Roman" w:eastAsia="Times New Roman" w:hAnsi="Times New Roman"/>
          <w:sz w:val="24"/>
          <w:szCs w:val="24"/>
        </w:rPr>
        <w:t>w</w:t>
      </w:r>
      <w:r w:rsidR="00434408">
        <w:rPr>
          <w:rFonts w:ascii="Times New Roman" w:eastAsia="Times New Roman" w:hAnsi="Times New Roman"/>
          <w:sz w:val="24"/>
          <w:szCs w:val="24"/>
        </w:rPr>
        <w:t>e expect to see the</w:t>
      </w:r>
      <w:r w:rsidR="005E3F28">
        <w:rPr>
          <w:rFonts w:ascii="Times New Roman" w:eastAsia="Times New Roman" w:hAnsi="Times New Roman"/>
          <w:sz w:val="24"/>
          <w:szCs w:val="24"/>
        </w:rPr>
        <w:t xml:space="preserve"> benefit and positive impact on the Company’s financial results</w:t>
      </w:r>
      <w:r w:rsidR="00434408">
        <w:rPr>
          <w:rFonts w:ascii="Times New Roman" w:eastAsia="Times New Roman" w:hAnsi="Times New Roman"/>
          <w:sz w:val="24"/>
          <w:szCs w:val="24"/>
        </w:rPr>
        <w:t xml:space="preserve"> </w:t>
      </w:r>
      <w:r w:rsidR="005E3F28">
        <w:rPr>
          <w:rFonts w:ascii="Times New Roman" w:eastAsia="Times New Roman" w:hAnsi="Times New Roman"/>
          <w:sz w:val="24"/>
          <w:szCs w:val="24"/>
        </w:rPr>
        <w:t xml:space="preserve">from </w:t>
      </w:r>
      <w:r w:rsidR="00434408">
        <w:rPr>
          <w:rFonts w:ascii="Times New Roman" w:eastAsia="Times New Roman" w:hAnsi="Times New Roman"/>
          <w:sz w:val="24"/>
          <w:szCs w:val="24"/>
        </w:rPr>
        <w:t>the significant cost-saving measures we implemented in late February and March</w:t>
      </w:r>
      <w:r w:rsidR="00781B77">
        <w:rPr>
          <w:rFonts w:ascii="Times New Roman" w:eastAsia="Times New Roman" w:hAnsi="Times New Roman"/>
          <w:sz w:val="24"/>
          <w:szCs w:val="24"/>
        </w:rPr>
        <w:t>.</w:t>
      </w:r>
      <w:r w:rsidR="00434408">
        <w:rPr>
          <w:rFonts w:ascii="Times New Roman" w:eastAsia="Times New Roman" w:hAnsi="Times New Roman"/>
          <w:sz w:val="24"/>
          <w:szCs w:val="24"/>
        </w:rPr>
        <w:t xml:space="preserve"> </w:t>
      </w:r>
      <w:r w:rsidR="00A12533">
        <w:rPr>
          <w:rFonts w:ascii="Times New Roman" w:eastAsia="Times New Roman" w:hAnsi="Times New Roman"/>
          <w:sz w:val="24"/>
          <w:szCs w:val="24"/>
        </w:rPr>
        <w:t>Our capital allocation strategy includes</w:t>
      </w:r>
      <w:r w:rsidR="00A2318D">
        <w:rPr>
          <w:rFonts w:ascii="Times New Roman" w:eastAsia="Times New Roman" w:hAnsi="Times New Roman"/>
          <w:sz w:val="24"/>
          <w:szCs w:val="24"/>
        </w:rPr>
        <w:t xml:space="preserve"> </w:t>
      </w:r>
      <w:r w:rsidR="00A12533">
        <w:rPr>
          <w:rFonts w:ascii="Times New Roman" w:eastAsia="Times New Roman" w:hAnsi="Times New Roman"/>
          <w:sz w:val="24"/>
          <w:szCs w:val="24"/>
        </w:rPr>
        <w:t xml:space="preserve">the </w:t>
      </w:r>
      <w:r w:rsidR="006804D2">
        <w:rPr>
          <w:rFonts w:ascii="Times New Roman" w:eastAsia="Times New Roman" w:hAnsi="Times New Roman"/>
          <w:sz w:val="24"/>
          <w:szCs w:val="24"/>
        </w:rPr>
        <w:t>recently announced</w:t>
      </w:r>
      <w:r w:rsidR="00A12533">
        <w:rPr>
          <w:rFonts w:ascii="Times New Roman" w:eastAsia="Times New Roman" w:hAnsi="Times New Roman"/>
          <w:sz w:val="24"/>
          <w:szCs w:val="24"/>
        </w:rPr>
        <w:t xml:space="preserve"> Share Repurchase Plan </w:t>
      </w:r>
      <w:r w:rsidR="006804D2">
        <w:rPr>
          <w:rFonts w:ascii="Times New Roman" w:eastAsia="Times New Roman" w:hAnsi="Times New Roman"/>
          <w:sz w:val="24"/>
          <w:szCs w:val="24"/>
        </w:rPr>
        <w:t>authoriz</w:t>
      </w:r>
      <w:r w:rsidR="00A12533">
        <w:rPr>
          <w:rFonts w:ascii="Times New Roman" w:eastAsia="Times New Roman" w:hAnsi="Times New Roman"/>
          <w:sz w:val="24"/>
          <w:szCs w:val="24"/>
        </w:rPr>
        <w:t>ed</w:t>
      </w:r>
      <w:r w:rsidR="006804D2">
        <w:rPr>
          <w:rFonts w:ascii="Times New Roman" w:eastAsia="Times New Roman" w:hAnsi="Times New Roman"/>
          <w:sz w:val="24"/>
          <w:szCs w:val="24"/>
        </w:rPr>
        <w:t xml:space="preserve"> by our </w:t>
      </w:r>
      <w:r w:rsidR="00047195">
        <w:rPr>
          <w:rFonts w:ascii="Times New Roman" w:eastAsia="Times New Roman" w:hAnsi="Times New Roman"/>
          <w:sz w:val="24"/>
          <w:szCs w:val="24"/>
        </w:rPr>
        <w:t>B</w:t>
      </w:r>
      <w:r w:rsidR="006804D2">
        <w:rPr>
          <w:rFonts w:ascii="Times New Roman" w:eastAsia="Times New Roman" w:hAnsi="Times New Roman"/>
          <w:sz w:val="24"/>
          <w:szCs w:val="24"/>
        </w:rPr>
        <w:t xml:space="preserve">oard of </w:t>
      </w:r>
      <w:r w:rsidR="00047195">
        <w:rPr>
          <w:rFonts w:ascii="Times New Roman" w:eastAsia="Times New Roman" w:hAnsi="Times New Roman"/>
          <w:sz w:val="24"/>
          <w:szCs w:val="24"/>
        </w:rPr>
        <w:t xml:space="preserve">Directors </w:t>
      </w:r>
      <w:r w:rsidR="006804D2">
        <w:rPr>
          <w:rFonts w:ascii="Times New Roman" w:eastAsia="Times New Roman" w:hAnsi="Times New Roman"/>
          <w:sz w:val="24"/>
          <w:szCs w:val="24"/>
        </w:rPr>
        <w:t>to repurchase up to $20 million in GEE Group Inc. common shares through open market purchases between now and the end of this calendar year.</w:t>
      </w:r>
      <w:r w:rsidR="00A12533">
        <w:rPr>
          <w:rFonts w:ascii="Times New Roman" w:eastAsia="Times New Roman" w:hAnsi="Times New Roman"/>
          <w:sz w:val="24"/>
          <w:szCs w:val="24"/>
        </w:rPr>
        <w:t xml:space="preserve"> In addition, w</w:t>
      </w:r>
      <w:r w:rsidR="00A12533" w:rsidRPr="00A12533">
        <w:rPr>
          <w:rFonts w:ascii="Times New Roman" w:eastAsia="Times New Roman" w:hAnsi="Times New Roman"/>
          <w:sz w:val="24"/>
          <w:szCs w:val="24"/>
        </w:rPr>
        <w:t>e are constantly on the lookout for opportunities to augment internal growth</w:t>
      </w:r>
      <w:r w:rsidR="00A12533">
        <w:rPr>
          <w:rFonts w:ascii="Times New Roman" w:eastAsia="Times New Roman" w:hAnsi="Times New Roman"/>
          <w:sz w:val="24"/>
          <w:szCs w:val="24"/>
        </w:rPr>
        <w:t xml:space="preserve"> </w:t>
      </w:r>
      <w:r w:rsidR="00A12533" w:rsidRPr="00A12533">
        <w:rPr>
          <w:rFonts w:ascii="Times New Roman" w:eastAsia="Times New Roman" w:hAnsi="Times New Roman"/>
          <w:sz w:val="24"/>
          <w:szCs w:val="24"/>
        </w:rPr>
        <w:t>with strategic acquisitions</w:t>
      </w:r>
      <w:r w:rsidR="00A12533">
        <w:rPr>
          <w:rFonts w:ascii="Times New Roman" w:eastAsia="Times New Roman" w:hAnsi="Times New Roman"/>
          <w:sz w:val="24"/>
          <w:szCs w:val="24"/>
        </w:rPr>
        <w:t xml:space="preserve"> that are appropriately priced so</w:t>
      </w:r>
      <w:r w:rsidR="007E4B36">
        <w:rPr>
          <w:rFonts w:ascii="Times New Roman" w:eastAsia="Times New Roman" w:hAnsi="Times New Roman"/>
          <w:sz w:val="24"/>
          <w:szCs w:val="24"/>
        </w:rPr>
        <w:t xml:space="preserve"> that</w:t>
      </w:r>
      <w:r w:rsidR="00A12533">
        <w:rPr>
          <w:rFonts w:ascii="Times New Roman" w:eastAsia="Times New Roman" w:hAnsi="Times New Roman"/>
          <w:sz w:val="24"/>
          <w:szCs w:val="24"/>
        </w:rPr>
        <w:t xml:space="preserve"> they are accretive to earnings</w:t>
      </w:r>
      <w:r w:rsidR="00A12533" w:rsidRPr="00A12533">
        <w:rPr>
          <w:rFonts w:ascii="Times New Roman" w:eastAsia="Times New Roman" w:hAnsi="Times New Roman"/>
          <w:sz w:val="24"/>
          <w:szCs w:val="24"/>
        </w:rPr>
        <w:t>.</w:t>
      </w:r>
      <w:r w:rsidR="00A12533">
        <w:rPr>
          <w:rFonts w:ascii="Times New Roman" w:eastAsia="Times New Roman" w:hAnsi="Times New Roman"/>
          <w:sz w:val="24"/>
          <w:szCs w:val="24"/>
        </w:rPr>
        <w:t xml:space="preserve"> The maximization of shareholder value is paramount to our growth strategy.”</w:t>
      </w:r>
      <w:r w:rsidR="00A12533" w:rsidRPr="00A12533">
        <w:rPr>
          <w:rFonts w:ascii="Times New Roman" w:eastAsia="Times New Roman" w:hAnsi="Times New Roman"/>
          <w:sz w:val="24"/>
          <w:szCs w:val="24"/>
        </w:rPr>
        <w:t xml:space="preserve">  </w:t>
      </w:r>
    </w:p>
    <w:p w14:paraId="42239DB6" w14:textId="77777777" w:rsidR="00D27F29" w:rsidRPr="007202FC" w:rsidRDefault="00D27F29" w:rsidP="00C57419">
      <w:pPr>
        <w:pStyle w:val="NormalWeb"/>
        <w:shd w:val="clear" w:color="auto" w:fill="FFFFFF" w:themeFill="background1"/>
        <w:spacing w:before="0" w:beforeAutospacing="0" w:after="0" w:afterAutospacing="0"/>
        <w:jc w:val="both"/>
        <w:rPr>
          <w:rFonts w:ascii="Times New Roman" w:eastAsia="Times New Roman" w:hAnsi="Times New Roman"/>
          <w:sz w:val="24"/>
          <w:szCs w:val="24"/>
        </w:rPr>
      </w:pPr>
    </w:p>
    <w:p w14:paraId="46C1A130" w14:textId="70126774" w:rsidR="00DF7049" w:rsidRPr="00E60085" w:rsidRDefault="00D36F4D" w:rsidP="00434408">
      <w:pPr>
        <w:pStyle w:val="NormalWeb"/>
        <w:shd w:val="clear" w:color="auto" w:fill="FFFFFF" w:themeFill="background1"/>
        <w:spacing w:before="120" w:beforeAutospacing="0" w:after="0" w:afterAutospacing="0"/>
        <w:jc w:val="both"/>
        <w:rPr>
          <w:rFonts w:ascii="Times New Roman" w:eastAsia="Times New Roman" w:hAnsi="Times New Roman"/>
          <w:sz w:val="24"/>
          <w:szCs w:val="24"/>
        </w:rPr>
      </w:pPr>
      <w:r w:rsidRPr="784656E5">
        <w:rPr>
          <w:rFonts w:ascii="Times New Roman" w:eastAsia="Times New Roman" w:hAnsi="Times New Roman"/>
          <w:sz w:val="24"/>
          <w:szCs w:val="24"/>
        </w:rPr>
        <w:t>Mr. Dewan added, "</w:t>
      </w:r>
      <w:r w:rsidR="00F360DE" w:rsidRPr="784656E5">
        <w:rPr>
          <w:rFonts w:ascii="Times New Roman" w:eastAsia="Times New Roman" w:hAnsi="Times New Roman"/>
          <w:sz w:val="24"/>
          <w:szCs w:val="24"/>
        </w:rPr>
        <w:t>Fiscal 202</w:t>
      </w:r>
      <w:r w:rsidR="53505109" w:rsidRPr="784656E5">
        <w:rPr>
          <w:rFonts w:ascii="Times New Roman" w:eastAsia="Times New Roman" w:hAnsi="Times New Roman"/>
          <w:sz w:val="24"/>
          <w:szCs w:val="24"/>
        </w:rPr>
        <w:t>3</w:t>
      </w:r>
      <w:r w:rsidR="00F360DE" w:rsidRPr="784656E5">
        <w:rPr>
          <w:rFonts w:ascii="Times New Roman" w:eastAsia="Times New Roman" w:hAnsi="Times New Roman"/>
          <w:sz w:val="24"/>
          <w:szCs w:val="24"/>
        </w:rPr>
        <w:t xml:space="preserve"> </w:t>
      </w:r>
      <w:r w:rsidR="626EA417" w:rsidRPr="784656E5">
        <w:rPr>
          <w:rFonts w:ascii="Times New Roman" w:eastAsia="Times New Roman" w:hAnsi="Times New Roman"/>
          <w:sz w:val="24"/>
          <w:szCs w:val="24"/>
        </w:rPr>
        <w:t>looks</w:t>
      </w:r>
      <w:r w:rsidR="006A73ED">
        <w:rPr>
          <w:rFonts w:ascii="Times New Roman" w:eastAsia="Times New Roman" w:hAnsi="Times New Roman"/>
          <w:sz w:val="24"/>
          <w:szCs w:val="24"/>
        </w:rPr>
        <w:t xml:space="preserve"> promising </w:t>
      </w:r>
      <w:r w:rsidR="233152B5" w:rsidRPr="784656E5">
        <w:rPr>
          <w:rFonts w:ascii="Times New Roman" w:eastAsia="Times New Roman" w:hAnsi="Times New Roman"/>
          <w:sz w:val="24"/>
          <w:szCs w:val="24"/>
        </w:rPr>
        <w:t>so far</w:t>
      </w:r>
      <w:r w:rsidR="00F05739">
        <w:rPr>
          <w:rFonts w:ascii="Times New Roman" w:eastAsia="Times New Roman" w:hAnsi="Times New Roman"/>
          <w:sz w:val="24"/>
          <w:szCs w:val="24"/>
        </w:rPr>
        <w:t xml:space="preserve"> in light of economic cond</w:t>
      </w:r>
      <w:r w:rsidR="00A12533">
        <w:rPr>
          <w:rFonts w:ascii="Times New Roman" w:eastAsia="Times New Roman" w:hAnsi="Times New Roman"/>
          <w:sz w:val="24"/>
          <w:szCs w:val="24"/>
        </w:rPr>
        <w:t>itions and despite the current and</w:t>
      </w:r>
      <w:r w:rsidR="00F05739">
        <w:rPr>
          <w:rFonts w:ascii="Times New Roman" w:eastAsia="Times New Roman" w:hAnsi="Times New Roman"/>
          <w:sz w:val="24"/>
          <w:szCs w:val="24"/>
        </w:rPr>
        <w:t xml:space="preserve"> potential headwinds</w:t>
      </w:r>
      <w:r w:rsidR="00A12533">
        <w:rPr>
          <w:rFonts w:ascii="Times New Roman" w:eastAsia="Times New Roman" w:hAnsi="Times New Roman"/>
          <w:sz w:val="24"/>
          <w:szCs w:val="24"/>
        </w:rPr>
        <w:t xml:space="preserve"> that lie ahead</w:t>
      </w:r>
      <w:r w:rsidR="00F05739">
        <w:rPr>
          <w:rFonts w:ascii="Times New Roman" w:eastAsia="Times New Roman" w:hAnsi="Times New Roman"/>
          <w:sz w:val="24"/>
          <w:szCs w:val="24"/>
        </w:rPr>
        <w:t>. W</w:t>
      </w:r>
      <w:r w:rsidR="233152B5" w:rsidRPr="784656E5">
        <w:rPr>
          <w:rFonts w:ascii="Times New Roman" w:eastAsia="Times New Roman" w:hAnsi="Times New Roman"/>
          <w:sz w:val="24"/>
          <w:szCs w:val="24"/>
        </w:rPr>
        <w:t xml:space="preserve">e </w:t>
      </w:r>
      <w:r w:rsidR="1BAAB458" w:rsidRPr="784656E5">
        <w:rPr>
          <w:rFonts w:ascii="Times New Roman" w:eastAsia="Times New Roman" w:hAnsi="Times New Roman"/>
          <w:sz w:val="24"/>
          <w:szCs w:val="24"/>
        </w:rPr>
        <w:t xml:space="preserve">intend to </w:t>
      </w:r>
      <w:r w:rsidR="233152B5" w:rsidRPr="784656E5">
        <w:rPr>
          <w:rFonts w:ascii="Times New Roman" w:eastAsia="Times New Roman" w:hAnsi="Times New Roman"/>
          <w:sz w:val="24"/>
          <w:szCs w:val="24"/>
        </w:rPr>
        <w:t>continue</w:t>
      </w:r>
      <w:r w:rsidR="00F05739">
        <w:rPr>
          <w:rFonts w:ascii="Times New Roman" w:eastAsia="Times New Roman" w:hAnsi="Times New Roman"/>
          <w:sz w:val="24"/>
          <w:szCs w:val="24"/>
        </w:rPr>
        <w:t xml:space="preserve"> our </w:t>
      </w:r>
      <w:r w:rsidR="421BA54B" w:rsidRPr="784656E5">
        <w:rPr>
          <w:rFonts w:ascii="Times New Roman" w:eastAsia="Times New Roman" w:hAnsi="Times New Roman"/>
          <w:sz w:val="24"/>
          <w:szCs w:val="24"/>
        </w:rPr>
        <w:t>philosophy and</w:t>
      </w:r>
      <w:r w:rsidR="233152B5" w:rsidRPr="784656E5">
        <w:rPr>
          <w:rFonts w:ascii="Times New Roman" w:eastAsia="Times New Roman" w:hAnsi="Times New Roman"/>
          <w:sz w:val="24"/>
          <w:szCs w:val="24"/>
        </w:rPr>
        <w:t xml:space="preserve"> strategy of</w:t>
      </w:r>
      <w:r w:rsidR="00E60085" w:rsidRPr="784656E5">
        <w:rPr>
          <w:rFonts w:ascii="Times New Roman" w:eastAsia="Times New Roman" w:hAnsi="Times New Roman"/>
          <w:sz w:val="24"/>
          <w:szCs w:val="24"/>
        </w:rPr>
        <w:t xml:space="preserve"> tak</w:t>
      </w:r>
      <w:r w:rsidR="740196CE" w:rsidRPr="784656E5">
        <w:rPr>
          <w:rFonts w:ascii="Times New Roman" w:eastAsia="Times New Roman" w:hAnsi="Times New Roman"/>
          <w:sz w:val="24"/>
          <w:szCs w:val="24"/>
        </w:rPr>
        <w:t>ing</w:t>
      </w:r>
      <w:r w:rsidR="00E60085" w:rsidRPr="784656E5">
        <w:rPr>
          <w:rFonts w:ascii="Times New Roman" w:eastAsia="Times New Roman" w:hAnsi="Times New Roman"/>
          <w:sz w:val="24"/>
          <w:szCs w:val="24"/>
        </w:rPr>
        <w:t xml:space="preserve"> advantage of </w:t>
      </w:r>
      <w:r w:rsidR="21906F6C" w:rsidRPr="784656E5">
        <w:rPr>
          <w:rFonts w:ascii="Times New Roman" w:eastAsia="Times New Roman" w:hAnsi="Times New Roman"/>
          <w:sz w:val="24"/>
          <w:szCs w:val="24"/>
        </w:rPr>
        <w:t xml:space="preserve">any and all </w:t>
      </w:r>
      <w:r w:rsidR="00E60085" w:rsidRPr="784656E5">
        <w:rPr>
          <w:rFonts w:ascii="Times New Roman" w:eastAsia="Times New Roman" w:hAnsi="Times New Roman"/>
          <w:sz w:val="24"/>
          <w:szCs w:val="24"/>
        </w:rPr>
        <w:t xml:space="preserve">opportunities </w:t>
      </w:r>
      <w:r w:rsidR="6984D953" w:rsidRPr="784656E5">
        <w:rPr>
          <w:rFonts w:ascii="Times New Roman" w:eastAsia="Times New Roman" w:hAnsi="Times New Roman"/>
          <w:sz w:val="24"/>
          <w:szCs w:val="24"/>
        </w:rPr>
        <w:t xml:space="preserve">we can </w:t>
      </w:r>
      <w:r w:rsidR="61D637E6" w:rsidRPr="784656E5">
        <w:rPr>
          <w:rFonts w:ascii="Times New Roman" w:eastAsia="Times New Roman" w:hAnsi="Times New Roman"/>
          <w:sz w:val="24"/>
          <w:szCs w:val="24"/>
        </w:rPr>
        <w:t xml:space="preserve">to help our clients meet their human resource needs as we all </w:t>
      </w:r>
      <w:r w:rsidR="006A7066">
        <w:rPr>
          <w:rFonts w:ascii="Times New Roman" w:eastAsia="Times New Roman" w:hAnsi="Times New Roman"/>
          <w:sz w:val="24"/>
          <w:szCs w:val="24"/>
        </w:rPr>
        <w:t xml:space="preserve">continue to </w:t>
      </w:r>
      <w:r w:rsidR="61D637E6" w:rsidRPr="784656E5">
        <w:rPr>
          <w:rFonts w:ascii="Times New Roman" w:eastAsia="Times New Roman" w:hAnsi="Times New Roman"/>
          <w:sz w:val="24"/>
          <w:szCs w:val="24"/>
        </w:rPr>
        <w:t>navigate</w:t>
      </w:r>
      <w:r w:rsidR="00E60085" w:rsidRPr="784656E5">
        <w:rPr>
          <w:rFonts w:ascii="Times New Roman" w:eastAsia="Times New Roman" w:hAnsi="Times New Roman"/>
          <w:sz w:val="24"/>
          <w:szCs w:val="24"/>
        </w:rPr>
        <w:t xml:space="preserve"> </w:t>
      </w:r>
      <w:r w:rsidR="006A7066">
        <w:rPr>
          <w:rFonts w:ascii="Times New Roman" w:eastAsia="Times New Roman" w:hAnsi="Times New Roman"/>
          <w:sz w:val="24"/>
          <w:szCs w:val="24"/>
        </w:rPr>
        <w:t xml:space="preserve">this </w:t>
      </w:r>
      <w:r w:rsidR="12153E38" w:rsidRPr="784656E5">
        <w:rPr>
          <w:rFonts w:ascii="Times New Roman" w:eastAsia="Times New Roman" w:hAnsi="Times New Roman"/>
          <w:sz w:val="24"/>
          <w:szCs w:val="24"/>
        </w:rPr>
        <w:t xml:space="preserve">unprecedented </w:t>
      </w:r>
      <w:r w:rsidR="006A7066">
        <w:rPr>
          <w:rFonts w:ascii="Times New Roman" w:eastAsia="Times New Roman" w:hAnsi="Times New Roman"/>
          <w:sz w:val="24"/>
          <w:szCs w:val="24"/>
        </w:rPr>
        <w:t xml:space="preserve">time of </w:t>
      </w:r>
      <w:r w:rsidR="12153E38" w:rsidRPr="784656E5">
        <w:rPr>
          <w:rFonts w:ascii="Times New Roman" w:eastAsia="Times New Roman" w:hAnsi="Times New Roman"/>
          <w:sz w:val="24"/>
          <w:szCs w:val="24"/>
        </w:rPr>
        <w:t>socio</w:t>
      </w:r>
      <w:r w:rsidR="00E60085" w:rsidRPr="784656E5">
        <w:rPr>
          <w:rFonts w:ascii="Times New Roman" w:eastAsia="Times New Roman" w:hAnsi="Times New Roman"/>
          <w:sz w:val="24"/>
          <w:szCs w:val="24"/>
        </w:rPr>
        <w:t xml:space="preserve">economic </w:t>
      </w:r>
      <w:r w:rsidR="006A7066">
        <w:rPr>
          <w:rFonts w:ascii="Times New Roman" w:eastAsia="Times New Roman" w:hAnsi="Times New Roman"/>
          <w:sz w:val="24"/>
          <w:szCs w:val="24"/>
        </w:rPr>
        <w:t>change</w:t>
      </w:r>
      <w:r w:rsidR="00E60085" w:rsidRPr="784656E5">
        <w:rPr>
          <w:rFonts w:ascii="Times New Roman" w:eastAsia="Times New Roman" w:hAnsi="Times New Roman"/>
          <w:sz w:val="24"/>
          <w:szCs w:val="24"/>
        </w:rPr>
        <w:t xml:space="preserve">. </w:t>
      </w:r>
      <w:r w:rsidR="17DB52DB" w:rsidRPr="784656E5">
        <w:rPr>
          <w:rFonts w:ascii="Times New Roman" w:eastAsia="Times New Roman" w:hAnsi="Times New Roman"/>
          <w:sz w:val="24"/>
          <w:szCs w:val="24"/>
        </w:rPr>
        <w:t>Our people are the best in the business at identifying,</w:t>
      </w:r>
      <w:r w:rsidRPr="784656E5">
        <w:rPr>
          <w:rFonts w:ascii="Times New Roman" w:eastAsia="Times New Roman" w:hAnsi="Times New Roman"/>
          <w:sz w:val="24"/>
          <w:szCs w:val="24"/>
        </w:rPr>
        <w:t xml:space="preserve"> recruit</w:t>
      </w:r>
      <w:r w:rsidR="05AFF3F3" w:rsidRPr="784656E5">
        <w:rPr>
          <w:rFonts w:ascii="Times New Roman" w:eastAsia="Times New Roman" w:hAnsi="Times New Roman"/>
          <w:sz w:val="24"/>
          <w:szCs w:val="24"/>
        </w:rPr>
        <w:t>ing</w:t>
      </w:r>
      <w:r w:rsidRPr="784656E5">
        <w:rPr>
          <w:rFonts w:ascii="Times New Roman" w:eastAsia="Times New Roman" w:hAnsi="Times New Roman"/>
          <w:sz w:val="24"/>
          <w:szCs w:val="24"/>
        </w:rPr>
        <w:t xml:space="preserve"> and </w:t>
      </w:r>
      <w:r w:rsidR="3765B9DA" w:rsidRPr="784656E5">
        <w:rPr>
          <w:rFonts w:ascii="Times New Roman" w:eastAsia="Times New Roman" w:hAnsi="Times New Roman"/>
          <w:sz w:val="24"/>
          <w:szCs w:val="24"/>
        </w:rPr>
        <w:t>placing</w:t>
      </w:r>
      <w:r w:rsidR="00F05739">
        <w:rPr>
          <w:rFonts w:ascii="Times New Roman" w:eastAsia="Times New Roman" w:hAnsi="Times New Roman"/>
          <w:sz w:val="24"/>
          <w:szCs w:val="24"/>
        </w:rPr>
        <w:t xml:space="preserve"> optimal</w:t>
      </w:r>
      <w:r w:rsidRPr="784656E5">
        <w:rPr>
          <w:rFonts w:ascii="Times New Roman" w:eastAsia="Times New Roman" w:hAnsi="Times New Roman"/>
          <w:sz w:val="24"/>
          <w:szCs w:val="24"/>
        </w:rPr>
        <w:t xml:space="preserve"> talent </w:t>
      </w:r>
      <w:r w:rsidR="4ADA92DB" w:rsidRPr="784656E5">
        <w:rPr>
          <w:rFonts w:ascii="Times New Roman" w:eastAsia="Times New Roman" w:hAnsi="Times New Roman"/>
          <w:sz w:val="24"/>
          <w:szCs w:val="24"/>
        </w:rPr>
        <w:t>available to</w:t>
      </w:r>
      <w:r w:rsidR="008E2DAC" w:rsidRPr="784656E5">
        <w:rPr>
          <w:rFonts w:ascii="Times New Roman" w:eastAsia="Times New Roman" w:hAnsi="Times New Roman"/>
          <w:sz w:val="24"/>
          <w:szCs w:val="24"/>
        </w:rPr>
        <w:t xml:space="preserve"> meet our clients’ </w:t>
      </w:r>
      <w:r w:rsidR="44621F2E" w:rsidRPr="784656E5">
        <w:rPr>
          <w:rFonts w:ascii="Times New Roman" w:eastAsia="Times New Roman" w:hAnsi="Times New Roman"/>
          <w:sz w:val="24"/>
          <w:szCs w:val="24"/>
        </w:rPr>
        <w:t xml:space="preserve">unique and ever-evolving </w:t>
      </w:r>
      <w:r w:rsidR="008E2DAC" w:rsidRPr="784656E5">
        <w:rPr>
          <w:rFonts w:ascii="Times New Roman" w:eastAsia="Times New Roman" w:hAnsi="Times New Roman"/>
          <w:sz w:val="24"/>
          <w:szCs w:val="24"/>
        </w:rPr>
        <w:t>needs</w:t>
      </w:r>
      <w:r w:rsidR="00C07D6A" w:rsidRPr="784656E5">
        <w:rPr>
          <w:rFonts w:ascii="Times New Roman" w:eastAsia="Times New Roman" w:hAnsi="Times New Roman"/>
          <w:sz w:val="24"/>
          <w:szCs w:val="24"/>
        </w:rPr>
        <w:t xml:space="preserve">. </w:t>
      </w:r>
      <w:r w:rsidR="6C0F8699" w:rsidRPr="784656E5">
        <w:rPr>
          <w:rFonts w:ascii="Times New Roman" w:eastAsia="Times New Roman" w:hAnsi="Times New Roman"/>
          <w:sz w:val="24"/>
          <w:szCs w:val="24"/>
        </w:rPr>
        <w:t>T</w:t>
      </w:r>
      <w:r w:rsidRPr="784656E5">
        <w:rPr>
          <w:rFonts w:ascii="Times New Roman" w:eastAsia="Times New Roman" w:hAnsi="Times New Roman"/>
          <w:sz w:val="24"/>
          <w:szCs w:val="24"/>
        </w:rPr>
        <w:t>he flexible, on-demand workforce needs of corporate America remain strong</w:t>
      </w:r>
      <w:r w:rsidR="5272915E" w:rsidRPr="784656E5">
        <w:rPr>
          <w:rFonts w:ascii="Times New Roman" w:eastAsia="Times New Roman" w:hAnsi="Times New Roman"/>
          <w:sz w:val="24"/>
          <w:szCs w:val="24"/>
        </w:rPr>
        <w:t xml:space="preserve"> and are growing and changing daily</w:t>
      </w:r>
      <w:r w:rsidR="00C07D6A" w:rsidRPr="784656E5">
        <w:rPr>
          <w:rFonts w:ascii="Times New Roman" w:eastAsia="Times New Roman" w:hAnsi="Times New Roman"/>
          <w:sz w:val="24"/>
          <w:szCs w:val="24"/>
        </w:rPr>
        <w:t>. Th</w:t>
      </w:r>
      <w:r w:rsidR="006A73ED">
        <w:rPr>
          <w:rFonts w:ascii="Times New Roman" w:eastAsia="Times New Roman" w:hAnsi="Times New Roman"/>
          <w:sz w:val="24"/>
          <w:szCs w:val="24"/>
        </w:rPr>
        <w:t>ese</w:t>
      </w:r>
      <w:r w:rsidR="00C07D6A" w:rsidRPr="784656E5">
        <w:rPr>
          <w:rFonts w:ascii="Times New Roman" w:eastAsia="Times New Roman" w:hAnsi="Times New Roman"/>
          <w:sz w:val="24"/>
          <w:szCs w:val="24"/>
        </w:rPr>
        <w:t xml:space="preserve"> dynamic changes</w:t>
      </w:r>
      <w:r w:rsidR="00931F8A">
        <w:rPr>
          <w:rFonts w:ascii="Times New Roman" w:eastAsia="Times New Roman" w:hAnsi="Times New Roman"/>
          <w:sz w:val="24"/>
          <w:szCs w:val="24"/>
        </w:rPr>
        <w:t xml:space="preserve"> in</w:t>
      </w:r>
      <w:r w:rsidR="00C07D6A" w:rsidRPr="784656E5">
        <w:rPr>
          <w:rFonts w:ascii="Times New Roman" w:eastAsia="Times New Roman" w:hAnsi="Times New Roman"/>
          <w:sz w:val="24"/>
          <w:szCs w:val="24"/>
        </w:rPr>
        <w:t xml:space="preserve"> </w:t>
      </w:r>
      <w:r w:rsidR="00931F8A">
        <w:rPr>
          <w:rFonts w:ascii="Times New Roman" w:eastAsia="Times New Roman" w:hAnsi="Times New Roman"/>
          <w:sz w:val="24"/>
          <w:szCs w:val="24"/>
        </w:rPr>
        <w:t>how America</w:t>
      </w:r>
      <w:r w:rsidR="00C07D6A" w:rsidRPr="784656E5">
        <w:rPr>
          <w:rFonts w:ascii="Times New Roman" w:eastAsia="Times New Roman" w:hAnsi="Times New Roman"/>
          <w:sz w:val="24"/>
          <w:szCs w:val="24"/>
        </w:rPr>
        <w:t xml:space="preserve"> </w:t>
      </w:r>
      <w:r w:rsidR="4B61F932" w:rsidRPr="784656E5">
        <w:rPr>
          <w:rFonts w:ascii="Times New Roman" w:eastAsia="Times New Roman" w:hAnsi="Times New Roman"/>
          <w:sz w:val="24"/>
          <w:szCs w:val="24"/>
        </w:rPr>
        <w:t>works</w:t>
      </w:r>
      <w:r w:rsidR="00F72B56">
        <w:rPr>
          <w:rFonts w:ascii="Times New Roman" w:eastAsia="Times New Roman" w:hAnsi="Times New Roman"/>
          <w:sz w:val="24"/>
          <w:szCs w:val="24"/>
        </w:rPr>
        <w:t xml:space="preserve"> will benefit</w:t>
      </w:r>
      <w:r w:rsidR="4B61F932" w:rsidRPr="784656E5">
        <w:rPr>
          <w:rFonts w:ascii="Times New Roman" w:eastAsia="Times New Roman" w:hAnsi="Times New Roman"/>
          <w:sz w:val="24"/>
          <w:szCs w:val="24"/>
        </w:rPr>
        <w:t xml:space="preserve"> </w:t>
      </w:r>
      <w:r w:rsidR="00931F8A">
        <w:rPr>
          <w:rFonts w:ascii="Times New Roman" w:eastAsia="Times New Roman" w:hAnsi="Times New Roman"/>
          <w:sz w:val="24"/>
          <w:szCs w:val="24"/>
        </w:rPr>
        <w:t>our Company and</w:t>
      </w:r>
      <w:r w:rsidR="003A7D73">
        <w:rPr>
          <w:rFonts w:ascii="Times New Roman" w:eastAsia="Times New Roman" w:hAnsi="Times New Roman"/>
          <w:sz w:val="24"/>
          <w:szCs w:val="24"/>
        </w:rPr>
        <w:t xml:space="preserve"> the staffing</w:t>
      </w:r>
      <w:r w:rsidRPr="784656E5">
        <w:rPr>
          <w:rFonts w:ascii="Times New Roman" w:eastAsia="Times New Roman" w:hAnsi="Times New Roman"/>
          <w:sz w:val="24"/>
          <w:szCs w:val="24"/>
        </w:rPr>
        <w:t xml:space="preserve"> industry as a whole.</w:t>
      </w:r>
      <w:r w:rsidR="00F05739">
        <w:rPr>
          <w:rFonts w:ascii="Times New Roman" w:eastAsia="Times New Roman" w:hAnsi="Times New Roman"/>
          <w:sz w:val="24"/>
          <w:szCs w:val="24"/>
        </w:rPr>
        <w:t>”</w:t>
      </w:r>
    </w:p>
    <w:p w14:paraId="694814DB" w14:textId="77777777" w:rsidR="00DF7049" w:rsidRDefault="00DF7049" w:rsidP="784656E5">
      <w:pPr>
        <w:shd w:val="clear" w:color="auto" w:fill="FFFFFF" w:themeFill="background1"/>
        <w:spacing w:before="120"/>
        <w:jc w:val="both"/>
        <w:rPr>
          <w:b/>
          <w:bCs/>
          <w:color w:val="494949"/>
        </w:rPr>
      </w:pPr>
    </w:p>
    <w:p w14:paraId="30389DC4" w14:textId="77777777" w:rsidR="00583956" w:rsidRDefault="00583956">
      <w:pPr>
        <w:rPr>
          <w:b/>
          <w:bCs/>
          <w:color w:val="494949"/>
        </w:rPr>
      </w:pPr>
      <w:r>
        <w:rPr>
          <w:b/>
          <w:bCs/>
          <w:color w:val="494949"/>
        </w:rPr>
        <w:br w:type="page"/>
      </w:r>
    </w:p>
    <w:p w14:paraId="77FBC5E7" w14:textId="0A1DB1BF" w:rsidR="003723F8" w:rsidRDefault="003723F8" w:rsidP="00DF7049">
      <w:pPr>
        <w:shd w:val="clear" w:color="auto" w:fill="FFFFFF"/>
        <w:jc w:val="both"/>
        <w:rPr>
          <w:color w:val="494949"/>
        </w:rPr>
      </w:pPr>
      <w:r w:rsidRPr="00DF7049">
        <w:rPr>
          <w:b/>
          <w:bCs/>
          <w:color w:val="494949"/>
        </w:rPr>
        <w:lastRenderedPageBreak/>
        <w:t>Additional Information to Consider in Conjunction with the Press Release</w:t>
      </w:r>
    </w:p>
    <w:p w14:paraId="0A8FCCDC" w14:textId="77777777" w:rsidR="00DF7049" w:rsidRDefault="00DF7049" w:rsidP="00DF7049">
      <w:pPr>
        <w:shd w:val="clear" w:color="auto" w:fill="FFFFFF"/>
        <w:jc w:val="both"/>
        <w:rPr>
          <w:b/>
          <w:bCs/>
          <w:color w:val="494949"/>
        </w:rPr>
      </w:pPr>
    </w:p>
    <w:p w14:paraId="6C77C7C7" w14:textId="4C1D68EB" w:rsidR="00C07D6A" w:rsidRPr="00DF7049" w:rsidRDefault="003723F8" w:rsidP="784656E5">
      <w:pPr>
        <w:shd w:val="clear" w:color="auto" w:fill="FFFFFF" w:themeFill="background1"/>
        <w:jc w:val="both"/>
        <w:rPr>
          <w:color w:val="494949"/>
        </w:rPr>
      </w:pPr>
      <w:r w:rsidRPr="784656E5">
        <w:rPr>
          <w:b/>
          <w:bCs/>
          <w:color w:val="494949"/>
        </w:rPr>
        <w:t>The aforementioned</w:t>
      </w:r>
      <w:r w:rsidR="00C07D6A" w:rsidRPr="784656E5">
        <w:rPr>
          <w:b/>
          <w:bCs/>
          <w:color w:val="494949"/>
        </w:rPr>
        <w:t xml:space="preserve"> </w:t>
      </w:r>
      <w:r w:rsidR="00C07D6A" w:rsidRPr="784656E5">
        <w:rPr>
          <w:b/>
          <w:bCs/>
          <w:color w:val="595959" w:themeColor="text1" w:themeTint="A6"/>
        </w:rPr>
        <w:t>202</w:t>
      </w:r>
      <w:r w:rsidR="003A7D73">
        <w:rPr>
          <w:b/>
          <w:bCs/>
          <w:color w:val="595959" w:themeColor="text1" w:themeTint="A6"/>
        </w:rPr>
        <w:t>3</w:t>
      </w:r>
      <w:r w:rsidR="00C07D6A" w:rsidRPr="784656E5">
        <w:rPr>
          <w:b/>
          <w:bCs/>
          <w:color w:val="595959" w:themeColor="text1" w:themeTint="A6"/>
        </w:rPr>
        <w:t xml:space="preserve"> </w:t>
      </w:r>
      <w:r w:rsidR="16B05A00" w:rsidRPr="784656E5">
        <w:rPr>
          <w:b/>
          <w:bCs/>
          <w:color w:val="595959" w:themeColor="text1" w:themeTint="A6"/>
        </w:rPr>
        <w:t>f</w:t>
      </w:r>
      <w:r w:rsidR="00C07D6A" w:rsidRPr="784656E5">
        <w:rPr>
          <w:b/>
          <w:bCs/>
          <w:color w:val="595959" w:themeColor="text1" w:themeTint="A6"/>
        </w:rPr>
        <w:t xml:space="preserve">iscal </w:t>
      </w:r>
      <w:r w:rsidR="004D3121">
        <w:rPr>
          <w:b/>
          <w:bCs/>
          <w:color w:val="595959" w:themeColor="text1" w:themeTint="A6"/>
        </w:rPr>
        <w:t>second</w:t>
      </w:r>
      <w:r w:rsidR="00C07D6A" w:rsidRPr="784656E5">
        <w:rPr>
          <w:b/>
          <w:bCs/>
          <w:color w:val="595959" w:themeColor="text1" w:themeTint="A6"/>
        </w:rPr>
        <w:t xml:space="preserve"> </w:t>
      </w:r>
      <w:r w:rsidR="70050706" w:rsidRPr="784656E5">
        <w:rPr>
          <w:b/>
          <w:bCs/>
          <w:color w:val="595959" w:themeColor="text1" w:themeTint="A6"/>
        </w:rPr>
        <w:t>q</w:t>
      </w:r>
      <w:r w:rsidR="00C07D6A" w:rsidRPr="784656E5">
        <w:rPr>
          <w:b/>
          <w:bCs/>
          <w:color w:val="595959" w:themeColor="text1" w:themeTint="A6"/>
        </w:rPr>
        <w:t xml:space="preserve">uarter </w:t>
      </w:r>
      <w:r w:rsidR="0070186F" w:rsidRPr="784656E5">
        <w:rPr>
          <w:b/>
          <w:bCs/>
          <w:color w:val="595959" w:themeColor="text1" w:themeTint="A6"/>
        </w:rPr>
        <w:t>h</w:t>
      </w:r>
      <w:r w:rsidR="00C07D6A" w:rsidRPr="784656E5">
        <w:rPr>
          <w:b/>
          <w:bCs/>
          <w:color w:val="595959" w:themeColor="text1" w:themeTint="A6"/>
        </w:rPr>
        <w:t xml:space="preserve">ighlights and </w:t>
      </w:r>
      <w:r w:rsidR="6383E4A6" w:rsidRPr="784656E5">
        <w:rPr>
          <w:b/>
          <w:bCs/>
          <w:color w:val="595959" w:themeColor="text1" w:themeTint="A6"/>
        </w:rPr>
        <w:t>r</w:t>
      </w:r>
      <w:r w:rsidR="00C07D6A" w:rsidRPr="784656E5">
        <w:rPr>
          <w:b/>
          <w:bCs/>
          <w:color w:val="595959" w:themeColor="text1" w:themeTint="A6"/>
        </w:rPr>
        <w:t>esults</w:t>
      </w:r>
      <w:r w:rsidRPr="784656E5">
        <w:rPr>
          <w:b/>
          <w:bCs/>
          <w:color w:val="494949"/>
        </w:rPr>
        <w:t xml:space="preserve"> should be read in conjunction with all of the financial and other information included in GEE Group's </w:t>
      </w:r>
      <w:r w:rsidR="0F038A8F" w:rsidRPr="784656E5">
        <w:rPr>
          <w:b/>
          <w:bCs/>
          <w:color w:val="494949"/>
        </w:rPr>
        <w:t xml:space="preserve">most recent </w:t>
      </w:r>
      <w:r w:rsidR="525132EE" w:rsidRPr="784656E5">
        <w:rPr>
          <w:b/>
          <w:bCs/>
          <w:color w:val="494949"/>
        </w:rPr>
        <w:t xml:space="preserve">Quarterly Report on Form 10-Q, and its most recent </w:t>
      </w:r>
      <w:r w:rsidRPr="784656E5">
        <w:rPr>
          <w:b/>
          <w:bCs/>
          <w:color w:val="494949"/>
        </w:rPr>
        <w:t xml:space="preserve">Annual Report on Form 10-K, </w:t>
      </w:r>
      <w:r w:rsidR="6446365A" w:rsidRPr="784656E5">
        <w:rPr>
          <w:b/>
          <w:bCs/>
          <w:color w:val="494949"/>
        </w:rPr>
        <w:t xml:space="preserve">as well as any applicable </w:t>
      </w:r>
      <w:r w:rsidR="4C6ECEAC" w:rsidRPr="784656E5">
        <w:rPr>
          <w:b/>
          <w:bCs/>
          <w:color w:val="494949"/>
        </w:rPr>
        <w:t xml:space="preserve">recent </w:t>
      </w:r>
      <w:r w:rsidRPr="784656E5">
        <w:rPr>
          <w:b/>
          <w:bCs/>
          <w:color w:val="494949"/>
        </w:rPr>
        <w:t xml:space="preserve">Current Reports on Forms 8-K and 8-K/A, Registration Statements and Amendments on Forms S-1 and S-3, and Information Statements on Schedules 14A </w:t>
      </w:r>
      <w:r w:rsidR="00D346A8" w:rsidRPr="784656E5">
        <w:rPr>
          <w:b/>
          <w:bCs/>
          <w:color w:val="494949"/>
        </w:rPr>
        <w:t>and</w:t>
      </w:r>
      <w:r w:rsidRPr="784656E5">
        <w:rPr>
          <w:b/>
          <w:bCs/>
          <w:color w:val="494949"/>
        </w:rPr>
        <w:t xml:space="preserve"> 14C, filed with the SEC</w:t>
      </w:r>
      <w:r w:rsidR="7490B974" w:rsidRPr="784656E5">
        <w:rPr>
          <w:b/>
          <w:bCs/>
          <w:color w:val="494949"/>
        </w:rPr>
        <w:t>.</w:t>
      </w:r>
      <w:r w:rsidRPr="784656E5">
        <w:rPr>
          <w:b/>
          <w:bCs/>
          <w:color w:val="494949"/>
        </w:rPr>
        <w:t xml:space="preserve"> </w:t>
      </w:r>
      <w:r w:rsidR="10F61820" w:rsidRPr="784656E5">
        <w:rPr>
          <w:b/>
          <w:bCs/>
          <w:color w:val="494949"/>
        </w:rPr>
        <w:t>T</w:t>
      </w:r>
      <w:r w:rsidRPr="784656E5">
        <w:rPr>
          <w:b/>
          <w:bCs/>
          <w:color w:val="494949"/>
        </w:rPr>
        <w:t xml:space="preserve">he discussion of financial results in this press release, and the information included herein </w:t>
      </w:r>
      <w:r w:rsidR="24303624" w:rsidRPr="784656E5">
        <w:rPr>
          <w:b/>
          <w:bCs/>
          <w:color w:val="494949"/>
        </w:rPr>
        <w:t>include</w:t>
      </w:r>
      <w:r w:rsidRPr="784656E5">
        <w:rPr>
          <w:b/>
          <w:bCs/>
          <w:color w:val="494949"/>
        </w:rPr>
        <w:t xml:space="preserve"> the use of non-GAAP financial measures and related schedules attached hereto which reconcile the related items prescribed by </w:t>
      </w:r>
      <w:r w:rsidR="00BA3864" w:rsidRPr="784656E5">
        <w:rPr>
          <w:b/>
          <w:bCs/>
          <w:color w:val="494949"/>
        </w:rPr>
        <w:t>accounting principles generally accepted in the United States (</w:t>
      </w:r>
      <w:r w:rsidR="00E9506B" w:rsidRPr="784656E5">
        <w:rPr>
          <w:b/>
          <w:bCs/>
          <w:color w:val="494949"/>
        </w:rPr>
        <w:t xml:space="preserve">“GAAP” or </w:t>
      </w:r>
      <w:r w:rsidR="00BA3864" w:rsidRPr="784656E5">
        <w:rPr>
          <w:b/>
          <w:bCs/>
          <w:color w:val="494949"/>
        </w:rPr>
        <w:t>“</w:t>
      </w:r>
      <w:r w:rsidR="00E9506B" w:rsidRPr="784656E5">
        <w:rPr>
          <w:b/>
          <w:bCs/>
          <w:color w:val="494949"/>
        </w:rPr>
        <w:t xml:space="preserve">U.S </w:t>
      </w:r>
      <w:r w:rsidR="00BA3864" w:rsidRPr="784656E5">
        <w:rPr>
          <w:b/>
          <w:bCs/>
          <w:color w:val="494949"/>
        </w:rPr>
        <w:t>GAAP”)</w:t>
      </w:r>
      <w:r w:rsidRPr="784656E5">
        <w:rPr>
          <w:b/>
          <w:bCs/>
          <w:color w:val="494949"/>
        </w:rPr>
        <w:t xml:space="preserve"> to the non-GAAP financial information</w:t>
      </w:r>
      <w:r w:rsidR="00E9506B" w:rsidRPr="784656E5">
        <w:rPr>
          <w:b/>
          <w:bCs/>
          <w:color w:val="494949"/>
        </w:rPr>
        <w:t xml:space="preserve"> </w:t>
      </w:r>
      <w:r w:rsidR="435202AB" w:rsidRPr="784656E5">
        <w:rPr>
          <w:b/>
          <w:bCs/>
          <w:color w:val="494949"/>
        </w:rPr>
        <w:t xml:space="preserve">also are </w:t>
      </w:r>
      <w:r w:rsidR="00E9506B" w:rsidRPr="784656E5">
        <w:rPr>
          <w:b/>
          <w:bCs/>
          <w:color w:val="494949"/>
        </w:rPr>
        <w:t>presented herein</w:t>
      </w:r>
      <w:r w:rsidRPr="784656E5">
        <w:rPr>
          <w:b/>
          <w:bCs/>
          <w:color w:val="494949"/>
        </w:rPr>
        <w:t>. These non-GAAP financial measures are not a substitute for the comparable measures pr</w:t>
      </w:r>
      <w:r w:rsidR="00BA3864" w:rsidRPr="784656E5">
        <w:rPr>
          <w:b/>
          <w:bCs/>
          <w:color w:val="494949"/>
        </w:rPr>
        <w:t>escribed</w:t>
      </w:r>
      <w:r w:rsidRPr="784656E5">
        <w:rPr>
          <w:b/>
          <w:bCs/>
          <w:color w:val="494949"/>
        </w:rPr>
        <w:t xml:space="preserve"> by GAAP as further discussed below in this press release. </w:t>
      </w:r>
      <w:r w:rsidR="00C07D6A" w:rsidRPr="784656E5">
        <w:rPr>
          <w:b/>
          <w:bCs/>
          <w:color w:val="494949"/>
        </w:rPr>
        <w:t xml:space="preserve"> See "Use of Non-GAAP Financial Measures" and </w:t>
      </w:r>
      <w:r w:rsidR="00E9506B" w:rsidRPr="784656E5">
        <w:rPr>
          <w:b/>
          <w:bCs/>
          <w:color w:val="494949"/>
        </w:rPr>
        <w:t>the r</w:t>
      </w:r>
      <w:r w:rsidR="00C07D6A" w:rsidRPr="784656E5">
        <w:rPr>
          <w:b/>
          <w:bCs/>
          <w:color w:val="494949"/>
        </w:rPr>
        <w:t>econciliations of</w:t>
      </w:r>
      <w:r w:rsidR="00E9506B" w:rsidRPr="784656E5">
        <w:rPr>
          <w:b/>
          <w:bCs/>
          <w:color w:val="494949"/>
        </w:rPr>
        <w:t xml:space="preserve"> </w:t>
      </w:r>
      <w:r w:rsidR="00C07D6A" w:rsidRPr="784656E5">
        <w:rPr>
          <w:b/>
          <w:bCs/>
          <w:color w:val="494949"/>
        </w:rPr>
        <w:t xml:space="preserve">Non-GAAP Financial Measures </w:t>
      </w:r>
      <w:r w:rsidR="00E9506B" w:rsidRPr="784656E5">
        <w:rPr>
          <w:b/>
          <w:bCs/>
          <w:color w:val="494949"/>
        </w:rPr>
        <w:t>used in this press release with the Company’s corresponding financial measures presented in accordance with U.S. GAAP below.</w:t>
      </w:r>
    </w:p>
    <w:p w14:paraId="2875FDE6" w14:textId="77777777" w:rsidR="00C07D6A" w:rsidRDefault="00C07D6A" w:rsidP="00DF7049">
      <w:pPr>
        <w:shd w:val="clear" w:color="auto" w:fill="FFFFFF"/>
        <w:jc w:val="both"/>
        <w:rPr>
          <w:b/>
          <w:bCs/>
          <w:color w:val="494949"/>
        </w:rPr>
      </w:pPr>
    </w:p>
    <w:p w14:paraId="625760F4" w14:textId="38877056" w:rsidR="003723F8" w:rsidRPr="00DF7049" w:rsidRDefault="003723F8" w:rsidP="784656E5">
      <w:pPr>
        <w:shd w:val="clear" w:color="auto" w:fill="FFFFFF" w:themeFill="background1"/>
        <w:jc w:val="both"/>
        <w:rPr>
          <w:color w:val="494949"/>
        </w:rPr>
      </w:pPr>
      <w:r w:rsidRPr="784656E5">
        <w:rPr>
          <w:b/>
          <w:bCs/>
          <w:color w:val="494949"/>
        </w:rPr>
        <w:t xml:space="preserve">Financial information provided in this press release </w:t>
      </w:r>
      <w:r w:rsidR="00C07D6A" w:rsidRPr="784656E5">
        <w:rPr>
          <w:b/>
          <w:bCs/>
          <w:color w:val="494949"/>
        </w:rPr>
        <w:t xml:space="preserve">also </w:t>
      </w:r>
      <w:r w:rsidRPr="784656E5">
        <w:rPr>
          <w:b/>
          <w:bCs/>
          <w:color w:val="494949"/>
        </w:rPr>
        <w:t xml:space="preserve">may consist of </w:t>
      </w:r>
      <w:r w:rsidR="00BA3864" w:rsidRPr="784656E5">
        <w:rPr>
          <w:b/>
          <w:bCs/>
          <w:color w:val="494949"/>
        </w:rPr>
        <w:t xml:space="preserve">or refer to </w:t>
      </w:r>
      <w:r w:rsidRPr="784656E5">
        <w:rPr>
          <w:b/>
          <w:bCs/>
          <w:color w:val="494949"/>
        </w:rPr>
        <w:t>estimates, projected or pro forma financial information and certain assumptions that are considered forward looking statements</w:t>
      </w:r>
      <w:r w:rsidR="00D346A8" w:rsidRPr="784656E5">
        <w:rPr>
          <w:b/>
          <w:bCs/>
          <w:color w:val="494949"/>
        </w:rPr>
        <w:t xml:space="preserve">, </w:t>
      </w:r>
      <w:r w:rsidR="49B8990F" w:rsidRPr="784656E5">
        <w:rPr>
          <w:b/>
          <w:bCs/>
          <w:color w:val="494949"/>
        </w:rPr>
        <w:t xml:space="preserve">which </w:t>
      </w:r>
      <w:r w:rsidRPr="784656E5">
        <w:rPr>
          <w:b/>
          <w:bCs/>
          <w:color w:val="494949"/>
        </w:rPr>
        <w:t>are predictive in nature</w:t>
      </w:r>
      <w:r w:rsidR="00D346A8" w:rsidRPr="784656E5">
        <w:rPr>
          <w:b/>
          <w:bCs/>
          <w:color w:val="494949"/>
        </w:rPr>
        <w:t xml:space="preserve"> and</w:t>
      </w:r>
      <w:r w:rsidRPr="784656E5">
        <w:rPr>
          <w:b/>
          <w:bCs/>
          <w:color w:val="494949"/>
        </w:rPr>
        <w:t xml:space="preserve"> depend on future events</w:t>
      </w:r>
      <w:r w:rsidR="00D346A8" w:rsidRPr="784656E5">
        <w:rPr>
          <w:b/>
          <w:bCs/>
          <w:color w:val="494949"/>
        </w:rPr>
        <w:t>,</w:t>
      </w:r>
      <w:r w:rsidRPr="784656E5">
        <w:rPr>
          <w:b/>
          <w:bCs/>
          <w:color w:val="494949"/>
        </w:rPr>
        <w:t xml:space="preserve"> and </w:t>
      </w:r>
      <w:r w:rsidR="00BA3864" w:rsidRPr="784656E5">
        <w:rPr>
          <w:b/>
          <w:bCs/>
          <w:color w:val="494949"/>
        </w:rPr>
        <w:t xml:space="preserve">any such predicted or </w:t>
      </w:r>
      <w:r w:rsidRPr="784656E5">
        <w:rPr>
          <w:b/>
          <w:bCs/>
          <w:color w:val="494949"/>
        </w:rPr>
        <w:t xml:space="preserve">projected financial </w:t>
      </w:r>
      <w:r w:rsidR="00BA3864" w:rsidRPr="784656E5">
        <w:rPr>
          <w:b/>
          <w:bCs/>
          <w:color w:val="494949"/>
        </w:rPr>
        <w:t xml:space="preserve">or other </w:t>
      </w:r>
      <w:r w:rsidRPr="784656E5">
        <w:rPr>
          <w:b/>
          <w:bCs/>
          <w:color w:val="494949"/>
        </w:rPr>
        <w:t xml:space="preserve">results may not be realized nor are they guarantees of future performance. </w:t>
      </w:r>
      <w:r w:rsidR="00BA3864" w:rsidRPr="784656E5">
        <w:rPr>
          <w:b/>
          <w:bCs/>
          <w:color w:val="494949"/>
        </w:rPr>
        <w:t xml:space="preserve"> </w:t>
      </w:r>
      <w:r w:rsidRPr="784656E5">
        <w:rPr>
          <w:b/>
          <w:bCs/>
          <w:color w:val="494949"/>
        </w:rPr>
        <w:t>See "Forward-Looking Statements</w:t>
      </w:r>
      <w:r w:rsidR="007A2B1B">
        <w:rPr>
          <w:b/>
          <w:bCs/>
          <w:color w:val="494949"/>
        </w:rPr>
        <w:t xml:space="preserve"> Safe </w:t>
      </w:r>
      <w:bookmarkStart w:id="0" w:name="_GoBack"/>
      <w:bookmarkEnd w:id="0"/>
      <w:r w:rsidR="007A2B1B">
        <w:rPr>
          <w:b/>
          <w:bCs/>
          <w:color w:val="494949"/>
        </w:rPr>
        <w:t>Harbor</w:t>
      </w:r>
      <w:r w:rsidRPr="784656E5">
        <w:rPr>
          <w:b/>
          <w:bCs/>
          <w:color w:val="494949"/>
        </w:rPr>
        <w:t>" below which incorporates "Risk Factors" related to the COVID-19 pandemic and other potential items which may possibly have a negative effect on the Company's business.</w:t>
      </w:r>
    </w:p>
    <w:p w14:paraId="11A428DF" w14:textId="77777777" w:rsidR="00DF7049" w:rsidRDefault="00DF7049" w:rsidP="00DF7049">
      <w:pPr>
        <w:shd w:val="clear" w:color="auto" w:fill="FFFFFF"/>
        <w:jc w:val="both"/>
        <w:rPr>
          <w:b/>
          <w:bCs/>
          <w:color w:val="494949"/>
        </w:rPr>
      </w:pPr>
    </w:p>
    <w:p w14:paraId="4D2F4CBA" w14:textId="0D5504C1" w:rsidR="003723F8" w:rsidRPr="00DF7049" w:rsidRDefault="003723F8" w:rsidP="00DF7049">
      <w:pPr>
        <w:shd w:val="clear" w:color="auto" w:fill="FFFFFF"/>
        <w:jc w:val="both"/>
        <w:rPr>
          <w:color w:val="494949"/>
        </w:rPr>
      </w:pPr>
      <w:r w:rsidRPr="00DF7049">
        <w:rPr>
          <w:b/>
          <w:bCs/>
          <w:color w:val="494949"/>
        </w:rPr>
        <w:t>Use of Non-GAAP Financial Measures</w:t>
      </w:r>
    </w:p>
    <w:p w14:paraId="5207700D" w14:textId="77777777" w:rsidR="00DF7049" w:rsidRDefault="00DF7049" w:rsidP="00DF7049">
      <w:pPr>
        <w:shd w:val="clear" w:color="auto" w:fill="FFFFFF"/>
        <w:jc w:val="both"/>
        <w:rPr>
          <w:b/>
          <w:bCs/>
          <w:color w:val="494949"/>
        </w:rPr>
      </w:pPr>
    </w:p>
    <w:p w14:paraId="7157860A" w14:textId="67E98E9C" w:rsidR="00313C31" w:rsidRDefault="003723F8" w:rsidP="784656E5">
      <w:pPr>
        <w:shd w:val="clear" w:color="auto" w:fill="FFFFFF" w:themeFill="background1"/>
        <w:jc w:val="both"/>
        <w:rPr>
          <w:b/>
          <w:bCs/>
          <w:color w:val="494949"/>
        </w:rPr>
      </w:pPr>
      <w:r w:rsidRPr="784656E5">
        <w:rPr>
          <w:b/>
          <w:bCs/>
          <w:color w:val="494949"/>
        </w:rPr>
        <w:t xml:space="preserve">The Company </w:t>
      </w:r>
      <w:r w:rsidR="1CC21102" w:rsidRPr="784656E5">
        <w:rPr>
          <w:b/>
          <w:bCs/>
          <w:color w:val="494949"/>
        </w:rPr>
        <w:t>presents and highlights</w:t>
      </w:r>
      <w:r w:rsidRPr="784656E5">
        <w:rPr>
          <w:b/>
          <w:bCs/>
          <w:color w:val="494949"/>
        </w:rPr>
        <w:t xml:space="preserve"> </w:t>
      </w:r>
      <w:r w:rsidR="00BA3864" w:rsidRPr="784656E5">
        <w:rPr>
          <w:b/>
          <w:bCs/>
          <w:color w:val="494949"/>
        </w:rPr>
        <w:t xml:space="preserve">certain </w:t>
      </w:r>
      <w:r w:rsidRPr="784656E5">
        <w:rPr>
          <w:b/>
          <w:bCs/>
          <w:color w:val="494949"/>
        </w:rPr>
        <w:t xml:space="preserve">non-GAAP financial measures </w:t>
      </w:r>
      <w:r w:rsidR="00BA3864" w:rsidRPr="784656E5">
        <w:rPr>
          <w:b/>
          <w:bCs/>
          <w:color w:val="494949"/>
        </w:rPr>
        <w:t xml:space="preserve">in this press release, including Adjusted Net Income, </w:t>
      </w:r>
      <w:r w:rsidR="00632507" w:rsidRPr="784656E5">
        <w:rPr>
          <w:b/>
          <w:bCs/>
          <w:color w:val="494949"/>
        </w:rPr>
        <w:t xml:space="preserve">EBITDA, </w:t>
      </w:r>
      <w:r w:rsidR="00BA3864" w:rsidRPr="784656E5">
        <w:rPr>
          <w:b/>
          <w:bCs/>
          <w:color w:val="494949"/>
        </w:rPr>
        <w:t>Adjusted EBITDA and Free Cash Flow.  M</w:t>
      </w:r>
      <w:r w:rsidRPr="784656E5">
        <w:rPr>
          <w:b/>
          <w:bCs/>
          <w:color w:val="494949"/>
        </w:rPr>
        <w:t xml:space="preserve">anagement and the board of directors use </w:t>
      </w:r>
      <w:r w:rsidR="00632507" w:rsidRPr="784656E5">
        <w:rPr>
          <w:b/>
          <w:bCs/>
          <w:color w:val="494949"/>
        </w:rPr>
        <w:t xml:space="preserve">and refer to these </w:t>
      </w:r>
      <w:r w:rsidRPr="784656E5">
        <w:rPr>
          <w:b/>
          <w:bCs/>
          <w:color w:val="494949"/>
        </w:rPr>
        <w:t>non-GAAP financial measures internally as a supplement t</w:t>
      </w:r>
      <w:r w:rsidR="00E9506B" w:rsidRPr="784656E5">
        <w:rPr>
          <w:b/>
          <w:bCs/>
          <w:color w:val="494949"/>
        </w:rPr>
        <w:t>o</w:t>
      </w:r>
      <w:r w:rsidRPr="784656E5">
        <w:rPr>
          <w:b/>
          <w:bCs/>
          <w:color w:val="494949"/>
        </w:rPr>
        <w:t xml:space="preserve"> financial information </w:t>
      </w:r>
      <w:r w:rsidR="00E9506B" w:rsidRPr="784656E5">
        <w:rPr>
          <w:b/>
          <w:bCs/>
          <w:color w:val="494949"/>
        </w:rPr>
        <w:t xml:space="preserve">presented in accordance with U.S. GAAP.  Non-GAAP financial measures are used </w:t>
      </w:r>
      <w:r w:rsidR="00632507" w:rsidRPr="784656E5">
        <w:rPr>
          <w:b/>
          <w:bCs/>
          <w:color w:val="494949"/>
        </w:rPr>
        <w:t>for purposes of</w:t>
      </w:r>
      <w:r w:rsidRPr="784656E5">
        <w:rPr>
          <w:b/>
          <w:bCs/>
          <w:color w:val="494949"/>
        </w:rPr>
        <w:t xml:space="preserve"> evaluat</w:t>
      </w:r>
      <w:r w:rsidR="00632507" w:rsidRPr="784656E5">
        <w:rPr>
          <w:b/>
          <w:bCs/>
          <w:color w:val="494949"/>
        </w:rPr>
        <w:t>ing</w:t>
      </w:r>
      <w:r w:rsidRPr="784656E5">
        <w:rPr>
          <w:b/>
          <w:bCs/>
          <w:color w:val="494949"/>
        </w:rPr>
        <w:t xml:space="preserve"> operating performance, financial planning purposes, establish</w:t>
      </w:r>
      <w:r w:rsidR="00632507" w:rsidRPr="784656E5">
        <w:rPr>
          <w:b/>
          <w:bCs/>
          <w:color w:val="494949"/>
        </w:rPr>
        <w:t>ing</w:t>
      </w:r>
      <w:r w:rsidRPr="784656E5">
        <w:rPr>
          <w:b/>
          <w:bCs/>
          <w:color w:val="494949"/>
        </w:rPr>
        <w:t xml:space="preserve"> </w:t>
      </w:r>
      <w:r w:rsidR="00F47F76" w:rsidRPr="784656E5">
        <w:rPr>
          <w:b/>
          <w:bCs/>
          <w:color w:val="494949"/>
        </w:rPr>
        <w:t xml:space="preserve">operational and budgetary goals, </w:t>
      </w:r>
      <w:r w:rsidR="5776281E" w:rsidRPr="784656E5">
        <w:rPr>
          <w:b/>
          <w:bCs/>
          <w:color w:val="494949"/>
        </w:rPr>
        <w:t xml:space="preserve">setting financial goals for incentive </w:t>
      </w:r>
      <w:r w:rsidR="00F47F76" w:rsidRPr="784656E5">
        <w:rPr>
          <w:b/>
          <w:bCs/>
          <w:color w:val="494949"/>
        </w:rPr>
        <w:t>compensation plans, analysis of debt service capacity, capital expenditure planning and determining working capital needs</w:t>
      </w:r>
      <w:r w:rsidR="00E9506B" w:rsidRPr="784656E5">
        <w:rPr>
          <w:b/>
          <w:bCs/>
          <w:color w:val="494949"/>
        </w:rPr>
        <w:t>.  The Company</w:t>
      </w:r>
      <w:r w:rsidR="00F47F76" w:rsidRPr="784656E5">
        <w:rPr>
          <w:b/>
          <w:bCs/>
          <w:color w:val="494949"/>
        </w:rPr>
        <w:t xml:space="preserve"> also believe</w:t>
      </w:r>
      <w:r w:rsidR="00E9506B" w:rsidRPr="784656E5">
        <w:rPr>
          <w:b/>
          <w:bCs/>
          <w:color w:val="494949"/>
        </w:rPr>
        <w:t>s</w:t>
      </w:r>
      <w:r w:rsidR="00F47F76" w:rsidRPr="784656E5">
        <w:rPr>
          <w:b/>
          <w:bCs/>
          <w:color w:val="494949"/>
        </w:rPr>
        <w:t xml:space="preserve"> that these </w:t>
      </w:r>
      <w:r w:rsidR="00E9506B" w:rsidRPr="784656E5">
        <w:rPr>
          <w:b/>
          <w:bCs/>
          <w:color w:val="494949"/>
        </w:rPr>
        <w:t xml:space="preserve">non-GAAP financial measures also </w:t>
      </w:r>
      <w:r w:rsidR="00F47F76" w:rsidRPr="784656E5">
        <w:rPr>
          <w:b/>
          <w:bCs/>
          <w:color w:val="494949"/>
        </w:rPr>
        <w:t xml:space="preserve">are </w:t>
      </w:r>
      <w:r w:rsidR="00E9506B" w:rsidRPr="784656E5">
        <w:rPr>
          <w:b/>
          <w:bCs/>
          <w:color w:val="494949"/>
        </w:rPr>
        <w:t xml:space="preserve">considered </w:t>
      </w:r>
      <w:r w:rsidR="00F47F76" w:rsidRPr="784656E5">
        <w:rPr>
          <w:b/>
          <w:bCs/>
          <w:color w:val="494949"/>
        </w:rPr>
        <w:t xml:space="preserve">useful by investors. </w:t>
      </w:r>
    </w:p>
    <w:p w14:paraId="2A75CD90" w14:textId="045BCE34" w:rsidR="00313C31" w:rsidRDefault="00313C31" w:rsidP="00DF7049">
      <w:pPr>
        <w:shd w:val="clear" w:color="auto" w:fill="FFFFFF"/>
        <w:jc w:val="both"/>
        <w:rPr>
          <w:b/>
          <w:bCs/>
          <w:color w:val="494949"/>
        </w:rPr>
      </w:pPr>
    </w:p>
    <w:p w14:paraId="5C3A38A1" w14:textId="2BDD3AF0" w:rsidR="00E9506B" w:rsidRDefault="00313C31" w:rsidP="009D6B74">
      <w:pPr>
        <w:shd w:val="clear" w:color="auto" w:fill="FFFFFF"/>
        <w:jc w:val="both"/>
        <w:rPr>
          <w:b/>
          <w:bCs/>
          <w:color w:val="494949"/>
        </w:rPr>
      </w:pPr>
      <w:r>
        <w:rPr>
          <w:b/>
          <w:bCs/>
          <w:color w:val="494949"/>
        </w:rPr>
        <w:t xml:space="preserve">Non-GAAP Adjusted Net Income is defined as Net Income </w:t>
      </w:r>
      <w:r w:rsidRPr="00BB4E5F">
        <w:rPr>
          <w:b/>
          <w:bCs/>
          <w:color w:val="494949"/>
        </w:rPr>
        <w:t>adjusted for non-cash stock compensation expenses, acquisition, integration, restructuring and other non-recurring expenses, capital markets-related expenses, gain</w:t>
      </w:r>
      <w:r>
        <w:rPr>
          <w:b/>
          <w:bCs/>
          <w:color w:val="494949"/>
        </w:rPr>
        <w:t>s</w:t>
      </w:r>
      <w:r w:rsidRPr="00BB4E5F">
        <w:rPr>
          <w:b/>
          <w:bCs/>
          <w:color w:val="494949"/>
        </w:rPr>
        <w:t xml:space="preserve"> or loss</w:t>
      </w:r>
      <w:r>
        <w:rPr>
          <w:b/>
          <w:bCs/>
          <w:color w:val="494949"/>
        </w:rPr>
        <w:t>es</w:t>
      </w:r>
      <w:r w:rsidRPr="00BB4E5F">
        <w:rPr>
          <w:b/>
          <w:bCs/>
          <w:color w:val="494949"/>
        </w:rPr>
        <w:t xml:space="preserve"> on extinguishment of debt and noncash goodwill impairment charges</w:t>
      </w:r>
      <w:r>
        <w:rPr>
          <w:b/>
          <w:bCs/>
          <w:color w:val="494949"/>
        </w:rPr>
        <w:t xml:space="preserve">.  </w:t>
      </w:r>
    </w:p>
    <w:p w14:paraId="2219AD89" w14:textId="77777777" w:rsidR="00E9506B" w:rsidRDefault="00E9506B" w:rsidP="009D6B74">
      <w:pPr>
        <w:shd w:val="clear" w:color="auto" w:fill="FFFFFF"/>
        <w:jc w:val="both"/>
        <w:rPr>
          <w:b/>
          <w:bCs/>
          <w:color w:val="494949"/>
        </w:rPr>
      </w:pPr>
    </w:p>
    <w:p w14:paraId="5CA788F5" w14:textId="3896C1CD" w:rsidR="009D6B74" w:rsidRDefault="00313C31" w:rsidP="784656E5">
      <w:pPr>
        <w:shd w:val="clear" w:color="auto" w:fill="FFFFFF" w:themeFill="background1"/>
        <w:jc w:val="both"/>
        <w:rPr>
          <w:b/>
          <w:bCs/>
          <w:color w:val="494949"/>
        </w:rPr>
      </w:pPr>
      <w:r w:rsidRPr="784656E5">
        <w:rPr>
          <w:b/>
          <w:bCs/>
          <w:color w:val="494949"/>
        </w:rPr>
        <w:lastRenderedPageBreak/>
        <w:t xml:space="preserve">Non-GAAP EBITDA is defined as </w:t>
      </w:r>
      <w:r w:rsidR="00E9506B" w:rsidRPr="784656E5">
        <w:rPr>
          <w:b/>
          <w:bCs/>
          <w:color w:val="494949"/>
        </w:rPr>
        <w:t>n</w:t>
      </w:r>
      <w:r w:rsidRPr="784656E5">
        <w:rPr>
          <w:b/>
          <w:bCs/>
          <w:color w:val="494949"/>
        </w:rPr>
        <w:t xml:space="preserve">et </w:t>
      </w:r>
      <w:r w:rsidR="00E9506B" w:rsidRPr="784656E5">
        <w:rPr>
          <w:b/>
          <w:bCs/>
          <w:color w:val="494949"/>
        </w:rPr>
        <w:t>i</w:t>
      </w:r>
      <w:r w:rsidRPr="784656E5">
        <w:rPr>
          <w:b/>
          <w:bCs/>
          <w:color w:val="494949"/>
        </w:rPr>
        <w:t xml:space="preserve">ncome before interest, taxes, depreciation and amortization.  Non-GAAP </w:t>
      </w:r>
      <w:r w:rsidR="005518C2" w:rsidRPr="784656E5">
        <w:rPr>
          <w:b/>
          <w:bCs/>
          <w:color w:val="494949"/>
        </w:rPr>
        <w:t>a</w:t>
      </w:r>
      <w:r w:rsidRPr="784656E5">
        <w:rPr>
          <w:b/>
          <w:bCs/>
          <w:color w:val="494949"/>
        </w:rPr>
        <w:t xml:space="preserve">djusted EBITDA is defined as EBITDA, adjusted for the same items </w:t>
      </w:r>
      <w:r w:rsidR="005518C2" w:rsidRPr="784656E5">
        <w:rPr>
          <w:b/>
          <w:bCs/>
          <w:color w:val="494949"/>
        </w:rPr>
        <w:t>used to derive non-GAAP a</w:t>
      </w:r>
      <w:r w:rsidRPr="784656E5">
        <w:rPr>
          <w:b/>
          <w:bCs/>
          <w:color w:val="494949"/>
        </w:rPr>
        <w:t xml:space="preserve">djusted </w:t>
      </w:r>
      <w:r w:rsidR="005518C2" w:rsidRPr="784656E5">
        <w:rPr>
          <w:b/>
          <w:bCs/>
          <w:color w:val="494949"/>
        </w:rPr>
        <w:t>n</w:t>
      </w:r>
      <w:r w:rsidRPr="784656E5">
        <w:rPr>
          <w:b/>
          <w:bCs/>
          <w:color w:val="494949"/>
        </w:rPr>
        <w:t xml:space="preserve">et </w:t>
      </w:r>
      <w:r w:rsidR="005518C2" w:rsidRPr="784656E5">
        <w:rPr>
          <w:b/>
          <w:bCs/>
          <w:color w:val="494949"/>
        </w:rPr>
        <w:t>i</w:t>
      </w:r>
      <w:r w:rsidRPr="784656E5">
        <w:rPr>
          <w:b/>
          <w:bCs/>
          <w:color w:val="494949"/>
        </w:rPr>
        <w:t>ncome (</w:t>
      </w:r>
      <w:r w:rsidR="005518C2" w:rsidRPr="784656E5">
        <w:rPr>
          <w:b/>
          <w:bCs/>
          <w:color w:val="494949"/>
        </w:rPr>
        <w:t>l</w:t>
      </w:r>
      <w:r w:rsidRPr="784656E5">
        <w:rPr>
          <w:b/>
          <w:bCs/>
          <w:color w:val="494949"/>
        </w:rPr>
        <w:t xml:space="preserve">oss).  Non-GAAP </w:t>
      </w:r>
      <w:r w:rsidR="005518C2" w:rsidRPr="784656E5">
        <w:rPr>
          <w:b/>
          <w:bCs/>
          <w:color w:val="494949"/>
        </w:rPr>
        <w:t>f</w:t>
      </w:r>
      <w:r w:rsidRPr="784656E5">
        <w:rPr>
          <w:b/>
          <w:bCs/>
          <w:color w:val="494949"/>
        </w:rPr>
        <w:t xml:space="preserve">ree </w:t>
      </w:r>
      <w:r w:rsidR="005518C2" w:rsidRPr="784656E5">
        <w:rPr>
          <w:b/>
          <w:bCs/>
          <w:color w:val="494949"/>
        </w:rPr>
        <w:t>c</w:t>
      </w:r>
      <w:r w:rsidRPr="784656E5">
        <w:rPr>
          <w:b/>
          <w:bCs/>
          <w:color w:val="494949"/>
        </w:rPr>
        <w:t xml:space="preserve">ash </w:t>
      </w:r>
      <w:r w:rsidR="005518C2" w:rsidRPr="784656E5">
        <w:rPr>
          <w:b/>
          <w:bCs/>
          <w:color w:val="494949"/>
        </w:rPr>
        <w:t>f</w:t>
      </w:r>
      <w:r w:rsidRPr="784656E5">
        <w:rPr>
          <w:b/>
          <w:bCs/>
          <w:color w:val="494949"/>
        </w:rPr>
        <w:t xml:space="preserve">low is defined as </w:t>
      </w:r>
      <w:r w:rsidR="005518C2" w:rsidRPr="784656E5">
        <w:rPr>
          <w:b/>
          <w:bCs/>
          <w:color w:val="494949"/>
        </w:rPr>
        <w:t>c</w:t>
      </w:r>
      <w:r w:rsidRPr="784656E5">
        <w:rPr>
          <w:b/>
          <w:bCs/>
          <w:color w:val="494949"/>
        </w:rPr>
        <w:t xml:space="preserve">ash </w:t>
      </w:r>
      <w:r w:rsidR="005518C2" w:rsidRPr="784656E5">
        <w:rPr>
          <w:b/>
          <w:bCs/>
          <w:color w:val="494949"/>
        </w:rPr>
        <w:t>f</w:t>
      </w:r>
      <w:r w:rsidRPr="784656E5">
        <w:rPr>
          <w:b/>
          <w:bCs/>
          <w:color w:val="494949"/>
        </w:rPr>
        <w:t xml:space="preserve">low from </w:t>
      </w:r>
      <w:r w:rsidR="005518C2" w:rsidRPr="784656E5">
        <w:rPr>
          <w:b/>
          <w:bCs/>
          <w:color w:val="494949"/>
        </w:rPr>
        <w:t>o</w:t>
      </w:r>
      <w:r w:rsidRPr="784656E5">
        <w:rPr>
          <w:b/>
          <w:bCs/>
          <w:color w:val="494949"/>
        </w:rPr>
        <w:t xml:space="preserve">perating </w:t>
      </w:r>
      <w:r w:rsidR="005518C2" w:rsidRPr="784656E5">
        <w:rPr>
          <w:b/>
          <w:bCs/>
          <w:color w:val="494949"/>
        </w:rPr>
        <w:t>a</w:t>
      </w:r>
      <w:r w:rsidRPr="784656E5">
        <w:rPr>
          <w:b/>
          <w:bCs/>
          <w:color w:val="494949"/>
        </w:rPr>
        <w:t>ctivities</w:t>
      </w:r>
      <w:r w:rsidR="009D6B74" w:rsidRPr="784656E5">
        <w:rPr>
          <w:b/>
          <w:bCs/>
          <w:color w:val="494949"/>
        </w:rPr>
        <w:t>,</w:t>
      </w:r>
      <w:r w:rsidRPr="784656E5">
        <w:rPr>
          <w:b/>
          <w:bCs/>
          <w:color w:val="494949"/>
        </w:rPr>
        <w:t xml:space="preserve"> less capital expenditures.  Non-GAAP </w:t>
      </w:r>
      <w:r w:rsidR="005518C2" w:rsidRPr="784656E5">
        <w:rPr>
          <w:b/>
          <w:bCs/>
          <w:color w:val="494949"/>
        </w:rPr>
        <w:t>a</w:t>
      </w:r>
      <w:r w:rsidRPr="784656E5">
        <w:rPr>
          <w:b/>
          <w:bCs/>
          <w:color w:val="494949"/>
        </w:rPr>
        <w:t xml:space="preserve">djusted </w:t>
      </w:r>
      <w:r w:rsidR="005518C2" w:rsidRPr="784656E5">
        <w:rPr>
          <w:b/>
          <w:bCs/>
          <w:color w:val="494949"/>
        </w:rPr>
        <w:t>n</w:t>
      </w:r>
      <w:r w:rsidRPr="784656E5">
        <w:rPr>
          <w:b/>
          <w:bCs/>
          <w:color w:val="494949"/>
        </w:rPr>
        <w:t xml:space="preserve">et </w:t>
      </w:r>
      <w:r w:rsidR="005518C2" w:rsidRPr="784656E5">
        <w:rPr>
          <w:b/>
          <w:bCs/>
          <w:color w:val="494949"/>
        </w:rPr>
        <w:t>i</w:t>
      </w:r>
      <w:r w:rsidRPr="784656E5">
        <w:rPr>
          <w:b/>
          <w:bCs/>
          <w:color w:val="494949"/>
        </w:rPr>
        <w:t xml:space="preserve">ncome, EBITDA, </w:t>
      </w:r>
      <w:r w:rsidR="005518C2" w:rsidRPr="784656E5">
        <w:rPr>
          <w:b/>
          <w:bCs/>
          <w:color w:val="494949"/>
        </w:rPr>
        <w:t>a</w:t>
      </w:r>
      <w:r w:rsidRPr="784656E5">
        <w:rPr>
          <w:b/>
          <w:bCs/>
          <w:color w:val="494949"/>
        </w:rPr>
        <w:t xml:space="preserve">djusted EBITDA and </w:t>
      </w:r>
      <w:r w:rsidR="005518C2" w:rsidRPr="784656E5">
        <w:rPr>
          <w:b/>
          <w:bCs/>
          <w:color w:val="494949"/>
        </w:rPr>
        <w:t>f</w:t>
      </w:r>
      <w:r w:rsidRPr="784656E5">
        <w:rPr>
          <w:b/>
          <w:bCs/>
          <w:color w:val="494949"/>
        </w:rPr>
        <w:t xml:space="preserve">ree </w:t>
      </w:r>
      <w:r w:rsidR="005518C2" w:rsidRPr="784656E5">
        <w:rPr>
          <w:b/>
          <w:bCs/>
          <w:color w:val="494949"/>
        </w:rPr>
        <w:t>c</w:t>
      </w:r>
      <w:r w:rsidRPr="784656E5">
        <w:rPr>
          <w:b/>
          <w:bCs/>
          <w:color w:val="494949"/>
        </w:rPr>
        <w:t xml:space="preserve">ash </w:t>
      </w:r>
      <w:r w:rsidR="005518C2" w:rsidRPr="784656E5">
        <w:rPr>
          <w:b/>
          <w:bCs/>
          <w:color w:val="494949"/>
        </w:rPr>
        <w:t>f</w:t>
      </w:r>
      <w:r w:rsidRPr="784656E5">
        <w:rPr>
          <w:b/>
          <w:bCs/>
          <w:color w:val="494949"/>
        </w:rPr>
        <w:t xml:space="preserve">low are not terms </w:t>
      </w:r>
      <w:r w:rsidR="005518C2" w:rsidRPr="784656E5">
        <w:rPr>
          <w:b/>
          <w:bCs/>
          <w:color w:val="494949"/>
        </w:rPr>
        <w:t xml:space="preserve">proscribed or </w:t>
      </w:r>
      <w:r w:rsidRPr="784656E5">
        <w:rPr>
          <w:b/>
          <w:bCs/>
          <w:color w:val="494949"/>
        </w:rPr>
        <w:t>defined by GAAP and, as a result, the Company's measure of t</w:t>
      </w:r>
      <w:r w:rsidR="005518C2" w:rsidRPr="784656E5">
        <w:rPr>
          <w:b/>
          <w:bCs/>
          <w:color w:val="494949"/>
        </w:rPr>
        <w:t>hem may</w:t>
      </w:r>
      <w:r w:rsidRPr="784656E5">
        <w:rPr>
          <w:b/>
          <w:bCs/>
          <w:color w:val="494949"/>
        </w:rPr>
        <w:t xml:space="preserve"> not </w:t>
      </w:r>
      <w:r w:rsidR="005518C2" w:rsidRPr="784656E5">
        <w:rPr>
          <w:b/>
          <w:bCs/>
          <w:color w:val="494949"/>
        </w:rPr>
        <w:t>be</w:t>
      </w:r>
      <w:r w:rsidRPr="784656E5">
        <w:rPr>
          <w:b/>
          <w:bCs/>
          <w:color w:val="494949"/>
        </w:rPr>
        <w:t xml:space="preserve"> comparable to similarly titled measures used by other companies. Generally, a non-GAAP financial measure is a numerical measure of a company's performance, financial position, or cash flow that either excludes or includes amounts that are not normally excluded or included in the most directly comparable measure calculated and presented in accordance with GAAP. The non-GAAP financial measures discussed above should be considered in addition to, and not as substitutes for, nor as being superior to </w:t>
      </w:r>
      <w:r w:rsidR="005518C2" w:rsidRPr="784656E5">
        <w:rPr>
          <w:b/>
          <w:bCs/>
          <w:color w:val="494949"/>
        </w:rPr>
        <w:t>n</w:t>
      </w:r>
      <w:r w:rsidRPr="784656E5">
        <w:rPr>
          <w:b/>
          <w:bCs/>
          <w:color w:val="494949"/>
        </w:rPr>
        <w:t xml:space="preserve">et </w:t>
      </w:r>
      <w:r w:rsidR="005518C2" w:rsidRPr="784656E5">
        <w:rPr>
          <w:b/>
          <w:bCs/>
          <w:color w:val="494949"/>
        </w:rPr>
        <w:t>i</w:t>
      </w:r>
      <w:r w:rsidRPr="784656E5">
        <w:rPr>
          <w:b/>
          <w:bCs/>
          <w:color w:val="494949"/>
        </w:rPr>
        <w:t xml:space="preserve">ncome reported in the </w:t>
      </w:r>
      <w:r w:rsidR="005518C2" w:rsidRPr="784656E5">
        <w:rPr>
          <w:b/>
          <w:bCs/>
          <w:color w:val="494949"/>
        </w:rPr>
        <w:t>c</w:t>
      </w:r>
      <w:r w:rsidRPr="784656E5">
        <w:rPr>
          <w:b/>
          <w:bCs/>
          <w:color w:val="494949"/>
        </w:rPr>
        <w:t xml:space="preserve">onsolidated </w:t>
      </w:r>
      <w:r w:rsidR="005518C2" w:rsidRPr="784656E5">
        <w:rPr>
          <w:b/>
          <w:bCs/>
          <w:color w:val="494949"/>
        </w:rPr>
        <w:t>s</w:t>
      </w:r>
      <w:r w:rsidRPr="784656E5">
        <w:rPr>
          <w:b/>
          <w:bCs/>
          <w:color w:val="494949"/>
        </w:rPr>
        <w:t xml:space="preserve">tatements of </w:t>
      </w:r>
      <w:r w:rsidR="005518C2" w:rsidRPr="784656E5">
        <w:rPr>
          <w:b/>
          <w:bCs/>
          <w:color w:val="494949"/>
        </w:rPr>
        <w:t>i</w:t>
      </w:r>
      <w:r w:rsidRPr="784656E5">
        <w:rPr>
          <w:b/>
          <w:bCs/>
          <w:color w:val="494949"/>
        </w:rPr>
        <w:t xml:space="preserve">ncome, cash and cash flows reported in the </w:t>
      </w:r>
      <w:r w:rsidR="005518C2" w:rsidRPr="784656E5">
        <w:rPr>
          <w:b/>
          <w:bCs/>
          <w:color w:val="494949"/>
        </w:rPr>
        <w:t>c</w:t>
      </w:r>
      <w:r w:rsidRPr="784656E5">
        <w:rPr>
          <w:b/>
          <w:bCs/>
          <w:color w:val="494949"/>
        </w:rPr>
        <w:t xml:space="preserve">onsolidated </w:t>
      </w:r>
      <w:r w:rsidR="005518C2" w:rsidRPr="784656E5">
        <w:rPr>
          <w:b/>
          <w:bCs/>
          <w:color w:val="494949"/>
        </w:rPr>
        <w:t>s</w:t>
      </w:r>
      <w:r w:rsidRPr="784656E5">
        <w:rPr>
          <w:b/>
          <w:bCs/>
          <w:color w:val="494949"/>
        </w:rPr>
        <w:t xml:space="preserve">tatements of </w:t>
      </w:r>
      <w:r w:rsidR="005518C2" w:rsidRPr="784656E5">
        <w:rPr>
          <w:b/>
          <w:bCs/>
          <w:color w:val="494949"/>
        </w:rPr>
        <w:t>c</w:t>
      </w:r>
      <w:r w:rsidRPr="784656E5">
        <w:rPr>
          <w:b/>
          <w:bCs/>
          <w:color w:val="494949"/>
        </w:rPr>
        <w:t xml:space="preserve">ash </w:t>
      </w:r>
      <w:r w:rsidR="005518C2" w:rsidRPr="784656E5">
        <w:rPr>
          <w:b/>
          <w:bCs/>
          <w:color w:val="494949"/>
        </w:rPr>
        <w:t>f</w:t>
      </w:r>
      <w:r w:rsidRPr="784656E5">
        <w:rPr>
          <w:b/>
          <w:bCs/>
          <w:color w:val="494949"/>
        </w:rPr>
        <w:t xml:space="preserve">lows, or other measures of financial performance reflected </w:t>
      </w:r>
      <w:r w:rsidR="005518C2" w:rsidRPr="784656E5">
        <w:rPr>
          <w:b/>
          <w:bCs/>
          <w:color w:val="494949"/>
        </w:rPr>
        <w:t>i</w:t>
      </w:r>
      <w:r w:rsidRPr="784656E5">
        <w:rPr>
          <w:b/>
          <w:bCs/>
          <w:color w:val="494949"/>
        </w:rPr>
        <w:t>n the Company's consolidated financial statements prepared in accordance with U.S. GAAP included in Form</w:t>
      </w:r>
      <w:r w:rsidR="13D85C54" w:rsidRPr="784656E5">
        <w:rPr>
          <w:b/>
          <w:bCs/>
          <w:color w:val="494949"/>
        </w:rPr>
        <w:t>s</w:t>
      </w:r>
      <w:r w:rsidRPr="784656E5">
        <w:rPr>
          <w:b/>
          <w:bCs/>
          <w:color w:val="494949"/>
        </w:rPr>
        <w:t xml:space="preserve"> 10-</w:t>
      </w:r>
      <w:r w:rsidR="3BC4CAF8" w:rsidRPr="784656E5">
        <w:rPr>
          <w:b/>
          <w:bCs/>
          <w:color w:val="494949"/>
        </w:rPr>
        <w:t>Q</w:t>
      </w:r>
      <w:r w:rsidRPr="784656E5">
        <w:rPr>
          <w:b/>
          <w:bCs/>
          <w:color w:val="494949"/>
        </w:rPr>
        <w:t xml:space="preserve"> and 10-</w:t>
      </w:r>
      <w:r w:rsidR="635F39F2" w:rsidRPr="784656E5">
        <w:rPr>
          <w:b/>
          <w:bCs/>
          <w:color w:val="494949"/>
        </w:rPr>
        <w:t>K</w:t>
      </w:r>
      <w:r w:rsidRPr="784656E5">
        <w:rPr>
          <w:b/>
          <w:bCs/>
          <w:color w:val="494949"/>
        </w:rPr>
        <w:t xml:space="preserve"> filed with the SEC, which should be read and referred to in order to obtain a comprehensive and thorough understanding of the Company's financial results. </w:t>
      </w:r>
    </w:p>
    <w:p w14:paraId="2A0F1D68" w14:textId="77777777" w:rsidR="009D6B74" w:rsidRDefault="009D6B74" w:rsidP="009D6B74">
      <w:pPr>
        <w:shd w:val="clear" w:color="auto" w:fill="FFFFFF"/>
        <w:jc w:val="both"/>
        <w:rPr>
          <w:b/>
          <w:bCs/>
          <w:color w:val="494949"/>
        </w:rPr>
      </w:pPr>
    </w:p>
    <w:p w14:paraId="632617E7" w14:textId="312C6109" w:rsidR="00313C31" w:rsidRPr="00DF7049" w:rsidRDefault="00313C31" w:rsidP="784656E5">
      <w:pPr>
        <w:shd w:val="clear" w:color="auto" w:fill="FFFFFF" w:themeFill="background1"/>
        <w:jc w:val="both"/>
        <w:rPr>
          <w:color w:val="494949"/>
        </w:rPr>
      </w:pPr>
      <w:r w:rsidRPr="784656E5">
        <w:rPr>
          <w:b/>
          <w:bCs/>
          <w:color w:val="494949"/>
        </w:rPr>
        <w:t>The reconciliations of</w:t>
      </w:r>
      <w:r w:rsidR="7CCFCF26" w:rsidRPr="784656E5">
        <w:rPr>
          <w:b/>
          <w:bCs/>
          <w:color w:val="494949"/>
        </w:rPr>
        <w:t>: (1)</w:t>
      </w:r>
      <w:r w:rsidRPr="784656E5">
        <w:rPr>
          <w:b/>
          <w:bCs/>
          <w:color w:val="494949"/>
        </w:rPr>
        <w:t xml:space="preserve"> </w:t>
      </w:r>
      <w:r w:rsidR="005518C2" w:rsidRPr="784656E5">
        <w:rPr>
          <w:b/>
          <w:bCs/>
          <w:color w:val="494949"/>
        </w:rPr>
        <w:t>n</w:t>
      </w:r>
      <w:r w:rsidRPr="784656E5">
        <w:rPr>
          <w:b/>
          <w:bCs/>
          <w:color w:val="494949"/>
        </w:rPr>
        <w:t xml:space="preserve">et </w:t>
      </w:r>
      <w:r w:rsidR="005518C2" w:rsidRPr="784656E5">
        <w:rPr>
          <w:b/>
          <w:bCs/>
          <w:color w:val="494949"/>
        </w:rPr>
        <w:t>i</w:t>
      </w:r>
      <w:r w:rsidRPr="784656E5">
        <w:rPr>
          <w:b/>
          <w:bCs/>
          <w:color w:val="494949"/>
        </w:rPr>
        <w:t xml:space="preserve">ncome to non-GAAP </w:t>
      </w:r>
      <w:r w:rsidR="005518C2" w:rsidRPr="784656E5">
        <w:rPr>
          <w:b/>
          <w:bCs/>
          <w:color w:val="494949"/>
        </w:rPr>
        <w:t>a</w:t>
      </w:r>
      <w:r w:rsidRPr="784656E5">
        <w:rPr>
          <w:b/>
          <w:bCs/>
          <w:color w:val="494949"/>
        </w:rPr>
        <w:t xml:space="preserve">djusted </w:t>
      </w:r>
      <w:r w:rsidR="005518C2" w:rsidRPr="784656E5">
        <w:rPr>
          <w:b/>
          <w:bCs/>
          <w:color w:val="494949"/>
        </w:rPr>
        <w:t>n</w:t>
      </w:r>
      <w:r w:rsidRPr="784656E5">
        <w:rPr>
          <w:b/>
          <w:bCs/>
          <w:color w:val="494949"/>
        </w:rPr>
        <w:t xml:space="preserve">et </w:t>
      </w:r>
      <w:r w:rsidR="005518C2" w:rsidRPr="784656E5">
        <w:rPr>
          <w:b/>
          <w:bCs/>
          <w:color w:val="494949"/>
        </w:rPr>
        <w:t>i</w:t>
      </w:r>
      <w:r w:rsidRPr="784656E5">
        <w:rPr>
          <w:b/>
          <w:bCs/>
          <w:color w:val="494949"/>
        </w:rPr>
        <w:t xml:space="preserve">ncome, </w:t>
      </w:r>
      <w:r w:rsidR="1BCF12F5" w:rsidRPr="784656E5">
        <w:rPr>
          <w:b/>
          <w:bCs/>
          <w:color w:val="494949"/>
        </w:rPr>
        <w:t xml:space="preserve">(2) </w:t>
      </w:r>
      <w:r w:rsidR="005518C2" w:rsidRPr="784656E5">
        <w:rPr>
          <w:b/>
          <w:bCs/>
          <w:color w:val="494949"/>
        </w:rPr>
        <w:t>n</w:t>
      </w:r>
      <w:r w:rsidRPr="784656E5">
        <w:rPr>
          <w:b/>
          <w:bCs/>
          <w:color w:val="494949"/>
        </w:rPr>
        <w:t xml:space="preserve">et </w:t>
      </w:r>
      <w:r w:rsidR="005518C2" w:rsidRPr="784656E5">
        <w:rPr>
          <w:b/>
          <w:bCs/>
          <w:color w:val="494949"/>
        </w:rPr>
        <w:t>i</w:t>
      </w:r>
      <w:r w:rsidRPr="784656E5">
        <w:rPr>
          <w:b/>
          <w:bCs/>
          <w:color w:val="494949"/>
        </w:rPr>
        <w:t xml:space="preserve">ncome to </w:t>
      </w:r>
      <w:r w:rsidR="00892552" w:rsidRPr="784656E5">
        <w:rPr>
          <w:b/>
          <w:bCs/>
          <w:color w:val="494949"/>
        </w:rPr>
        <w:t>non-GAAP</w:t>
      </w:r>
      <w:r w:rsidR="0089170B">
        <w:rPr>
          <w:b/>
          <w:bCs/>
          <w:color w:val="494949"/>
        </w:rPr>
        <w:t xml:space="preserve"> EBITDA and</w:t>
      </w:r>
      <w:r w:rsidR="00892552" w:rsidRPr="784656E5">
        <w:rPr>
          <w:b/>
          <w:bCs/>
          <w:color w:val="494949"/>
        </w:rPr>
        <w:t xml:space="preserve"> </w:t>
      </w:r>
      <w:r w:rsidR="005518C2" w:rsidRPr="784656E5">
        <w:rPr>
          <w:b/>
          <w:bCs/>
          <w:color w:val="494949"/>
        </w:rPr>
        <w:t>a</w:t>
      </w:r>
      <w:r w:rsidRPr="784656E5">
        <w:rPr>
          <w:b/>
          <w:bCs/>
          <w:color w:val="494949"/>
        </w:rPr>
        <w:t xml:space="preserve">djusted EBITDA, and </w:t>
      </w:r>
      <w:r w:rsidR="0339F909" w:rsidRPr="784656E5">
        <w:rPr>
          <w:b/>
          <w:bCs/>
          <w:color w:val="494949"/>
        </w:rPr>
        <w:t>(3)</w:t>
      </w:r>
      <w:r w:rsidR="00DC58B0">
        <w:rPr>
          <w:b/>
          <w:bCs/>
          <w:color w:val="494949"/>
        </w:rPr>
        <w:t xml:space="preserve"> net</w:t>
      </w:r>
      <w:r w:rsidR="0339F909" w:rsidRPr="784656E5">
        <w:rPr>
          <w:b/>
          <w:bCs/>
          <w:color w:val="494949"/>
        </w:rPr>
        <w:t xml:space="preserve"> </w:t>
      </w:r>
      <w:r w:rsidR="005518C2" w:rsidRPr="784656E5">
        <w:rPr>
          <w:b/>
          <w:bCs/>
          <w:color w:val="494949"/>
        </w:rPr>
        <w:t>c</w:t>
      </w:r>
      <w:r w:rsidRPr="784656E5">
        <w:rPr>
          <w:b/>
          <w:bCs/>
          <w:color w:val="494949"/>
        </w:rPr>
        <w:t xml:space="preserve">ash from </w:t>
      </w:r>
      <w:r w:rsidR="00892552" w:rsidRPr="784656E5">
        <w:rPr>
          <w:b/>
          <w:bCs/>
          <w:color w:val="494949"/>
        </w:rPr>
        <w:t>o</w:t>
      </w:r>
      <w:r w:rsidRPr="784656E5">
        <w:rPr>
          <w:b/>
          <w:bCs/>
          <w:color w:val="494949"/>
        </w:rPr>
        <w:t xml:space="preserve">perating </w:t>
      </w:r>
      <w:r w:rsidR="00892552" w:rsidRPr="784656E5">
        <w:rPr>
          <w:b/>
          <w:bCs/>
          <w:color w:val="494949"/>
        </w:rPr>
        <w:t>a</w:t>
      </w:r>
      <w:r w:rsidRPr="784656E5">
        <w:rPr>
          <w:b/>
          <w:bCs/>
          <w:color w:val="494949"/>
        </w:rPr>
        <w:t xml:space="preserve">ctivities to </w:t>
      </w:r>
      <w:r w:rsidR="00892552" w:rsidRPr="784656E5">
        <w:rPr>
          <w:b/>
          <w:bCs/>
          <w:color w:val="494949"/>
        </w:rPr>
        <w:t>non-GAAP</w:t>
      </w:r>
      <w:r w:rsidR="00DC58B0">
        <w:rPr>
          <w:b/>
          <w:bCs/>
          <w:color w:val="494949"/>
        </w:rPr>
        <w:t xml:space="preserve"> adjusted</w:t>
      </w:r>
      <w:r w:rsidR="00892552" w:rsidRPr="784656E5">
        <w:rPr>
          <w:b/>
          <w:bCs/>
          <w:color w:val="494949"/>
        </w:rPr>
        <w:t xml:space="preserve"> f</w:t>
      </w:r>
      <w:r w:rsidRPr="784656E5">
        <w:rPr>
          <w:b/>
          <w:bCs/>
          <w:color w:val="494949"/>
        </w:rPr>
        <w:t xml:space="preserve">ree </w:t>
      </w:r>
      <w:r w:rsidR="00892552" w:rsidRPr="784656E5">
        <w:rPr>
          <w:b/>
          <w:bCs/>
          <w:color w:val="494949"/>
        </w:rPr>
        <w:t>c</w:t>
      </w:r>
      <w:r w:rsidRPr="784656E5">
        <w:rPr>
          <w:b/>
          <w:bCs/>
          <w:color w:val="494949"/>
        </w:rPr>
        <w:t xml:space="preserve">ash </w:t>
      </w:r>
      <w:r w:rsidR="00892552" w:rsidRPr="784656E5">
        <w:rPr>
          <w:b/>
          <w:bCs/>
          <w:color w:val="494949"/>
        </w:rPr>
        <w:t>f</w:t>
      </w:r>
      <w:r w:rsidRPr="784656E5">
        <w:rPr>
          <w:b/>
          <w:bCs/>
          <w:color w:val="494949"/>
        </w:rPr>
        <w:t xml:space="preserve">low referred to in the highlights or elsewhere in this press release are provided in the following schedules that also </w:t>
      </w:r>
      <w:r w:rsidR="009D6B74" w:rsidRPr="784656E5">
        <w:rPr>
          <w:b/>
          <w:bCs/>
          <w:color w:val="494949"/>
        </w:rPr>
        <w:t>form a</w:t>
      </w:r>
      <w:r w:rsidRPr="784656E5">
        <w:rPr>
          <w:b/>
          <w:bCs/>
          <w:color w:val="494949"/>
        </w:rPr>
        <w:t xml:space="preserve"> part of this press release.</w:t>
      </w:r>
    </w:p>
    <w:p w14:paraId="476FE3D7" w14:textId="77777777" w:rsidR="00313C31" w:rsidRDefault="784656E5" w:rsidP="00313C31">
      <w:pPr>
        <w:outlineLvl w:val="0"/>
      </w:pPr>
      <w:r w:rsidRPr="784656E5">
        <w:rPr>
          <w:b/>
        </w:rPr>
        <w:fldChar w:fldCharType="begin"/>
      </w:r>
      <w:r w:rsidR="00313C31">
        <w:rPr>
          <w:b/>
        </w:rPr>
        <w:instrText xml:space="preserve"> LINK Excel.Sheet.12 "/Users/kimthorpe/Desktop/Earnings Release Data (3.31.22).xlsx" "EBITDA - Adjusted EBITDA!R6C2:R89C6" \a \f 4 \h </w:instrText>
      </w:r>
      <w:r w:rsidRPr="784656E5">
        <w:rPr>
          <w:b/>
        </w:rPr>
        <w:fldChar w:fldCharType="separate"/>
      </w:r>
    </w:p>
    <w:p w14:paraId="43D12AB1" w14:textId="77777777" w:rsidR="00621AF8" w:rsidRDefault="784656E5" w:rsidP="784656E5">
      <w:pPr>
        <w:outlineLvl w:val="0"/>
        <w:rPr>
          <w:b/>
          <w:bCs/>
        </w:rPr>
      </w:pPr>
      <w:r w:rsidRPr="784656E5">
        <w:rPr>
          <w:b/>
          <w:bCs/>
        </w:rPr>
        <w:fldChar w:fldCharType="end"/>
      </w:r>
      <w:bookmarkStart w:id="1" w:name="_Hlk109999613"/>
    </w:p>
    <w:tbl>
      <w:tblPr>
        <w:tblW w:w="8450" w:type="dxa"/>
        <w:tblLook w:val="04A0" w:firstRow="1" w:lastRow="0" w:firstColumn="1" w:lastColumn="0" w:noHBand="0" w:noVBand="1"/>
      </w:tblPr>
      <w:tblGrid>
        <w:gridCol w:w="5041"/>
        <w:gridCol w:w="235"/>
        <w:gridCol w:w="1467"/>
        <w:gridCol w:w="235"/>
        <w:gridCol w:w="1472"/>
      </w:tblGrid>
      <w:tr w:rsidR="00D85536" w14:paraId="7FB9B204" w14:textId="77777777" w:rsidTr="009F7BEB">
        <w:trPr>
          <w:trHeight w:val="324"/>
        </w:trPr>
        <w:tc>
          <w:tcPr>
            <w:tcW w:w="8450" w:type="dxa"/>
            <w:gridSpan w:val="5"/>
            <w:tcBorders>
              <w:top w:val="nil"/>
              <w:left w:val="nil"/>
              <w:bottom w:val="nil"/>
              <w:right w:val="nil"/>
            </w:tcBorders>
            <w:shd w:val="clear" w:color="auto" w:fill="auto"/>
            <w:noWrap/>
            <w:vAlign w:val="bottom"/>
            <w:hideMark/>
          </w:tcPr>
          <w:p w14:paraId="614B2ACD" w14:textId="77777777" w:rsidR="00D85536" w:rsidRDefault="00D85536">
            <w:pPr>
              <w:jc w:val="center"/>
              <w:rPr>
                <w:b/>
                <w:bCs/>
                <w:color w:val="000000"/>
              </w:rPr>
            </w:pPr>
          </w:p>
          <w:p w14:paraId="2AAD0694" w14:textId="77777777" w:rsidR="00D85536" w:rsidRDefault="00D85536">
            <w:pPr>
              <w:jc w:val="center"/>
              <w:rPr>
                <w:b/>
                <w:bCs/>
                <w:color w:val="000000"/>
              </w:rPr>
            </w:pPr>
          </w:p>
          <w:p w14:paraId="628E5439" w14:textId="77777777" w:rsidR="00D85536" w:rsidRDefault="00D85536">
            <w:pPr>
              <w:jc w:val="center"/>
              <w:rPr>
                <w:b/>
                <w:bCs/>
                <w:color w:val="000000"/>
              </w:rPr>
            </w:pPr>
          </w:p>
          <w:p w14:paraId="02C94DC8" w14:textId="4AE23169" w:rsidR="00D85536" w:rsidRDefault="00D85536">
            <w:pPr>
              <w:jc w:val="center"/>
              <w:rPr>
                <w:b/>
                <w:bCs/>
                <w:color w:val="000000"/>
              </w:rPr>
            </w:pPr>
            <w:r>
              <w:rPr>
                <w:b/>
                <w:bCs/>
                <w:color w:val="000000"/>
              </w:rPr>
              <w:t>Reconciliation of Net Income to</w:t>
            </w:r>
          </w:p>
        </w:tc>
      </w:tr>
      <w:tr w:rsidR="00D85536" w14:paraId="232E8AD8" w14:textId="77777777" w:rsidTr="009F7BEB">
        <w:trPr>
          <w:trHeight w:val="324"/>
        </w:trPr>
        <w:tc>
          <w:tcPr>
            <w:tcW w:w="8450" w:type="dxa"/>
            <w:gridSpan w:val="5"/>
            <w:tcBorders>
              <w:top w:val="nil"/>
              <w:left w:val="nil"/>
              <w:bottom w:val="nil"/>
              <w:right w:val="nil"/>
            </w:tcBorders>
            <w:shd w:val="clear" w:color="auto" w:fill="auto"/>
            <w:noWrap/>
            <w:vAlign w:val="bottom"/>
            <w:hideMark/>
          </w:tcPr>
          <w:p w14:paraId="11EF44C9" w14:textId="77777777" w:rsidR="00D85536" w:rsidRDefault="00D85536">
            <w:pPr>
              <w:jc w:val="center"/>
              <w:rPr>
                <w:b/>
                <w:bCs/>
                <w:color w:val="000000"/>
              </w:rPr>
            </w:pPr>
            <w:r>
              <w:rPr>
                <w:b/>
                <w:bCs/>
                <w:color w:val="000000"/>
              </w:rPr>
              <w:t>Non-GAAP Adjusted Net Income</w:t>
            </w:r>
          </w:p>
        </w:tc>
      </w:tr>
      <w:tr w:rsidR="00D85536" w14:paraId="1E5CE740" w14:textId="77777777" w:rsidTr="009F7BEB">
        <w:trPr>
          <w:trHeight w:val="324"/>
        </w:trPr>
        <w:tc>
          <w:tcPr>
            <w:tcW w:w="8450" w:type="dxa"/>
            <w:gridSpan w:val="5"/>
            <w:tcBorders>
              <w:top w:val="nil"/>
              <w:left w:val="nil"/>
              <w:bottom w:val="nil"/>
              <w:right w:val="nil"/>
            </w:tcBorders>
            <w:shd w:val="clear" w:color="auto" w:fill="auto"/>
            <w:noWrap/>
            <w:vAlign w:val="bottom"/>
            <w:hideMark/>
          </w:tcPr>
          <w:p w14:paraId="4B91404F" w14:textId="77777777" w:rsidR="00D85536" w:rsidRDefault="00D85536">
            <w:pPr>
              <w:jc w:val="center"/>
              <w:rPr>
                <w:b/>
                <w:bCs/>
                <w:color w:val="000000"/>
              </w:rPr>
            </w:pPr>
            <w:r>
              <w:rPr>
                <w:b/>
                <w:bCs/>
                <w:color w:val="000000"/>
              </w:rPr>
              <w:t>Three Month Periods Ended March 31,</w:t>
            </w:r>
          </w:p>
        </w:tc>
      </w:tr>
      <w:tr w:rsidR="00D85536" w14:paraId="093E00C9" w14:textId="77777777" w:rsidTr="009F7BEB">
        <w:trPr>
          <w:trHeight w:val="324"/>
        </w:trPr>
        <w:tc>
          <w:tcPr>
            <w:tcW w:w="8450" w:type="dxa"/>
            <w:gridSpan w:val="5"/>
            <w:tcBorders>
              <w:top w:val="nil"/>
              <w:left w:val="nil"/>
              <w:bottom w:val="nil"/>
              <w:right w:val="nil"/>
            </w:tcBorders>
            <w:shd w:val="clear" w:color="auto" w:fill="auto"/>
            <w:noWrap/>
            <w:vAlign w:val="bottom"/>
            <w:hideMark/>
          </w:tcPr>
          <w:p w14:paraId="6D203FD7" w14:textId="77777777" w:rsidR="00D85536" w:rsidRDefault="00D85536">
            <w:pPr>
              <w:jc w:val="center"/>
              <w:rPr>
                <w:color w:val="000000"/>
              </w:rPr>
            </w:pPr>
            <w:r>
              <w:rPr>
                <w:color w:val="000000"/>
              </w:rPr>
              <w:t>(In thousands)</w:t>
            </w:r>
          </w:p>
        </w:tc>
      </w:tr>
      <w:tr w:rsidR="00D85536" w14:paraId="42D36F44" w14:textId="77777777" w:rsidTr="009F7BEB">
        <w:trPr>
          <w:trHeight w:val="324"/>
        </w:trPr>
        <w:tc>
          <w:tcPr>
            <w:tcW w:w="5041" w:type="dxa"/>
            <w:tcBorders>
              <w:top w:val="nil"/>
              <w:left w:val="nil"/>
              <w:bottom w:val="nil"/>
              <w:right w:val="nil"/>
            </w:tcBorders>
            <w:shd w:val="clear" w:color="auto" w:fill="auto"/>
            <w:noWrap/>
            <w:vAlign w:val="bottom"/>
            <w:hideMark/>
          </w:tcPr>
          <w:p w14:paraId="2AB0E53B" w14:textId="77777777" w:rsidR="00D85536" w:rsidRDefault="00D85536">
            <w:pPr>
              <w:jc w:val="center"/>
              <w:rPr>
                <w:color w:val="000000"/>
              </w:rPr>
            </w:pPr>
          </w:p>
        </w:tc>
        <w:tc>
          <w:tcPr>
            <w:tcW w:w="235" w:type="dxa"/>
            <w:tcBorders>
              <w:top w:val="nil"/>
              <w:left w:val="nil"/>
              <w:bottom w:val="nil"/>
              <w:right w:val="nil"/>
            </w:tcBorders>
            <w:shd w:val="clear" w:color="auto" w:fill="auto"/>
            <w:noWrap/>
            <w:vAlign w:val="bottom"/>
            <w:hideMark/>
          </w:tcPr>
          <w:p w14:paraId="5F56C37A" w14:textId="77777777" w:rsidR="00D85536" w:rsidRDefault="00D85536">
            <w:pPr>
              <w:rPr>
                <w:sz w:val="20"/>
                <w:szCs w:val="20"/>
              </w:rPr>
            </w:pPr>
          </w:p>
        </w:tc>
        <w:tc>
          <w:tcPr>
            <w:tcW w:w="1467" w:type="dxa"/>
            <w:tcBorders>
              <w:top w:val="nil"/>
              <w:left w:val="nil"/>
              <w:bottom w:val="single" w:sz="4" w:space="0" w:color="auto"/>
              <w:right w:val="nil"/>
            </w:tcBorders>
            <w:shd w:val="clear" w:color="auto" w:fill="auto"/>
            <w:noWrap/>
            <w:vAlign w:val="bottom"/>
            <w:hideMark/>
          </w:tcPr>
          <w:p w14:paraId="1E95FE42" w14:textId="77777777" w:rsidR="00D85536" w:rsidRDefault="00D85536">
            <w:pPr>
              <w:jc w:val="center"/>
              <w:rPr>
                <w:b/>
                <w:bCs/>
                <w:color w:val="000000"/>
              </w:rPr>
            </w:pPr>
            <w:r>
              <w:rPr>
                <w:b/>
                <w:bCs/>
                <w:color w:val="000000"/>
              </w:rPr>
              <w:t>2023</w:t>
            </w:r>
          </w:p>
        </w:tc>
        <w:tc>
          <w:tcPr>
            <w:tcW w:w="235" w:type="dxa"/>
            <w:tcBorders>
              <w:top w:val="nil"/>
              <w:left w:val="nil"/>
              <w:bottom w:val="nil"/>
              <w:right w:val="nil"/>
            </w:tcBorders>
            <w:shd w:val="clear" w:color="auto" w:fill="auto"/>
            <w:noWrap/>
            <w:vAlign w:val="bottom"/>
            <w:hideMark/>
          </w:tcPr>
          <w:p w14:paraId="7B47E2C5" w14:textId="77777777" w:rsidR="00D85536" w:rsidRDefault="00D85536">
            <w:pPr>
              <w:jc w:val="center"/>
              <w:rPr>
                <w:b/>
                <w:bCs/>
                <w:color w:val="000000"/>
              </w:rPr>
            </w:pPr>
          </w:p>
        </w:tc>
        <w:tc>
          <w:tcPr>
            <w:tcW w:w="1470" w:type="dxa"/>
            <w:tcBorders>
              <w:top w:val="nil"/>
              <w:left w:val="nil"/>
              <w:bottom w:val="single" w:sz="4" w:space="0" w:color="auto"/>
              <w:right w:val="nil"/>
            </w:tcBorders>
            <w:shd w:val="clear" w:color="auto" w:fill="auto"/>
            <w:noWrap/>
            <w:vAlign w:val="bottom"/>
            <w:hideMark/>
          </w:tcPr>
          <w:p w14:paraId="0FD393A2" w14:textId="77777777" w:rsidR="00D85536" w:rsidRDefault="00D85536">
            <w:pPr>
              <w:jc w:val="center"/>
              <w:rPr>
                <w:b/>
                <w:bCs/>
                <w:color w:val="000000"/>
              </w:rPr>
            </w:pPr>
            <w:r>
              <w:rPr>
                <w:b/>
                <w:bCs/>
                <w:color w:val="000000"/>
              </w:rPr>
              <w:t>2022</w:t>
            </w:r>
          </w:p>
        </w:tc>
      </w:tr>
      <w:tr w:rsidR="00D85536" w14:paraId="5F43662D" w14:textId="77777777" w:rsidTr="009F7BEB">
        <w:trPr>
          <w:trHeight w:val="324"/>
        </w:trPr>
        <w:tc>
          <w:tcPr>
            <w:tcW w:w="5041" w:type="dxa"/>
            <w:tcBorders>
              <w:top w:val="nil"/>
              <w:left w:val="nil"/>
              <w:bottom w:val="nil"/>
              <w:right w:val="nil"/>
            </w:tcBorders>
            <w:shd w:val="clear" w:color="auto" w:fill="auto"/>
            <w:noWrap/>
            <w:vAlign w:val="bottom"/>
            <w:hideMark/>
          </w:tcPr>
          <w:p w14:paraId="44604D22" w14:textId="77777777" w:rsidR="00D85536" w:rsidRDefault="00D85536">
            <w:pPr>
              <w:rPr>
                <w:b/>
                <w:bCs/>
                <w:color w:val="000000"/>
              </w:rPr>
            </w:pPr>
            <w:r>
              <w:rPr>
                <w:b/>
                <w:bCs/>
                <w:color w:val="000000"/>
              </w:rPr>
              <w:t>Net income</w:t>
            </w:r>
          </w:p>
        </w:tc>
        <w:tc>
          <w:tcPr>
            <w:tcW w:w="235" w:type="dxa"/>
            <w:tcBorders>
              <w:top w:val="nil"/>
              <w:left w:val="nil"/>
              <w:bottom w:val="nil"/>
              <w:right w:val="nil"/>
            </w:tcBorders>
            <w:shd w:val="clear" w:color="auto" w:fill="auto"/>
            <w:noWrap/>
            <w:vAlign w:val="bottom"/>
            <w:hideMark/>
          </w:tcPr>
          <w:p w14:paraId="3D7BEB7E" w14:textId="77777777" w:rsidR="00D85536" w:rsidRDefault="00D85536">
            <w:pPr>
              <w:rPr>
                <w:b/>
                <w:bCs/>
                <w:color w:val="000000"/>
              </w:rPr>
            </w:pPr>
          </w:p>
        </w:tc>
        <w:tc>
          <w:tcPr>
            <w:tcW w:w="1467" w:type="dxa"/>
            <w:tcBorders>
              <w:top w:val="nil"/>
              <w:left w:val="nil"/>
              <w:bottom w:val="nil"/>
              <w:right w:val="nil"/>
            </w:tcBorders>
            <w:shd w:val="clear" w:color="auto" w:fill="auto"/>
            <w:noWrap/>
            <w:vAlign w:val="bottom"/>
            <w:hideMark/>
          </w:tcPr>
          <w:p w14:paraId="560607F4" w14:textId="77777777" w:rsidR="00D85536" w:rsidRDefault="00D85536">
            <w:pPr>
              <w:rPr>
                <w:color w:val="000000"/>
              </w:rPr>
            </w:pPr>
            <w:r>
              <w:rPr>
                <w:color w:val="000000"/>
              </w:rPr>
              <w:t xml:space="preserve"> $           658 </w:t>
            </w:r>
          </w:p>
        </w:tc>
        <w:tc>
          <w:tcPr>
            <w:tcW w:w="235" w:type="dxa"/>
            <w:tcBorders>
              <w:top w:val="nil"/>
              <w:left w:val="nil"/>
              <w:bottom w:val="nil"/>
              <w:right w:val="nil"/>
            </w:tcBorders>
            <w:shd w:val="clear" w:color="auto" w:fill="auto"/>
            <w:noWrap/>
            <w:vAlign w:val="bottom"/>
            <w:hideMark/>
          </w:tcPr>
          <w:p w14:paraId="406C0AE9" w14:textId="77777777" w:rsidR="00D85536" w:rsidRDefault="00D85536">
            <w:pPr>
              <w:rPr>
                <w:color w:val="000000"/>
              </w:rPr>
            </w:pPr>
          </w:p>
        </w:tc>
        <w:tc>
          <w:tcPr>
            <w:tcW w:w="1470" w:type="dxa"/>
            <w:tcBorders>
              <w:top w:val="nil"/>
              <w:left w:val="nil"/>
              <w:bottom w:val="nil"/>
              <w:right w:val="nil"/>
            </w:tcBorders>
            <w:shd w:val="clear" w:color="auto" w:fill="auto"/>
            <w:noWrap/>
            <w:vAlign w:val="bottom"/>
            <w:hideMark/>
          </w:tcPr>
          <w:p w14:paraId="0BEB5C5F" w14:textId="77777777" w:rsidR="00D85536" w:rsidRDefault="00D85536">
            <w:pPr>
              <w:rPr>
                <w:color w:val="000000"/>
              </w:rPr>
            </w:pPr>
            <w:r>
              <w:rPr>
                <w:color w:val="000000"/>
              </w:rPr>
              <w:t xml:space="preserve"> $        1,087 </w:t>
            </w:r>
          </w:p>
        </w:tc>
      </w:tr>
      <w:tr w:rsidR="00D85536" w14:paraId="7D9BA8F5" w14:textId="77777777" w:rsidTr="009F7BEB">
        <w:trPr>
          <w:trHeight w:val="324"/>
        </w:trPr>
        <w:tc>
          <w:tcPr>
            <w:tcW w:w="5041" w:type="dxa"/>
            <w:tcBorders>
              <w:top w:val="nil"/>
              <w:left w:val="nil"/>
              <w:bottom w:val="nil"/>
              <w:right w:val="nil"/>
            </w:tcBorders>
            <w:shd w:val="clear" w:color="auto" w:fill="auto"/>
            <w:noWrap/>
            <w:vAlign w:val="bottom"/>
            <w:hideMark/>
          </w:tcPr>
          <w:p w14:paraId="37B3B8FF" w14:textId="77777777" w:rsidR="00D85536" w:rsidRDefault="00D85536">
            <w:pPr>
              <w:rPr>
                <w:b/>
                <w:bCs/>
                <w:color w:val="000000"/>
              </w:rPr>
            </w:pPr>
            <w:r>
              <w:rPr>
                <w:b/>
                <w:bCs/>
                <w:color w:val="000000"/>
              </w:rPr>
              <w:t>Non-cash stock compensation</w:t>
            </w:r>
          </w:p>
        </w:tc>
        <w:tc>
          <w:tcPr>
            <w:tcW w:w="235" w:type="dxa"/>
            <w:tcBorders>
              <w:top w:val="nil"/>
              <w:left w:val="nil"/>
              <w:bottom w:val="nil"/>
              <w:right w:val="nil"/>
            </w:tcBorders>
            <w:shd w:val="clear" w:color="auto" w:fill="auto"/>
            <w:noWrap/>
            <w:vAlign w:val="bottom"/>
            <w:hideMark/>
          </w:tcPr>
          <w:p w14:paraId="04CCD0A7" w14:textId="77777777" w:rsidR="00D85536" w:rsidRDefault="00D85536">
            <w:pPr>
              <w:rPr>
                <w:b/>
                <w:bCs/>
                <w:color w:val="000000"/>
              </w:rPr>
            </w:pPr>
          </w:p>
        </w:tc>
        <w:tc>
          <w:tcPr>
            <w:tcW w:w="1467" w:type="dxa"/>
            <w:tcBorders>
              <w:top w:val="nil"/>
              <w:left w:val="nil"/>
              <w:bottom w:val="nil"/>
              <w:right w:val="nil"/>
            </w:tcBorders>
            <w:shd w:val="clear" w:color="auto" w:fill="auto"/>
            <w:noWrap/>
            <w:vAlign w:val="bottom"/>
            <w:hideMark/>
          </w:tcPr>
          <w:p w14:paraId="406D4B1E" w14:textId="77777777" w:rsidR="00D85536" w:rsidRDefault="00D85536">
            <w:pPr>
              <w:rPr>
                <w:color w:val="000000"/>
              </w:rPr>
            </w:pPr>
            <w:r>
              <w:rPr>
                <w:color w:val="000000"/>
              </w:rPr>
              <w:t xml:space="preserve">              126 </w:t>
            </w:r>
          </w:p>
        </w:tc>
        <w:tc>
          <w:tcPr>
            <w:tcW w:w="235" w:type="dxa"/>
            <w:tcBorders>
              <w:top w:val="nil"/>
              <w:left w:val="nil"/>
              <w:bottom w:val="nil"/>
              <w:right w:val="nil"/>
            </w:tcBorders>
            <w:shd w:val="clear" w:color="auto" w:fill="auto"/>
            <w:noWrap/>
            <w:vAlign w:val="bottom"/>
            <w:hideMark/>
          </w:tcPr>
          <w:p w14:paraId="3BE79D6F" w14:textId="77777777" w:rsidR="00D85536" w:rsidRDefault="00D85536">
            <w:pPr>
              <w:rPr>
                <w:color w:val="000000"/>
              </w:rPr>
            </w:pPr>
          </w:p>
        </w:tc>
        <w:tc>
          <w:tcPr>
            <w:tcW w:w="1470" w:type="dxa"/>
            <w:tcBorders>
              <w:top w:val="nil"/>
              <w:left w:val="nil"/>
              <w:bottom w:val="nil"/>
              <w:right w:val="nil"/>
            </w:tcBorders>
            <w:shd w:val="clear" w:color="auto" w:fill="auto"/>
            <w:noWrap/>
            <w:vAlign w:val="bottom"/>
            <w:hideMark/>
          </w:tcPr>
          <w:p w14:paraId="3F8F7581" w14:textId="77777777" w:rsidR="00D85536" w:rsidRDefault="00D85536">
            <w:pPr>
              <w:rPr>
                <w:color w:val="000000"/>
              </w:rPr>
            </w:pPr>
            <w:r>
              <w:rPr>
                <w:color w:val="000000"/>
              </w:rPr>
              <w:t xml:space="preserve">              152 </w:t>
            </w:r>
          </w:p>
        </w:tc>
      </w:tr>
      <w:tr w:rsidR="00D85536" w14:paraId="6201E2EC" w14:textId="77777777" w:rsidTr="009F7BEB">
        <w:trPr>
          <w:trHeight w:val="324"/>
        </w:trPr>
        <w:tc>
          <w:tcPr>
            <w:tcW w:w="5041" w:type="dxa"/>
            <w:tcBorders>
              <w:top w:val="nil"/>
              <w:left w:val="nil"/>
              <w:bottom w:val="nil"/>
              <w:right w:val="nil"/>
            </w:tcBorders>
            <w:shd w:val="clear" w:color="auto" w:fill="auto"/>
            <w:noWrap/>
            <w:vAlign w:val="bottom"/>
            <w:hideMark/>
          </w:tcPr>
          <w:p w14:paraId="57ADA9B3" w14:textId="77777777" w:rsidR="00D85536" w:rsidRDefault="00D85536">
            <w:pPr>
              <w:rPr>
                <w:b/>
                <w:bCs/>
                <w:color w:val="000000"/>
              </w:rPr>
            </w:pPr>
            <w:r>
              <w:rPr>
                <w:b/>
                <w:bCs/>
                <w:color w:val="000000"/>
              </w:rPr>
              <w:t>Settlement of legal matter</w:t>
            </w:r>
          </w:p>
        </w:tc>
        <w:tc>
          <w:tcPr>
            <w:tcW w:w="235" w:type="dxa"/>
            <w:tcBorders>
              <w:top w:val="nil"/>
              <w:left w:val="nil"/>
              <w:bottom w:val="nil"/>
              <w:right w:val="nil"/>
            </w:tcBorders>
            <w:shd w:val="clear" w:color="auto" w:fill="auto"/>
            <w:noWrap/>
            <w:vAlign w:val="bottom"/>
            <w:hideMark/>
          </w:tcPr>
          <w:p w14:paraId="3C542B0B" w14:textId="77777777" w:rsidR="00D85536" w:rsidRDefault="00D85536">
            <w:pPr>
              <w:rPr>
                <w:b/>
                <w:bCs/>
                <w:color w:val="000000"/>
              </w:rPr>
            </w:pPr>
          </w:p>
        </w:tc>
        <w:tc>
          <w:tcPr>
            <w:tcW w:w="1467" w:type="dxa"/>
            <w:tcBorders>
              <w:top w:val="nil"/>
              <w:left w:val="nil"/>
              <w:bottom w:val="nil"/>
              <w:right w:val="nil"/>
            </w:tcBorders>
            <w:shd w:val="clear" w:color="auto" w:fill="auto"/>
            <w:noWrap/>
            <w:vAlign w:val="bottom"/>
            <w:hideMark/>
          </w:tcPr>
          <w:p w14:paraId="040417DF" w14:textId="77777777" w:rsidR="00D85536" w:rsidRDefault="00D85536">
            <w:pPr>
              <w:rPr>
                <w:color w:val="000000"/>
              </w:rPr>
            </w:pPr>
            <w:r>
              <w:rPr>
                <w:color w:val="000000"/>
              </w:rPr>
              <w:t xml:space="preserve">                -   </w:t>
            </w:r>
          </w:p>
        </w:tc>
        <w:tc>
          <w:tcPr>
            <w:tcW w:w="235" w:type="dxa"/>
            <w:tcBorders>
              <w:top w:val="nil"/>
              <w:left w:val="nil"/>
              <w:bottom w:val="nil"/>
              <w:right w:val="nil"/>
            </w:tcBorders>
            <w:shd w:val="clear" w:color="auto" w:fill="auto"/>
            <w:noWrap/>
            <w:vAlign w:val="bottom"/>
            <w:hideMark/>
          </w:tcPr>
          <w:p w14:paraId="2C147571" w14:textId="77777777" w:rsidR="00D85536" w:rsidRDefault="00D85536">
            <w:pPr>
              <w:rPr>
                <w:color w:val="000000"/>
              </w:rPr>
            </w:pPr>
          </w:p>
        </w:tc>
        <w:tc>
          <w:tcPr>
            <w:tcW w:w="1470" w:type="dxa"/>
            <w:tcBorders>
              <w:top w:val="nil"/>
              <w:left w:val="nil"/>
              <w:bottom w:val="nil"/>
              <w:right w:val="nil"/>
            </w:tcBorders>
            <w:shd w:val="clear" w:color="auto" w:fill="auto"/>
            <w:noWrap/>
            <w:vAlign w:val="bottom"/>
            <w:hideMark/>
          </w:tcPr>
          <w:p w14:paraId="27EA4911" w14:textId="77777777" w:rsidR="00D85536" w:rsidRDefault="00D85536">
            <w:pPr>
              <w:rPr>
                <w:color w:val="000000"/>
              </w:rPr>
            </w:pPr>
            <w:r>
              <w:rPr>
                <w:color w:val="000000"/>
              </w:rPr>
              <w:t xml:space="preserve">              975 </w:t>
            </w:r>
          </w:p>
        </w:tc>
      </w:tr>
      <w:tr w:rsidR="00D85536" w14:paraId="2C957B29" w14:textId="77777777" w:rsidTr="009F7BEB">
        <w:trPr>
          <w:trHeight w:val="324"/>
        </w:trPr>
        <w:tc>
          <w:tcPr>
            <w:tcW w:w="5041" w:type="dxa"/>
            <w:tcBorders>
              <w:top w:val="nil"/>
              <w:left w:val="nil"/>
              <w:bottom w:val="nil"/>
              <w:right w:val="nil"/>
            </w:tcBorders>
            <w:shd w:val="clear" w:color="auto" w:fill="auto"/>
            <w:noWrap/>
            <w:vAlign w:val="bottom"/>
            <w:hideMark/>
          </w:tcPr>
          <w:p w14:paraId="7D6B5817" w14:textId="77777777" w:rsidR="00D85536" w:rsidRDefault="00D85536">
            <w:pPr>
              <w:rPr>
                <w:b/>
                <w:bCs/>
                <w:color w:val="000000"/>
              </w:rPr>
            </w:pPr>
            <w:r>
              <w:rPr>
                <w:b/>
                <w:bCs/>
                <w:color w:val="000000"/>
              </w:rPr>
              <w:t>Acquisition, integration &amp; restructuring</w:t>
            </w:r>
          </w:p>
        </w:tc>
        <w:tc>
          <w:tcPr>
            <w:tcW w:w="235" w:type="dxa"/>
            <w:tcBorders>
              <w:top w:val="nil"/>
              <w:left w:val="nil"/>
              <w:bottom w:val="nil"/>
              <w:right w:val="nil"/>
            </w:tcBorders>
            <w:shd w:val="clear" w:color="auto" w:fill="auto"/>
            <w:noWrap/>
            <w:vAlign w:val="bottom"/>
            <w:hideMark/>
          </w:tcPr>
          <w:p w14:paraId="1A1F5AD3" w14:textId="77777777" w:rsidR="00D85536" w:rsidRDefault="00D85536">
            <w:pPr>
              <w:rPr>
                <w:b/>
                <w:bCs/>
                <w:color w:val="000000"/>
              </w:rPr>
            </w:pPr>
          </w:p>
        </w:tc>
        <w:tc>
          <w:tcPr>
            <w:tcW w:w="1467" w:type="dxa"/>
            <w:tcBorders>
              <w:top w:val="nil"/>
              <w:left w:val="nil"/>
              <w:bottom w:val="nil"/>
              <w:right w:val="nil"/>
            </w:tcBorders>
            <w:shd w:val="clear" w:color="auto" w:fill="auto"/>
            <w:noWrap/>
            <w:vAlign w:val="bottom"/>
            <w:hideMark/>
          </w:tcPr>
          <w:p w14:paraId="3FEC1CDB" w14:textId="77777777" w:rsidR="00D85536" w:rsidRDefault="00D85536">
            <w:pPr>
              <w:rPr>
                <w:color w:val="000000"/>
              </w:rPr>
            </w:pPr>
            <w:r>
              <w:rPr>
                <w:color w:val="000000"/>
              </w:rPr>
              <w:t xml:space="preserve">                65 </w:t>
            </w:r>
          </w:p>
        </w:tc>
        <w:tc>
          <w:tcPr>
            <w:tcW w:w="235" w:type="dxa"/>
            <w:tcBorders>
              <w:top w:val="nil"/>
              <w:left w:val="nil"/>
              <w:bottom w:val="nil"/>
              <w:right w:val="nil"/>
            </w:tcBorders>
            <w:shd w:val="clear" w:color="auto" w:fill="auto"/>
            <w:noWrap/>
            <w:vAlign w:val="bottom"/>
            <w:hideMark/>
          </w:tcPr>
          <w:p w14:paraId="601BCCFB" w14:textId="77777777" w:rsidR="00D85536" w:rsidRDefault="00D85536">
            <w:pPr>
              <w:rPr>
                <w:color w:val="000000"/>
              </w:rPr>
            </w:pPr>
          </w:p>
        </w:tc>
        <w:tc>
          <w:tcPr>
            <w:tcW w:w="1470" w:type="dxa"/>
            <w:tcBorders>
              <w:top w:val="nil"/>
              <w:left w:val="nil"/>
              <w:bottom w:val="nil"/>
              <w:right w:val="nil"/>
            </w:tcBorders>
            <w:shd w:val="clear" w:color="auto" w:fill="auto"/>
            <w:noWrap/>
            <w:vAlign w:val="bottom"/>
            <w:hideMark/>
          </w:tcPr>
          <w:p w14:paraId="2593A7B4" w14:textId="77777777" w:rsidR="00D85536" w:rsidRDefault="00D85536">
            <w:pPr>
              <w:rPr>
                <w:color w:val="000000"/>
              </w:rPr>
            </w:pPr>
            <w:r>
              <w:rPr>
                <w:color w:val="000000"/>
              </w:rPr>
              <w:t xml:space="preserve">                30 </w:t>
            </w:r>
          </w:p>
        </w:tc>
      </w:tr>
      <w:tr w:rsidR="00D85536" w14:paraId="5F5085AC" w14:textId="77777777" w:rsidTr="009F7BEB">
        <w:trPr>
          <w:trHeight w:val="340"/>
        </w:trPr>
        <w:tc>
          <w:tcPr>
            <w:tcW w:w="5041" w:type="dxa"/>
            <w:tcBorders>
              <w:top w:val="nil"/>
              <w:left w:val="nil"/>
              <w:bottom w:val="nil"/>
              <w:right w:val="nil"/>
            </w:tcBorders>
            <w:shd w:val="clear" w:color="auto" w:fill="auto"/>
            <w:noWrap/>
            <w:vAlign w:val="bottom"/>
            <w:hideMark/>
          </w:tcPr>
          <w:p w14:paraId="7DA29468" w14:textId="77777777" w:rsidR="00D85536" w:rsidRDefault="00D85536">
            <w:pPr>
              <w:rPr>
                <w:b/>
                <w:bCs/>
                <w:color w:val="000000"/>
              </w:rPr>
            </w:pPr>
            <w:r>
              <w:rPr>
                <w:b/>
                <w:bCs/>
                <w:color w:val="000000"/>
              </w:rPr>
              <w:t>Non-GAAP adjusted net income</w:t>
            </w:r>
          </w:p>
        </w:tc>
        <w:tc>
          <w:tcPr>
            <w:tcW w:w="235" w:type="dxa"/>
            <w:tcBorders>
              <w:top w:val="nil"/>
              <w:left w:val="nil"/>
              <w:bottom w:val="nil"/>
              <w:right w:val="nil"/>
            </w:tcBorders>
            <w:shd w:val="clear" w:color="auto" w:fill="auto"/>
            <w:noWrap/>
            <w:vAlign w:val="bottom"/>
            <w:hideMark/>
          </w:tcPr>
          <w:p w14:paraId="612442AE" w14:textId="77777777" w:rsidR="00D85536" w:rsidRDefault="00D85536">
            <w:pPr>
              <w:rPr>
                <w:b/>
                <w:bCs/>
                <w:color w:val="000000"/>
              </w:rPr>
            </w:pPr>
          </w:p>
        </w:tc>
        <w:tc>
          <w:tcPr>
            <w:tcW w:w="1467" w:type="dxa"/>
            <w:tcBorders>
              <w:top w:val="single" w:sz="4" w:space="0" w:color="auto"/>
              <w:left w:val="nil"/>
              <w:bottom w:val="double" w:sz="6" w:space="0" w:color="auto"/>
              <w:right w:val="nil"/>
            </w:tcBorders>
            <w:shd w:val="clear" w:color="auto" w:fill="auto"/>
            <w:noWrap/>
            <w:vAlign w:val="bottom"/>
            <w:hideMark/>
          </w:tcPr>
          <w:p w14:paraId="471EF270" w14:textId="77777777" w:rsidR="00D85536" w:rsidRDefault="00D85536">
            <w:pPr>
              <w:rPr>
                <w:color w:val="000000"/>
              </w:rPr>
            </w:pPr>
            <w:r>
              <w:rPr>
                <w:color w:val="000000"/>
              </w:rPr>
              <w:t xml:space="preserve"> $           849 </w:t>
            </w:r>
          </w:p>
        </w:tc>
        <w:tc>
          <w:tcPr>
            <w:tcW w:w="235" w:type="dxa"/>
            <w:tcBorders>
              <w:top w:val="nil"/>
              <w:left w:val="nil"/>
              <w:bottom w:val="nil"/>
              <w:right w:val="nil"/>
            </w:tcBorders>
            <w:shd w:val="clear" w:color="auto" w:fill="auto"/>
            <w:noWrap/>
            <w:vAlign w:val="bottom"/>
            <w:hideMark/>
          </w:tcPr>
          <w:p w14:paraId="09479BBE" w14:textId="77777777" w:rsidR="00D85536" w:rsidRDefault="00D85536">
            <w:pPr>
              <w:rPr>
                <w:color w:val="000000"/>
              </w:rPr>
            </w:pPr>
          </w:p>
        </w:tc>
        <w:tc>
          <w:tcPr>
            <w:tcW w:w="1470" w:type="dxa"/>
            <w:tcBorders>
              <w:top w:val="single" w:sz="4" w:space="0" w:color="auto"/>
              <w:left w:val="nil"/>
              <w:bottom w:val="double" w:sz="6" w:space="0" w:color="auto"/>
              <w:right w:val="nil"/>
            </w:tcBorders>
            <w:shd w:val="clear" w:color="auto" w:fill="auto"/>
            <w:noWrap/>
            <w:vAlign w:val="bottom"/>
            <w:hideMark/>
          </w:tcPr>
          <w:p w14:paraId="1B2E6E77" w14:textId="77777777" w:rsidR="00D85536" w:rsidRDefault="00D85536">
            <w:pPr>
              <w:rPr>
                <w:color w:val="000000"/>
              </w:rPr>
            </w:pPr>
            <w:r>
              <w:rPr>
                <w:color w:val="000000"/>
              </w:rPr>
              <w:t xml:space="preserve"> $        2,244 </w:t>
            </w:r>
          </w:p>
        </w:tc>
      </w:tr>
    </w:tbl>
    <w:p w14:paraId="36FAFCF5" w14:textId="3BDCA3D9" w:rsidR="784656E5" w:rsidRDefault="784656E5" w:rsidP="784656E5">
      <w:pPr>
        <w:outlineLvl w:val="0"/>
        <w:rPr>
          <w:b/>
          <w:bCs/>
        </w:rPr>
      </w:pPr>
    </w:p>
    <w:p w14:paraId="772D32A7" w14:textId="5164B028" w:rsidR="784656E5" w:rsidRDefault="784656E5" w:rsidP="784656E5">
      <w:pPr>
        <w:outlineLvl w:val="0"/>
        <w:rPr>
          <w:b/>
          <w:bCs/>
        </w:rPr>
      </w:pPr>
    </w:p>
    <w:p w14:paraId="4BB55462" w14:textId="6BC789C6" w:rsidR="784656E5" w:rsidRDefault="784656E5" w:rsidP="784656E5">
      <w:pPr>
        <w:outlineLvl w:val="0"/>
        <w:rPr>
          <w:b/>
          <w:bCs/>
        </w:rPr>
      </w:pPr>
    </w:p>
    <w:p w14:paraId="4842AEFA" w14:textId="77777777" w:rsidR="00320D97" w:rsidRDefault="00320D97" w:rsidP="784656E5">
      <w:pPr>
        <w:outlineLvl w:val="0"/>
        <w:rPr>
          <w:b/>
          <w:bCs/>
        </w:rPr>
      </w:pPr>
    </w:p>
    <w:p w14:paraId="6D39CA36" w14:textId="5D0F6B82" w:rsidR="00A9410D" w:rsidRDefault="00A9410D" w:rsidP="784656E5">
      <w:pPr>
        <w:outlineLvl w:val="0"/>
        <w:rPr>
          <w:b/>
          <w:bCs/>
        </w:rPr>
      </w:pPr>
    </w:p>
    <w:p w14:paraId="64971780" w14:textId="57E2AC00" w:rsidR="784656E5" w:rsidRDefault="784656E5" w:rsidP="784656E5">
      <w:pPr>
        <w:outlineLvl w:val="0"/>
        <w:rPr>
          <w:b/>
          <w:bCs/>
        </w:rPr>
      </w:pPr>
    </w:p>
    <w:tbl>
      <w:tblPr>
        <w:tblW w:w="8778" w:type="dxa"/>
        <w:tblLook w:val="04A0" w:firstRow="1" w:lastRow="0" w:firstColumn="1" w:lastColumn="0" w:noHBand="0" w:noVBand="1"/>
      </w:tblPr>
      <w:tblGrid>
        <w:gridCol w:w="5036"/>
        <w:gridCol w:w="378"/>
        <w:gridCol w:w="1465"/>
        <w:gridCol w:w="378"/>
        <w:gridCol w:w="1521"/>
      </w:tblGrid>
      <w:tr w:rsidR="00931DE7" w14:paraId="0FCCB653" w14:textId="77777777" w:rsidTr="009F7BEB">
        <w:trPr>
          <w:trHeight w:val="341"/>
        </w:trPr>
        <w:tc>
          <w:tcPr>
            <w:tcW w:w="8778" w:type="dxa"/>
            <w:gridSpan w:val="5"/>
            <w:tcBorders>
              <w:top w:val="nil"/>
              <w:left w:val="nil"/>
              <w:bottom w:val="nil"/>
              <w:right w:val="nil"/>
            </w:tcBorders>
            <w:shd w:val="clear" w:color="auto" w:fill="auto"/>
            <w:noWrap/>
            <w:vAlign w:val="bottom"/>
            <w:hideMark/>
          </w:tcPr>
          <w:p w14:paraId="3F753DB2" w14:textId="23758624" w:rsidR="00931DE7" w:rsidRDefault="00931DE7">
            <w:pPr>
              <w:jc w:val="center"/>
              <w:rPr>
                <w:b/>
                <w:bCs/>
                <w:color w:val="000000"/>
              </w:rPr>
            </w:pPr>
            <w:r>
              <w:rPr>
                <w:b/>
                <w:bCs/>
                <w:color w:val="000000"/>
              </w:rPr>
              <w:t xml:space="preserve">Reconciliation </w:t>
            </w:r>
            <w:r w:rsidR="00C175AC">
              <w:rPr>
                <w:b/>
                <w:bCs/>
                <w:color w:val="000000"/>
              </w:rPr>
              <w:t>of Net</w:t>
            </w:r>
            <w:r>
              <w:rPr>
                <w:b/>
                <w:bCs/>
                <w:color w:val="000000"/>
              </w:rPr>
              <w:t xml:space="preserve"> Income to</w:t>
            </w:r>
          </w:p>
        </w:tc>
      </w:tr>
      <w:tr w:rsidR="00931DE7" w14:paraId="04633A37" w14:textId="77777777" w:rsidTr="009F7BEB">
        <w:trPr>
          <w:trHeight w:val="341"/>
        </w:trPr>
        <w:tc>
          <w:tcPr>
            <w:tcW w:w="8778" w:type="dxa"/>
            <w:gridSpan w:val="5"/>
            <w:tcBorders>
              <w:top w:val="nil"/>
              <w:left w:val="nil"/>
              <w:bottom w:val="nil"/>
              <w:right w:val="nil"/>
            </w:tcBorders>
            <w:shd w:val="clear" w:color="auto" w:fill="auto"/>
            <w:noWrap/>
            <w:vAlign w:val="bottom"/>
            <w:hideMark/>
          </w:tcPr>
          <w:p w14:paraId="3B7B4DC4" w14:textId="77777777" w:rsidR="00931DE7" w:rsidRDefault="00931DE7">
            <w:pPr>
              <w:jc w:val="center"/>
              <w:rPr>
                <w:b/>
                <w:bCs/>
                <w:color w:val="000000"/>
              </w:rPr>
            </w:pPr>
            <w:r>
              <w:rPr>
                <w:b/>
                <w:bCs/>
                <w:color w:val="000000"/>
              </w:rPr>
              <w:t>Non-GAAP Adjusted Net Income</w:t>
            </w:r>
          </w:p>
        </w:tc>
      </w:tr>
      <w:tr w:rsidR="00931DE7" w14:paraId="04D90C99" w14:textId="77777777" w:rsidTr="009F7BEB">
        <w:trPr>
          <w:trHeight w:val="341"/>
        </w:trPr>
        <w:tc>
          <w:tcPr>
            <w:tcW w:w="8778" w:type="dxa"/>
            <w:gridSpan w:val="5"/>
            <w:tcBorders>
              <w:top w:val="nil"/>
              <w:left w:val="nil"/>
              <w:bottom w:val="nil"/>
              <w:right w:val="nil"/>
            </w:tcBorders>
            <w:shd w:val="clear" w:color="auto" w:fill="auto"/>
            <w:noWrap/>
            <w:vAlign w:val="bottom"/>
            <w:hideMark/>
          </w:tcPr>
          <w:p w14:paraId="6DBCF392" w14:textId="77777777" w:rsidR="00931DE7" w:rsidRDefault="00931DE7">
            <w:pPr>
              <w:jc w:val="center"/>
              <w:rPr>
                <w:b/>
                <w:bCs/>
                <w:color w:val="000000"/>
              </w:rPr>
            </w:pPr>
            <w:r>
              <w:rPr>
                <w:b/>
                <w:bCs/>
                <w:color w:val="000000"/>
              </w:rPr>
              <w:t>Six Month Periods Ended March 31,</w:t>
            </w:r>
          </w:p>
        </w:tc>
      </w:tr>
      <w:tr w:rsidR="00931DE7" w14:paraId="3FD409A4" w14:textId="77777777" w:rsidTr="009F7BEB">
        <w:trPr>
          <w:trHeight w:val="341"/>
        </w:trPr>
        <w:tc>
          <w:tcPr>
            <w:tcW w:w="8778" w:type="dxa"/>
            <w:gridSpan w:val="5"/>
            <w:tcBorders>
              <w:top w:val="nil"/>
              <w:left w:val="nil"/>
              <w:bottom w:val="nil"/>
              <w:right w:val="nil"/>
            </w:tcBorders>
            <w:shd w:val="clear" w:color="auto" w:fill="auto"/>
            <w:noWrap/>
            <w:vAlign w:val="bottom"/>
            <w:hideMark/>
          </w:tcPr>
          <w:p w14:paraId="15C4F412" w14:textId="77777777" w:rsidR="00931DE7" w:rsidRDefault="00931DE7">
            <w:pPr>
              <w:jc w:val="center"/>
              <w:rPr>
                <w:color w:val="000000"/>
              </w:rPr>
            </w:pPr>
            <w:r>
              <w:rPr>
                <w:color w:val="000000"/>
              </w:rPr>
              <w:t>(In thousands)</w:t>
            </w:r>
          </w:p>
        </w:tc>
      </w:tr>
      <w:tr w:rsidR="009F7BEB" w14:paraId="2C5781DE" w14:textId="77777777" w:rsidTr="009F7BEB">
        <w:trPr>
          <w:trHeight w:val="341"/>
        </w:trPr>
        <w:tc>
          <w:tcPr>
            <w:tcW w:w="5036" w:type="dxa"/>
            <w:tcBorders>
              <w:top w:val="nil"/>
              <w:left w:val="nil"/>
              <w:bottom w:val="nil"/>
              <w:right w:val="nil"/>
            </w:tcBorders>
            <w:shd w:val="clear" w:color="auto" w:fill="auto"/>
            <w:noWrap/>
            <w:vAlign w:val="bottom"/>
            <w:hideMark/>
          </w:tcPr>
          <w:p w14:paraId="4482ADC6" w14:textId="77777777" w:rsidR="00931DE7" w:rsidRDefault="00931DE7">
            <w:pPr>
              <w:jc w:val="center"/>
              <w:rPr>
                <w:color w:val="000000"/>
              </w:rPr>
            </w:pPr>
          </w:p>
        </w:tc>
        <w:tc>
          <w:tcPr>
            <w:tcW w:w="378" w:type="dxa"/>
            <w:tcBorders>
              <w:top w:val="nil"/>
              <w:left w:val="nil"/>
              <w:bottom w:val="nil"/>
              <w:right w:val="nil"/>
            </w:tcBorders>
            <w:shd w:val="clear" w:color="auto" w:fill="auto"/>
            <w:noWrap/>
            <w:vAlign w:val="bottom"/>
            <w:hideMark/>
          </w:tcPr>
          <w:p w14:paraId="64514C8F" w14:textId="77777777" w:rsidR="00931DE7" w:rsidRDefault="00931DE7">
            <w:pPr>
              <w:jc w:val="center"/>
              <w:rPr>
                <w:sz w:val="20"/>
                <w:szCs w:val="20"/>
              </w:rPr>
            </w:pPr>
          </w:p>
        </w:tc>
        <w:tc>
          <w:tcPr>
            <w:tcW w:w="1465" w:type="dxa"/>
            <w:tcBorders>
              <w:top w:val="nil"/>
              <w:left w:val="nil"/>
              <w:bottom w:val="single" w:sz="4" w:space="0" w:color="auto"/>
              <w:right w:val="nil"/>
            </w:tcBorders>
            <w:shd w:val="clear" w:color="auto" w:fill="auto"/>
            <w:noWrap/>
            <w:vAlign w:val="bottom"/>
            <w:hideMark/>
          </w:tcPr>
          <w:p w14:paraId="1DF2FCAB" w14:textId="77777777" w:rsidR="00931DE7" w:rsidRDefault="00931DE7">
            <w:pPr>
              <w:jc w:val="center"/>
              <w:rPr>
                <w:b/>
                <w:bCs/>
                <w:color w:val="000000"/>
              </w:rPr>
            </w:pPr>
            <w:r>
              <w:rPr>
                <w:b/>
                <w:bCs/>
                <w:color w:val="000000"/>
              </w:rPr>
              <w:t>2023</w:t>
            </w:r>
          </w:p>
        </w:tc>
        <w:tc>
          <w:tcPr>
            <w:tcW w:w="378" w:type="dxa"/>
            <w:tcBorders>
              <w:top w:val="nil"/>
              <w:left w:val="nil"/>
              <w:bottom w:val="nil"/>
              <w:right w:val="nil"/>
            </w:tcBorders>
            <w:shd w:val="clear" w:color="auto" w:fill="auto"/>
            <w:noWrap/>
            <w:vAlign w:val="bottom"/>
            <w:hideMark/>
          </w:tcPr>
          <w:p w14:paraId="0DD3E31F" w14:textId="77777777" w:rsidR="00931DE7" w:rsidRDefault="00931DE7">
            <w:pPr>
              <w:jc w:val="center"/>
              <w:rPr>
                <w:b/>
                <w:bCs/>
                <w:color w:val="000000"/>
              </w:rPr>
            </w:pPr>
          </w:p>
        </w:tc>
        <w:tc>
          <w:tcPr>
            <w:tcW w:w="1520" w:type="dxa"/>
            <w:tcBorders>
              <w:top w:val="nil"/>
              <w:left w:val="nil"/>
              <w:bottom w:val="single" w:sz="4" w:space="0" w:color="auto"/>
              <w:right w:val="nil"/>
            </w:tcBorders>
            <w:shd w:val="clear" w:color="auto" w:fill="auto"/>
            <w:noWrap/>
            <w:vAlign w:val="bottom"/>
            <w:hideMark/>
          </w:tcPr>
          <w:p w14:paraId="14BCDC2E" w14:textId="77777777" w:rsidR="00931DE7" w:rsidRDefault="00931DE7">
            <w:pPr>
              <w:jc w:val="center"/>
              <w:rPr>
                <w:b/>
                <w:bCs/>
                <w:color w:val="000000"/>
              </w:rPr>
            </w:pPr>
            <w:r>
              <w:rPr>
                <w:b/>
                <w:bCs/>
                <w:color w:val="000000"/>
              </w:rPr>
              <w:t>2022</w:t>
            </w:r>
          </w:p>
        </w:tc>
      </w:tr>
      <w:tr w:rsidR="009F7BEB" w14:paraId="0F79160A" w14:textId="77777777" w:rsidTr="009F7BEB">
        <w:trPr>
          <w:trHeight w:val="341"/>
        </w:trPr>
        <w:tc>
          <w:tcPr>
            <w:tcW w:w="5036" w:type="dxa"/>
            <w:tcBorders>
              <w:top w:val="nil"/>
              <w:left w:val="nil"/>
              <w:bottom w:val="nil"/>
              <w:right w:val="nil"/>
            </w:tcBorders>
            <w:shd w:val="clear" w:color="auto" w:fill="auto"/>
            <w:noWrap/>
            <w:vAlign w:val="bottom"/>
            <w:hideMark/>
          </w:tcPr>
          <w:p w14:paraId="341DDB1F" w14:textId="77777777" w:rsidR="00931DE7" w:rsidRDefault="00931DE7">
            <w:pPr>
              <w:rPr>
                <w:b/>
                <w:bCs/>
                <w:color w:val="000000"/>
              </w:rPr>
            </w:pPr>
            <w:r>
              <w:rPr>
                <w:b/>
                <w:bCs/>
                <w:color w:val="000000"/>
              </w:rPr>
              <w:t>Net income</w:t>
            </w:r>
          </w:p>
        </w:tc>
        <w:tc>
          <w:tcPr>
            <w:tcW w:w="378" w:type="dxa"/>
            <w:tcBorders>
              <w:top w:val="nil"/>
              <w:left w:val="nil"/>
              <w:bottom w:val="nil"/>
              <w:right w:val="nil"/>
            </w:tcBorders>
            <w:shd w:val="clear" w:color="auto" w:fill="auto"/>
            <w:noWrap/>
            <w:vAlign w:val="bottom"/>
            <w:hideMark/>
          </w:tcPr>
          <w:p w14:paraId="786BF3F3" w14:textId="77777777" w:rsidR="00931DE7" w:rsidRDefault="00931DE7">
            <w:pPr>
              <w:jc w:val="center"/>
              <w:rPr>
                <w:color w:val="000000"/>
              </w:rPr>
            </w:pPr>
            <w:r>
              <w:rPr>
                <w:color w:val="000000"/>
              </w:rPr>
              <w:t>$</w:t>
            </w:r>
          </w:p>
        </w:tc>
        <w:tc>
          <w:tcPr>
            <w:tcW w:w="1465" w:type="dxa"/>
            <w:tcBorders>
              <w:top w:val="nil"/>
              <w:left w:val="nil"/>
              <w:bottom w:val="nil"/>
              <w:right w:val="nil"/>
            </w:tcBorders>
            <w:shd w:val="clear" w:color="auto" w:fill="auto"/>
            <w:noWrap/>
            <w:vAlign w:val="bottom"/>
            <w:hideMark/>
          </w:tcPr>
          <w:p w14:paraId="607A9A40" w14:textId="77777777" w:rsidR="00931DE7" w:rsidRDefault="00931DE7">
            <w:pPr>
              <w:rPr>
                <w:color w:val="000000"/>
              </w:rPr>
            </w:pPr>
            <w:r>
              <w:rPr>
                <w:color w:val="000000"/>
              </w:rPr>
              <w:t xml:space="preserve">           1,312 </w:t>
            </w:r>
          </w:p>
        </w:tc>
        <w:tc>
          <w:tcPr>
            <w:tcW w:w="378" w:type="dxa"/>
            <w:tcBorders>
              <w:top w:val="nil"/>
              <w:left w:val="nil"/>
              <w:bottom w:val="nil"/>
              <w:right w:val="nil"/>
            </w:tcBorders>
            <w:shd w:val="clear" w:color="auto" w:fill="auto"/>
            <w:noWrap/>
            <w:vAlign w:val="bottom"/>
            <w:hideMark/>
          </w:tcPr>
          <w:p w14:paraId="5A7C7585" w14:textId="77777777" w:rsidR="00931DE7" w:rsidRDefault="00931DE7">
            <w:pPr>
              <w:jc w:val="center"/>
              <w:rPr>
                <w:color w:val="000000"/>
              </w:rPr>
            </w:pPr>
            <w:r>
              <w:rPr>
                <w:color w:val="000000"/>
              </w:rPr>
              <w:t>$</w:t>
            </w:r>
          </w:p>
        </w:tc>
        <w:tc>
          <w:tcPr>
            <w:tcW w:w="1520" w:type="dxa"/>
            <w:tcBorders>
              <w:top w:val="nil"/>
              <w:left w:val="nil"/>
              <w:bottom w:val="nil"/>
              <w:right w:val="nil"/>
            </w:tcBorders>
            <w:shd w:val="clear" w:color="auto" w:fill="auto"/>
            <w:noWrap/>
            <w:vAlign w:val="bottom"/>
            <w:hideMark/>
          </w:tcPr>
          <w:p w14:paraId="73B55B36" w14:textId="77777777" w:rsidR="00931DE7" w:rsidRDefault="00931DE7">
            <w:pPr>
              <w:rPr>
                <w:color w:val="000000"/>
              </w:rPr>
            </w:pPr>
            <w:r>
              <w:rPr>
                <w:color w:val="000000"/>
              </w:rPr>
              <w:t xml:space="preserve">         17,755 </w:t>
            </w:r>
          </w:p>
        </w:tc>
      </w:tr>
      <w:tr w:rsidR="009F7BEB" w14:paraId="3943CF36" w14:textId="77777777" w:rsidTr="009F7BEB">
        <w:trPr>
          <w:trHeight w:val="341"/>
        </w:trPr>
        <w:tc>
          <w:tcPr>
            <w:tcW w:w="5036" w:type="dxa"/>
            <w:tcBorders>
              <w:top w:val="nil"/>
              <w:left w:val="nil"/>
              <w:bottom w:val="nil"/>
              <w:right w:val="nil"/>
            </w:tcBorders>
            <w:shd w:val="clear" w:color="auto" w:fill="auto"/>
            <w:noWrap/>
            <w:vAlign w:val="bottom"/>
            <w:hideMark/>
          </w:tcPr>
          <w:p w14:paraId="334F3502" w14:textId="77777777" w:rsidR="00931DE7" w:rsidRDefault="00931DE7">
            <w:pPr>
              <w:rPr>
                <w:b/>
                <w:bCs/>
                <w:color w:val="000000"/>
              </w:rPr>
            </w:pPr>
            <w:r>
              <w:rPr>
                <w:b/>
                <w:bCs/>
                <w:color w:val="000000"/>
              </w:rPr>
              <w:t>Non-cash stock compensation</w:t>
            </w:r>
          </w:p>
        </w:tc>
        <w:tc>
          <w:tcPr>
            <w:tcW w:w="378" w:type="dxa"/>
            <w:tcBorders>
              <w:top w:val="nil"/>
              <w:left w:val="nil"/>
              <w:bottom w:val="nil"/>
              <w:right w:val="nil"/>
            </w:tcBorders>
            <w:shd w:val="clear" w:color="auto" w:fill="auto"/>
            <w:noWrap/>
            <w:vAlign w:val="bottom"/>
            <w:hideMark/>
          </w:tcPr>
          <w:p w14:paraId="00B14A1F" w14:textId="77777777" w:rsidR="00931DE7" w:rsidRDefault="00931DE7">
            <w:pPr>
              <w:rPr>
                <w:b/>
                <w:bCs/>
                <w:color w:val="000000"/>
              </w:rPr>
            </w:pPr>
          </w:p>
        </w:tc>
        <w:tc>
          <w:tcPr>
            <w:tcW w:w="1465" w:type="dxa"/>
            <w:tcBorders>
              <w:top w:val="nil"/>
              <w:left w:val="nil"/>
              <w:bottom w:val="nil"/>
              <w:right w:val="nil"/>
            </w:tcBorders>
            <w:shd w:val="clear" w:color="auto" w:fill="auto"/>
            <w:noWrap/>
            <w:vAlign w:val="bottom"/>
            <w:hideMark/>
          </w:tcPr>
          <w:p w14:paraId="2C754A2D" w14:textId="77777777" w:rsidR="00931DE7" w:rsidRDefault="00931DE7">
            <w:pPr>
              <w:rPr>
                <w:color w:val="000000"/>
              </w:rPr>
            </w:pPr>
            <w:r>
              <w:rPr>
                <w:color w:val="000000"/>
              </w:rPr>
              <w:t xml:space="preserve">              500 </w:t>
            </w:r>
          </w:p>
        </w:tc>
        <w:tc>
          <w:tcPr>
            <w:tcW w:w="378" w:type="dxa"/>
            <w:tcBorders>
              <w:top w:val="nil"/>
              <w:left w:val="nil"/>
              <w:bottom w:val="nil"/>
              <w:right w:val="nil"/>
            </w:tcBorders>
            <w:shd w:val="clear" w:color="auto" w:fill="auto"/>
            <w:noWrap/>
            <w:vAlign w:val="bottom"/>
            <w:hideMark/>
          </w:tcPr>
          <w:p w14:paraId="2AAB5BB2" w14:textId="77777777" w:rsidR="00931DE7" w:rsidRDefault="00931DE7">
            <w:pPr>
              <w:rPr>
                <w:color w:val="000000"/>
              </w:rPr>
            </w:pPr>
          </w:p>
        </w:tc>
        <w:tc>
          <w:tcPr>
            <w:tcW w:w="1520" w:type="dxa"/>
            <w:tcBorders>
              <w:top w:val="nil"/>
              <w:left w:val="nil"/>
              <w:bottom w:val="nil"/>
              <w:right w:val="nil"/>
            </w:tcBorders>
            <w:shd w:val="clear" w:color="auto" w:fill="auto"/>
            <w:noWrap/>
            <w:vAlign w:val="bottom"/>
            <w:hideMark/>
          </w:tcPr>
          <w:p w14:paraId="0AE97540" w14:textId="77777777" w:rsidR="00931DE7" w:rsidRDefault="00931DE7">
            <w:pPr>
              <w:rPr>
                <w:color w:val="000000"/>
              </w:rPr>
            </w:pPr>
            <w:r>
              <w:rPr>
                <w:color w:val="000000"/>
              </w:rPr>
              <w:t xml:space="preserve">              299 </w:t>
            </w:r>
          </w:p>
        </w:tc>
      </w:tr>
      <w:tr w:rsidR="009F7BEB" w14:paraId="4AA2D893" w14:textId="77777777" w:rsidTr="009F7BEB">
        <w:trPr>
          <w:trHeight w:val="341"/>
        </w:trPr>
        <w:tc>
          <w:tcPr>
            <w:tcW w:w="5036" w:type="dxa"/>
            <w:tcBorders>
              <w:top w:val="nil"/>
              <w:left w:val="nil"/>
              <w:bottom w:val="nil"/>
              <w:right w:val="nil"/>
            </w:tcBorders>
            <w:shd w:val="clear" w:color="auto" w:fill="auto"/>
            <w:noWrap/>
            <w:vAlign w:val="bottom"/>
            <w:hideMark/>
          </w:tcPr>
          <w:p w14:paraId="79711A3A" w14:textId="77777777" w:rsidR="00931DE7" w:rsidRDefault="00931DE7">
            <w:pPr>
              <w:rPr>
                <w:b/>
                <w:bCs/>
                <w:color w:val="000000"/>
              </w:rPr>
            </w:pPr>
            <w:r>
              <w:rPr>
                <w:b/>
                <w:bCs/>
                <w:color w:val="000000"/>
              </w:rPr>
              <w:t>Gains on PPP loan forgiveness</w:t>
            </w:r>
          </w:p>
        </w:tc>
        <w:tc>
          <w:tcPr>
            <w:tcW w:w="378" w:type="dxa"/>
            <w:tcBorders>
              <w:top w:val="nil"/>
              <w:left w:val="nil"/>
              <w:bottom w:val="nil"/>
              <w:right w:val="nil"/>
            </w:tcBorders>
            <w:shd w:val="clear" w:color="auto" w:fill="auto"/>
            <w:noWrap/>
            <w:vAlign w:val="bottom"/>
            <w:hideMark/>
          </w:tcPr>
          <w:p w14:paraId="03080FDF" w14:textId="77777777" w:rsidR="00931DE7" w:rsidRDefault="00931DE7">
            <w:pPr>
              <w:rPr>
                <w:b/>
                <w:bCs/>
                <w:color w:val="000000"/>
              </w:rPr>
            </w:pPr>
          </w:p>
        </w:tc>
        <w:tc>
          <w:tcPr>
            <w:tcW w:w="1465" w:type="dxa"/>
            <w:tcBorders>
              <w:top w:val="nil"/>
              <w:left w:val="nil"/>
              <w:bottom w:val="nil"/>
              <w:right w:val="nil"/>
            </w:tcBorders>
            <w:shd w:val="clear" w:color="auto" w:fill="auto"/>
            <w:noWrap/>
            <w:vAlign w:val="bottom"/>
            <w:hideMark/>
          </w:tcPr>
          <w:p w14:paraId="67558798" w14:textId="77777777" w:rsidR="00931DE7" w:rsidRDefault="00931DE7">
            <w:pPr>
              <w:rPr>
                <w:color w:val="000000"/>
              </w:rPr>
            </w:pPr>
            <w:r>
              <w:rPr>
                <w:color w:val="000000"/>
              </w:rPr>
              <w:t xml:space="preserve">                -   </w:t>
            </w:r>
          </w:p>
        </w:tc>
        <w:tc>
          <w:tcPr>
            <w:tcW w:w="378" w:type="dxa"/>
            <w:tcBorders>
              <w:top w:val="nil"/>
              <w:left w:val="nil"/>
              <w:bottom w:val="nil"/>
              <w:right w:val="nil"/>
            </w:tcBorders>
            <w:shd w:val="clear" w:color="auto" w:fill="auto"/>
            <w:noWrap/>
            <w:vAlign w:val="bottom"/>
            <w:hideMark/>
          </w:tcPr>
          <w:p w14:paraId="573FCB27" w14:textId="77777777" w:rsidR="00931DE7" w:rsidRDefault="00931DE7">
            <w:pPr>
              <w:rPr>
                <w:color w:val="000000"/>
              </w:rPr>
            </w:pPr>
          </w:p>
        </w:tc>
        <w:tc>
          <w:tcPr>
            <w:tcW w:w="1520" w:type="dxa"/>
            <w:tcBorders>
              <w:top w:val="nil"/>
              <w:left w:val="nil"/>
              <w:bottom w:val="nil"/>
              <w:right w:val="nil"/>
            </w:tcBorders>
            <w:shd w:val="clear" w:color="auto" w:fill="auto"/>
            <w:noWrap/>
            <w:vAlign w:val="bottom"/>
            <w:hideMark/>
          </w:tcPr>
          <w:p w14:paraId="45618E74" w14:textId="77777777" w:rsidR="00931DE7" w:rsidRDefault="00931DE7">
            <w:pPr>
              <w:rPr>
                <w:color w:val="000000"/>
              </w:rPr>
            </w:pPr>
            <w:r>
              <w:rPr>
                <w:color w:val="000000"/>
              </w:rPr>
              <w:t xml:space="preserve">       (16,773)</w:t>
            </w:r>
          </w:p>
        </w:tc>
      </w:tr>
      <w:tr w:rsidR="009F7BEB" w14:paraId="2AE16739" w14:textId="77777777" w:rsidTr="009F7BEB">
        <w:trPr>
          <w:trHeight w:val="341"/>
        </w:trPr>
        <w:tc>
          <w:tcPr>
            <w:tcW w:w="5036" w:type="dxa"/>
            <w:tcBorders>
              <w:top w:val="nil"/>
              <w:left w:val="nil"/>
              <w:bottom w:val="nil"/>
              <w:right w:val="nil"/>
            </w:tcBorders>
            <w:shd w:val="clear" w:color="auto" w:fill="auto"/>
            <w:noWrap/>
            <w:vAlign w:val="bottom"/>
            <w:hideMark/>
          </w:tcPr>
          <w:p w14:paraId="645B5079" w14:textId="77777777" w:rsidR="00931DE7" w:rsidRDefault="00931DE7">
            <w:pPr>
              <w:rPr>
                <w:b/>
                <w:bCs/>
                <w:color w:val="000000"/>
              </w:rPr>
            </w:pPr>
            <w:r>
              <w:rPr>
                <w:b/>
                <w:bCs/>
                <w:color w:val="000000"/>
              </w:rPr>
              <w:t>Non-cash goodwill impairment charge</w:t>
            </w:r>
          </w:p>
        </w:tc>
        <w:tc>
          <w:tcPr>
            <w:tcW w:w="378" w:type="dxa"/>
            <w:tcBorders>
              <w:top w:val="nil"/>
              <w:left w:val="nil"/>
              <w:bottom w:val="nil"/>
              <w:right w:val="nil"/>
            </w:tcBorders>
            <w:shd w:val="clear" w:color="auto" w:fill="auto"/>
            <w:noWrap/>
            <w:vAlign w:val="bottom"/>
            <w:hideMark/>
          </w:tcPr>
          <w:p w14:paraId="1E2B2054" w14:textId="77777777" w:rsidR="00931DE7" w:rsidRDefault="00931DE7">
            <w:pPr>
              <w:rPr>
                <w:b/>
                <w:bCs/>
                <w:color w:val="000000"/>
              </w:rPr>
            </w:pPr>
          </w:p>
        </w:tc>
        <w:tc>
          <w:tcPr>
            <w:tcW w:w="1465" w:type="dxa"/>
            <w:tcBorders>
              <w:top w:val="nil"/>
              <w:left w:val="nil"/>
              <w:bottom w:val="nil"/>
              <w:right w:val="nil"/>
            </w:tcBorders>
            <w:shd w:val="clear" w:color="auto" w:fill="auto"/>
            <w:noWrap/>
            <w:vAlign w:val="bottom"/>
            <w:hideMark/>
          </w:tcPr>
          <w:p w14:paraId="7783FF58" w14:textId="77777777" w:rsidR="00931DE7" w:rsidRDefault="00931DE7">
            <w:pPr>
              <w:rPr>
                <w:color w:val="000000"/>
              </w:rPr>
            </w:pPr>
            <w:r>
              <w:rPr>
                <w:color w:val="000000"/>
              </w:rPr>
              <w:t xml:space="preserve">                -   </w:t>
            </w:r>
          </w:p>
        </w:tc>
        <w:tc>
          <w:tcPr>
            <w:tcW w:w="378" w:type="dxa"/>
            <w:tcBorders>
              <w:top w:val="nil"/>
              <w:left w:val="nil"/>
              <w:bottom w:val="nil"/>
              <w:right w:val="nil"/>
            </w:tcBorders>
            <w:shd w:val="clear" w:color="auto" w:fill="auto"/>
            <w:noWrap/>
            <w:vAlign w:val="bottom"/>
            <w:hideMark/>
          </w:tcPr>
          <w:p w14:paraId="1DE7C217" w14:textId="77777777" w:rsidR="00931DE7" w:rsidRDefault="00931DE7">
            <w:pPr>
              <w:rPr>
                <w:color w:val="000000"/>
              </w:rPr>
            </w:pPr>
          </w:p>
        </w:tc>
        <w:tc>
          <w:tcPr>
            <w:tcW w:w="1520" w:type="dxa"/>
            <w:tcBorders>
              <w:top w:val="nil"/>
              <w:left w:val="nil"/>
              <w:bottom w:val="nil"/>
              <w:right w:val="nil"/>
            </w:tcBorders>
            <w:shd w:val="clear" w:color="auto" w:fill="auto"/>
            <w:noWrap/>
            <w:vAlign w:val="bottom"/>
            <w:hideMark/>
          </w:tcPr>
          <w:p w14:paraId="5F0DAE37" w14:textId="77777777" w:rsidR="00931DE7" w:rsidRDefault="00931DE7">
            <w:pPr>
              <w:rPr>
                <w:color w:val="000000"/>
              </w:rPr>
            </w:pPr>
            <w:r>
              <w:rPr>
                <w:color w:val="000000"/>
              </w:rPr>
              <w:t xml:space="preserve">           2,150 </w:t>
            </w:r>
          </w:p>
        </w:tc>
      </w:tr>
      <w:tr w:rsidR="009F7BEB" w14:paraId="2DA2B61E" w14:textId="77777777" w:rsidTr="009F7BEB">
        <w:trPr>
          <w:trHeight w:val="341"/>
        </w:trPr>
        <w:tc>
          <w:tcPr>
            <w:tcW w:w="5036" w:type="dxa"/>
            <w:tcBorders>
              <w:top w:val="nil"/>
              <w:left w:val="nil"/>
              <w:bottom w:val="nil"/>
              <w:right w:val="nil"/>
            </w:tcBorders>
            <w:shd w:val="clear" w:color="auto" w:fill="auto"/>
            <w:noWrap/>
            <w:vAlign w:val="bottom"/>
            <w:hideMark/>
          </w:tcPr>
          <w:p w14:paraId="2441B71F" w14:textId="77777777" w:rsidR="00931DE7" w:rsidRDefault="00931DE7">
            <w:pPr>
              <w:rPr>
                <w:b/>
                <w:bCs/>
                <w:color w:val="000000"/>
              </w:rPr>
            </w:pPr>
            <w:r>
              <w:rPr>
                <w:b/>
                <w:bCs/>
                <w:color w:val="000000"/>
              </w:rPr>
              <w:t>Settlement of legal matter</w:t>
            </w:r>
          </w:p>
        </w:tc>
        <w:tc>
          <w:tcPr>
            <w:tcW w:w="378" w:type="dxa"/>
            <w:tcBorders>
              <w:top w:val="nil"/>
              <w:left w:val="nil"/>
              <w:bottom w:val="nil"/>
              <w:right w:val="nil"/>
            </w:tcBorders>
            <w:shd w:val="clear" w:color="auto" w:fill="auto"/>
            <w:noWrap/>
            <w:vAlign w:val="bottom"/>
            <w:hideMark/>
          </w:tcPr>
          <w:p w14:paraId="081AE9B2" w14:textId="77777777" w:rsidR="00931DE7" w:rsidRDefault="00931DE7">
            <w:pPr>
              <w:rPr>
                <w:b/>
                <w:bCs/>
                <w:color w:val="000000"/>
              </w:rPr>
            </w:pPr>
          </w:p>
        </w:tc>
        <w:tc>
          <w:tcPr>
            <w:tcW w:w="1465" w:type="dxa"/>
            <w:tcBorders>
              <w:top w:val="nil"/>
              <w:left w:val="nil"/>
              <w:bottom w:val="nil"/>
              <w:right w:val="nil"/>
            </w:tcBorders>
            <w:shd w:val="clear" w:color="auto" w:fill="auto"/>
            <w:noWrap/>
            <w:vAlign w:val="bottom"/>
            <w:hideMark/>
          </w:tcPr>
          <w:p w14:paraId="0B840571" w14:textId="77777777" w:rsidR="00931DE7" w:rsidRDefault="00931DE7">
            <w:pPr>
              <w:rPr>
                <w:color w:val="000000"/>
              </w:rPr>
            </w:pPr>
            <w:r>
              <w:rPr>
                <w:color w:val="000000"/>
              </w:rPr>
              <w:t xml:space="preserve">                -   </w:t>
            </w:r>
          </w:p>
        </w:tc>
        <w:tc>
          <w:tcPr>
            <w:tcW w:w="378" w:type="dxa"/>
            <w:tcBorders>
              <w:top w:val="nil"/>
              <w:left w:val="nil"/>
              <w:bottom w:val="nil"/>
              <w:right w:val="nil"/>
            </w:tcBorders>
            <w:shd w:val="clear" w:color="auto" w:fill="auto"/>
            <w:noWrap/>
            <w:vAlign w:val="bottom"/>
            <w:hideMark/>
          </w:tcPr>
          <w:p w14:paraId="62D1873B" w14:textId="77777777" w:rsidR="00931DE7" w:rsidRDefault="00931DE7">
            <w:pPr>
              <w:rPr>
                <w:color w:val="000000"/>
              </w:rPr>
            </w:pPr>
          </w:p>
        </w:tc>
        <w:tc>
          <w:tcPr>
            <w:tcW w:w="1520" w:type="dxa"/>
            <w:tcBorders>
              <w:top w:val="nil"/>
              <w:left w:val="nil"/>
              <w:bottom w:val="nil"/>
              <w:right w:val="nil"/>
            </w:tcBorders>
            <w:shd w:val="clear" w:color="auto" w:fill="auto"/>
            <w:noWrap/>
            <w:vAlign w:val="bottom"/>
            <w:hideMark/>
          </w:tcPr>
          <w:p w14:paraId="1B3DD1B4" w14:textId="77777777" w:rsidR="00931DE7" w:rsidRDefault="00931DE7">
            <w:pPr>
              <w:rPr>
                <w:color w:val="000000"/>
              </w:rPr>
            </w:pPr>
            <w:r>
              <w:rPr>
                <w:color w:val="000000"/>
              </w:rPr>
              <w:t xml:space="preserve">              975 </w:t>
            </w:r>
          </w:p>
        </w:tc>
      </w:tr>
      <w:tr w:rsidR="009F7BEB" w14:paraId="579D6928" w14:textId="77777777" w:rsidTr="009F7BEB">
        <w:trPr>
          <w:trHeight w:val="341"/>
        </w:trPr>
        <w:tc>
          <w:tcPr>
            <w:tcW w:w="5036" w:type="dxa"/>
            <w:tcBorders>
              <w:top w:val="nil"/>
              <w:left w:val="nil"/>
              <w:bottom w:val="nil"/>
              <w:right w:val="nil"/>
            </w:tcBorders>
            <w:shd w:val="clear" w:color="auto" w:fill="auto"/>
            <w:noWrap/>
            <w:vAlign w:val="bottom"/>
            <w:hideMark/>
          </w:tcPr>
          <w:p w14:paraId="56315A90" w14:textId="77777777" w:rsidR="00931DE7" w:rsidRDefault="00931DE7">
            <w:pPr>
              <w:rPr>
                <w:b/>
                <w:bCs/>
                <w:color w:val="000000"/>
              </w:rPr>
            </w:pPr>
            <w:r>
              <w:rPr>
                <w:b/>
                <w:bCs/>
                <w:color w:val="000000"/>
              </w:rPr>
              <w:t>Severance agreement</w:t>
            </w:r>
          </w:p>
        </w:tc>
        <w:tc>
          <w:tcPr>
            <w:tcW w:w="378" w:type="dxa"/>
            <w:tcBorders>
              <w:top w:val="nil"/>
              <w:left w:val="nil"/>
              <w:bottom w:val="nil"/>
              <w:right w:val="nil"/>
            </w:tcBorders>
            <w:shd w:val="clear" w:color="auto" w:fill="auto"/>
            <w:noWrap/>
            <w:vAlign w:val="bottom"/>
            <w:hideMark/>
          </w:tcPr>
          <w:p w14:paraId="3E6C32F5" w14:textId="77777777" w:rsidR="00931DE7" w:rsidRDefault="00931DE7">
            <w:pPr>
              <w:rPr>
                <w:b/>
                <w:bCs/>
                <w:color w:val="000000"/>
              </w:rPr>
            </w:pPr>
          </w:p>
        </w:tc>
        <w:tc>
          <w:tcPr>
            <w:tcW w:w="1465" w:type="dxa"/>
            <w:tcBorders>
              <w:top w:val="nil"/>
              <w:left w:val="nil"/>
              <w:bottom w:val="nil"/>
              <w:right w:val="nil"/>
            </w:tcBorders>
            <w:shd w:val="clear" w:color="auto" w:fill="auto"/>
            <w:noWrap/>
            <w:vAlign w:val="bottom"/>
            <w:hideMark/>
          </w:tcPr>
          <w:p w14:paraId="57EBC961" w14:textId="77777777" w:rsidR="00931DE7" w:rsidRDefault="00931DE7">
            <w:pPr>
              <w:rPr>
                <w:color w:val="000000"/>
              </w:rPr>
            </w:pPr>
            <w:r>
              <w:rPr>
                <w:color w:val="000000"/>
              </w:rPr>
              <w:t xml:space="preserve">                -   </w:t>
            </w:r>
          </w:p>
        </w:tc>
        <w:tc>
          <w:tcPr>
            <w:tcW w:w="378" w:type="dxa"/>
            <w:tcBorders>
              <w:top w:val="nil"/>
              <w:left w:val="nil"/>
              <w:bottom w:val="nil"/>
              <w:right w:val="nil"/>
            </w:tcBorders>
            <w:shd w:val="clear" w:color="auto" w:fill="auto"/>
            <w:noWrap/>
            <w:vAlign w:val="bottom"/>
            <w:hideMark/>
          </w:tcPr>
          <w:p w14:paraId="0B99690E" w14:textId="77777777" w:rsidR="00931DE7" w:rsidRDefault="00931DE7">
            <w:pPr>
              <w:rPr>
                <w:color w:val="000000"/>
              </w:rPr>
            </w:pPr>
          </w:p>
        </w:tc>
        <w:tc>
          <w:tcPr>
            <w:tcW w:w="1520" w:type="dxa"/>
            <w:tcBorders>
              <w:top w:val="nil"/>
              <w:left w:val="nil"/>
              <w:bottom w:val="nil"/>
              <w:right w:val="nil"/>
            </w:tcBorders>
            <w:shd w:val="clear" w:color="auto" w:fill="auto"/>
            <w:noWrap/>
            <w:vAlign w:val="bottom"/>
            <w:hideMark/>
          </w:tcPr>
          <w:p w14:paraId="175FF742" w14:textId="77777777" w:rsidR="00931DE7" w:rsidRDefault="00931DE7">
            <w:pPr>
              <w:rPr>
                <w:color w:val="000000"/>
              </w:rPr>
            </w:pPr>
            <w:r>
              <w:rPr>
                <w:color w:val="000000"/>
              </w:rPr>
              <w:t xml:space="preserve">              510 </w:t>
            </w:r>
          </w:p>
        </w:tc>
      </w:tr>
      <w:tr w:rsidR="009F7BEB" w14:paraId="0101C461" w14:textId="77777777" w:rsidTr="009F7BEB">
        <w:trPr>
          <w:trHeight w:val="341"/>
        </w:trPr>
        <w:tc>
          <w:tcPr>
            <w:tcW w:w="5036" w:type="dxa"/>
            <w:tcBorders>
              <w:top w:val="nil"/>
              <w:left w:val="nil"/>
              <w:bottom w:val="nil"/>
              <w:right w:val="nil"/>
            </w:tcBorders>
            <w:shd w:val="clear" w:color="auto" w:fill="auto"/>
            <w:noWrap/>
            <w:vAlign w:val="bottom"/>
            <w:hideMark/>
          </w:tcPr>
          <w:p w14:paraId="4CD7F6A0" w14:textId="77777777" w:rsidR="00931DE7" w:rsidRDefault="00931DE7">
            <w:pPr>
              <w:rPr>
                <w:b/>
                <w:bCs/>
                <w:color w:val="000000"/>
              </w:rPr>
            </w:pPr>
            <w:r>
              <w:rPr>
                <w:b/>
                <w:bCs/>
                <w:color w:val="000000"/>
              </w:rPr>
              <w:t>Acquisition, integration &amp; restructuring</w:t>
            </w:r>
          </w:p>
        </w:tc>
        <w:tc>
          <w:tcPr>
            <w:tcW w:w="378" w:type="dxa"/>
            <w:tcBorders>
              <w:top w:val="nil"/>
              <w:left w:val="nil"/>
              <w:bottom w:val="nil"/>
              <w:right w:val="nil"/>
            </w:tcBorders>
            <w:shd w:val="clear" w:color="auto" w:fill="auto"/>
            <w:noWrap/>
            <w:vAlign w:val="bottom"/>
            <w:hideMark/>
          </w:tcPr>
          <w:p w14:paraId="141D42D3" w14:textId="77777777" w:rsidR="00931DE7" w:rsidRDefault="00931DE7">
            <w:pPr>
              <w:rPr>
                <w:b/>
                <w:bCs/>
                <w:color w:val="000000"/>
              </w:rPr>
            </w:pPr>
          </w:p>
        </w:tc>
        <w:tc>
          <w:tcPr>
            <w:tcW w:w="1465" w:type="dxa"/>
            <w:tcBorders>
              <w:top w:val="nil"/>
              <w:left w:val="nil"/>
              <w:bottom w:val="nil"/>
              <w:right w:val="nil"/>
            </w:tcBorders>
            <w:shd w:val="clear" w:color="auto" w:fill="auto"/>
            <w:noWrap/>
            <w:vAlign w:val="bottom"/>
            <w:hideMark/>
          </w:tcPr>
          <w:p w14:paraId="4199654E" w14:textId="77777777" w:rsidR="00931DE7" w:rsidRDefault="00931DE7">
            <w:pPr>
              <w:rPr>
                <w:color w:val="000000"/>
              </w:rPr>
            </w:pPr>
            <w:r>
              <w:rPr>
                <w:color w:val="000000"/>
              </w:rPr>
              <w:t xml:space="preserve">              110 </w:t>
            </w:r>
          </w:p>
        </w:tc>
        <w:tc>
          <w:tcPr>
            <w:tcW w:w="378" w:type="dxa"/>
            <w:tcBorders>
              <w:top w:val="nil"/>
              <w:left w:val="nil"/>
              <w:bottom w:val="nil"/>
              <w:right w:val="nil"/>
            </w:tcBorders>
            <w:shd w:val="clear" w:color="auto" w:fill="auto"/>
            <w:noWrap/>
            <w:vAlign w:val="bottom"/>
            <w:hideMark/>
          </w:tcPr>
          <w:p w14:paraId="34D03435" w14:textId="77777777" w:rsidR="00931DE7" w:rsidRDefault="00931DE7">
            <w:pPr>
              <w:rPr>
                <w:color w:val="000000"/>
              </w:rPr>
            </w:pPr>
          </w:p>
        </w:tc>
        <w:tc>
          <w:tcPr>
            <w:tcW w:w="1520" w:type="dxa"/>
            <w:tcBorders>
              <w:top w:val="nil"/>
              <w:left w:val="nil"/>
              <w:bottom w:val="nil"/>
              <w:right w:val="nil"/>
            </w:tcBorders>
            <w:shd w:val="clear" w:color="auto" w:fill="auto"/>
            <w:noWrap/>
            <w:vAlign w:val="bottom"/>
            <w:hideMark/>
          </w:tcPr>
          <w:p w14:paraId="326FAB0C" w14:textId="77777777" w:rsidR="00931DE7" w:rsidRDefault="00931DE7">
            <w:pPr>
              <w:rPr>
                <w:color w:val="000000"/>
              </w:rPr>
            </w:pPr>
            <w:r>
              <w:rPr>
                <w:color w:val="000000"/>
              </w:rPr>
              <w:t xml:space="preserve">                46 </w:t>
            </w:r>
          </w:p>
        </w:tc>
      </w:tr>
      <w:tr w:rsidR="009F7BEB" w14:paraId="7B6F678C" w14:textId="77777777" w:rsidTr="009F7BEB">
        <w:trPr>
          <w:trHeight w:val="358"/>
        </w:trPr>
        <w:tc>
          <w:tcPr>
            <w:tcW w:w="5036" w:type="dxa"/>
            <w:tcBorders>
              <w:top w:val="nil"/>
              <w:left w:val="nil"/>
              <w:bottom w:val="nil"/>
              <w:right w:val="nil"/>
            </w:tcBorders>
            <w:shd w:val="clear" w:color="auto" w:fill="auto"/>
            <w:noWrap/>
            <w:vAlign w:val="bottom"/>
            <w:hideMark/>
          </w:tcPr>
          <w:p w14:paraId="3BD7689F" w14:textId="77777777" w:rsidR="00931DE7" w:rsidRDefault="00931DE7">
            <w:pPr>
              <w:rPr>
                <w:b/>
                <w:bCs/>
                <w:color w:val="000000"/>
              </w:rPr>
            </w:pPr>
            <w:r>
              <w:rPr>
                <w:b/>
                <w:bCs/>
                <w:color w:val="000000"/>
              </w:rPr>
              <w:t>Non-GAAP adjusted net income</w:t>
            </w:r>
          </w:p>
        </w:tc>
        <w:tc>
          <w:tcPr>
            <w:tcW w:w="378" w:type="dxa"/>
            <w:tcBorders>
              <w:top w:val="nil"/>
              <w:left w:val="nil"/>
              <w:bottom w:val="nil"/>
              <w:right w:val="nil"/>
            </w:tcBorders>
            <w:shd w:val="clear" w:color="auto" w:fill="auto"/>
            <w:noWrap/>
            <w:vAlign w:val="bottom"/>
            <w:hideMark/>
          </w:tcPr>
          <w:p w14:paraId="51D57C1F" w14:textId="77777777" w:rsidR="00931DE7" w:rsidRDefault="00931DE7">
            <w:pPr>
              <w:rPr>
                <w:b/>
                <w:bCs/>
                <w:color w:val="000000"/>
              </w:rPr>
            </w:pPr>
          </w:p>
        </w:tc>
        <w:tc>
          <w:tcPr>
            <w:tcW w:w="1465" w:type="dxa"/>
            <w:tcBorders>
              <w:top w:val="single" w:sz="4" w:space="0" w:color="auto"/>
              <w:left w:val="nil"/>
              <w:bottom w:val="double" w:sz="6" w:space="0" w:color="auto"/>
              <w:right w:val="nil"/>
            </w:tcBorders>
            <w:shd w:val="clear" w:color="auto" w:fill="auto"/>
            <w:noWrap/>
            <w:vAlign w:val="bottom"/>
            <w:hideMark/>
          </w:tcPr>
          <w:p w14:paraId="060786D5" w14:textId="77777777" w:rsidR="00931DE7" w:rsidRDefault="00931DE7">
            <w:pPr>
              <w:rPr>
                <w:color w:val="000000"/>
              </w:rPr>
            </w:pPr>
            <w:r>
              <w:rPr>
                <w:color w:val="000000"/>
              </w:rPr>
              <w:t xml:space="preserve"> $        1,922 </w:t>
            </w:r>
          </w:p>
        </w:tc>
        <w:tc>
          <w:tcPr>
            <w:tcW w:w="378" w:type="dxa"/>
            <w:tcBorders>
              <w:top w:val="nil"/>
              <w:left w:val="nil"/>
              <w:bottom w:val="nil"/>
              <w:right w:val="nil"/>
            </w:tcBorders>
            <w:shd w:val="clear" w:color="auto" w:fill="auto"/>
            <w:noWrap/>
            <w:vAlign w:val="bottom"/>
            <w:hideMark/>
          </w:tcPr>
          <w:p w14:paraId="69CC5D7D" w14:textId="77777777" w:rsidR="00931DE7" w:rsidRDefault="00931DE7">
            <w:pPr>
              <w:rPr>
                <w:color w:val="000000"/>
              </w:rPr>
            </w:pPr>
          </w:p>
        </w:tc>
        <w:tc>
          <w:tcPr>
            <w:tcW w:w="1520" w:type="dxa"/>
            <w:tcBorders>
              <w:top w:val="single" w:sz="4" w:space="0" w:color="auto"/>
              <w:left w:val="nil"/>
              <w:bottom w:val="double" w:sz="6" w:space="0" w:color="auto"/>
              <w:right w:val="nil"/>
            </w:tcBorders>
            <w:shd w:val="clear" w:color="auto" w:fill="auto"/>
            <w:noWrap/>
            <w:vAlign w:val="bottom"/>
            <w:hideMark/>
          </w:tcPr>
          <w:p w14:paraId="602B6285" w14:textId="77777777" w:rsidR="00931DE7" w:rsidRDefault="00931DE7">
            <w:pPr>
              <w:rPr>
                <w:color w:val="000000"/>
              </w:rPr>
            </w:pPr>
            <w:r>
              <w:rPr>
                <w:color w:val="000000"/>
              </w:rPr>
              <w:t xml:space="preserve"> $        4,962 </w:t>
            </w:r>
          </w:p>
        </w:tc>
      </w:tr>
    </w:tbl>
    <w:p w14:paraId="38E30F35" w14:textId="70018ECD" w:rsidR="00A9410D" w:rsidRDefault="00A9410D" w:rsidP="784656E5">
      <w:pPr>
        <w:outlineLvl w:val="0"/>
        <w:rPr>
          <w:b/>
          <w:bCs/>
        </w:rPr>
      </w:pPr>
    </w:p>
    <w:p w14:paraId="0C72598C" w14:textId="77777777" w:rsidR="00320D97" w:rsidRDefault="00320D97" w:rsidP="784656E5">
      <w:pPr>
        <w:outlineLvl w:val="0"/>
        <w:rPr>
          <w:b/>
          <w:bCs/>
        </w:rPr>
      </w:pPr>
    </w:p>
    <w:p w14:paraId="2BA31960" w14:textId="77777777" w:rsidR="00320D97" w:rsidRDefault="00320D97" w:rsidP="784656E5">
      <w:pPr>
        <w:outlineLvl w:val="0"/>
        <w:rPr>
          <w:b/>
          <w:bCs/>
        </w:rPr>
      </w:pPr>
    </w:p>
    <w:p w14:paraId="50DABDC6" w14:textId="77777777" w:rsidR="00320D97" w:rsidRDefault="00320D97" w:rsidP="784656E5">
      <w:pPr>
        <w:outlineLvl w:val="0"/>
        <w:rPr>
          <w:b/>
          <w:bCs/>
        </w:rPr>
      </w:pPr>
    </w:p>
    <w:p w14:paraId="632538DA" w14:textId="07667D14" w:rsidR="0013097D" w:rsidRDefault="0013097D" w:rsidP="784656E5">
      <w:pPr>
        <w:outlineLvl w:val="0"/>
        <w:rPr>
          <w:b/>
          <w:bCs/>
        </w:rPr>
      </w:pPr>
    </w:p>
    <w:tbl>
      <w:tblPr>
        <w:tblW w:w="8817" w:type="dxa"/>
        <w:tblLook w:val="04A0" w:firstRow="1" w:lastRow="0" w:firstColumn="1" w:lastColumn="0" w:noHBand="0" w:noVBand="1"/>
      </w:tblPr>
      <w:tblGrid>
        <w:gridCol w:w="5195"/>
        <w:gridCol w:w="246"/>
        <w:gridCol w:w="1564"/>
        <w:gridCol w:w="246"/>
        <w:gridCol w:w="1566"/>
      </w:tblGrid>
      <w:tr w:rsidR="009F7BEB" w14:paraId="22095510" w14:textId="77777777" w:rsidTr="009F7BEB">
        <w:trPr>
          <w:trHeight w:val="316"/>
        </w:trPr>
        <w:tc>
          <w:tcPr>
            <w:tcW w:w="8817" w:type="dxa"/>
            <w:gridSpan w:val="5"/>
            <w:tcBorders>
              <w:top w:val="nil"/>
              <w:left w:val="nil"/>
              <w:bottom w:val="nil"/>
              <w:right w:val="nil"/>
            </w:tcBorders>
            <w:shd w:val="clear" w:color="auto" w:fill="auto"/>
            <w:noWrap/>
            <w:vAlign w:val="bottom"/>
            <w:hideMark/>
          </w:tcPr>
          <w:p w14:paraId="0D055E8F" w14:textId="77777777" w:rsidR="009F7BEB" w:rsidRDefault="009F7BEB">
            <w:pPr>
              <w:jc w:val="center"/>
              <w:rPr>
                <w:b/>
                <w:bCs/>
                <w:color w:val="000000"/>
              </w:rPr>
            </w:pPr>
            <w:r>
              <w:rPr>
                <w:b/>
                <w:bCs/>
                <w:color w:val="000000"/>
              </w:rPr>
              <w:t xml:space="preserve">Reconciliation of Net Income to </w:t>
            </w:r>
          </w:p>
        </w:tc>
      </w:tr>
      <w:tr w:rsidR="009F7BEB" w14:paraId="3A3B628F" w14:textId="77777777" w:rsidTr="009F7BEB">
        <w:trPr>
          <w:trHeight w:val="316"/>
        </w:trPr>
        <w:tc>
          <w:tcPr>
            <w:tcW w:w="8817" w:type="dxa"/>
            <w:gridSpan w:val="5"/>
            <w:tcBorders>
              <w:top w:val="nil"/>
              <w:left w:val="nil"/>
              <w:bottom w:val="nil"/>
              <w:right w:val="nil"/>
            </w:tcBorders>
            <w:shd w:val="clear" w:color="auto" w:fill="auto"/>
            <w:noWrap/>
            <w:vAlign w:val="bottom"/>
            <w:hideMark/>
          </w:tcPr>
          <w:p w14:paraId="5B111ABB" w14:textId="77777777" w:rsidR="009F7BEB" w:rsidRDefault="009F7BEB">
            <w:pPr>
              <w:jc w:val="center"/>
              <w:rPr>
                <w:b/>
                <w:bCs/>
                <w:color w:val="000000"/>
              </w:rPr>
            </w:pPr>
            <w:r>
              <w:rPr>
                <w:b/>
                <w:bCs/>
                <w:color w:val="000000"/>
              </w:rPr>
              <w:t>Non-GAAP EBITDA and Adjusted EBITDA</w:t>
            </w:r>
          </w:p>
        </w:tc>
      </w:tr>
      <w:tr w:rsidR="009F7BEB" w14:paraId="381D96D8" w14:textId="77777777" w:rsidTr="009F7BEB">
        <w:trPr>
          <w:trHeight w:val="316"/>
        </w:trPr>
        <w:tc>
          <w:tcPr>
            <w:tcW w:w="8817" w:type="dxa"/>
            <w:gridSpan w:val="5"/>
            <w:tcBorders>
              <w:top w:val="nil"/>
              <w:left w:val="nil"/>
              <w:bottom w:val="nil"/>
              <w:right w:val="nil"/>
            </w:tcBorders>
            <w:shd w:val="clear" w:color="auto" w:fill="auto"/>
            <w:noWrap/>
            <w:vAlign w:val="bottom"/>
            <w:hideMark/>
          </w:tcPr>
          <w:p w14:paraId="1340CDA3" w14:textId="77777777" w:rsidR="009F7BEB" w:rsidRDefault="009F7BEB">
            <w:pPr>
              <w:jc w:val="center"/>
              <w:rPr>
                <w:b/>
                <w:bCs/>
                <w:color w:val="000000"/>
              </w:rPr>
            </w:pPr>
            <w:r>
              <w:rPr>
                <w:b/>
                <w:bCs/>
                <w:color w:val="000000"/>
              </w:rPr>
              <w:t>Three Month Periods Ended March 31,</w:t>
            </w:r>
          </w:p>
        </w:tc>
      </w:tr>
      <w:tr w:rsidR="009F7BEB" w14:paraId="01252E01" w14:textId="77777777" w:rsidTr="009F7BEB">
        <w:trPr>
          <w:trHeight w:val="316"/>
        </w:trPr>
        <w:tc>
          <w:tcPr>
            <w:tcW w:w="8817" w:type="dxa"/>
            <w:gridSpan w:val="5"/>
            <w:tcBorders>
              <w:top w:val="nil"/>
              <w:left w:val="nil"/>
              <w:bottom w:val="nil"/>
              <w:right w:val="nil"/>
            </w:tcBorders>
            <w:shd w:val="clear" w:color="auto" w:fill="auto"/>
            <w:noWrap/>
            <w:vAlign w:val="bottom"/>
            <w:hideMark/>
          </w:tcPr>
          <w:p w14:paraId="6230B1E3" w14:textId="77777777" w:rsidR="009F7BEB" w:rsidRDefault="009F7BEB">
            <w:pPr>
              <w:jc w:val="center"/>
              <w:rPr>
                <w:color w:val="000000"/>
              </w:rPr>
            </w:pPr>
            <w:r>
              <w:rPr>
                <w:color w:val="000000"/>
              </w:rPr>
              <w:t>(In thousands)</w:t>
            </w:r>
          </w:p>
        </w:tc>
      </w:tr>
      <w:tr w:rsidR="009F7BEB" w14:paraId="2C582F7C" w14:textId="77777777" w:rsidTr="009F7BEB">
        <w:trPr>
          <w:trHeight w:val="316"/>
        </w:trPr>
        <w:tc>
          <w:tcPr>
            <w:tcW w:w="5195" w:type="dxa"/>
            <w:tcBorders>
              <w:top w:val="nil"/>
              <w:left w:val="nil"/>
              <w:bottom w:val="nil"/>
              <w:right w:val="nil"/>
            </w:tcBorders>
            <w:shd w:val="clear" w:color="auto" w:fill="auto"/>
            <w:noWrap/>
            <w:vAlign w:val="bottom"/>
            <w:hideMark/>
          </w:tcPr>
          <w:p w14:paraId="0A629C5B" w14:textId="77777777" w:rsidR="009F7BEB" w:rsidRDefault="009F7BEB">
            <w:pPr>
              <w:jc w:val="center"/>
              <w:rPr>
                <w:color w:val="000000"/>
              </w:rPr>
            </w:pPr>
          </w:p>
        </w:tc>
        <w:tc>
          <w:tcPr>
            <w:tcW w:w="246" w:type="dxa"/>
            <w:tcBorders>
              <w:top w:val="nil"/>
              <w:left w:val="nil"/>
              <w:bottom w:val="nil"/>
              <w:right w:val="nil"/>
            </w:tcBorders>
            <w:shd w:val="clear" w:color="auto" w:fill="auto"/>
            <w:noWrap/>
            <w:vAlign w:val="bottom"/>
            <w:hideMark/>
          </w:tcPr>
          <w:p w14:paraId="0415072F" w14:textId="77777777" w:rsidR="009F7BEB" w:rsidRDefault="009F7BEB">
            <w:pPr>
              <w:rPr>
                <w:sz w:val="20"/>
                <w:szCs w:val="20"/>
              </w:rPr>
            </w:pPr>
          </w:p>
        </w:tc>
        <w:tc>
          <w:tcPr>
            <w:tcW w:w="1564" w:type="dxa"/>
            <w:tcBorders>
              <w:top w:val="nil"/>
              <w:left w:val="nil"/>
              <w:bottom w:val="single" w:sz="4" w:space="0" w:color="auto"/>
              <w:right w:val="nil"/>
            </w:tcBorders>
            <w:shd w:val="clear" w:color="auto" w:fill="auto"/>
            <w:noWrap/>
            <w:vAlign w:val="bottom"/>
            <w:hideMark/>
          </w:tcPr>
          <w:p w14:paraId="35C156ED" w14:textId="77777777" w:rsidR="009F7BEB" w:rsidRDefault="009F7BEB">
            <w:pPr>
              <w:jc w:val="center"/>
              <w:rPr>
                <w:b/>
                <w:bCs/>
                <w:color w:val="000000"/>
              </w:rPr>
            </w:pPr>
            <w:r>
              <w:rPr>
                <w:b/>
                <w:bCs/>
                <w:color w:val="000000"/>
              </w:rPr>
              <w:t>2023</w:t>
            </w:r>
          </w:p>
        </w:tc>
        <w:tc>
          <w:tcPr>
            <w:tcW w:w="246" w:type="dxa"/>
            <w:tcBorders>
              <w:top w:val="nil"/>
              <w:left w:val="nil"/>
              <w:bottom w:val="nil"/>
              <w:right w:val="nil"/>
            </w:tcBorders>
            <w:shd w:val="clear" w:color="auto" w:fill="auto"/>
            <w:noWrap/>
            <w:vAlign w:val="bottom"/>
            <w:hideMark/>
          </w:tcPr>
          <w:p w14:paraId="553090CF" w14:textId="77777777" w:rsidR="009F7BEB" w:rsidRDefault="009F7BEB">
            <w:pPr>
              <w:jc w:val="center"/>
              <w:rPr>
                <w:b/>
                <w:bCs/>
                <w:color w:val="000000"/>
              </w:rPr>
            </w:pPr>
          </w:p>
        </w:tc>
        <w:tc>
          <w:tcPr>
            <w:tcW w:w="1564" w:type="dxa"/>
            <w:tcBorders>
              <w:top w:val="nil"/>
              <w:left w:val="nil"/>
              <w:bottom w:val="single" w:sz="4" w:space="0" w:color="auto"/>
              <w:right w:val="nil"/>
            </w:tcBorders>
            <w:shd w:val="clear" w:color="auto" w:fill="auto"/>
            <w:noWrap/>
            <w:vAlign w:val="bottom"/>
            <w:hideMark/>
          </w:tcPr>
          <w:p w14:paraId="43303B1A" w14:textId="77777777" w:rsidR="009F7BEB" w:rsidRDefault="009F7BEB">
            <w:pPr>
              <w:jc w:val="center"/>
              <w:rPr>
                <w:b/>
                <w:bCs/>
                <w:color w:val="000000"/>
              </w:rPr>
            </w:pPr>
            <w:r>
              <w:rPr>
                <w:b/>
                <w:bCs/>
                <w:color w:val="000000"/>
              </w:rPr>
              <w:t>2022</w:t>
            </w:r>
          </w:p>
        </w:tc>
      </w:tr>
      <w:tr w:rsidR="009F7BEB" w14:paraId="0F43E000" w14:textId="77777777" w:rsidTr="009F7BEB">
        <w:trPr>
          <w:trHeight w:val="316"/>
        </w:trPr>
        <w:tc>
          <w:tcPr>
            <w:tcW w:w="5195" w:type="dxa"/>
            <w:tcBorders>
              <w:top w:val="nil"/>
              <w:left w:val="nil"/>
              <w:bottom w:val="nil"/>
              <w:right w:val="nil"/>
            </w:tcBorders>
            <w:shd w:val="clear" w:color="auto" w:fill="auto"/>
            <w:noWrap/>
            <w:vAlign w:val="bottom"/>
            <w:hideMark/>
          </w:tcPr>
          <w:p w14:paraId="4E22761F" w14:textId="77777777" w:rsidR="009F7BEB" w:rsidRDefault="009F7BEB">
            <w:pPr>
              <w:rPr>
                <w:b/>
                <w:bCs/>
                <w:color w:val="000000"/>
              </w:rPr>
            </w:pPr>
            <w:r>
              <w:rPr>
                <w:b/>
                <w:bCs/>
                <w:color w:val="000000"/>
              </w:rPr>
              <w:t>Net income</w:t>
            </w:r>
          </w:p>
        </w:tc>
        <w:tc>
          <w:tcPr>
            <w:tcW w:w="246" w:type="dxa"/>
            <w:tcBorders>
              <w:top w:val="nil"/>
              <w:left w:val="nil"/>
              <w:bottom w:val="nil"/>
              <w:right w:val="nil"/>
            </w:tcBorders>
            <w:shd w:val="clear" w:color="auto" w:fill="auto"/>
            <w:noWrap/>
            <w:vAlign w:val="bottom"/>
            <w:hideMark/>
          </w:tcPr>
          <w:p w14:paraId="1B1A6772"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5EFF2E45" w14:textId="77777777" w:rsidR="009F7BEB" w:rsidRDefault="009F7BEB">
            <w:pPr>
              <w:rPr>
                <w:color w:val="000000"/>
              </w:rPr>
            </w:pPr>
            <w:r>
              <w:rPr>
                <w:color w:val="000000"/>
              </w:rPr>
              <w:t xml:space="preserve"> $           658 </w:t>
            </w:r>
          </w:p>
        </w:tc>
        <w:tc>
          <w:tcPr>
            <w:tcW w:w="246" w:type="dxa"/>
            <w:tcBorders>
              <w:top w:val="nil"/>
              <w:left w:val="nil"/>
              <w:bottom w:val="nil"/>
              <w:right w:val="nil"/>
            </w:tcBorders>
            <w:shd w:val="clear" w:color="auto" w:fill="auto"/>
            <w:noWrap/>
            <w:vAlign w:val="bottom"/>
            <w:hideMark/>
          </w:tcPr>
          <w:p w14:paraId="7E9EED32"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31FE9917" w14:textId="77777777" w:rsidR="009F7BEB" w:rsidRDefault="009F7BEB">
            <w:pPr>
              <w:rPr>
                <w:color w:val="000000"/>
              </w:rPr>
            </w:pPr>
            <w:r>
              <w:rPr>
                <w:color w:val="000000"/>
              </w:rPr>
              <w:t xml:space="preserve"> $        1,087 </w:t>
            </w:r>
          </w:p>
        </w:tc>
      </w:tr>
      <w:tr w:rsidR="009F7BEB" w14:paraId="761AA3CE" w14:textId="77777777" w:rsidTr="009F7BEB">
        <w:trPr>
          <w:trHeight w:val="316"/>
        </w:trPr>
        <w:tc>
          <w:tcPr>
            <w:tcW w:w="5195" w:type="dxa"/>
            <w:tcBorders>
              <w:top w:val="nil"/>
              <w:left w:val="nil"/>
              <w:bottom w:val="nil"/>
              <w:right w:val="nil"/>
            </w:tcBorders>
            <w:shd w:val="clear" w:color="auto" w:fill="auto"/>
            <w:noWrap/>
            <w:vAlign w:val="bottom"/>
            <w:hideMark/>
          </w:tcPr>
          <w:p w14:paraId="39F50EE8" w14:textId="77777777" w:rsidR="009F7BEB" w:rsidRDefault="009F7BEB">
            <w:pPr>
              <w:rPr>
                <w:b/>
                <w:bCs/>
                <w:color w:val="000000"/>
              </w:rPr>
            </w:pPr>
            <w:r>
              <w:rPr>
                <w:b/>
                <w:bCs/>
                <w:color w:val="000000"/>
              </w:rPr>
              <w:t>Interest expense</w:t>
            </w:r>
          </w:p>
        </w:tc>
        <w:tc>
          <w:tcPr>
            <w:tcW w:w="246" w:type="dxa"/>
            <w:tcBorders>
              <w:top w:val="nil"/>
              <w:left w:val="nil"/>
              <w:bottom w:val="nil"/>
              <w:right w:val="nil"/>
            </w:tcBorders>
            <w:shd w:val="clear" w:color="auto" w:fill="auto"/>
            <w:noWrap/>
            <w:vAlign w:val="bottom"/>
            <w:hideMark/>
          </w:tcPr>
          <w:p w14:paraId="0949A8E2"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69E0AE55" w14:textId="77777777" w:rsidR="009F7BEB" w:rsidRDefault="009F7BEB">
            <w:pPr>
              <w:rPr>
                <w:color w:val="000000"/>
              </w:rPr>
            </w:pPr>
            <w:r>
              <w:rPr>
                <w:color w:val="000000"/>
              </w:rPr>
              <w:t xml:space="preserve">                73 </w:t>
            </w:r>
          </w:p>
        </w:tc>
        <w:tc>
          <w:tcPr>
            <w:tcW w:w="246" w:type="dxa"/>
            <w:tcBorders>
              <w:top w:val="nil"/>
              <w:left w:val="nil"/>
              <w:bottom w:val="nil"/>
              <w:right w:val="nil"/>
            </w:tcBorders>
            <w:shd w:val="clear" w:color="auto" w:fill="auto"/>
            <w:noWrap/>
            <w:vAlign w:val="bottom"/>
            <w:hideMark/>
          </w:tcPr>
          <w:p w14:paraId="6B8CD09D"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142BF9CB" w14:textId="77777777" w:rsidR="009F7BEB" w:rsidRDefault="009F7BEB">
            <w:pPr>
              <w:rPr>
                <w:color w:val="000000"/>
              </w:rPr>
            </w:pPr>
            <w:r>
              <w:rPr>
                <w:color w:val="000000"/>
              </w:rPr>
              <w:t xml:space="preserve">                98 </w:t>
            </w:r>
          </w:p>
        </w:tc>
      </w:tr>
      <w:tr w:rsidR="009F7BEB" w14:paraId="3A2A3AB7" w14:textId="77777777" w:rsidTr="009F7BEB">
        <w:trPr>
          <w:trHeight w:val="316"/>
        </w:trPr>
        <w:tc>
          <w:tcPr>
            <w:tcW w:w="5195" w:type="dxa"/>
            <w:tcBorders>
              <w:top w:val="nil"/>
              <w:left w:val="nil"/>
              <w:bottom w:val="nil"/>
              <w:right w:val="nil"/>
            </w:tcBorders>
            <w:shd w:val="clear" w:color="auto" w:fill="auto"/>
            <w:noWrap/>
            <w:vAlign w:val="bottom"/>
            <w:hideMark/>
          </w:tcPr>
          <w:p w14:paraId="770B057A" w14:textId="77777777" w:rsidR="009F7BEB" w:rsidRDefault="009F7BEB">
            <w:pPr>
              <w:rPr>
                <w:b/>
                <w:bCs/>
                <w:color w:val="000000"/>
              </w:rPr>
            </w:pPr>
            <w:r>
              <w:rPr>
                <w:b/>
                <w:bCs/>
                <w:color w:val="000000"/>
              </w:rPr>
              <w:t>Interest income</w:t>
            </w:r>
          </w:p>
        </w:tc>
        <w:tc>
          <w:tcPr>
            <w:tcW w:w="246" w:type="dxa"/>
            <w:tcBorders>
              <w:top w:val="nil"/>
              <w:left w:val="nil"/>
              <w:bottom w:val="nil"/>
              <w:right w:val="nil"/>
            </w:tcBorders>
            <w:shd w:val="clear" w:color="auto" w:fill="auto"/>
            <w:noWrap/>
            <w:vAlign w:val="bottom"/>
            <w:hideMark/>
          </w:tcPr>
          <w:p w14:paraId="7CDE0C08"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6D8092B4" w14:textId="77777777" w:rsidR="009F7BEB" w:rsidRDefault="009F7BEB">
            <w:pPr>
              <w:rPr>
                <w:color w:val="000000"/>
              </w:rPr>
            </w:pPr>
            <w:r>
              <w:rPr>
                <w:color w:val="000000"/>
              </w:rPr>
              <w:t xml:space="preserve">              (95)</w:t>
            </w:r>
          </w:p>
        </w:tc>
        <w:tc>
          <w:tcPr>
            <w:tcW w:w="246" w:type="dxa"/>
            <w:tcBorders>
              <w:top w:val="nil"/>
              <w:left w:val="nil"/>
              <w:bottom w:val="nil"/>
              <w:right w:val="nil"/>
            </w:tcBorders>
            <w:shd w:val="clear" w:color="auto" w:fill="auto"/>
            <w:noWrap/>
            <w:vAlign w:val="bottom"/>
            <w:hideMark/>
          </w:tcPr>
          <w:p w14:paraId="7888F0B5"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3887508E" w14:textId="77777777" w:rsidR="009F7BEB" w:rsidRDefault="009F7BEB">
            <w:pPr>
              <w:rPr>
                <w:color w:val="000000"/>
              </w:rPr>
            </w:pPr>
            <w:r>
              <w:rPr>
                <w:color w:val="000000"/>
              </w:rPr>
              <w:t xml:space="preserve">                -   </w:t>
            </w:r>
          </w:p>
        </w:tc>
      </w:tr>
      <w:tr w:rsidR="009F7BEB" w14:paraId="69026D31" w14:textId="77777777" w:rsidTr="009F7BEB">
        <w:trPr>
          <w:trHeight w:val="316"/>
        </w:trPr>
        <w:tc>
          <w:tcPr>
            <w:tcW w:w="5195" w:type="dxa"/>
            <w:tcBorders>
              <w:top w:val="nil"/>
              <w:left w:val="nil"/>
              <w:bottom w:val="nil"/>
              <w:right w:val="nil"/>
            </w:tcBorders>
            <w:shd w:val="clear" w:color="auto" w:fill="auto"/>
            <w:noWrap/>
            <w:vAlign w:val="bottom"/>
            <w:hideMark/>
          </w:tcPr>
          <w:p w14:paraId="011B643D" w14:textId="77777777" w:rsidR="009F7BEB" w:rsidRDefault="009F7BEB">
            <w:pPr>
              <w:rPr>
                <w:b/>
                <w:bCs/>
                <w:color w:val="000000"/>
              </w:rPr>
            </w:pPr>
            <w:r>
              <w:rPr>
                <w:b/>
                <w:bCs/>
                <w:color w:val="000000"/>
              </w:rPr>
              <w:t>Income taxes</w:t>
            </w:r>
          </w:p>
        </w:tc>
        <w:tc>
          <w:tcPr>
            <w:tcW w:w="246" w:type="dxa"/>
            <w:tcBorders>
              <w:top w:val="nil"/>
              <w:left w:val="nil"/>
              <w:bottom w:val="nil"/>
              <w:right w:val="nil"/>
            </w:tcBorders>
            <w:shd w:val="clear" w:color="auto" w:fill="auto"/>
            <w:noWrap/>
            <w:vAlign w:val="bottom"/>
            <w:hideMark/>
          </w:tcPr>
          <w:p w14:paraId="12E11EE7"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616B33DF" w14:textId="77777777" w:rsidR="009F7BEB" w:rsidRDefault="009F7BEB">
            <w:pPr>
              <w:rPr>
                <w:color w:val="000000"/>
              </w:rPr>
            </w:pPr>
            <w:r>
              <w:rPr>
                <w:color w:val="000000"/>
              </w:rPr>
              <w:t xml:space="preserve">                58 </w:t>
            </w:r>
          </w:p>
        </w:tc>
        <w:tc>
          <w:tcPr>
            <w:tcW w:w="246" w:type="dxa"/>
            <w:tcBorders>
              <w:top w:val="nil"/>
              <w:left w:val="nil"/>
              <w:bottom w:val="nil"/>
              <w:right w:val="nil"/>
            </w:tcBorders>
            <w:shd w:val="clear" w:color="auto" w:fill="auto"/>
            <w:noWrap/>
            <w:vAlign w:val="bottom"/>
            <w:hideMark/>
          </w:tcPr>
          <w:p w14:paraId="68B1E0F1"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0B0F6781" w14:textId="77777777" w:rsidR="009F7BEB" w:rsidRDefault="009F7BEB">
            <w:pPr>
              <w:rPr>
                <w:color w:val="000000"/>
              </w:rPr>
            </w:pPr>
            <w:r>
              <w:rPr>
                <w:color w:val="000000"/>
              </w:rPr>
              <w:t xml:space="preserve">                (8)</w:t>
            </w:r>
          </w:p>
        </w:tc>
      </w:tr>
      <w:tr w:rsidR="009F7BEB" w14:paraId="3E546F14" w14:textId="77777777" w:rsidTr="009F7BEB">
        <w:trPr>
          <w:trHeight w:val="316"/>
        </w:trPr>
        <w:tc>
          <w:tcPr>
            <w:tcW w:w="5195" w:type="dxa"/>
            <w:tcBorders>
              <w:top w:val="nil"/>
              <w:left w:val="nil"/>
              <w:bottom w:val="nil"/>
              <w:right w:val="nil"/>
            </w:tcBorders>
            <w:shd w:val="clear" w:color="auto" w:fill="auto"/>
            <w:noWrap/>
            <w:vAlign w:val="bottom"/>
            <w:hideMark/>
          </w:tcPr>
          <w:p w14:paraId="1D23ECE2" w14:textId="77777777" w:rsidR="009F7BEB" w:rsidRDefault="009F7BEB">
            <w:pPr>
              <w:rPr>
                <w:b/>
                <w:bCs/>
                <w:color w:val="000000"/>
              </w:rPr>
            </w:pPr>
            <w:r>
              <w:rPr>
                <w:b/>
                <w:bCs/>
                <w:color w:val="000000"/>
              </w:rPr>
              <w:t>Depreciation</w:t>
            </w:r>
          </w:p>
        </w:tc>
        <w:tc>
          <w:tcPr>
            <w:tcW w:w="246" w:type="dxa"/>
            <w:tcBorders>
              <w:top w:val="nil"/>
              <w:left w:val="nil"/>
              <w:bottom w:val="nil"/>
              <w:right w:val="nil"/>
            </w:tcBorders>
            <w:shd w:val="clear" w:color="auto" w:fill="auto"/>
            <w:noWrap/>
            <w:vAlign w:val="bottom"/>
            <w:hideMark/>
          </w:tcPr>
          <w:p w14:paraId="06436C27"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6398C3AC" w14:textId="77777777" w:rsidR="009F7BEB" w:rsidRDefault="009F7BEB">
            <w:pPr>
              <w:rPr>
                <w:color w:val="000000"/>
              </w:rPr>
            </w:pPr>
            <w:r>
              <w:rPr>
                <w:color w:val="000000"/>
              </w:rPr>
              <w:t xml:space="preserve">                98 </w:t>
            </w:r>
          </w:p>
        </w:tc>
        <w:tc>
          <w:tcPr>
            <w:tcW w:w="246" w:type="dxa"/>
            <w:tcBorders>
              <w:top w:val="nil"/>
              <w:left w:val="nil"/>
              <w:bottom w:val="nil"/>
              <w:right w:val="nil"/>
            </w:tcBorders>
            <w:shd w:val="clear" w:color="auto" w:fill="auto"/>
            <w:noWrap/>
            <w:vAlign w:val="bottom"/>
            <w:hideMark/>
          </w:tcPr>
          <w:p w14:paraId="76977D77"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2CB53239" w14:textId="77777777" w:rsidR="009F7BEB" w:rsidRDefault="009F7BEB">
            <w:pPr>
              <w:rPr>
                <w:color w:val="000000"/>
              </w:rPr>
            </w:pPr>
            <w:r>
              <w:rPr>
                <w:color w:val="000000"/>
              </w:rPr>
              <w:t xml:space="preserve">                94 </w:t>
            </w:r>
          </w:p>
        </w:tc>
      </w:tr>
      <w:tr w:rsidR="009F7BEB" w14:paraId="2697730C" w14:textId="77777777" w:rsidTr="009F7BEB">
        <w:trPr>
          <w:trHeight w:val="316"/>
        </w:trPr>
        <w:tc>
          <w:tcPr>
            <w:tcW w:w="5195" w:type="dxa"/>
            <w:tcBorders>
              <w:top w:val="nil"/>
              <w:left w:val="nil"/>
              <w:bottom w:val="nil"/>
              <w:right w:val="nil"/>
            </w:tcBorders>
            <w:shd w:val="clear" w:color="auto" w:fill="auto"/>
            <w:noWrap/>
            <w:vAlign w:val="bottom"/>
            <w:hideMark/>
          </w:tcPr>
          <w:p w14:paraId="483618D9" w14:textId="77777777" w:rsidR="009F7BEB" w:rsidRDefault="009F7BEB">
            <w:pPr>
              <w:rPr>
                <w:b/>
                <w:bCs/>
                <w:color w:val="000000"/>
              </w:rPr>
            </w:pPr>
            <w:r>
              <w:rPr>
                <w:b/>
                <w:bCs/>
                <w:color w:val="000000"/>
              </w:rPr>
              <w:t>Amortization</w:t>
            </w:r>
          </w:p>
        </w:tc>
        <w:tc>
          <w:tcPr>
            <w:tcW w:w="246" w:type="dxa"/>
            <w:tcBorders>
              <w:top w:val="nil"/>
              <w:left w:val="nil"/>
              <w:bottom w:val="nil"/>
              <w:right w:val="nil"/>
            </w:tcBorders>
            <w:shd w:val="clear" w:color="auto" w:fill="auto"/>
            <w:noWrap/>
            <w:vAlign w:val="bottom"/>
            <w:hideMark/>
          </w:tcPr>
          <w:p w14:paraId="5E641AB7" w14:textId="77777777" w:rsidR="009F7BEB" w:rsidRDefault="009F7BEB">
            <w:pPr>
              <w:rPr>
                <w:b/>
                <w:bCs/>
                <w:color w:val="000000"/>
              </w:rPr>
            </w:pPr>
          </w:p>
        </w:tc>
        <w:tc>
          <w:tcPr>
            <w:tcW w:w="1564" w:type="dxa"/>
            <w:tcBorders>
              <w:top w:val="nil"/>
              <w:left w:val="nil"/>
              <w:bottom w:val="single" w:sz="4" w:space="0" w:color="auto"/>
              <w:right w:val="nil"/>
            </w:tcBorders>
            <w:shd w:val="clear" w:color="auto" w:fill="auto"/>
            <w:noWrap/>
            <w:vAlign w:val="bottom"/>
            <w:hideMark/>
          </w:tcPr>
          <w:p w14:paraId="4161CF2C" w14:textId="77777777" w:rsidR="009F7BEB" w:rsidRDefault="009F7BEB">
            <w:pPr>
              <w:rPr>
                <w:color w:val="000000"/>
              </w:rPr>
            </w:pPr>
            <w:r>
              <w:rPr>
                <w:color w:val="000000"/>
              </w:rPr>
              <w:t xml:space="preserve">              719 </w:t>
            </w:r>
          </w:p>
        </w:tc>
        <w:tc>
          <w:tcPr>
            <w:tcW w:w="246" w:type="dxa"/>
            <w:tcBorders>
              <w:top w:val="nil"/>
              <w:left w:val="nil"/>
              <w:bottom w:val="nil"/>
              <w:right w:val="nil"/>
            </w:tcBorders>
            <w:shd w:val="clear" w:color="auto" w:fill="auto"/>
            <w:noWrap/>
            <w:vAlign w:val="bottom"/>
            <w:hideMark/>
          </w:tcPr>
          <w:p w14:paraId="6055AC04" w14:textId="77777777" w:rsidR="009F7BEB" w:rsidRDefault="009F7BEB">
            <w:pPr>
              <w:rPr>
                <w:color w:val="000000"/>
              </w:rPr>
            </w:pPr>
          </w:p>
        </w:tc>
        <w:tc>
          <w:tcPr>
            <w:tcW w:w="1564" w:type="dxa"/>
            <w:tcBorders>
              <w:top w:val="nil"/>
              <w:left w:val="nil"/>
              <w:bottom w:val="single" w:sz="4" w:space="0" w:color="auto"/>
              <w:right w:val="nil"/>
            </w:tcBorders>
            <w:shd w:val="clear" w:color="auto" w:fill="auto"/>
            <w:noWrap/>
            <w:vAlign w:val="bottom"/>
            <w:hideMark/>
          </w:tcPr>
          <w:p w14:paraId="51B4F7E8" w14:textId="77777777" w:rsidR="009F7BEB" w:rsidRDefault="009F7BEB">
            <w:pPr>
              <w:rPr>
                <w:color w:val="000000"/>
              </w:rPr>
            </w:pPr>
            <w:r>
              <w:rPr>
                <w:color w:val="000000"/>
              </w:rPr>
              <w:t xml:space="preserve">           1,015 </w:t>
            </w:r>
          </w:p>
        </w:tc>
      </w:tr>
      <w:tr w:rsidR="009F7BEB" w14:paraId="442AA1B7" w14:textId="77777777" w:rsidTr="009F7BEB">
        <w:trPr>
          <w:trHeight w:val="316"/>
        </w:trPr>
        <w:tc>
          <w:tcPr>
            <w:tcW w:w="5195" w:type="dxa"/>
            <w:tcBorders>
              <w:top w:val="nil"/>
              <w:left w:val="nil"/>
              <w:bottom w:val="nil"/>
              <w:right w:val="nil"/>
            </w:tcBorders>
            <w:shd w:val="clear" w:color="auto" w:fill="auto"/>
            <w:noWrap/>
            <w:vAlign w:val="bottom"/>
            <w:hideMark/>
          </w:tcPr>
          <w:p w14:paraId="1B255F30" w14:textId="77777777" w:rsidR="009F7BEB" w:rsidRDefault="009F7BEB">
            <w:pPr>
              <w:rPr>
                <w:b/>
                <w:bCs/>
                <w:color w:val="000000"/>
              </w:rPr>
            </w:pPr>
            <w:r>
              <w:rPr>
                <w:b/>
                <w:bCs/>
                <w:color w:val="000000"/>
              </w:rPr>
              <w:t>Non-GAAP EBITDA</w:t>
            </w:r>
          </w:p>
        </w:tc>
        <w:tc>
          <w:tcPr>
            <w:tcW w:w="246" w:type="dxa"/>
            <w:tcBorders>
              <w:top w:val="nil"/>
              <w:left w:val="nil"/>
              <w:bottom w:val="nil"/>
              <w:right w:val="nil"/>
            </w:tcBorders>
            <w:shd w:val="clear" w:color="auto" w:fill="auto"/>
            <w:noWrap/>
            <w:vAlign w:val="bottom"/>
            <w:hideMark/>
          </w:tcPr>
          <w:p w14:paraId="03C18763"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3273975D" w14:textId="77777777" w:rsidR="009F7BEB" w:rsidRDefault="009F7BEB">
            <w:pPr>
              <w:rPr>
                <w:color w:val="000000"/>
              </w:rPr>
            </w:pPr>
            <w:r>
              <w:rPr>
                <w:color w:val="000000"/>
              </w:rPr>
              <w:t xml:space="preserve">           1,511 </w:t>
            </w:r>
          </w:p>
        </w:tc>
        <w:tc>
          <w:tcPr>
            <w:tcW w:w="246" w:type="dxa"/>
            <w:tcBorders>
              <w:top w:val="nil"/>
              <w:left w:val="nil"/>
              <w:bottom w:val="nil"/>
              <w:right w:val="nil"/>
            </w:tcBorders>
            <w:shd w:val="clear" w:color="auto" w:fill="auto"/>
            <w:noWrap/>
            <w:vAlign w:val="bottom"/>
            <w:hideMark/>
          </w:tcPr>
          <w:p w14:paraId="17829FAF"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0934A856" w14:textId="77777777" w:rsidR="009F7BEB" w:rsidRDefault="009F7BEB">
            <w:pPr>
              <w:rPr>
                <w:color w:val="000000"/>
              </w:rPr>
            </w:pPr>
            <w:r>
              <w:rPr>
                <w:color w:val="000000"/>
              </w:rPr>
              <w:t xml:space="preserve">           2,286 </w:t>
            </w:r>
          </w:p>
        </w:tc>
      </w:tr>
      <w:tr w:rsidR="009F7BEB" w14:paraId="45CAEE43" w14:textId="77777777" w:rsidTr="009F7BEB">
        <w:trPr>
          <w:trHeight w:val="316"/>
        </w:trPr>
        <w:tc>
          <w:tcPr>
            <w:tcW w:w="5195" w:type="dxa"/>
            <w:tcBorders>
              <w:top w:val="nil"/>
              <w:left w:val="nil"/>
              <w:bottom w:val="nil"/>
              <w:right w:val="nil"/>
            </w:tcBorders>
            <w:shd w:val="clear" w:color="auto" w:fill="auto"/>
            <w:noWrap/>
            <w:vAlign w:val="bottom"/>
            <w:hideMark/>
          </w:tcPr>
          <w:p w14:paraId="328AC558" w14:textId="77777777" w:rsidR="009F7BEB" w:rsidRDefault="009F7BEB">
            <w:pPr>
              <w:rPr>
                <w:b/>
                <w:bCs/>
                <w:color w:val="000000"/>
              </w:rPr>
            </w:pPr>
            <w:r>
              <w:rPr>
                <w:b/>
                <w:bCs/>
                <w:color w:val="000000"/>
              </w:rPr>
              <w:t>Non-cash stock compensation</w:t>
            </w:r>
          </w:p>
        </w:tc>
        <w:tc>
          <w:tcPr>
            <w:tcW w:w="246" w:type="dxa"/>
            <w:tcBorders>
              <w:top w:val="nil"/>
              <w:left w:val="nil"/>
              <w:bottom w:val="nil"/>
              <w:right w:val="nil"/>
            </w:tcBorders>
            <w:shd w:val="clear" w:color="auto" w:fill="auto"/>
            <w:noWrap/>
            <w:vAlign w:val="bottom"/>
            <w:hideMark/>
          </w:tcPr>
          <w:p w14:paraId="10C18EF9"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6C969D4D" w14:textId="77777777" w:rsidR="009F7BEB" w:rsidRDefault="009F7BEB">
            <w:pPr>
              <w:rPr>
                <w:color w:val="000000"/>
              </w:rPr>
            </w:pPr>
            <w:r>
              <w:rPr>
                <w:color w:val="000000"/>
              </w:rPr>
              <w:t xml:space="preserve">              126 </w:t>
            </w:r>
          </w:p>
        </w:tc>
        <w:tc>
          <w:tcPr>
            <w:tcW w:w="246" w:type="dxa"/>
            <w:tcBorders>
              <w:top w:val="nil"/>
              <w:left w:val="nil"/>
              <w:bottom w:val="nil"/>
              <w:right w:val="nil"/>
            </w:tcBorders>
            <w:shd w:val="clear" w:color="auto" w:fill="auto"/>
            <w:noWrap/>
            <w:vAlign w:val="bottom"/>
            <w:hideMark/>
          </w:tcPr>
          <w:p w14:paraId="691D91AD"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2E6A79AF" w14:textId="77777777" w:rsidR="009F7BEB" w:rsidRDefault="009F7BEB">
            <w:pPr>
              <w:rPr>
                <w:color w:val="000000"/>
              </w:rPr>
            </w:pPr>
            <w:r>
              <w:rPr>
                <w:color w:val="000000"/>
              </w:rPr>
              <w:t xml:space="preserve">              152 </w:t>
            </w:r>
          </w:p>
        </w:tc>
      </w:tr>
      <w:tr w:rsidR="009F7BEB" w14:paraId="7F4504C3" w14:textId="77777777" w:rsidTr="009F7BEB">
        <w:trPr>
          <w:trHeight w:val="316"/>
        </w:trPr>
        <w:tc>
          <w:tcPr>
            <w:tcW w:w="5195" w:type="dxa"/>
            <w:tcBorders>
              <w:top w:val="nil"/>
              <w:left w:val="nil"/>
              <w:bottom w:val="nil"/>
              <w:right w:val="nil"/>
            </w:tcBorders>
            <w:shd w:val="clear" w:color="auto" w:fill="auto"/>
            <w:noWrap/>
            <w:vAlign w:val="bottom"/>
            <w:hideMark/>
          </w:tcPr>
          <w:p w14:paraId="15236951" w14:textId="77777777" w:rsidR="009F7BEB" w:rsidRDefault="009F7BEB">
            <w:pPr>
              <w:rPr>
                <w:b/>
                <w:bCs/>
                <w:color w:val="000000"/>
              </w:rPr>
            </w:pPr>
            <w:r>
              <w:rPr>
                <w:b/>
                <w:bCs/>
                <w:color w:val="000000"/>
              </w:rPr>
              <w:t>Settlement of legal matter</w:t>
            </w:r>
          </w:p>
        </w:tc>
        <w:tc>
          <w:tcPr>
            <w:tcW w:w="246" w:type="dxa"/>
            <w:tcBorders>
              <w:top w:val="nil"/>
              <w:left w:val="nil"/>
              <w:bottom w:val="nil"/>
              <w:right w:val="nil"/>
            </w:tcBorders>
            <w:shd w:val="clear" w:color="auto" w:fill="auto"/>
            <w:noWrap/>
            <w:vAlign w:val="bottom"/>
            <w:hideMark/>
          </w:tcPr>
          <w:p w14:paraId="0A8C0E43"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3A0BDEE8" w14:textId="77777777" w:rsidR="009F7BEB" w:rsidRDefault="009F7BEB">
            <w:pPr>
              <w:rPr>
                <w:color w:val="000000"/>
              </w:rPr>
            </w:pPr>
            <w:r>
              <w:rPr>
                <w:color w:val="000000"/>
              </w:rPr>
              <w:t xml:space="preserve">                -   </w:t>
            </w:r>
          </w:p>
        </w:tc>
        <w:tc>
          <w:tcPr>
            <w:tcW w:w="246" w:type="dxa"/>
            <w:tcBorders>
              <w:top w:val="nil"/>
              <w:left w:val="nil"/>
              <w:bottom w:val="nil"/>
              <w:right w:val="nil"/>
            </w:tcBorders>
            <w:shd w:val="clear" w:color="auto" w:fill="auto"/>
            <w:noWrap/>
            <w:vAlign w:val="bottom"/>
            <w:hideMark/>
          </w:tcPr>
          <w:p w14:paraId="74733774"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032360CB" w14:textId="77777777" w:rsidR="009F7BEB" w:rsidRDefault="009F7BEB">
            <w:pPr>
              <w:rPr>
                <w:color w:val="000000"/>
              </w:rPr>
            </w:pPr>
            <w:r>
              <w:rPr>
                <w:color w:val="000000"/>
              </w:rPr>
              <w:t xml:space="preserve">              975 </w:t>
            </w:r>
          </w:p>
        </w:tc>
      </w:tr>
      <w:tr w:rsidR="009F7BEB" w14:paraId="3B0DEDE5" w14:textId="77777777" w:rsidTr="009F7BEB">
        <w:trPr>
          <w:trHeight w:val="316"/>
        </w:trPr>
        <w:tc>
          <w:tcPr>
            <w:tcW w:w="5195" w:type="dxa"/>
            <w:tcBorders>
              <w:top w:val="nil"/>
              <w:left w:val="nil"/>
              <w:bottom w:val="nil"/>
              <w:right w:val="nil"/>
            </w:tcBorders>
            <w:shd w:val="clear" w:color="auto" w:fill="auto"/>
            <w:noWrap/>
            <w:vAlign w:val="bottom"/>
            <w:hideMark/>
          </w:tcPr>
          <w:p w14:paraId="15D4B5D0" w14:textId="77777777" w:rsidR="009F7BEB" w:rsidRDefault="009F7BEB">
            <w:pPr>
              <w:rPr>
                <w:b/>
                <w:bCs/>
                <w:color w:val="000000"/>
              </w:rPr>
            </w:pPr>
            <w:r>
              <w:rPr>
                <w:b/>
                <w:bCs/>
                <w:color w:val="000000"/>
              </w:rPr>
              <w:t>Acquisition, integration &amp; restructuring</w:t>
            </w:r>
          </w:p>
        </w:tc>
        <w:tc>
          <w:tcPr>
            <w:tcW w:w="246" w:type="dxa"/>
            <w:tcBorders>
              <w:top w:val="nil"/>
              <w:left w:val="nil"/>
              <w:bottom w:val="nil"/>
              <w:right w:val="nil"/>
            </w:tcBorders>
            <w:shd w:val="clear" w:color="auto" w:fill="auto"/>
            <w:noWrap/>
            <w:vAlign w:val="bottom"/>
            <w:hideMark/>
          </w:tcPr>
          <w:p w14:paraId="1C4FB89E" w14:textId="77777777" w:rsidR="009F7BEB" w:rsidRDefault="009F7BEB">
            <w:pPr>
              <w:rPr>
                <w:b/>
                <w:bCs/>
                <w:color w:val="000000"/>
              </w:rPr>
            </w:pPr>
          </w:p>
        </w:tc>
        <w:tc>
          <w:tcPr>
            <w:tcW w:w="1564" w:type="dxa"/>
            <w:tcBorders>
              <w:top w:val="nil"/>
              <w:left w:val="nil"/>
              <w:bottom w:val="nil"/>
              <w:right w:val="nil"/>
            </w:tcBorders>
            <w:shd w:val="clear" w:color="auto" w:fill="auto"/>
            <w:noWrap/>
            <w:vAlign w:val="bottom"/>
            <w:hideMark/>
          </w:tcPr>
          <w:p w14:paraId="396A46E3" w14:textId="77777777" w:rsidR="009F7BEB" w:rsidRDefault="009F7BEB">
            <w:pPr>
              <w:rPr>
                <w:color w:val="000000"/>
              </w:rPr>
            </w:pPr>
            <w:r>
              <w:rPr>
                <w:color w:val="000000"/>
              </w:rPr>
              <w:t xml:space="preserve">                65 </w:t>
            </w:r>
          </w:p>
        </w:tc>
        <w:tc>
          <w:tcPr>
            <w:tcW w:w="246" w:type="dxa"/>
            <w:tcBorders>
              <w:top w:val="nil"/>
              <w:left w:val="nil"/>
              <w:bottom w:val="nil"/>
              <w:right w:val="nil"/>
            </w:tcBorders>
            <w:shd w:val="clear" w:color="auto" w:fill="auto"/>
            <w:noWrap/>
            <w:vAlign w:val="bottom"/>
            <w:hideMark/>
          </w:tcPr>
          <w:p w14:paraId="3D2E42DD" w14:textId="77777777" w:rsidR="009F7BEB" w:rsidRDefault="009F7BEB">
            <w:pPr>
              <w:rPr>
                <w:color w:val="000000"/>
              </w:rPr>
            </w:pPr>
          </w:p>
        </w:tc>
        <w:tc>
          <w:tcPr>
            <w:tcW w:w="1564" w:type="dxa"/>
            <w:tcBorders>
              <w:top w:val="nil"/>
              <w:left w:val="nil"/>
              <w:bottom w:val="nil"/>
              <w:right w:val="nil"/>
            </w:tcBorders>
            <w:shd w:val="clear" w:color="auto" w:fill="auto"/>
            <w:noWrap/>
            <w:vAlign w:val="bottom"/>
            <w:hideMark/>
          </w:tcPr>
          <w:p w14:paraId="32C7EE4E" w14:textId="77777777" w:rsidR="009F7BEB" w:rsidRDefault="009F7BEB">
            <w:pPr>
              <w:rPr>
                <w:color w:val="000000"/>
              </w:rPr>
            </w:pPr>
            <w:r>
              <w:rPr>
                <w:color w:val="000000"/>
              </w:rPr>
              <w:t xml:space="preserve">                30 </w:t>
            </w:r>
          </w:p>
        </w:tc>
      </w:tr>
      <w:tr w:rsidR="009F7BEB" w14:paraId="73EF7719" w14:textId="77777777" w:rsidTr="009F7BEB">
        <w:trPr>
          <w:trHeight w:val="331"/>
        </w:trPr>
        <w:tc>
          <w:tcPr>
            <w:tcW w:w="5195" w:type="dxa"/>
            <w:tcBorders>
              <w:top w:val="nil"/>
              <w:left w:val="nil"/>
              <w:bottom w:val="nil"/>
              <w:right w:val="nil"/>
            </w:tcBorders>
            <w:shd w:val="clear" w:color="auto" w:fill="auto"/>
            <w:noWrap/>
            <w:vAlign w:val="bottom"/>
            <w:hideMark/>
          </w:tcPr>
          <w:p w14:paraId="206C2F94" w14:textId="77777777" w:rsidR="009F7BEB" w:rsidRDefault="009F7BEB">
            <w:pPr>
              <w:rPr>
                <w:b/>
                <w:bCs/>
                <w:color w:val="000000"/>
              </w:rPr>
            </w:pPr>
            <w:r>
              <w:rPr>
                <w:b/>
                <w:bCs/>
                <w:color w:val="000000"/>
              </w:rPr>
              <w:t>Non-GAAP adjusted EBITDA</w:t>
            </w:r>
          </w:p>
        </w:tc>
        <w:tc>
          <w:tcPr>
            <w:tcW w:w="246" w:type="dxa"/>
            <w:tcBorders>
              <w:top w:val="nil"/>
              <w:left w:val="nil"/>
              <w:bottom w:val="nil"/>
              <w:right w:val="nil"/>
            </w:tcBorders>
            <w:shd w:val="clear" w:color="auto" w:fill="auto"/>
            <w:noWrap/>
            <w:vAlign w:val="bottom"/>
            <w:hideMark/>
          </w:tcPr>
          <w:p w14:paraId="7169FBE2" w14:textId="77777777" w:rsidR="009F7BEB" w:rsidRDefault="009F7BEB">
            <w:pPr>
              <w:rPr>
                <w:b/>
                <w:bCs/>
                <w:color w:val="000000"/>
              </w:rPr>
            </w:pPr>
          </w:p>
        </w:tc>
        <w:tc>
          <w:tcPr>
            <w:tcW w:w="1564" w:type="dxa"/>
            <w:tcBorders>
              <w:top w:val="single" w:sz="4" w:space="0" w:color="auto"/>
              <w:left w:val="nil"/>
              <w:bottom w:val="double" w:sz="6" w:space="0" w:color="auto"/>
              <w:right w:val="nil"/>
            </w:tcBorders>
            <w:shd w:val="clear" w:color="auto" w:fill="auto"/>
            <w:noWrap/>
            <w:vAlign w:val="bottom"/>
            <w:hideMark/>
          </w:tcPr>
          <w:p w14:paraId="09F0F302" w14:textId="77777777" w:rsidR="009F7BEB" w:rsidRDefault="009F7BEB">
            <w:pPr>
              <w:rPr>
                <w:color w:val="000000"/>
              </w:rPr>
            </w:pPr>
            <w:r>
              <w:rPr>
                <w:color w:val="000000"/>
              </w:rPr>
              <w:t xml:space="preserve"> $        1,702 </w:t>
            </w:r>
          </w:p>
        </w:tc>
        <w:tc>
          <w:tcPr>
            <w:tcW w:w="246" w:type="dxa"/>
            <w:tcBorders>
              <w:top w:val="nil"/>
              <w:left w:val="nil"/>
              <w:bottom w:val="nil"/>
              <w:right w:val="nil"/>
            </w:tcBorders>
            <w:shd w:val="clear" w:color="auto" w:fill="auto"/>
            <w:noWrap/>
            <w:vAlign w:val="bottom"/>
            <w:hideMark/>
          </w:tcPr>
          <w:p w14:paraId="7BA74866" w14:textId="77777777" w:rsidR="009F7BEB" w:rsidRDefault="009F7BEB">
            <w:pPr>
              <w:rPr>
                <w:color w:val="000000"/>
              </w:rPr>
            </w:pPr>
          </w:p>
        </w:tc>
        <w:tc>
          <w:tcPr>
            <w:tcW w:w="1564" w:type="dxa"/>
            <w:tcBorders>
              <w:top w:val="single" w:sz="4" w:space="0" w:color="auto"/>
              <w:left w:val="nil"/>
              <w:bottom w:val="double" w:sz="6" w:space="0" w:color="auto"/>
              <w:right w:val="nil"/>
            </w:tcBorders>
            <w:shd w:val="clear" w:color="auto" w:fill="auto"/>
            <w:noWrap/>
            <w:vAlign w:val="bottom"/>
            <w:hideMark/>
          </w:tcPr>
          <w:p w14:paraId="5B91657E" w14:textId="77777777" w:rsidR="009F7BEB" w:rsidRDefault="009F7BEB">
            <w:pPr>
              <w:rPr>
                <w:color w:val="000000"/>
              </w:rPr>
            </w:pPr>
            <w:r>
              <w:rPr>
                <w:color w:val="000000"/>
              </w:rPr>
              <w:t xml:space="preserve"> $        3,443 </w:t>
            </w:r>
          </w:p>
        </w:tc>
      </w:tr>
    </w:tbl>
    <w:p w14:paraId="0B9F2DBB" w14:textId="77777777" w:rsidR="009F7BEB" w:rsidRDefault="009F7BEB" w:rsidP="784656E5">
      <w:pPr>
        <w:outlineLvl w:val="0"/>
        <w:rPr>
          <w:b/>
          <w:bCs/>
        </w:rPr>
      </w:pPr>
    </w:p>
    <w:p w14:paraId="2C42157E" w14:textId="77777777" w:rsidR="00320D97" w:rsidRDefault="00320D97" w:rsidP="784656E5">
      <w:pPr>
        <w:outlineLvl w:val="0"/>
        <w:rPr>
          <w:b/>
          <w:bCs/>
        </w:rPr>
      </w:pPr>
    </w:p>
    <w:p w14:paraId="6DFC21AC" w14:textId="77777777" w:rsidR="00320D97" w:rsidRDefault="00320D97" w:rsidP="784656E5">
      <w:pPr>
        <w:outlineLvl w:val="0"/>
        <w:rPr>
          <w:b/>
          <w:bCs/>
        </w:rPr>
      </w:pPr>
    </w:p>
    <w:p w14:paraId="5D91DE92" w14:textId="77777777" w:rsidR="00320D97" w:rsidRDefault="00320D97" w:rsidP="784656E5">
      <w:pPr>
        <w:outlineLvl w:val="0"/>
        <w:rPr>
          <w:b/>
          <w:bCs/>
        </w:rPr>
      </w:pPr>
    </w:p>
    <w:p w14:paraId="19A8CB46" w14:textId="77777777" w:rsidR="00F67A35" w:rsidRDefault="00F67A35" w:rsidP="784656E5">
      <w:pPr>
        <w:outlineLvl w:val="0"/>
        <w:rPr>
          <w:b/>
          <w:bCs/>
        </w:rPr>
      </w:pPr>
    </w:p>
    <w:tbl>
      <w:tblPr>
        <w:tblW w:w="9312" w:type="dxa"/>
        <w:tblLook w:val="04A0" w:firstRow="1" w:lastRow="0" w:firstColumn="1" w:lastColumn="0" w:noHBand="0" w:noVBand="1"/>
      </w:tblPr>
      <w:tblGrid>
        <w:gridCol w:w="5318"/>
        <w:gridCol w:w="394"/>
        <w:gridCol w:w="1600"/>
        <w:gridCol w:w="394"/>
        <w:gridCol w:w="1606"/>
      </w:tblGrid>
      <w:tr w:rsidR="00320D97" w14:paraId="339A5DED" w14:textId="77777777" w:rsidTr="00434408">
        <w:trPr>
          <w:trHeight w:val="321"/>
        </w:trPr>
        <w:tc>
          <w:tcPr>
            <w:tcW w:w="9312" w:type="dxa"/>
            <w:gridSpan w:val="5"/>
            <w:tcBorders>
              <w:top w:val="nil"/>
              <w:left w:val="nil"/>
              <w:bottom w:val="nil"/>
              <w:right w:val="nil"/>
            </w:tcBorders>
            <w:shd w:val="clear" w:color="auto" w:fill="auto"/>
            <w:noWrap/>
            <w:vAlign w:val="bottom"/>
            <w:hideMark/>
          </w:tcPr>
          <w:p w14:paraId="7FBA92B0" w14:textId="77777777" w:rsidR="00320D97" w:rsidRDefault="00320D97">
            <w:pPr>
              <w:jc w:val="center"/>
              <w:rPr>
                <w:b/>
                <w:bCs/>
                <w:color w:val="000000"/>
              </w:rPr>
            </w:pPr>
            <w:r>
              <w:rPr>
                <w:b/>
                <w:bCs/>
                <w:color w:val="000000"/>
              </w:rPr>
              <w:lastRenderedPageBreak/>
              <w:t xml:space="preserve">Reconciliation of Net Income (Loss) to </w:t>
            </w:r>
          </w:p>
        </w:tc>
      </w:tr>
      <w:tr w:rsidR="00320D97" w14:paraId="08750AF7" w14:textId="77777777" w:rsidTr="00434408">
        <w:trPr>
          <w:trHeight w:val="321"/>
        </w:trPr>
        <w:tc>
          <w:tcPr>
            <w:tcW w:w="9312" w:type="dxa"/>
            <w:gridSpan w:val="5"/>
            <w:tcBorders>
              <w:top w:val="nil"/>
              <w:left w:val="nil"/>
              <w:bottom w:val="nil"/>
              <w:right w:val="nil"/>
            </w:tcBorders>
            <w:shd w:val="clear" w:color="auto" w:fill="auto"/>
            <w:noWrap/>
            <w:vAlign w:val="bottom"/>
            <w:hideMark/>
          </w:tcPr>
          <w:p w14:paraId="44122DD5" w14:textId="77777777" w:rsidR="00320D97" w:rsidRDefault="00320D97">
            <w:pPr>
              <w:jc w:val="center"/>
              <w:rPr>
                <w:b/>
                <w:bCs/>
                <w:color w:val="000000"/>
              </w:rPr>
            </w:pPr>
            <w:r>
              <w:rPr>
                <w:b/>
                <w:bCs/>
                <w:color w:val="000000"/>
              </w:rPr>
              <w:t>Non-GAAP EBITDA and Adjusted EBITDA</w:t>
            </w:r>
          </w:p>
        </w:tc>
      </w:tr>
      <w:tr w:rsidR="00320D97" w14:paraId="603050F1" w14:textId="77777777" w:rsidTr="00434408">
        <w:trPr>
          <w:trHeight w:val="321"/>
        </w:trPr>
        <w:tc>
          <w:tcPr>
            <w:tcW w:w="9312" w:type="dxa"/>
            <w:gridSpan w:val="5"/>
            <w:tcBorders>
              <w:top w:val="nil"/>
              <w:left w:val="nil"/>
              <w:bottom w:val="nil"/>
              <w:right w:val="nil"/>
            </w:tcBorders>
            <w:shd w:val="clear" w:color="auto" w:fill="auto"/>
            <w:noWrap/>
            <w:vAlign w:val="bottom"/>
            <w:hideMark/>
          </w:tcPr>
          <w:p w14:paraId="0D325D41" w14:textId="77777777" w:rsidR="00320D97" w:rsidRDefault="00320D97">
            <w:pPr>
              <w:jc w:val="center"/>
              <w:rPr>
                <w:b/>
                <w:bCs/>
                <w:color w:val="000000"/>
              </w:rPr>
            </w:pPr>
            <w:r>
              <w:rPr>
                <w:b/>
                <w:bCs/>
                <w:color w:val="000000"/>
              </w:rPr>
              <w:t>Six Month Periods Ended March 31,</w:t>
            </w:r>
          </w:p>
        </w:tc>
      </w:tr>
      <w:tr w:rsidR="00320D97" w14:paraId="22A24C96" w14:textId="77777777" w:rsidTr="00434408">
        <w:trPr>
          <w:trHeight w:val="321"/>
        </w:trPr>
        <w:tc>
          <w:tcPr>
            <w:tcW w:w="9312" w:type="dxa"/>
            <w:gridSpan w:val="5"/>
            <w:tcBorders>
              <w:top w:val="nil"/>
              <w:left w:val="nil"/>
              <w:bottom w:val="nil"/>
              <w:right w:val="nil"/>
            </w:tcBorders>
            <w:shd w:val="clear" w:color="auto" w:fill="auto"/>
            <w:noWrap/>
            <w:vAlign w:val="bottom"/>
            <w:hideMark/>
          </w:tcPr>
          <w:p w14:paraId="389E0E95" w14:textId="77777777" w:rsidR="00320D97" w:rsidRDefault="00320D97">
            <w:pPr>
              <w:jc w:val="center"/>
              <w:rPr>
                <w:color w:val="000000"/>
              </w:rPr>
            </w:pPr>
            <w:r>
              <w:rPr>
                <w:color w:val="000000"/>
              </w:rPr>
              <w:t>(In thousands)</w:t>
            </w:r>
          </w:p>
        </w:tc>
      </w:tr>
      <w:tr w:rsidR="00320D97" w14:paraId="0D55E71F" w14:textId="77777777" w:rsidTr="00434408">
        <w:trPr>
          <w:trHeight w:val="321"/>
        </w:trPr>
        <w:tc>
          <w:tcPr>
            <w:tcW w:w="5318" w:type="dxa"/>
            <w:tcBorders>
              <w:top w:val="nil"/>
              <w:left w:val="nil"/>
              <w:bottom w:val="nil"/>
              <w:right w:val="nil"/>
            </w:tcBorders>
            <w:shd w:val="clear" w:color="auto" w:fill="auto"/>
            <w:noWrap/>
            <w:vAlign w:val="bottom"/>
            <w:hideMark/>
          </w:tcPr>
          <w:p w14:paraId="4760E3E5" w14:textId="77777777" w:rsidR="00320D97" w:rsidRDefault="00320D97">
            <w:pPr>
              <w:jc w:val="center"/>
              <w:rPr>
                <w:color w:val="000000"/>
              </w:rPr>
            </w:pPr>
          </w:p>
        </w:tc>
        <w:tc>
          <w:tcPr>
            <w:tcW w:w="394" w:type="dxa"/>
            <w:tcBorders>
              <w:top w:val="nil"/>
              <w:left w:val="nil"/>
              <w:bottom w:val="nil"/>
              <w:right w:val="nil"/>
            </w:tcBorders>
            <w:shd w:val="clear" w:color="auto" w:fill="auto"/>
            <w:noWrap/>
            <w:vAlign w:val="bottom"/>
            <w:hideMark/>
          </w:tcPr>
          <w:p w14:paraId="6B139404" w14:textId="77777777" w:rsidR="00320D97" w:rsidRDefault="00320D97">
            <w:pPr>
              <w:rPr>
                <w:sz w:val="20"/>
                <w:szCs w:val="20"/>
              </w:rPr>
            </w:pPr>
          </w:p>
        </w:tc>
        <w:tc>
          <w:tcPr>
            <w:tcW w:w="1600" w:type="dxa"/>
            <w:tcBorders>
              <w:top w:val="nil"/>
              <w:left w:val="nil"/>
              <w:bottom w:val="single" w:sz="4" w:space="0" w:color="auto"/>
              <w:right w:val="nil"/>
            </w:tcBorders>
            <w:shd w:val="clear" w:color="auto" w:fill="auto"/>
            <w:noWrap/>
            <w:vAlign w:val="bottom"/>
            <w:hideMark/>
          </w:tcPr>
          <w:p w14:paraId="692256C3" w14:textId="77777777" w:rsidR="00320D97" w:rsidRDefault="00320D97">
            <w:pPr>
              <w:jc w:val="center"/>
              <w:rPr>
                <w:b/>
                <w:bCs/>
                <w:color w:val="000000"/>
              </w:rPr>
            </w:pPr>
            <w:r>
              <w:rPr>
                <w:b/>
                <w:bCs/>
                <w:color w:val="000000"/>
              </w:rPr>
              <w:t>2023</w:t>
            </w:r>
          </w:p>
        </w:tc>
        <w:tc>
          <w:tcPr>
            <w:tcW w:w="394" w:type="dxa"/>
            <w:tcBorders>
              <w:top w:val="nil"/>
              <w:left w:val="nil"/>
              <w:bottom w:val="nil"/>
              <w:right w:val="nil"/>
            </w:tcBorders>
            <w:shd w:val="clear" w:color="auto" w:fill="auto"/>
            <w:noWrap/>
            <w:vAlign w:val="bottom"/>
            <w:hideMark/>
          </w:tcPr>
          <w:p w14:paraId="656753AD" w14:textId="77777777" w:rsidR="00320D97" w:rsidRDefault="00320D97">
            <w:pPr>
              <w:jc w:val="center"/>
              <w:rPr>
                <w:b/>
                <w:bCs/>
                <w:color w:val="000000"/>
              </w:rPr>
            </w:pPr>
          </w:p>
        </w:tc>
        <w:tc>
          <w:tcPr>
            <w:tcW w:w="1606" w:type="dxa"/>
            <w:tcBorders>
              <w:top w:val="nil"/>
              <w:left w:val="nil"/>
              <w:bottom w:val="single" w:sz="4" w:space="0" w:color="auto"/>
              <w:right w:val="nil"/>
            </w:tcBorders>
            <w:shd w:val="clear" w:color="auto" w:fill="auto"/>
            <w:noWrap/>
            <w:vAlign w:val="bottom"/>
            <w:hideMark/>
          </w:tcPr>
          <w:p w14:paraId="4801EFB6" w14:textId="77777777" w:rsidR="00320D97" w:rsidRDefault="00320D97">
            <w:pPr>
              <w:jc w:val="center"/>
              <w:rPr>
                <w:b/>
                <w:bCs/>
                <w:color w:val="000000"/>
              </w:rPr>
            </w:pPr>
            <w:r>
              <w:rPr>
                <w:b/>
                <w:bCs/>
                <w:color w:val="000000"/>
              </w:rPr>
              <w:t>2022</w:t>
            </w:r>
          </w:p>
        </w:tc>
      </w:tr>
      <w:tr w:rsidR="00320D97" w14:paraId="4D1C19A3" w14:textId="77777777" w:rsidTr="00434408">
        <w:trPr>
          <w:trHeight w:val="321"/>
        </w:trPr>
        <w:tc>
          <w:tcPr>
            <w:tcW w:w="5318" w:type="dxa"/>
            <w:tcBorders>
              <w:top w:val="nil"/>
              <w:left w:val="nil"/>
              <w:bottom w:val="nil"/>
              <w:right w:val="nil"/>
            </w:tcBorders>
            <w:shd w:val="clear" w:color="auto" w:fill="auto"/>
            <w:noWrap/>
            <w:vAlign w:val="bottom"/>
            <w:hideMark/>
          </w:tcPr>
          <w:p w14:paraId="3390471C" w14:textId="77777777" w:rsidR="00320D97" w:rsidRDefault="00320D97">
            <w:pPr>
              <w:rPr>
                <w:b/>
                <w:bCs/>
                <w:color w:val="000000"/>
              </w:rPr>
            </w:pPr>
            <w:r>
              <w:rPr>
                <w:b/>
                <w:bCs/>
                <w:color w:val="000000"/>
              </w:rPr>
              <w:t>Net income</w:t>
            </w:r>
          </w:p>
        </w:tc>
        <w:tc>
          <w:tcPr>
            <w:tcW w:w="394" w:type="dxa"/>
            <w:tcBorders>
              <w:top w:val="nil"/>
              <w:left w:val="nil"/>
              <w:bottom w:val="nil"/>
              <w:right w:val="nil"/>
            </w:tcBorders>
            <w:shd w:val="clear" w:color="auto" w:fill="auto"/>
            <w:noWrap/>
            <w:vAlign w:val="bottom"/>
            <w:hideMark/>
          </w:tcPr>
          <w:p w14:paraId="4104D583" w14:textId="77777777" w:rsidR="00320D97" w:rsidRDefault="00320D97">
            <w:pPr>
              <w:jc w:val="center"/>
              <w:rPr>
                <w:color w:val="000000"/>
              </w:rPr>
            </w:pPr>
            <w:r>
              <w:rPr>
                <w:color w:val="000000"/>
              </w:rPr>
              <w:t>$</w:t>
            </w:r>
          </w:p>
        </w:tc>
        <w:tc>
          <w:tcPr>
            <w:tcW w:w="1600" w:type="dxa"/>
            <w:tcBorders>
              <w:top w:val="nil"/>
              <w:left w:val="nil"/>
              <w:bottom w:val="nil"/>
              <w:right w:val="nil"/>
            </w:tcBorders>
            <w:shd w:val="clear" w:color="auto" w:fill="auto"/>
            <w:noWrap/>
            <w:vAlign w:val="bottom"/>
            <w:hideMark/>
          </w:tcPr>
          <w:p w14:paraId="717FE258" w14:textId="77777777" w:rsidR="00320D97" w:rsidRDefault="00320D97">
            <w:pPr>
              <w:rPr>
                <w:color w:val="000000"/>
              </w:rPr>
            </w:pPr>
            <w:r>
              <w:rPr>
                <w:color w:val="000000"/>
              </w:rPr>
              <w:t xml:space="preserve">           1,312 </w:t>
            </w:r>
          </w:p>
        </w:tc>
        <w:tc>
          <w:tcPr>
            <w:tcW w:w="394" w:type="dxa"/>
            <w:tcBorders>
              <w:top w:val="nil"/>
              <w:left w:val="nil"/>
              <w:bottom w:val="nil"/>
              <w:right w:val="nil"/>
            </w:tcBorders>
            <w:shd w:val="clear" w:color="auto" w:fill="auto"/>
            <w:noWrap/>
            <w:vAlign w:val="bottom"/>
            <w:hideMark/>
          </w:tcPr>
          <w:p w14:paraId="521B4F6A" w14:textId="77777777" w:rsidR="00320D97" w:rsidRDefault="00320D97">
            <w:pPr>
              <w:jc w:val="center"/>
              <w:rPr>
                <w:color w:val="000000"/>
              </w:rPr>
            </w:pPr>
            <w:r>
              <w:rPr>
                <w:color w:val="000000"/>
              </w:rPr>
              <w:t>$</w:t>
            </w:r>
          </w:p>
        </w:tc>
        <w:tc>
          <w:tcPr>
            <w:tcW w:w="1606" w:type="dxa"/>
            <w:tcBorders>
              <w:top w:val="nil"/>
              <w:left w:val="nil"/>
              <w:bottom w:val="nil"/>
              <w:right w:val="nil"/>
            </w:tcBorders>
            <w:shd w:val="clear" w:color="auto" w:fill="auto"/>
            <w:noWrap/>
            <w:vAlign w:val="bottom"/>
            <w:hideMark/>
          </w:tcPr>
          <w:p w14:paraId="7CC282AD" w14:textId="77777777" w:rsidR="00320D97" w:rsidRDefault="00320D97">
            <w:pPr>
              <w:rPr>
                <w:color w:val="000000"/>
              </w:rPr>
            </w:pPr>
            <w:r>
              <w:rPr>
                <w:color w:val="000000"/>
              </w:rPr>
              <w:t xml:space="preserve">         17,755 </w:t>
            </w:r>
          </w:p>
        </w:tc>
      </w:tr>
      <w:tr w:rsidR="00320D97" w14:paraId="17D276C3" w14:textId="77777777" w:rsidTr="00434408">
        <w:trPr>
          <w:trHeight w:val="321"/>
        </w:trPr>
        <w:tc>
          <w:tcPr>
            <w:tcW w:w="5318" w:type="dxa"/>
            <w:tcBorders>
              <w:top w:val="nil"/>
              <w:left w:val="nil"/>
              <w:bottom w:val="nil"/>
              <w:right w:val="nil"/>
            </w:tcBorders>
            <w:shd w:val="clear" w:color="auto" w:fill="auto"/>
            <w:noWrap/>
            <w:vAlign w:val="bottom"/>
            <w:hideMark/>
          </w:tcPr>
          <w:p w14:paraId="4A10668B" w14:textId="77777777" w:rsidR="00320D97" w:rsidRDefault="00320D97">
            <w:pPr>
              <w:rPr>
                <w:b/>
                <w:bCs/>
                <w:color w:val="000000"/>
              </w:rPr>
            </w:pPr>
            <w:r>
              <w:rPr>
                <w:b/>
                <w:bCs/>
                <w:color w:val="000000"/>
              </w:rPr>
              <w:t>Interest expense</w:t>
            </w:r>
          </w:p>
        </w:tc>
        <w:tc>
          <w:tcPr>
            <w:tcW w:w="394" w:type="dxa"/>
            <w:tcBorders>
              <w:top w:val="nil"/>
              <w:left w:val="nil"/>
              <w:bottom w:val="nil"/>
              <w:right w:val="nil"/>
            </w:tcBorders>
            <w:shd w:val="clear" w:color="auto" w:fill="auto"/>
            <w:noWrap/>
            <w:vAlign w:val="bottom"/>
            <w:hideMark/>
          </w:tcPr>
          <w:p w14:paraId="723AC4A6"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5397128F" w14:textId="77777777" w:rsidR="00320D97" w:rsidRDefault="00320D97">
            <w:pPr>
              <w:rPr>
                <w:color w:val="000000"/>
              </w:rPr>
            </w:pPr>
            <w:r>
              <w:rPr>
                <w:color w:val="000000"/>
              </w:rPr>
              <w:t xml:space="preserve">              146 </w:t>
            </w:r>
          </w:p>
        </w:tc>
        <w:tc>
          <w:tcPr>
            <w:tcW w:w="394" w:type="dxa"/>
            <w:tcBorders>
              <w:top w:val="nil"/>
              <w:left w:val="nil"/>
              <w:bottom w:val="nil"/>
              <w:right w:val="nil"/>
            </w:tcBorders>
            <w:shd w:val="clear" w:color="auto" w:fill="auto"/>
            <w:noWrap/>
            <w:vAlign w:val="bottom"/>
            <w:hideMark/>
          </w:tcPr>
          <w:p w14:paraId="65AFD455"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2571BFA9" w14:textId="77777777" w:rsidR="00320D97" w:rsidRDefault="00320D97">
            <w:pPr>
              <w:rPr>
                <w:color w:val="000000"/>
              </w:rPr>
            </w:pPr>
            <w:r>
              <w:rPr>
                <w:color w:val="000000"/>
              </w:rPr>
              <w:t xml:space="preserve">              205 </w:t>
            </w:r>
          </w:p>
        </w:tc>
      </w:tr>
      <w:tr w:rsidR="00320D97" w14:paraId="1100149A" w14:textId="77777777" w:rsidTr="00434408">
        <w:trPr>
          <w:trHeight w:val="321"/>
        </w:trPr>
        <w:tc>
          <w:tcPr>
            <w:tcW w:w="5318" w:type="dxa"/>
            <w:tcBorders>
              <w:top w:val="nil"/>
              <w:left w:val="nil"/>
              <w:bottom w:val="nil"/>
              <w:right w:val="nil"/>
            </w:tcBorders>
            <w:shd w:val="clear" w:color="auto" w:fill="auto"/>
            <w:noWrap/>
            <w:vAlign w:val="bottom"/>
            <w:hideMark/>
          </w:tcPr>
          <w:p w14:paraId="0022CB72" w14:textId="77777777" w:rsidR="00320D97" w:rsidRDefault="00320D97">
            <w:pPr>
              <w:rPr>
                <w:b/>
                <w:bCs/>
                <w:color w:val="000000"/>
              </w:rPr>
            </w:pPr>
            <w:r>
              <w:rPr>
                <w:b/>
                <w:bCs/>
                <w:color w:val="000000"/>
              </w:rPr>
              <w:t>Interest income</w:t>
            </w:r>
          </w:p>
        </w:tc>
        <w:tc>
          <w:tcPr>
            <w:tcW w:w="394" w:type="dxa"/>
            <w:tcBorders>
              <w:top w:val="nil"/>
              <w:left w:val="nil"/>
              <w:bottom w:val="nil"/>
              <w:right w:val="nil"/>
            </w:tcBorders>
            <w:shd w:val="clear" w:color="auto" w:fill="auto"/>
            <w:noWrap/>
            <w:vAlign w:val="bottom"/>
            <w:hideMark/>
          </w:tcPr>
          <w:p w14:paraId="51E37528"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1E1267D6" w14:textId="77777777" w:rsidR="00320D97" w:rsidRDefault="00320D97">
            <w:pPr>
              <w:rPr>
                <w:color w:val="000000"/>
              </w:rPr>
            </w:pPr>
            <w:r>
              <w:rPr>
                <w:color w:val="000000"/>
              </w:rPr>
              <w:t xml:space="preserve">            (133)</w:t>
            </w:r>
          </w:p>
        </w:tc>
        <w:tc>
          <w:tcPr>
            <w:tcW w:w="394" w:type="dxa"/>
            <w:tcBorders>
              <w:top w:val="nil"/>
              <w:left w:val="nil"/>
              <w:bottom w:val="nil"/>
              <w:right w:val="nil"/>
            </w:tcBorders>
            <w:shd w:val="clear" w:color="auto" w:fill="auto"/>
            <w:noWrap/>
            <w:vAlign w:val="bottom"/>
            <w:hideMark/>
          </w:tcPr>
          <w:p w14:paraId="4326389C"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2C569788" w14:textId="77777777" w:rsidR="00320D97" w:rsidRDefault="00320D97">
            <w:pPr>
              <w:rPr>
                <w:color w:val="000000"/>
              </w:rPr>
            </w:pPr>
            <w:r>
              <w:rPr>
                <w:color w:val="000000"/>
              </w:rPr>
              <w:t xml:space="preserve">                -   </w:t>
            </w:r>
          </w:p>
        </w:tc>
      </w:tr>
      <w:tr w:rsidR="00320D97" w14:paraId="15DAE101" w14:textId="77777777" w:rsidTr="00434408">
        <w:trPr>
          <w:trHeight w:val="321"/>
        </w:trPr>
        <w:tc>
          <w:tcPr>
            <w:tcW w:w="5318" w:type="dxa"/>
            <w:tcBorders>
              <w:top w:val="nil"/>
              <w:left w:val="nil"/>
              <w:bottom w:val="nil"/>
              <w:right w:val="nil"/>
            </w:tcBorders>
            <w:shd w:val="clear" w:color="auto" w:fill="auto"/>
            <w:noWrap/>
            <w:vAlign w:val="bottom"/>
            <w:hideMark/>
          </w:tcPr>
          <w:p w14:paraId="4B230367" w14:textId="77777777" w:rsidR="00320D97" w:rsidRDefault="00320D97">
            <w:pPr>
              <w:rPr>
                <w:b/>
                <w:bCs/>
                <w:color w:val="000000"/>
              </w:rPr>
            </w:pPr>
            <w:r>
              <w:rPr>
                <w:b/>
                <w:bCs/>
                <w:color w:val="000000"/>
              </w:rPr>
              <w:t>Income taxes</w:t>
            </w:r>
          </w:p>
        </w:tc>
        <w:tc>
          <w:tcPr>
            <w:tcW w:w="394" w:type="dxa"/>
            <w:tcBorders>
              <w:top w:val="nil"/>
              <w:left w:val="nil"/>
              <w:bottom w:val="nil"/>
              <w:right w:val="nil"/>
            </w:tcBorders>
            <w:shd w:val="clear" w:color="auto" w:fill="auto"/>
            <w:noWrap/>
            <w:vAlign w:val="bottom"/>
            <w:hideMark/>
          </w:tcPr>
          <w:p w14:paraId="19466DBF"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3DECFE5F" w14:textId="77777777" w:rsidR="00320D97" w:rsidRDefault="00320D97">
            <w:pPr>
              <w:rPr>
                <w:color w:val="000000"/>
              </w:rPr>
            </w:pPr>
            <w:r>
              <w:rPr>
                <w:color w:val="000000"/>
              </w:rPr>
              <w:t xml:space="preserve">              131 </w:t>
            </w:r>
          </w:p>
        </w:tc>
        <w:tc>
          <w:tcPr>
            <w:tcW w:w="394" w:type="dxa"/>
            <w:tcBorders>
              <w:top w:val="nil"/>
              <w:left w:val="nil"/>
              <w:bottom w:val="nil"/>
              <w:right w:val="nil"/>
            </w:tcBorders>
            <w:shd w:val="clear" w:color="auto" w:fill="auto"/>
            <w:noWrap/>
            <w:vAlign w:val="bottom"/>
            <w:hideMark/>
          </w:tcPr>
          <w:p w14:paraId="47E74F03"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0FCF1164" w14:textId="77777777" w:rsidR="00320D97" w:rsidRDefault="00320D97">
            <w:pPr>
              <w:rPr>
                <w:color w:val="000000"/>
              </w:rPr>
            </w:pPr>
            <w:r>
              <w:rPr>
                <w:color w:val="000000"/>
              </w:rPr>
              <w:t xml:space="preserve">              (37)</w:t>
            </w:r>
          </w:p>
        </w:tc>
      </w:tr>
      <w:tr w:rsidR="00320D97" w14:paraId="6D2A0103" w14:textId="77777777" w:rsidTr="00434408">
        <w:trPr>
          <w:trHeight w:val="321"/>
        </w:trPr>
        <w:tc>
          <w:tcPr>
            <w:tcW w:w="5318" w:type="dxa"/>
            <w:tcBorders>
              <w:top w:val="nil"/>
              <w:left w:val="nil"/>
              <w:bottom w:val="nil"/>
              <w:right w:val="nil"/>
            </w:tcBorders>
            <w:shd w:val="clear" w:color="auto" w:fill="auto"/>
            <w:noWrap/>
            <w:vAlign w:val="bottom"/>
            <w:hideMark/>
          </w:tcPr>
          <w:p w14:paraId="08F69545" w14:textId="77777777" w:rsidR="00320D97" w:rsidRDefault="00320D97">
            <w:pPr>
              <w:rPr>
                <w:b/>
                <w:bCs/>
                <w:color w:val="000000"/>
              </w:rPr>
            </w:pPr>
            <w:r>
              <w:rPr>
                <w:b/>
                <w:bCs/>
                <w:color w:val="000000"/>
              </w:rPr>
              <w:t>Gains on PPP loan forgiveness</w:t>
            </w:r>
          </w:p>
        </w:tc>
        <w:tc>
          <w:tcPr>
            <w:tcW w:w="394" w:type="dxa"/>
            <w:tcBorders>
              <w:top w:val="nil"/>
              <w:left w:val="nil"/>
              <w:bottom w:val="nil"/>
              <w:right w:val="nil"/>
            </w:tcBorders>
            <w:shd w:val="clear" w:color="auto" w:fill="auto"/>
            <w:noWrap/>
            <w:vAlign w:val="bottom"/>
            <w:hideMark/>
          </w:tcPr>
          <w:p w14:paraId="76C92A7D"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1E7006FB" w14:textId="77777777" w:rsidR="00320D97" w:rsidRDefault="00320D97">
            <w:pPr>
              <w:rPr>
                <w:color w:val="000000"/>
              </w:rPr>
            </w:pPr>
            <w:r>
              <w:rPr>
                <w:color w:val="000000"/>
              </w:rPr>
              <w:t xml:space="preserve">                -   </w:t>
            </w:r>
          </w:p>
        </w:tc>
        <w:tc>
          <w:tcPr>
            <w:tcW w:w="394" w:type="dxa"/>
            <w:tcBorders>
              <w:top w:val="nil"/>
              <w:left w:val="nil"/>
              <w:bottom w:val="nil"/>
              <w:right w:val="nil"/>
            </w:tcBorders>
            <w:shd w:val="clear" w:color="auto" w:fill="auto"/>
            <w:noWrap/>
            <w:vAlign w:val="bottom"/>
            <w:hideMark/>
          </w:tcPr>
          <w:p w14:paraId="4AC8918A"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0B844A7B" w14:textId="77777777" w:rsidR="00320D97" w:rsidRDefault="00320D97">
            <w:pPr>
              <w:rPr>
                <w:color w:val="000000"/>
              </w:rPr>
            </w:pPr>
            <w:r>
              <w:rPr>
                <w:color w:val="000000"/>
              </w:rPr>
              <w:t xml:space="preserve">       (16,773)</w:t>
            </w:r>
          </w:p>
        </w:tc>
      </w:tr>
      <w:tr w:rsidR="00320D97" w14:paraId="1F8089F8" w14:textId="77777777" w:rsidTr="00434408">
        <w:trPr>
          <w:trHeight w:val="321"/>
        </w:trPr>
        <w:tc>
          <w:tcPr>
            <w:tcW w:w="5318" w:type="dxa"/>
            <w:tcBorders>
              <w:top w:val="nil"/>
              <w:left w:val="nil"/>
              <w:bottom w:val="nil"/>
              <w:right w:val="nil"/>
            </w:tcBorders>
            <w:shd w:val="clear" w:color="auto" w:fill="auto"/>
            <w:noWrap/>
            <w:vAlign w:val="bottom"/>
            <w:hideMark/>
          </w:tcPr>
          <w:p w14:paraId="7F75AFFF" w14:textId="77777777" w:rsidR="00320D97" w:rsidRDefault="00320D97">
            <w:pPr>
              <w:rPr>
                <w:b/>
                <w:bCs/>
                <w:color w:val="000000"/>
              </w:rPr>
            </w:pPr>
            <w:r>
              <w:rPr>
                <w:b/>
                <w:bCs/>
                <w:color w:val="000000"/>
              </w:rPr>
              <w:t>Depreciation</w:t>
            </w:r>
          </w:p>
        </w:tc>
        <w:tc>
          <w:tcPr>
            <w:tcW w:w="394" w:type="dxa"/>
            <w:tcBorders>
              <w:top w:val="nil"/>
              <w:left w:val="nil"/>
              <w:bottom w:val="nil"/>
              <w:right w:val="nil"/>
            </w:tcBorders>
            <w:shd w:val="clear" w:color="auto" w:fill="auto"/>
            <w:noWrap/>
            <w:vAlign w:val="bottom"/>
            <w:hideMark/>
          </w:tcPr>
          <w:p w14:paraId="60EDB6A8"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1A852FF6" w14:textId="77777777" w:rsidR="00320D97" w:rsidRDefault="00320D97">
            <w:pPr>
              <w:rPr>
                <w:color w:val="000000"/>
              </w:rPr>
            </w:pPr>
            <w:r>
              <w:rPr>
                <w:color w:val="000000"/>
              </w:rPr>
              <w:t xml:space="preserve">              199 </w:t>
            </w:r>
          </w:p>
        </w:tc>
        <w:tc>
          <w:tcPr>
            <w:tcW w:w="394" w:type="dxa"/>
            <w:tcBorders>
              <w:top w:val="nil"/>
              <w:left w:val="nil"/>
              <w:bottom w:val="nil"/>
              <w:right w:val="nil"/>
            </w:tcBorders>
            <w:shd w:val="clear" w:color="auto" w:fill="auto"/>
            <w:noWrap/>
            <w:vAlign w:val="bottom"/>
            <w:hideMark/>
          </w:tcPr>
          <w:p w14:paraId="028DBD8C"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12AD5AC9" w14:textId="77777777" w:rsidR="00320D97" w:rsidRDefault="00320D97">
            <w:pPr>
              <w:rPr>
                <w:color w:val="000000"/>
              </w:rPr>
            </w:pPr>
            <w:r>
              <w:rPr>
                <w:color w:val="000000"/>
              </w:rPr>
              <w:t xml:space="preserve">              180 </w:t>
            </w:r>
          </w:p>
        </w:tc>
      </w:tr>
      <w:tr w:rsidR="00320D97" w14:paraId="208F3034" w14:textId="77777777" w:rsidTr="00434408">
        <w:trPr>
          <w:trHeight w:val="321"/>
        </w:trPr>
        <w:tc>
          <w:tcPr>
            <w:tcW w:w="5318" w:type="dxa"/>
            <w:tcBorders>
              <w:top w:val="nil"/>
              <w:left w:val="nil"/>
              <w:bottom w:val="nil"/>
              <w:right w:val="nil"/>
            </w:tcBorders>
            <w:shd w:val="clear" w:color="auto" w:fill="auto"/>
            <w:noWrap/>
            <w:vAlign w:val="bottom"/>
            <w:hideMark/>
          </w:tcPr>
          <w:p w14:paraId="2139BB5F" w14:textId="77777777" w:rsidR="00320D97" w:rsidRDefault="00320D97">
            <w:pPr>
              <w:rPr>
                <w:b/>
                <w:bCs/>
                <w:color w:val="000000"/>
              </w:rPr>
            </w:pPr>
            <w:r>
              <w:rPr>
                <w:b/>
                <w:bCs/>
                <w:color w:val="000000"/>
              </w:rPr>
              <w:t>Amortization</w:t>
            </w:r>
          </w:p>
        </w:tc>
        <w:tc>
          <w:tcPr>
            <w:tcW w:w="394" w:type="dxa"/>
            <w:tcBorders>
              <w:top w:val="nil"/>
              <w:left w:val="nil"/>
              <w:bottom w:val="nil"/>
              <w:right w:val="nil"/>
            </w:tcBorders>
            <w:shd w:val="clear" w:color="auto" w:fill="auto"/>
            <w:noWrap/>
            <w:vAlign w:val="bottom"/>
            <w:hideMark/>
          </w:tcPr>
          <w:p w14:paraId="3ED601E8"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3313E551" w14:textId="77777777" w:rsidR="00320D97" w:rsidRDefault="00320D97">
            <w:pPr>
              <w:rPr>
                <w:color w:val="000000"/>
              </w:rPr>
            </w:pPr>
            <w:r>
              <w:rPr>
                <w:color w:val="000000"/>
              </w:rPr>
              <w:t xml:space="preserve">           1,439 </w:t>
            </w:r>
          </w:p>
        </w:tc>
        <w:tc>
          <w:tcPr>
            <w:tcW w:w="394" w:type="dxa"/>
            <w:tcBorders>
              <w:top w:val="nil"/>
              <w:left w:val="nil"/>
              <w:bottom w:val="nil"/>
              <w:right w:val="nil"/>
            </w:tcBorders>
            <w:shd w:val="clear" w:color="auto" w:fill="auto"/>
            <w:noWrap/>
            <w:vAlign w:val="bottom"/>
            <w:hideMark/>
          </w:tcPr>
          <w:p w14:paraId="1D512B92"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4E013D08" w14:textId="77777777" w:rsidR="00320D97" w:rsidRDefault="00320D97">
            <w:pPr>
              <w:rPr>
                <w:color w:val="000000"/>
              </w:rPr>
            </w:pPr>
            <w:r>
              <w:rPr>
                <w:color w:val="000000"/>
              </w:rPr>
              <w:t xml:space="preserve">           2,029 </w:t>
            </w:r>
          </w:p>
        </w:tc>
      </w:tr>
      <w:tr w:rsidR="00320D97" w14:paraId="41B5EC78" w14:textId="77777777" w:rsidTr="00434408">
        <w:trPr>
          <w:trHeight w:val="321"/>
        </w:trPr>
        <w:tc>
          <w:tcPr>
            <w:tcW w:w="5318" w:type="dxa"/>
            <w:tcBorders>
              <w:top w:val="nil"/>
              <w:left w:val="nil"/>
              <w:bottom w:val="nil"/>
              <w:right w:val="nil"/>
            </w:tcBorders>
            <w:shd w:val="clear" w:color="auto" w:fill="auto"/>
            <w:noWrap/>
            <w:vAlign w:val="bottom"/>
            <w:hideMark/>
          </w:tcPr>
          <w:p w14:paraId="3038FBA1" w14:textId="77777777" w:rsidR="00320D97" w:rsidRDefault="00320D97">
            <w:pPr>
              <w:rPr>
                <w:b/>
                <w:bCs/>
                <w:color w:val="000000"/>
              </w:rPr>
            </w:pPr>
            <w:r>
              <w:rPr>
                <w:b/>
                <w:bCs/>
                <w:color w:val="000000"/>
              </w:rPr>
              <w:t>Non-cash goodwill impairment charge</w:t>
            </w:r>
          </w:p>
        </w:tc>
        <w:tc>
          <w:tcPr>
            <w:tcW w:w="394" w:type="dxa"/>
            <w:tcBorders>
              <w:top w:val="nil"/>
              <w:left w:val="nil"/>
              <w:bottom w:val="nil"/>
              <w:right w:val="nil"/>
            </w:tcBorders>
            <w:shd w:val="clear" w:color="auto" w:fill="auto"/>
            <w:noWrap/>
            <w:vAlign w:val="bottom"/>
            <w:hideMark/>
          </w:tcPr>
          <w:p w14:paraId="151A26EF" w14:textId="77777777" w:rsidR="00320D97" w:rsidRDefault="00320D97">
            <w:pPr>
              <w:rPr>
                <w:b/>
                <w:bCs/>
                <w:color w:val="000000"/>
              </w:rPr>
            </w:pPr>
          </w:p>
        </w:tc>
        <w:tc>
          <w:tcPr>
            <w:tcW w:w="1600" w:type="dxa"/>
            <w:tcBorders>
              <w:top w:val="nil"/>
              <w:left w:val="nil"/>
              <w:bottom w:val="single" w:sz="4" w:space="0" w:color="auto"/>
              <w:right w:val="nil"/>
            </w:tcBorders>
            <w:shd w:val="clear" w:color="auto" w:fill="auto"/>
            <w:noWrap/>
            <w:vAlign w:val="bottom"/>
            <w:hideMark/>
          </w:tcPr>
          <w:p w14:paraId="27545154" w14:textId="77777777" w:rsidR="00320D97" w:rsidRDefault="00320D97">
            <w:pPr>
              <w:rPr>
                <w:color w:val="000000"/>
              </w:rPr>
            </w:pPr>
            <w:r>
              <w:rPr>
                <w:color w:val="000000"/>
              </w:rPr>
              <w:t xml:space="preserve">                -   </w:t>
            </w:r>
          </w:p>
        </w:tc>
        <w:tc>
          <w:tcPr>
            <w:tcW w:w="394" w:type="dxa"/>
            <w:tcBorders>
              <w:top w:val="nil"/>
              <w:left w:val="nil"/>
              <w:bottom w:val="nil"/>
              <w:right w:val="nil"/>
            </w:tcBorders>
            <w:shd w:val="clear" w:color="auto" w:fill="auto"/>
            <w:noWrap/>
            <w:vAlign w:val="bottom"/>
            <w:hideMark/>
          </w:tcPr>
          <w:p w14:paraId="68C0C753" w14:textId="77777777" w:rsidR="00320D97" w:rsidRDefault="00320D97">
            <w:pPr>
              <w:rPr>
                <w:color w:val="000000"/>
              </w:rPr>
            </w:pPr>
          </w:p>
        </w:tc>
        <w:tc>
          <w:tcPr>
            <w:tcW w:w="1606" w:type="dxa"/>
            <w:tcBorders>
              <w:top w:val="nil"/>
              <w:left w:val="nil"/>
              <w:bottom w:val="single" w:sz="4" w:space="0" w:color="auto"/>
              <w:right w:val="nil"/>
            </w:tcBorders>
            <w:shd w:val="clear" w:color="auto" w:fill="auto"/>
            <w:noWrap/>
            <w:vAlign w:val="bottom"/>
            <w:hideMark/>
          </w:tcPr>
          <w:p w14:paraId="46ABA3C1" w14:textId="77777777" w:rsidR="00320D97" w:rsidRDefault="00320D97">
            <w:pPr>
              <w:rPr>
                <w:color w:val="000000"/>
              </w:rPr>
            </w:pPr>
            <w:r>
              <w:rPr>
                <w:color w:val="000000"/>
              </w:rPr>
              <w:t xml:space="preserve">           2,150 </w:t>
            </w:r>
          </w:p>
        </w:tc>
      </w:tr>
      <w:tr w:rsidR="00320D97" w14:paraId="0FCCA299" w14:textId="77777777" w:rsidTr="00434408">
        <w:trPr>
          <w:trHeight w:val="321"/>
        </w:trPr>
        <w:tc>
          <w:tcPr>
            <w:tcW w:w="5318" w:type="dxa"/>
            <w:tcBorders>
              <w:top w:val="nil"/>
              <w:left w:val="nil"/>
              <w:bottom w:val="nil"/>
              <w:right w:val="nil"/>
            </w:tcBorders>
            <w:shd w:val="clear" w:color="auto" w:fill="auto"/>
            <w:noWrap/>
            <w:vAlign w:val="bottom"/>
            <w:hideMark/>
          </w:tcPr>
          <w:p w14:paraId="7B3D8AC3" w14:textId="77777777" w:rsidR="00320D97" w:rsidRDefault="00320D97">
            <w:pPr>
              <w:rPr>
                <w:b/>
                <w:bCs/>
                <w:color w:val="000000"/>
              </w:rPr>
            </w:pPr>
            <w:r>
              <w:rPr>
                <w:b/>
                <w:bCs/>
                <w:color w:val="000000"/>
              </w:rPr>
              <w:t>Non-GAAP EBITDA</w:t>
            </w:r>
          </w:p>
        </w:tc>
        <w:tc>
          <w:tcPr>
            <w:tcW w:w="394" w:type="dxa"/>
            <w:tcBorders>
              <w:top w:val="nil"/>
              <w:left w:val="nil"/>
              <w:bottom w:val="nil"/>
              <w:right w:val="nil"/>
            </w:tcBorders>
            <w:shd w:val="clear" w:color="auto" w:fill="auto"/>
            <w:noWrap/>
            <w:vAlign w:val="bottom"/>
            <w:hideMark/>
          </w:tcPr>
          <w:p w14:paraId="03014C83"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63E0DFD5" w14:textId="77777777" w:rsidR="00320D97" w:rsidRDefault="00320D97">
            <w:pPr>
              <w:rPr>
                <w:color w:val="000000"/>
              </w:rPr>
            </w:pPr>
            <w:r>
              <w:rPr>
                <w:color w:val="000000"/>
              </w:rPr>
              <w:t xml:space="preserve">           3,094 </w:t>
            </w:r>
          </w:p>
        </w:tc>
        <w:tc>
          <w:tcPr>
            <w:tcW w:w="394" w:type="dxa"/>
            <w:tcBorders>
              <w:top w:val="nil"/>
              <w:left w:val="nil"/>
              <w:bottom w:val="nil"/>
              <w:right w:val="nil"/>
            </w:tcBorders>
            <w:shd w:val="clear" w:color="auto" w:fill="auto"/>
            <w:noWrap/>
            <w:vAlign w:val="bottom"/>
            <w:hideMark/>
          </w:tcPr>
          <w:p w14:paraId="44F7C898"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70D7545F" w14:textId="77777777" w:rsidR="00320D97" w:rsidRDefault="00320D97">
            <w:pPr>
              <w:rPr>
                <w:color w:val="000000"/>
              </w:rPr>
            </w:pPr>
            <w:r>
              <w:rPr>
                <w:color w:val="000000"/>
              </w:rPr>
              <w:t xml:space="preserve">           5,509 </w:t>
            </w:r>
          </w:p>
        </w:tc>
      </w:tr>
      <w:tr w:rsidR="00320D97" w14:paraId="084A0EEF" w14:textId="77777777" w:rsidTr="00434408">
        <w:trPr>
          <w:trHeight w:val="321"/>
        </w:trPr>
        <w:tc>
          <w:tcPr>
            <w:tcW w:w="5318" w:type="dxa"/>
            <w:tcBorders>
              <w:top w:val="nil"/>
              <w:left w:val="nil"/>
              <w:bottom w:val="nil"/>
              <w:right w:val="nil"/>
            </w:tcBorders>
            <w:shd w:val="clear" w:color="auto" w:fill="auto"/>
            <w:noWrap/>
            <w:vAlign w:val="bottom"/>
            <w:hideMark/>
          </w:tcPr>
          <w:p w14:paraId="38867238" w14:textId="77777777" w:rsidR="00320D97" w:rsidRDefault="00320D97">
            <w:pPr>
              <w:rPr>
                <w:b/>
                <w:bCs/>
                <w:color w:val="000000"/>
              </w:rPr>
            </w:pPr>
            <w:r>
              <w:rPr>
                <w:b/>
                <w:bCs/>
                <w:color w:val="000000"/>
              </w:rPr>
              <w:t>Non-cash stock compensation</w:t>
            </w:r>
          </w:p>
        </w:tc>
        <w:tc>
          <w:tcPr>
            <w:tcW w:w="394" w:type="dxa"/>
            <w:tcBorders>
              <w:top w:val="nil"/>
              <w:left w:val="nil"/>
              <w:bottom w:val="nil"/>
              <w:right w:val="nil"/>
            </w:tcBorders>
            <w:shd w:val="clear" w:color="auto" w:fill="auto"/>
            <w:noWrap/>
            <w:vAlign w:val="bottom"/>
            <w:hideMark/>
          </w:tcPr>
          <w:p w14:paraId="18D88F62"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47016F8E" w14:textId="77777777" w:rsidR="00320D97" w:rsidRDefault="00320D97">
            <w:pPr>
              <w:rPr>
                <w:color w:val="000000"/>
              </w:rPr>
            </w:pPr>
            <w:r>
              <w:rPr>
                <w:color w:val="000000"/>
              </w:rPr>
              <w:t xml:space="preserve">              500 </w:t>
            </w:r>
          </w:p>
        </w:tc>
        <w:tc>
          <w:tcPr>
            <w:tcW w:w="394" w:type="dxa"/>
            <w:tcBorders>
              <w:top w:val="nil"/>
              <w:left w:val="nil"/>
              <w:bottom w:val="nil"/>
              <w:right w:val="nil"/>
            </w:tcBorders>
            <w:shd w:val="clear" w:color="auto" w:fill="auto"/>
            <w:noWrap/>
            <w:vAlign w:val="bottom"/>
            <w:hideMark/>
          </w:tcPr>
          <w:p w14:paraId="1D2162F8"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24DE8968" w14:textId="77777777" w:rsidR="00320D97" w:rsidRDefault="00320D97">
            <w:pPr>
              <w:rPr>
                <w:color w:val="000000"/>
              </w:rPr>
            </w:pPr>
            <w:r>
              <w:rPr>
                <w:color w:val="000000"/>
              </w:rPr>
              <w:t xml:space="preserve">              299 </w:t>
            </w:r>
          </w:p>
        </w:tc>
      </w:tr>
      <w:tr w:rsidR="00320D97" w14:paraId="7AA8CE14" w14:textId="77777777" w:rsidTr="00434408">
        <w:trPr>
          <w:trHeight w:val="321"/>
        </w:trPr>
        <w:tc>
          <w:tcPr>
            <w:tcW w:w="5318" w:type="dxa"/>
            <w:tcBorders>
              <w:top w:val="nil"/>
              <w:left w:val="nil"/>
              <w:bottom w:val="nil"/>
              <w:right w:val="nil"/>
            </w:tcBorders>
            <w:shd w:val="clear" w:color="auto" w:fill="auto"/>
            <w:noWrap/>
            <w:vAlign w:val="bottom"/>
            <w:hideMark/>
          </w:tcPr>
          <w:p w14:paraId="1C2BAA7D" w14:textId="77777777" w:rsidR="00320D97" w:rsidRDefault="00320D97">
            <w:pPr>
              <w:rPr>
                <w:b/>
                <w:bCs/>
                <w:color w:val="000000"/>
              </w:rPr>
            </w:pPr>
            <w:r>
              <w:rPr>
                <w:b/>
                <w:bCs/>
                <w:color w:val="000000"/>
              </w:rPr>
              <w:t>Settlement of legal matter</w:t>
            </w:r>
          </w:p>
        </w:tc>
        <w:tc>
          <w:tcPr>
            <w:tcW w:w="394" w:type="dxa"/>
            <w:tcBorders>
              <w:top w:val="nil"/>
              <w:left w:val="nil"/>
              <w:bottom w:val="nil"/>
              <w:right w:val="nil"/>
            </w:tcBorders>
            <w:shd w:val="clear" w:color="auto" w:fill="auto"/>
            <w:noWrap/>
            <w:vAlign w:val="bottom"/>
            <w:hideMark/>
          </w:tcPr>
          <w:p w14:paraId="523831B6"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50D7E4B7" w14:textId="77777777" w:rsidR="00320D97" w:rsidRDefault="00320D97">
            <w:pPr>
              <w:rPr>
                <w:color w:val="000000"/>
              </w:rPr>
            </w:pPr>
            <w:r>
              <w:rPr>
                <w:color w:val="000000"/>
              </w:rPr>
              <w:t xml:space="preserve">                -   </w:t>
            </w:r>
          </w:p>
        </w:tc>
        <w:tc>
          <w:tcPr>
            <w:tcW w:w="394" w:type="dxa"/>
            <w:tcBorders>
              <w:top w:val="nil"/>
              <w:left w:val="nil"/>
              <w:bottom w:val="nil"/>
              <w:right w:val="nil"/>
            </w:tcBorders>
            <w:shd w:val="clear" w:color="auto" w:fill="auto"/>
            <w:noWrap/>
            <w:vAlign w:val="bottom"/>
            <w:hideMark/>
          </w:tcPr>
          <w:p w14:paraId="056E12E8"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6AD7FA43" w14:textId="77777777" w:rsidR="00320D97" w:rsidRDefault="00320D97">
            <w:pPr>
              <w:rPr>
                <w:color w:val="000000"/>
              </w:rPr>
            </w:pPr>
            <w:r>
              <w:rPr>
                <w:color w:val="000000"/>
              </w:rPr>
              <w:t xml:space="preserve">              975 </w:t>
            </w:r>
          </w:p>
        </w:tc>
      </w:tr>
      <w:tr w:rsidR="00320D97" w14:paraId="5B0DD4F9" w14:textId="77777777" w:rsidTr="00434408">
        <w:trPr>
          <w:trHeight w:val="321"/>
        </w:trPr>
        <w:tc>
          <w:tcPr>
            <w:tcW w:w="5318" w:type="dxa"/>
            <w:tcBorders>
              <w:top w:val="nil"/>
              <w:left w:val="nil"/>
              <w:bottom w:val="nil"/>
              <w:right w:val="nil"/>
            </w:tcBorders>
            <w:shd w:val="clear" w:color="auto" w:fill="auto"/>
            <w:noWrap/>
            <w:vAlign w:val="bottom"/>
            <w:hideMark/>
          </w:tcPr>
          <w:p w14:paraId="38F6CB47" w14:textId="77777777" w:rsidR="00320D97" w:rsidRDefault="00320D97">
            <w:pPr>
              <w:rPr>
                <w:b/>
                <w:bCs/>
                <w:color w:val="000000"/>
              </w:rPr>
            </w:pPr>
            <w:r>
              <w:rPr>
                <w:b/>
                <w:bCs/>
                <w:color w:val="000000"/>
              </w:rPr>
              <w:t>Severance agreement</w:t>
            </w:r>
          </w:p>
        </w:tc>
        <w:tc>
          <w:tcPr>
            <w:tcW w:w="394" w:type="dxa"/>
            <w:tcBorders>
              <w:top w:val="nil"/>
              <w:left w:val="nil"/>
              <w:bottom w:val="nil"/>
              <w:right w:val="nil"/>
            </w:tcBorders>
            <w:shd w:val="clear" w:color="auto" w:fill="auto"/>
            <w:noWrap/>
            <w:vAlign w:val="bottom"/>
            <w:hideMark/>
          </w:tcPr>
          <w:p w14:paraId="6EE13FED"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525E5ED5" w14:textId="77777777" w:rsidR="00320D97" w:rsidRDefault="00320D97">
            <w:pPr>
              <w:rPr>
                <w:color w:val="000000"/>
              </w:rPr>
            </w:pPr>
            <w:r>
              <w:rPr>
                <w:color w:val="000000"/>
              </w:rPr>
              <w:t xml:space="preserve">                -   </w:t>
            </w:r>
          </w:p>
        </w:tc>
        <w:tc>
          <w:tcPr>
            <w:tcW w:w="394" w:type="dxa"/>
            <w:tcBorders>
              <w:top w:val="nil"/>
              <w:left w:val="nil"/>
              <w:bottom w:val="nil"/>
              <w:right w:val="nil"/>
            </w:tcBorders>
            <w:shd w:val="clear" w:color="auto" w:fill="auto"/>
            <w:noWrap/>
            <w:vAlign w:val="bottom"/>
            <w:hideMark/>
          </w:tcPr>
          <w:p w14:paraId="0968F569"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1A9B836E" w14:textId="77777777" w:rsidR="00320D97" w:rsidRDefault="00320D97">
            <w:pPr>
              <w:rPr>
                <w:color w:val="000000"/>
              </w:rPr>
            </w:pPr>
            <w:r>
              <w:rPr>
                <w:color w:val="000000"/>
              </w:rPr>
              <w:t xml:space="preserve">              510 </w:t>
            </w:r>
          </w:p>
        </w:tc>
      </w:tr>
      <w:tr w:rsidR="00320D97" w14:paraId="5F500725" w14:textId="77777777" w:rsidTr="00434408">
        <w:trPr>
          <w:trHeight w:val="321"/>
        </w:trPr>
        <w:tc>
          <w:tcPr>
            <w:tcW w:w="5318" w:type="dxa"/>
            <w:tcBorders>
              <w:top w:val="nil"/>
              <w:left w:val="nil"/>
              <w:bottom w:val="nil"/>
              <w:right w:val="nil"/>
            </w:tcBorders>
            <w:shd w:val="clear" w:color="auto" w:fill="auto"/>
            <w:noWrap/>
            <w:vAlign w:val="bottom"/>
            <w:hideMark/>
          </w:tcPr>
          <w:p w14:paraId="3CB02F45" w14:textId="77777777" w:rsidR="00320D97" w:rsidRDefault="00320D97">
            <w:pPr>
              <w:rPr>
                <w:b/>
                <w:bCs/>
                <w:color w:val="000000"/>
              </w:rPr>
            </w:pPr>
            <w:r>
              <w:rPr>
                <w:b/>
                <w:bCs/>
                <w:color w:val="000000"/>
              </w:rPr>
              <w:t>Acquisition, integration &amp; restructuring</w:t>
            </w:r>
          </w:p>
        </w:tc>
        <w:tc>
          <w:tcPr>
            <w:tcW w:w="394" w:type="dxa"/>
            <w:tcBorders>
              <w:top w:val="nil"/>
              <w:left w:val="nil"/>
              <w:bottom w:val="nil"/>
              <w:right w:val="nil"/>
            </w:tcBorders>
            <w:shd w:val="clear" w:color="auto" w:fill="auto"/>
            <w:noWrap/>
            <w:vAlign w:val="bottom"/>
            <w:hideMark/>
          </w:tcPr>
          <w:p w14:paraId="4E124999" w14:textId="77777777" w:rsidR="00320D97" w:rsidRDefault="00320D97">
            <w:pPr>
              <w:rPr>
                <w:b/>
                <w:bCs/>
                <w:color w:val="000000"/>
              </w:rPr>
            </w:pPr>
          </w:p>
        </w:tc>
        <w:tc>
          <w:tcPr>
            <w:tcW w:w="1600" w:type="dxa"/>
            <w:tcBorders>
              <w:top w:val="nil"/>
              <w:left w:val="nil"/>
              <w:bottom w:val="nil"/>
              <w:right w:val="nil"/>
            </w:tcBorders>
            <w:shd w:val="clear" w:color="auto" w:fill="auto"/>
            <w:noWrap/>
            <w:vAlign w:val="bottom"/>
            <w:hideMark/>
          </w:tcPr>
          <w:p w14:paraId="2E9E6320" w14:textId="77777777" w:rsidR="00320D97" w:rsidRDefault="00320D97">
            <w:pPr>
              <w:rPr>
                <w:color w:val="000000"/>
              </w:rPr>
            </w:pPr>
            <w:r>
              <w:rPr>
                <w:color w:val="000000"/>
              </w:rPr>
              <w:t xml:space="preserve">              110 </w:t>
            </w:r>
          </w:p>
        </w:tc>
        <w:tc>
          <w:tcPr>
            <w:tcW w:w="394" w:type="dxa"/>
            <w:tcBorders>
              <w:top w:val="nil"/>
              <w:left w:val="nil"/>
              <w:bottom w:val="nil"/>
              <w:right w:val="nil"/>
            </w:tcBorders>
            <w:shd w:val="clear" w:color="auto" w:fill="auto"/>
            <w:noWrap/>
            <w:vAlign w:val="bottom"/>
            <w:hideMark/>
          </w:tcPr>
          <w:p w14:paraId="0D4D95B9" w14:textId="77777777" w:rsidR="00320D97" w:rsidRDefault="00320D97">
            <w:pPr>
              <w:rPr>
                <w:color w:val="000000"/>
              </w:rPr>
            </w:pPr>
          </w:p>
        </w:tc>
        <w:tc>
          <w:tcPr>
            <w:tcW w:w="1606" w:type="dxa"/>
            <w:tcBorders>
              <w:top w:val="nil"/>
              <w:left w:val="nil"/>
              <w:bottom w:val="nil"/>
              <w:right w:val="nil"/>
            </w:tcBorders>
            <w:shd w:val="clear" w:color="auto" w:fill="auto"/>
            <w:noWrap/>
            <w:vAlign w:val="bottom"/>
            <w:hideMark/>
          </w:tcPr>
          <w:p w14:paraId="74759E8A" w14:textId="77777777" w:rsidR="00320D97" w:rsidRDefault="00320D97">
            <w:pPr>
              <w:rPr>
                <w:color w:val="000000"/>
              </w:rPr>
            </w:pPr>
            <w:r>
              <w:rPr>
                <w:color w:val="000000"/>
              </w:rPr>
              <w:t xml:space="preserve">                46 </w:t>
            </w:r>
          </w:p>
        </w:tc>
      </w:tr>
      <w:tr w:rsidR="00320D97" w14:paraId="4DFB0C5E" w14:textId="77777777" w:rsidTr="00434408">
        <w:trPr>
          <w:trHeight w:val="336"/>
        </w:trPr>
        <w:tc>
          <w:tcPr>
            <w:tcW w:w="5318" w:type="dxa"/>
            <w:tcBorders>
              <w:top w:val="nil"/>
              <w:left w:val="nil"/>
              <w:bottom w:val="nil"/>
              <w:right w:val="nil"/>
            </w:tcBorders>
            <w:shd w:val="clear" w:color="auto" w:fill="auto"/>
            <w:noWrap/>
            <w:vAlign w:val="bottom"/>
            <w:hideMark/>
          </w:tcPr>
          <w:p w14:paraId="1C2F0FC1" w14:textId="77777777" w:rsidR="00320D97" w:rsidRDefault="00320D97">
            <w:pPr>
              <w:rPr>
                <w:b/>
                <w:bCs/>
                <w:color w:val="000000"/>
              </w:rPr>
            </w:pPr>
            <w:r>
              <w:rPr>
                <w:b/>
                <w:bCs/>
                <w:color w:val="000000"/>
              </w:rPr>
              <w:t>Non-GAAP adjusted EBITDA</w:t>
            </w:r>
          </w:p>
        </w:tc>
        <w:tc>
          <w:tcPr>
            <w:tcW w:w="394" w:type="dxa"/>
            <w:tcBorders>
              <w:top w:val="nil"/>
              <w:left w:val="nil"/>
              <w:bottom w:val="nil"/>
              <w:right w:val="nil"/>
            </w:tcBorders>
            <w:shd w:val="clear" w:color="auto" w:fill="auto"/>
            <w:noWrap/>
            <w:vAlign w:val="bottom"/>
            <w:hideMark/>
          </w:tcPr>
          <w:p w14:paraId="547C1583" w14:textId="77777777" w:rsidR="00320D97" w:rsidRDefault="00320D97">
            <w:pPr>
              <w:rPr>
                <w:b/>
                <w:bCs/>
                <w:color w:val="000000"/>
              </w:rPr>
            </w:pPr>
          </w:p>
        </w:tc>
        <w:tc>
          <w:tcPr>
            <w:tcW w:w="1600" w:type="dxa"/>
            <w:tcBorders>
              <w:top w:val="single" w:sz="4" w:space="0" w:color="auto"/>
              <w:left w:val="nil"/>
              <w:bottom w:val="double" w:sz="6" w:space="0" w:color="auto"/>
              <w:right w:val="nil"/>
            </w:tcBorders>
            <w:shd w:val="clear" w:color="auto" w:fill="auto"/>
            <w:noWrap/>
            <w:vAlign w:val="bottom"/>
            <w:hideMark/>
          </w:tcPr>
          <w:p w14:paraId="3752177C" w14:textId="77777777" w:rsidR="00320D97" w:rsidRDefault="00320D97">
            <w:pPr>
              <w:rPr>
                <w:color w:val="000000"/>
              </w:rPr>
            </w:pPr>
            <w:r>
              <w:rPr>
                <w:color w:val="000000"/>
              </w:rPr>
              <w:t xml:space="preserve"> $        3,704 </w:t>
            </w:r>
          </w:p>
        </w:tc>
        <w:tc>
          <w:tcPr>
            <w:tcW w:w="394" w:type="dxa"/>
            <w:tcBorders>
              <w:top w:val="nil"/>
              <w:left w:val="nil"/>
              <w:bottom w:val="nil"/>
              <w:right w:val="nil"/>
            </w:tcBorders>
            <w:shd w:val="clear" w:color="auto" w:fill="auto"/>
            <w:noWrap/>
            <w:vAlign w:val="bottom"/>
            <w:hideMark/>
          </w:tcPr>
          <w:p w14:paraId="635BC22B" w14:textId="77777777" w:rsidR="00320D97" w:rsidRDefault="00320D97">
            <w:pPr>
              <w:rPr>
                <w:color w:val="000000"/>
              </w:rPr>
            </w:pPr>
          </w:p>
        </w:tc>
        <w:tc>
          <w:tcPr>
            <w:tcW w:w="1606" w:type="dxa"/>
            <w:tcBorders>
              <w:top w:val="single" w:sz="4" w:space="0" w:color="auto"/>
              <w:left w:val="nil"/>
              <w:bottom w:val="double" w:sz="6" w:space="0" w:color="auto"/>
              <w:right w:val="nil"/>
            </w:tcBorders>
            <w:shd w:val="clear" w:color="auto" w:fill="auto"/>
            <w:noWrap/>
            <w:vAlign w:val="bottom"/>
            <w:hideMark/>
          </w:tcPr>
          <w:p w14:paraId="5234C875" w14:textId="77777777" w:rsidR="00320D97" w:rsidRDefault="00320D97">
            <w:pPr>
              <w:rPr>
                <w:color w:val="000000"/>
              </w:rPr>
            </w:pPr>
            <w:r>
              <w:rPr>
                <w:color w:val="000000"/>
              </w:rPr>
              <w:t xml:space="preserve"> $        7,339 </w:t>
            </w:r>
          </w:p>
        </w:tc>
      </w:tr>
    </w:tbl>
    <w:p w14:paraId="77D7AE2A" w14:textId="77777777" w:rsidR="009F7BEB" w:rsidRDefault="009F7BEB" w:rsidP="784656E5">
      <w:pPr>
        <w:outlineLvl w:val="0"/>
        <w:rPr>
          <w:b/>
          <w:bCs/>
        </w:rPr>
      </w:pPr>
    </w:p>
    <w:p w14:paraId="4F07AAA5" w14:textId="77777777" w:rsidR="00320D97" w:rsidRDefault="00320D97" w:rsidP="784656E5">
      <w:pPr>
        <w:outlineLvl w:val="0"/>
        <w:rPr>
          <w:b/>
          <w:bCs/>
        </w:rPr>
      </w:pPr>
    </w:p>
    <w:p w14:paraId="71451CF6" w14:textId="77777777" w:rsidR="004D3AD6" w:rsidRDefault="004D3AD6" w:rsidP="784656E5">
      <w:pPr>
        <w:outlineLvl w:val="0"/>
        <w:rPr>
          <w:b/>
          <w:bCs/>
        </w:rPr>
      </w:pPr>
    </w:p>
    <w:p w14:paraId="1782C058" w14:textId="77777777" w:rsidR="004D3AD6" w:rsidRDefault="004D3AD6" w:rsidP="784656E5">
      <w:pPr>
        <w:outlineLvl w:val="0"/>
        <w:rPr>
          <w:b/>
          <w:bCs/>
        </w:rPr>
      </w:pPr>
    </w:p>
    <w:p w14:paraId="1893DB09" w14:textId="77777777" w:rsidR="00320D97" w:rsidRDefault="00320D97" w:rsidP="784656E5">
      <w:pPr>
        <w:outlineLvl w:val="0"/>
        <w:rPr>
          <w:b/>
          <w:bCs/>
        </w:rPr>
      </w:pPr>
    </w:p>
    <w:tbl>
      <w:tblPr>
        <w:tblW w:w="9347" w:type="dxa"/>
        <w:tblLook w:val="04A0" w:firstRow="1" w:lastRow="0" w:firstColumn="1" w:lastColumn="0" w:noHBand="0" w:noVBand="1"/>
      </w:tblPr>
      <w:tblGrid>
        <w:gridCol w:w="5538"/>
        <w:gridCol w:w="261"/>
        <w:gridCol w:w="1643"/>
        <w:gridCol w:w="259"/>
        <w:gridCol w:w="1646"/>
      </w:tblGrid>
      <w:tr w:rsidR="004D3AD6" w14:paraId="5AB04D8C" w14:textId="77777777" w:rsidTr="00434408">
        <w:trPr>
          <w:trHeight w:val="333"/>
        </w:trPr>
        <w:tc>
          <w:tcPr>
            <w:tcW w:w="9347" w:type="dxa"/>
            <w:gridSpan w:val="5"/>
            <w:tcBorders>
              <w:top w:val="nil"/>
              <w:left w:val="nil"/>
              <w:bottom w:val="nil"/>
              <w:right w:val="nil"/>
            </w:tcBorders>
            <w:shd w:val="clear" w:color="auto" w:fill="auto"/>
            <w:noWrap/>
            <w:vAlign w:val="bottom"/>
            <w:hideMark/>
          </w:tcPr>
          <w:p w14:paraId="063281F5" w14:textId="77777777" w:rsidR="004D3AD6" w:rsidRDefault="004D3AD6">
            <w:pPr>
              <w:jc w:val="center"/>
              <w:rPr>
                <w:b/>
                <w:bCs/>
                <w:color w:val="000000"/>
              </w:rPr>
            </w:pPr>
            <w:r>
              <w:rPr>
                <w:b/>
                <w:bCs/>
                <w:color w:val="000000"/>
              </w:rPr>
              <w:t>Reconciliation of Net Cash from Operating Activities to</w:t>
            </w:r>
          </w:p>
        </w:tc>
      </w:tr>
      <w:tr w:rsidR="004D3AD6" w14:paraId="4F0EFC97" w14:textId="77777777" w:rsidTr="00434408">
        <w:trPr>
          <w:trHeight w:val="333"/>
        </w:trPr>
        <w:tc>
          <w:tcPr>
            <w:tcW w:w="9347" w:type="dxa"/>
            <w:gridSpan w:val="5"/>
            <w:tcBorders>
              <w:top w:val="nil"/>
              <w:left w:val="nil"/>
              <w:bottom w:val="nil"/>
              <w:right w:val="nil"/>
            </w:tcBorders>
            <w:shd w:val="clear" w:color="auto" w:fill="auto"/>
            <w:noWrap/>
            <w:vAlign w:val="bottom"/>
            <w:hideMark/>
          </w:tcPr>
          <w:p w14:paraId="389BE0E1" w14:textId="77777777" w:rsidR="004D3AD6" w:rsidRDefault="004D3AD6">
            <w:pPr>
              <w:jc w:val="center"/>
              <w:rPr>
                <w:b/>
                <w:bCs/>
                <w:color w:val="000000"/>
              </w:rPr>
            </w:pPr>
            <w:r>
              <w:rPr>
                <w:b/>
                <w:bCs/>
                <w:color w:val="000000"/>
              </w:rPr>
              <w:t>Non-GAAP Free Cash Flow and Adjusted Free Cash Flow</w:t>
            </w:r>
          </w:p>
        </w:tc>
      </w:tr>
      <w:tr w:rsidR="004D3AD6" w14:paraId="64C54C01" w14:textId="77777777" w:rsidTr="00434408">
        <w:trPr>
          <w:trHeight w:val="333"/>
        </w:trPr>
        <w:tc>
          <w:tcPr>
            <w:tcW w:w="9347" w:type="dxa"/>
            <w:gridSpan w:val="5"/>
            <w:tcBorders>
              <w:top w:val="nil"/>
              <w:left w:val="nil"/>
              <w:bottom w:val="nil"/>
              <w:right w:val="nil"/>
            </w:tcBorders>
            <w:shd w:val="clear" w:color="auto" w:fill="auto"/>
            <w:noWrap/>
            <w:vAlign w:val="bottom"/>
            <w:hideMark/>
          </w:tcPr>
          <w:p w14:paraId="0CFD196E" w14:textId="77777777" w:rsidR="004D3AD6" w:rsidRDefault="004D3AD6">
            <w:pPr>
              <w:jc w:val="center"/>
              <w:rPr>
                <w:b/>
                <w:bCs/>
                <w:color w:val="000000"/>
              </w:rPr>
            </w:pPr>
            <w:r>
              <w:rPr>
                <w:b/>
                <w:bCs/>
                <w:color w:val="000000"/>
              </w:rPr>
              <w:t>Six Month Periods Ended March 31,</w:t>
            </w:r>
          </w:p>
        </w:tc>
      </w:tr>
      <w:tr w:rsidR="004D3AD6" w14:paraId="5995BFC4" w14:textId="77777777" w:rsidTr="00434408">
        <w:trPr>
          <w:trHeight w:val="333"/>
        </w:trPr>
        <w:tc>
          <w:tcPr>
            <w:tcW w:w="9347" w:type="dxa"/>
            <w:gridSpan w:val="5"/>
            <w:tcBorders>
              <w:top w:val="nil"/>
              <w:left w:val="nil"/>
              <w:bottom w:val="nil"/>
              <w:right w:val="nil"/>
            </w:tcBorders>
            <w:shd w:val="clear" w:color="auto" w:fill="auto"/>
            <w:noWrap/>
            <w:vAlign w:val="bottom"/>
            <w:hideMark/>
          </w:tcPr>
          <w:p w14:paraId="0001A14D" w14:textId="77777777" w:rsidR="004D3AD6" w:rsidRDefault="004D3AD6">
            <w:pPr>
              <w:jc w:val="center"/>
              <w:rPr>
                <w:color w:val="000000"/>
              </w:rPr>
            </w:pPr>
            <w:r>
              <w:rPr>
                <w:color w:val="000000"/>
              </w:rPr>
              <w:t>(In thousands)</w:t>
            </w:r>
          </w:p>
        </w:tc>
      </w:tr>
      <w:tr w:rsidR="004D3AD6" w14:paraId="01AB9BB6" w14:textId="77777777" w:rsidTr="00434408">
        <w:trPr>
          <w:trHeight w:val="333"/>
        </w:trPr>
        <w:tc>
          <w:tcPr>
            <w:tcW w:w="5538" w:type="dxa"/>
            <w:tcBorders>
              <w:top w:val="nil"/>
              <w:left w:val="nil"/>
              <w:bottom w:val="nil"/>
              <w:right w:val="nil"/>
            </w:tcBorders>
            <w:shd w:val="clear" w:color="auto" w:fill="auto"/>
            <w:noWrap/>
            <w:vAlign w:val="bottom"/>
            <w:hideMark/>
          </w:tcPr>
          <w:p w14:paraId="60EAB644" w14:textId="77777777" w:rsidR="004D3AD6" w:rsidRDefault="004D3AD6">
            <w:pPr>
              <w:jc w:val="center"/>
              <w:rPr>
                <w:color w:val="000000"/>
              </w:rPr>
            </w:pPr>
          </w:p>
        </w:tc>
        <w:tc>
          <w:tcPr>
            <w:tcW w:w="261" w:type="dxa"/>
            <w:tcBorders>
              <w:top w:val="nil"/>
              <w:left w:val="nil"/>
              <w:bottom w:val="nil"/>
              <w:right w:val="nil"/>
            </w:tcBorders>
            <w:shd w:val="clear" w:color="auto" w:fill="auto"/>
            <w:noWrap/>
            <w:vAlign w:val="bottom"/>
            <w:hideMark/>
          </w:tcPr>
          <w:p w14:paraId="275F4444" w14:textId="77777777" w:rsidR="004D3AD6" w:rsidRDefault="004D3AD6">
            <w:pPr>
              <w:rPr>
                <w:sz w:val="20"/>
                <w:szCs w:val="20"/>
              </w:rPr>
            </w:pPr>
          </w:p>
        </w:tc>
        <w:tc>
          <w:tcPr>
            <w:tcW w:w="1643" w:type="dxa"/>
            <w:tcBorders>
              <w:top w:val="nil"/>
              <w:left w:val="nil"/>
              <w:bottom w:val="single" w:sz="4" w:space="0" w:color="auto"/>
              <w:right w:val="nil"/>
            </w:tcBorders>
            <w:shd w:val="clear" w:color="auto" w:fill="auto"/>
            <w:noWrap/>
            <w:vAlign w:val="bottom"/>
            <w:hideMark/>
          </w:tcPr>
          <w:p w14:paraId="0CCABE52" w14:textId="77777777" w:rsidR="004D3AD6" w:rsidRDefault="004D3AD6">
            <w:pPr>
              <w:jc w:val="center"/>
              <w:rPr>
                <w:b/>
                <w:bCs/>
                <w:color w:val="000000"/>
              </w:rPr>
            </w:pPr>
            <w:r>
              <w:rPr>
                <w:b/>
                <w:bCs/>
                <w:color w:val="000000"/>
              </w:rPr>
              <w:t>2023</w:t>
            </w:r>
          </w:p>
        </w:tc>
        <w:tc>
          <w:tcPr>
            <w:tcW w:w="259" w:type="dxa"/>
            <w:tcBorders>
              <w:top w:val="nil"/>
              <w:left w:val="nil"/>
              <w:bottom w:val="nil"/>
              <w:right w:val="nil"/>
            </w:tcBorders>
            <w:shd w:val="clear" w:color="auto" w:fill="auto"/>
            <w:noWrap/>
            <w:vAlign w:val="bottom"/>
            <w:hideMark/>
          </w:tcPr>
          <w:p w14:paraId="58F40C8E" w14:textId="77777777" w:rsidR="004D3AD6" w:rsidRDefault="004D3AD6">
            <w:pPr>
              <w:jc w:val="center"/>
              <w:rPr>
                <w:b/>
                <w:bCs/>
                <w:color w:val="000000"/>
              </w:rPr>
            </w:pPr>
          </w:p>
        </w:tc>
        <w:tc>
          <w:tcPr>
            <w:tcW w:w="1646" w:type="dxa"/>
            <w:tcBorders>
              <w:top w:val="nil"/>
              <w:left w:val="nil"/>
              <w:bottom w:val="single" w:sz="4" w:space="0" w:color="auto"/>
              <w:right w:val="nil"/>
            </w:tcBorders>
            <w:shd w:val="clear" w:color="auto" w:fill="auto"/>
            <w:noWrap/>
            <w:vAlign w:val="bottom"/>
            <w:hideMark/>
          </w:tcPr>
          <w:p w14:paraId="25928957" w14:textId="77777777" w:rsidR="004D3AD6" w:rsidRDefault="004D3AD6">
            <w:pPr>
              <w:jc w:val="center"/>
              <w:rPr>
                <w:b/>
                <w:bCs/>
                <w:color w:val="000000"/>
              </w:rPr>
            </w:pPr>
            <w:r>
              <w:rPr>
                <w:b/>
                <w:bCs/>
                <w:color w:val="000000"/>
              </w:rPr>
              <w:t>2022</w:t>
            </w:r>
          </w:p>
        </w:tc>
      </w:tr>
      <w:tr w:rsidR="004D3AD6" w14:paraId="6269AF5E" w14:textId="77777777" w:rsidTr="00434408">
        <w:trPr>
          <w:trHeight w:val="333"/>
        </w:trPr>
        <w:tc>
          <w:tcPr>
            <w:tcW w:w="5538" w:type="dxa"/>
            <w:tcBorders>
              <w:top w:val="nil"/>
              <w:left w:val="nil"/>
              <w:bottom w:val="nil"/>
              <w:right w:val="nil"/>
            </w:tcBorders>
            <w:shd w:val="clear" w:color="auto" w:fill="auto"/>
            <w:noWrap/>
            <w:vAlign w:val="bottom"/>
            <w:hideMark/>
          </w:tcPr>
          <w:p w14:paraId="2F814513" w14:textId="77777777" w:rsidR="004D3AD6" w:rsidRDefault="004D3AD6">
            <w:pPr>
              <w:rPr>
                <w:b/>
                <w:bCs/>
                <w:color w:val="000000"/>
              </w:rPr>
            </w:pPr>
            <w:r>
              <w:rPr>
                <w:b/>
                <w:bCs/>
                <w:color w:val="000000"/>
              </w:rPr>
              <w:t>Net cash provided by operating activities</w:t>
            </w:r>
          </w:p>
        </w:tc>
        <w:tc>
          <w:tcPr>
            <w:tcW w:w="261" w:type="dxa"/>
            <w:tcBorders>
              <w:top w:val="nil"/>
              <w:left w:val="nil"/>
              <w:bottom w:val="nil"/>
              <w:right w:val="nil"/>
            </w:tcBorders>
            <w:shd w:val="clear" w:color="auto" w:fill="auto"/>
            <w:noWrap/>
            <w:vAlign w:val="bottom"/>
            <w:hideMark/>
          </w:tcPr>
          <w:p w14:paraId="0D43A6FA" w14:textId="77777777" w:rsidR="004D3AD6" w:rsidRDefault="004D3AD6">
            <w:pPr>
              <w:rPr>
                <w:b/>
                <w:bCs/>
                <w:color w:val="000000"/>
              </w:rPr>
            </w:pPr>
          </w:p>
        </w:tc>
        <w:tc>
          <w:tcPr>
            <w:tcW w:w="1643" w:type="dxa"/>
            <w:tcBorders>
              <w:top w:val="nil"/>
              <w:left w:val="nil"/>
              <w:bottom w:val="nil"/>
              <w:right w:val="nil"/>
            </w:tcBorders>
            <w:shd w:val="clear" w:color="auto" w:fill="auto"/>
            <w:noWrap/>
            <w:vAlign w:val="bottom"/>
            <w:hideMark/>
          </w:tcPr>
          <w:p w14:paraId="77696A5B" w14:textId="77777777" w:rsidR="004D3AD6" w:rsidRDefault="004D3AD6">
            <w:pPr>
              <w:rPr>
                <w:color w:val="000000"/>
              </w:rPr>
            </w:pPr>
            <w:r>
              <w:rPr>
                <w:color w:val="000000"/>
              </w:rPr>
              <w:t xml:space="preserve"> $        1,439 </w:t>
            </w:r>
          </w:p>
        </w:tc>
        <w:tc>
          <w:tcPr>
            <w:tcW w:w="259" w:type="dxa"/>
            <w:tcBorders>
              <w:top w:val="nil"/>
              <w:left w:val="nil"/>
              <w:bottom w:val="nil"/>
              <w:right w:val="nil"/>
            </w:tcBorders>
            <w:shd w:val="clear" w:color="auto" w:fill="auto"/>
            <w:noWrap/>
            <w:vAlign w:val="bottom"/>
            <w:hideMark/>
          </w:tcPr>
          <w:p w14:paraId="22222557" w14:textId="77777777" w:rsidR="004D3AD6" w:rsidRDefault="004D3AD6">
            <w:pPr>
              <w:rPr>
                <w:color w:val="000000"/>
              </w:rPr>
            </w:pPr>
          </w:p>
        </w:tc>
        <w:tc>
          <w:tcPr>
            <w:tcW w:w="1646" w:type="dxa"/>
            <w:tcBorders>
              <w:top w:val="nil"/>
              <w:left w:val="nil"/>
              <w:bottom w:val="nil"/>
              <w:right w:val="nil"/>
            </w:tcBorders>
            <w:shd w:val="clear" w:color="auto" w:fill="auto"/>
            <w:noWrap/>
            <w:vAlign w:val="bottom"/>
            <w:hideMark/>
          </w:tcPr>
          <w:p w14:paraId="12FF2CE3" w14:textId="77777777" w:rsidR="004D3AD6" w:rsidRDefault="004D3AD6">
            <w:pPr>
              <w:rPr>
                <w:color w:val="000000"/>
              </w:rPr>
            </w:pPr>
            <w:r>
              <w:rPr>
                <w:color w:val="000000"/>
              </w:rPr>
              <w:t xml:space="preserve"> $        4,456 </w:t>
            </w:r>
          </w:p>
        </w:tc>
      </w:tr>
      <w:tr w:rsidR="004D3AD6" w14:paraId="5E9CA16F" w14:textId="77777777" w:rsidTr="00434408">
        <w:trPr>
          <w:trHeight w:val="333"/>
        </w:trPr>
        <w:tc>
          <w:tcPr>
            <w:tcW w:w="5538" w:type="dxa"/>
            <w:tcBorders>
              <w:top w:val="nil"/>
              <w:left w:val="nil"/>
              <w:bottom w:val="nil"/>
              <w:right w:val="nil"/>
            </w:tcBorders>
            <w:shd w:val="clear" w:color="auto" w:fill="auto"/>
            <w:noWrap/>
            <w:vAlign w:val="bottom"/>
            <w:hideMark/>
          </w:tcPr>
          <w:p w14:paraId="0B799E1D" w14:textId="77777777" w:rsidR="004D3AD6" w:rsidRDefault="004D3AD6">
            <w:pPr>
              <w:rPr>
                <w:b/>
                <w:bCs/>
                <w:color w:val="000000"/>
              </w:rPr>
            </w:pPr>
            <w:r>
              <w:rPr>
                <w:b/>
                <w:bCs/>
                <w:color w:val="000000"/>
              </w:rPr>
              <w:t>Acquisition of property and equipment</w:t>
            </w:r>
          </w:p>
        </w:tc>
        <w:tc>
          <w:tcPr>
            <w:tcW w:w="261" w:type="dxa"/>
            <w:tcBorders>
              <w:top w:val="nil"/>
              <w:left w:val="nil"/>
              <w:bottom w:val="nil"/>
              <w:right w:val="nil"/>
            </w:tcBorders>
            <w:shd w:val="clear" w:color="auto" w:fill="auto"/>
            <w:noWrap/>
            <w:vAlign w:val="bottom"/>
            <w:hideMark/>
          </w:tcPr>
          <w:p w14:paraId="53B386C4" w14:textId="77777777" w:rsidR="004D3AD6" w:rsidRDefault="004D3AD6">
            <w:pPr>
              <w:rPr>
                <w:b/>
                <w:bCs/>
                <w:color w:val="000000"/>
              </w:rPr>
            </w:pPr>
          </w:p>
        </w:tc>
        <w:tc>
          <w:tcPr>
            <w:tcW w:w="1643" w:type="dxa"/>
            <w:tcBorders>
              <w:top w:val="nil"/>
              <w:left w:val="nil"/>
              <w:bottom w:val="single" w:sz="4" w:space="0" w:color="auto"/>
              <w:right w:val="nil"/>
            </w:tcBorders>
            <w:shd w:val="clear" w:color="auto" w:fill="auto"/>
            <w:noWrap/>
            <w:vAlign w:val="bottom"/>
            <w:hideMark/>
          </w:tcPr>
          <w:p w14:paraId="2945EAF1" w14:textId="77777777" w:rsidR="004D3AD6" w:rsidRDefault="004D3AD6">
            <w:pPr>
              <w:rPr>
                <w:color w:val="000000"/>
              </w:rPr>
            </w:pPr>
            <w:r>
              <w:rPr>
                <w:color w:val="000000"/>
              </w:rPr>
              <w:t xml:space="preserve">              (84)</w:t>
            </w:r>
          </w:p>
        </w:tc>
        <w:tc>
          <w:tcPr>
            <w:tcW w:w="259" w:type="dxa"/>
            <w:tcBorders>
              <w:top w:val="nil"/>
              <w:left w:val="nil"/>
              <w:bottom w:val="nil"/>
              <w:right w:val="nil"/>
            </w:tcBorders>
            <w:shd w:val="clear" w:color="auto" w:fill="auto"/>
            <w:noWrap/>
            <w:vAlign w:val="bottom"/>
            <w:hideMark/>
          </w:tcPr>
          <w:p w14:paraId="7A52DBF1" w14:textId="77777777" w:rsidR="004D3AD6" w:rsidRDefault="004D3AD6">
            <w:pPr>
              <w:rPr>
                <w:color w:val="000000"/>
              </w:rPr>
            </w:pPr>
          </w:p>
        </w:tc>
        <w:tc>
          <w:tcPr>
            <w:tcW w:w="1646" w:type="dxa"/>
            <w:tcBorders>
              <w:top w:val="nil"/>
              <w:left w:val="nil"/>
              <w:bottom w:val="single" w:sz="4" w:space="0" w:color="auto"/>
              <w:right w:val="nil"/>
            </w:tcBorders>
            <w:shd w:val="clear" w:color="auto" w:fill="auto"/>
            <w:noWrap/>
            <w:vAlign w:val="bottom"/>
            <w:hideMark/>
          </w:tcPr>
          <w:p w14:paraId="57CC95D3" w14:textId="77777777" w:rsidR="004D3AD6" w:rsidRDefault="004D3AD6">
            <w:pPr>
              <w:rPr>
                <w:color w:val="000000"/>
              </w:rPr>
            </w:pPr>
            <w:r>
              <w:rPr>
                <w:color w:val="000000"/>
              </w:rPr>
              <w:t xml:space="preserve">            (155)</w:t>
            </w:r>
          </w:p>
        </w:tc>
      </w:tr>
      <w:tr w:rsidR="004D3AD6" w14:paraId="42E1F5EC" w14:textId="77777777" w:rsidTr="00434408">
        <w:trPr>
          <w:trHeight w:val="333"/>
        </w:trPr>
        <w:tc>
          <w:tcPr>
            <w:tcW w:w="5538" w:type="dxa"/>
            <w:tcBorders>
              <w:top w:val="nil"/>
              <w:left w:val="nil"/>
              <w:bottom w:val="nil"/>
              <w:right w:val="nil"/>
            </w:tcBorders>
            <w:shd w:val="clear" w:color="auto" w:fill="auto"/>
            <w:noWrap/>
            <w:vAlign w:val="bottom"/>
            <w:hideMark/>
          </w:tcPr>
          <w:p w14:paraId="39E9FABD" w14:textId="77777777" w:rsidR="004D3AD6" w:rsidRDefault="004D3AD6">
            <w:pPr>
              <w:rPr>
                <w:b/>
                <w:bCs/>
                <w:color w:val="000000"/>
              </w:rPr>
            </w:pPr>
            <w:r>
              <w:rPr>
                <w:b/>
                <w:bCs/>
                <w:color w:val="000000"/>
              </w:rPr>
              <w:t>Non-GAAP free cash flow</w:t>
            </w:r>
          </w:p>
        </w:tc>
        <w:tc>
          <w:tcPr>
            <w:tcW w:w="261" w:type="dxa"/>
            <w:tcBorders>
              <w:top w:val="nil"/>
              <w:left w:val="nil"/>
              <w:bottom w:val="nil"/>
              <w:right w:val="nil"/>
            </w:tcBorders>
            <w:shd w:val="clear" w:color="auto" w:fill="auto"/>
            <w:noWrap/>
            <w:vAlign w:val="bottom"/>
            <w:hideMark/>
          </w:tcPr>
          <w:p w14:paraId="6044EF36" w14:textId="77777777" w:rsidR="004D3AD6" w:rsidRDefault="004D3AD6">
            <w:pPr>
              <w:rPr>
                <w:b/>
                <w:bCs/>
                <w:color w:val="000000"/>
              </w:rPr>
            </w:pPr>
          </w:p>
        </w:tc>
        <w:tc>
          <w:tcPr>
            <w:tcW w:w="1643" w:type="dxa"/>
            <w:tcBorders>
              <w:top w:val="nil"/>
              <w:left w:val="nil"/>
              <w:bottom w:val="nil"/>
              <w:right w:val="nil"/>
            </w:tcBorders>
            <w:shd w:val="clear" w:color="auto" w:fill="auto"/>
            <w:noWrap/>
            <w:vAlign w:val="bottom"/>
            <w:hideMark/>
          </w:tcPr>
          <w:p w14:paraId="4F99E08E" w14:textId="77777777" w:rsidR="004D3AD6" w:rsidRDefault="004D3AD6">
            <w:pPr>
              <w:rPr>
                <w:color w:val="000000"/>
              </w:rPr>
            </w:pPr>
            <w:r>
              <w:rPr>
                <w:color w:val="000000"/>
              </w:rPr>
              <w:t xml:space="preserve">           1,355 </w:t>
            </w:r>
          </w:p>
        </w:tc>
        <w:tc>
          <w:tcPr>
            <w:tcW w:w="259" w:type="dxa"/>
            <w:tcBorders>
              <w:top w:val="nil"/>
              <w:left w:val="nil"/>
              <w:bottom w:val="nil"/>
              <w:right w:val="nil"/>
            </w:tcBorders>
            <w:shd w:val="clear" w:color="auto" w:fill="auto"/>
            <w:noWrap/>
            <w:vAlign w:val="bottom"/>
            <w:hideMark/>
          </w:tcPr>
          <w:p w14:paraId="5D487DAD" w14:textId="77777777" w:rsidR="004D3AD6" w:rsidRDefault="004D3AD6">
            <w:pPr>
              <w:rPr>
                <w:color w:val="000000"/>
              </w:rPr>
            </w:pPr>
          </w:p>
        </w:tc>
        <w:tc>
          <w:tcPr>
            <w:tcW w:w="1646" w:type="dxa"/>
            <w:tcBorders>
              <w:top w:val="nil"/>
              <w:left w:val="nil"/>
              <w:bottom w:val="nil"/>
              <w:right w:val="nil"/>
            </w:tcBorders>
            <w:shd w:val="clear" w:color="auto" w:fill="auto"/>
            <w:noWrap/>
            <w:vAlign w:val="bottom"/>
            <w:hideMark/>
          </w:tcPr>
          <w:p w14:paraId="410A4ABC" w14:textId="77777777" w:rsidR="004D3AD6" w:rsidRDefault="004D3AD6">
            <w:pPr>
              <w:rPr>
                <w:color w:val="000000"/>
              </w:rPr>
            </w:pPr>
            <w:r>
              <w:rPr>
                <w:color w:val="000000"/>
              </w:rPr>
              <w:t xml:space="preserve">           4,301 </w:t>
            </w:r>
          </w:p>
        </w:tc>
      </w:tr>
      <w:tr w:rsidR="004D3AD6" w14:paraId="518A1215" w14:textId="77777777" w:rsidTr="00434408">
        <w:trPr>
          <w:trHeight w:val="333"/>
        </w:trPr>
        <w:tc>
          <w:tcPr>
            <w:tcW w:w="5799" w:type="dxa"/>
            <w:gridSpan w:val="2"/>
            <w:tcBorders>
              <w:top w:val="nil"/>
              <w:left w:val="nil"/>
              <w:bottom w:val="nil"/>
              <w:right w:val="nil"/>
            </w:tcBorders>
            <w:shd w:val="clear" w:color="auto" w:fill="auto"/>
            <w:noWrap/>
            <w:vAlign w:val="bottom"/>
            <w:hideMark/>
          </w:tcPr>
          <w:p w14:paraId="71A44097" w14:textId="77777777" w:rsidR="004D3AD6" w:rsidRDefault="004D3AD6">
            <w:pPr>
              <w:rPr>
                <w:b/>
                <w:bCs/>
                <w:color w:val="000000"/>
              </w:rPr>
            </w:pPr>
            <w:r>
              <w:rPr>
                <w:b/>
                <w:bCs/>
                <w:color w:val="000000"/>
              </w:rPr>
              <w:t>Deferred FICA Payments under CARES Act</w:t>
            </w:r>
          </w:p>
        </w:tc>
        <w:tc>
          <w:tcPr>
            <w:tcW w:w="1643" w:type="dxa"/>
            <w:tcBorders>
              <w:top w:val="nil"/>
              <w:left w:val="nil"/>
              <w:bottom w:val="nil"/>
              <w:right w:val="nil"/>
            </w:tcBorders>
            <w:shd w:val="clear" w:color="auto" w:fill="auto"/>
            <w:noWrap/>
            <w:vAlign w:val="bottom"/>
            <w:hideMark/>
          </w:tcPr>
          <w:p w14:paraId="454EC33C" w14:textId="77777777" w:rsidR="004D3AD6" w:rsidRDefault="004D3AD6">
            <w:pPr>
              <w:rPr>
                <w:color w:val="000000"/>
              </w:rPr>
            </w:pPr>
            <w:r>
              <w:rPr>
                <w:color w:val="000000"/>
              </w:rPr>
              <w:t xml:space="preserve">           1,827 </w:t>
            </w:r>
          </w:p>
        </w:tc>
        <w:tc>
          <w:tcPr>
            <w:tcW w:w="259" w:type="dxa"/>
            <w:tcBorders>
              <w:top w:val="nil"/>
              <w:left w:val="nil"/>
              <w:bottom w:val="nil"/>
              <w:right w:val="nil"/>
            </w:tcBorders>
            <w:shd w:val="clear" w:color="auto" w:fill="auto"/>
            <w:noWrap/>
            <w:vAlign w:val="bottom"/>
            <w:hideMark/>
          </w:tcPr>
          <w:p w14:paraId="79A4C1AA" w14:textId="77777777" w:rsidR="004D3AD6" w:rsidRDefault="004D3AD6">
            <w:pPr>
              <w:rPr>
                <w:color w:val="000000"/>
              </w:rPr>
            </w:pPr>
          </w:p>
        </w:tc>
        <w:tc>
          <w:tcPr>
            <w:tcW w:w="1646" w:type="dxa"/>
            <w:tcBorders>
              <w:top w:val="nil"/>
              <w:left w:val="nil"/>
              <w:bottom w:val="nil"/>
              <w:right w:val="nil"/>
            </w:tcBorders>
            <w:shd w:val="clear" w:color="auto" w:fill="auto"/>
            <w:noWrap/>
            <w:vAlign w:val="bottom"/>
            <w:hideMark/>
          </w:tcPr>
          <w:p w14:paraId="40A6940A" w14:textId="77777777" w:rsidR="004D3AD6" w:rsidRDefault="004D3AD6">
            <w:pPr>
              <w:rPr>
                <w:color w:val="000000"/>
              </w:rPr>
            </w:pPr>
            <w:r>
              <w:rPr>
                <w:color w:val="000000"/>
              </w:rPr>
              <w:t xml:space="preserve">           1,827 </w:t>
            </w:r>
          </w:p>
        </w:tc>
      </w:tr>
      <w:tr w:rsidR="004D3AD6" w14:paraId="01CD2197" w14:textId="77777777" w:rsidTr="00434408">
        <w:trPr>
          <w:trHeight w:val="349"/>
        </w:trPr>
        <w:tc>
          <w:tcPr>
            <w:tcW w:w="5538" w:type="dxa"/>
            <w:tcBorders>
              <w:top w:val="nil"/>
              <w:left w:val="nil"/>
              <w:bottom w:val="nil"/>
              <w:right w:val="nil"/>
            </w:tcBorders>
            <w:shd w:val="clear" w:color="auto" w:fill="auto"/>
            <w:noWrap/>
            <w:vAlign w:val="bottom"/>
            <w:hideMark/>
          </w:tcPr>
          <w:p w14:paraId="38E4904A" w14:textId="77777777" w:rsidR="004D3AD6" w:rsidRDefault="004D3AD6">
            <w:pPr>
              <w:rPr>
                <w:b/>
                <w:bCs/>
                <w:color w:val="000000"/>
              </w:rPr>
            </w:pPr>
            <w:r>
              <w:rPr>
                <w:b/>
                <w:bCs/>
                <w:color w:val="000000"/>
              </w:rPr>
              <w:t>Non-GAAP adjusted free cash flow</w:t>
            </w:r>
          </w:p>
        </w:tc>
        <w:tc>
          <w:tcPr>
            <w:tcW w:w="261" w:type="dxa"/>
            <w:tcBorders>
              <w:top w:val="nil"/>
              <w:left w:val="nil"/>
              <w:bottom w:val="nil"/>
              <w:right w:val="nil"/>
            </w:tcBorders>
            <w:shd w:val="clear" w:color="auto" w:fill="auto"/>
            <w:noWrap/>
            <w:vAlign w:val="bottom"/>
            <w:hideMark/>
          </w:tcPr>
          <w:p w14:paraId="3380267F" w14:textId="77777777" w:rsidR="004D3AD6" w:rsidRDefault="004D3AD6">
            <w:pPr>
              <w:rPr>
                <w:b/>
                <w:bCs/>
                <w:color w:val="000000"/>
              </w:rPr>
            </w:pPr>
          </w:p>
        </w:tc>
        <w:tc>
          <w:tcPr>
            <w:tcW w:w="1643" w:type="dxa"/>
            <w:tcBorders>
              <w:top w:val="single" w:sz="4" w:space="0" w:color="auto"/>
              <w:left w:val="nil"/>
              <w:bottom w:val="double" w:sz="6" w:space="0" w:color="auto"/>
              <w:right w:val="nil"/>
            </w:tcBorders>
            <w:shd w:val="clear" w:color="auto" w:fill="auto"/>
            <w:noWrap/>
            <w:vAlign w:val="bottom"/>
            <w:hideMark/>
          </w:tcPr>
          <w:p w14:paraId="5651B824" w14:textId="77777777" w:rsidR="004D3AD6" w:rsidRDefault="004D3AD6">
            <w:pPr>
              <w:rPr>
                <w:color w:val="000000"/>
              </w:rPr>
            </w:pPr>
            <w:r>
              <w:rPr>
                <w:color w:val="000000"/>
              </w:rPr>
              <w:t xml:space="preserve"> $        3,182 </w:t>
            </w:r>
          </w:p>
        </w:tc>
        <w:tc>
          <w:tcPr>
            <w:tcW w:w="259" w:type="dxa"/>
            <w:tcBorders>
              <w:top w:val="nil"/>
              <w:left w:val="nil"/>
              <w:bottom w:val="nil"/>
              <w:right w:val="nil"/>
            </w:tcBorders>
            <w:shd w:val="clear" w:color="auto" w:fill="auto"/>
            <w:noWrap/>
            <w:vAlign w:val="bottom"/>
            <w:hideMark/>
          </w:tcPr>
          <w:p w14:paraId="18122D66" w14:textId="77777777" w:rsidR="004D3AD6" w:rsidRDefault="004D3AD6">
            <w:pPr>
              <w:rPr>
                <w:color w:val="000000"/>
              </w:rPr>
            </w:pPr>
          </w:p>
        </w:tc>
        <w:tc>
          <w:tcPr>
            <w:tcW w:w="1646" w:type="dxa"/>
            <w:tcBorders>
              <w:top w:val="single" w:sz="4" w:space="0" w:color="auto"/>
              <w:left w:val="nil"/>
              <w:bottom w:val="double" w:sz="6" w:space="0" w:color="auto"/>
              <w:right w:val="nil"/>
            </w:tcBorders>
            <w:shd w:val="clear" w:color="auto" w:fill="auto"/>
            <w:noWrap/>
            <w:vAlign w:val="bottom"/>
            <w:hideMark/>
          </w:tcPr>
          <w:p w14:paraId="0C646040" w14:textId="77777777" w:rsidR="004D3AD6" w:rsidRDefault="004D3AD6">
            <w:pPr>
              <w:rPr>
                <w:color w:val="000000"/>
              </w:rPr>
            </w:pPr>
            <w:r>
              <w:rPr>
                <w:color w:val="000000"/>
              </w:rPr>
              <w:t xml:space="preserve"> $        6,128 </w:t>
            </w:r>
          </w:p>
        </w:tc>
      </w:tr>
    </w:tbl>
    <w:p w14:paraId="08E06805" w14:textId="77777777" w:rsidR="003F7A55" w:rsidRDefault="003F7A55" w:rsidP="784656E5">
      <w:pPr>
        <w:outlineLvl w:val="0"/>
        <w:rPr>
          <w:b/>
          <w:bCs/>
        </w:rPr>
      </w:pPr>
    </w:p>
    <w:p w14:paraId="2C1791A2" w14:textId="77777777" w:rsidR="003F7A55" w:rsidRDefault="003F7A55" w:rsidP="784656E5">
      <w:pPr>
        <w:outlineLvl w:val="0"/>
        <w:rPr>
          <w:b/>
          <w:bCs/>
        </w:rPr>
      </w:pPr>
    </w:p>
    <w:p w14:paraId="58E85CBA" w14:textId="77777777" w:rsidR="003F7A55" w:rsidRDefault="003F7A55" w:rsidP="784656E5">
      <w:pPr>
        <w:outlineLvl w:val="0"/>
        <w:rPr>
          <w:b/>
          <w:bCs/>
        </w:rPr>
      </w:pPr>
    </w:p>
    <w:p w14:paraId="0668D08C" w14:textId="7E153304" w:rsidR="00A9410D" w:rsidRDefault="00A9410D" w:rsidP="009859CC">
      <w:pPr>
        <w:outlineLvl w:val="0"/>
        <w:rPr>
          <w:b/>
        </w:rPr>
      </w:pPr>
    </w:p>
    <w:p w14:paraId="0E532E72" w14:textId="282986FC" w:rsidR="00A9410D" w:rsidRDefault="00A9410D" w:rsidP="009859CC">
      <w:pPr>
        <w:outlineLvl w:val="0"/>
        <w:rPr>
          <w:b/>
        </w:rPr>
      </w:pPr>
    </w:p>
    <w:p w14:paraId="5C2C3488" w14:textId="26E82E15" w:rsidR="00A9410D" w:rsidRDefault="00A9410D" w:rsidP="009859CC">
      <w:pPr>
        <w:outlineLvl w:val="0"/>
        <w:rPr>
          <w:b/>
        </w:rPr>
      </w:pPr>
    </w:p>
    <w:p w14:paraId="343CABF4" w14:textId="169D7EB1" w:rsidR="00A9410D" w:rsidRDefault="00A9410D" w:rsidP="009859CC">
      <w:pPr>
        <w:outlineLvl w:val="0"/>
        <w:rPr>
          <w:b/>
        </w:rPr>
      </w:pPr>
    </w:p>
    <w:p w14:paraId="331217FB" w14:textId="582EBD31" w:rsidR="00A9410D" w:rsidRDefault="00A9410D" w:rsidP="009859CC">
      <w:pPr>
        <w:outlineLvl w:val="0"/>
        <w:rPr>
          <w:b/>
        </w:rPr>
      </w:pPr>
    </w:p>
    <w:p w14:paraId="350E78AE" w14:textId="5CEAA8C9" w:rsidR="00B33DD6" w:rsidRPr="00202DB9" w:rsidRDefault="00B33DD6" w:rsidP="00E040A0">
      <w:pPr>
        <w:outlineLvl w:val="0"/>
        <w:rPr>
          <w:b/>
          <w:bCs/>
        </w:rPr>
      </w:pPr>
      <w:bookmarkStart w:id="2" w:name="_Hlk87280994"/>
      <w:bookmarkStart w:id="3" w:name="_Hlk87280995"/>
      <w:bookmarkStart w:id="4" w:name="_Hlk87280996"/>
      <w:bookmarkStart w:id="5" w:name="_Hlk87280997"/>
      <w:r w:rsidRPr="00202DB9">
        <w:rPr>
          <w:b/>
          <w:bCs/>
        </w:rPr>
        <w:t>GEE GROUP INC.</w:t>
      </w:r>
    </w:p>
    <w:p w14:paraId="0738838E" w14:textId="361E5FF6" w:rsidR="00B33DD6" w:rsidRPr="00202DB9" w:rsidRDefault="009D38B0" w:rsidP="00B33DD6">
      <w:pPr>
        <w:pStyle w:val="Header"/>
        <w:pBdr>
          <w:bottom w:val="single" w:sz="4" w:space="1" w:color="auto"/>
        </w:pBdr>
        <w:rPr>
          <w:rFonts w:ascii="Times New Roman" w:hAnsi="Times New Roman" w:cs="Times New Roman"/>
          <w:b/>
          <w:bCs/>
        </w:rPr>
      </w:pPr>
      <w:r w:rsidRPr="00202DB9">
        <w:rPr>
          <w:rFonts w:ascii="Times New Roman" w:hAnsi="Times New Roman" w:cs="Times New Roman"/>
          <w:b/>
          <w:bCs/>
        </w:rPr>
        <w:t xml:space="preserve">CONDENSED </w:t>
      </w:r>
      <w:r w:rsidR="00B33DD6" w:rsidRPr="00202DB9">
        <w:rPr>
          <w:rFonts w:ascii="Times New Roman" w:hAnsi="Times New Roman" w:cs="Times New Roman"/>
          <w:b/>
          <w:bCs/>
        </w:rPr>
        <w:t>CONSOLIDATED STATEMENTS OF OPERATIONS</w:t>
      </w:r>
      <w:r w:rsidRPr="00202DB9">
        <w:rPr>
          <w:rFonts w:ascii="Times New Roman" w:hAnsi="Times New Roman" w:cs="Times New Roman"/>
          <w:b/>
          <w:bCs/>
        </w:rPr>
        <w:t xml:space="preserve"> (unaudited)</w:t>
      </w:r>
    </w:p>
    <w:p w14:paraId="1E1B97FC" w14:textId="7A63FD56" w:rsidR="00B33DD6" w:rsidRPr="00202DB9" w:rsidRDefault="00B33DD6" w:rsidP="00B33DD6">
      <w:pPr>
        <w:pStyle w:val="Header"/>
        <w:rPr>
          <w:rFonts w:ascii="Times New Roman" w:hAnsi="Times New Roman" w:cs="Times New Roman"/>
          <w:b/>
          <w:bCs/>
          <w:sz w:val="22"/>
          <w:szCs w:val="22"/>
        </w:rPr>
      </w:pPr>
      <w:r w:rsidRPr="00202DB9">
        <w:rPr>
          <w:rFonts w:ascii="Times New Roman" w:hAnsi="Times New Roman" w:cs="Times New Roman"/>
          <w:b/>
          <w:bCs/>
          <w:sz w:val="22"/>
          <w:szCs w:val="22"/>
        </w:rPr>
        <w:t>(Amounts in thousands except per share data)</w:t>
      </w:r>
      <w:bookmarkEnd w:id="2"/>
      <w:bookmarkEnd w:id="3"/>
      <w:bookmarkEnd w:id="4"/>
      <w:bookmarkEnd w:id="5"/>
    </w:p>
    <w:p w14:paraId="34BC5246" w14:textId="37AD197A" w:rsidR="00A9410D" w:rsidRDefault="00A9410D" w:rsidP="009859CC">
      <w:pPr>
        <w:outlineLvl w:val="0"/>
        <w:rPr>
          <w:b/>
        </w:rPr>
      </w:pPr>
    </w:p>
    <w:p w14:paraId="06B73331" w14:textId="00D45D18" w:rsidR="00A9410D" w:rsidRDefault="00C92AB4" w:rsidP="009859CC">
      <w:pPr>
        <w:outlineLvl w:val="0"/>
        <w:rPr>
          <w:b/>
        </w:rPr>
      </w:pPr>
      <w:r w:rsidRPr="00C92AB4">
        <w:rPr>
          <w:b/>
          <w:noProof/>
        </w:rPr>
        <w:drawing>
          <wp:inline distT="0" distB="0" distL="0" distR="0" wp14:anchorId="6E0400F6" wp14:editId="62C7070F">
            <wp:extent cx="5943600" cy="4360208"/>
            <wp:effectExtent l="0" t="0" r="0" b="2540"/>
            <wp:docPr id="414869184" name="Picture 1" descr="A picture containing text, number,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84" name="Picture 1" descr="A picture containing text, number, screenshot, font&#10;&#10;Description automatically generated"/>
                    <pic:cNvPicPr/>
                  </pic:nvPicPr>
                  <pic:blipFill>
                    <a:blip r:embed="rId11"/>
                    <a:stretch>
                      <a:fillRect/>
                    </a:stretch>
                  </pic:blipFill>
                  <pic:spPr>
                    <a:xfrm>
                      <a:off x="0" y="0"/>
                      <a:ext cx="5993342" cy="4396698"/>
                    </a:xfrm>
                    <a:prstGeom prst="rect">
                      <a:avLst/>
                    </a:prstGeom>
                  </pic:spPr>
                </pic:pic>
              </a:graphicData>
            </a:graphic>
          </wp:inline>
        </w:drawing>
      </w:r>
    </w:p>
    <w:p w14:paraId="1B874B04" w14:textId="22ADCF50" w:rsidR="0013097D" w:rsidRDefault="0013097D" w:rsidP="009859CC">
      <w:pPr>
        <w:outlineLvl w:val="0"/>
      </w:pPr>
    </w:p>
    <w:p w14:paraId="15385D91" w14:textId="3440AEC1" w:rsidR="00B33DD6" w:rsidRDefault="00B33DD6" w:rsidP="009859CC">
      <w:pPr>
        <w:outlineLvl w:val="0"/>
        <w:rPr>
          <w:b/>
        </w:rPr>
      </w:pPr>
    </w:p>
    <w:p w14:paraId="4AA412CC" w14:textId="29E41EF0" w:rsidR="00B33DD6" w:rsidRDefault="00B33DD6" w:rsidP="009859CC">
      <w:pPr>
        <w:outlineLvl w:val="0"/>
        <w:rPr>
          <w:b/>
        </w:rPr>
      </w:pPr>
    </w:p>
    <w:p w14:paraId="2F83A81E" w14:textId="2BD22BDF" w:rsidR="00B33DD6" w:rsidRDefault="00B33DD6" w:rsidP="009859CC">
      <w:pPr>
        <w:outlineLvl w:val="0"/>
        <w:rPr>
          <w:b/>
        </w:rPr>
      </w:pPr>
    </w:p>
    <w:p w14:paraId="4ED921FB" w14:textId="2E89EE6F" w:rsidR="00B33DD6" w:rsidRDefault="00B33DD6" w:rsidP="009859CC">
      <w:pPr>
        <w:outlineLvl w:val="0"/>
        <w:rPr>
          <w:b/>
        </w:rPr>
      </w:pPr>
    </w:p>
    <w:p w14:paraId="7C8CE5CC" w14:textId="528FF4D5" w:rsidR="00B33DD6" w:rsidRDefault="00B33DD6" w:rsidP="009859CC">
      <w:pPr>
        <w:outlineLvl w:val="0"/>
        <w:rPr>
          <w:b/>
        </w:rPr>
      </w:pPr>
    </w:p>
    <w:p w14:paraId="77B082FD" w14:textId="468C8F30" w:rsidR="00B33DD6" w:rsidRDefault="00B33DD6" w:rsidP="009859CC">
      <w:pPr>
        <w:outlineLvl w:val="0"/>
        <w:rPr>
          <w:b/>
        </w:rPr>
      </w:pPr>
    </w:p>
    <w:p w14:paraId="195DF823" w14:textId="1DBDFA5D" w:rsidR="00B33DD6" w:rsidRDefault="00B33DD6" w:rsidP="009859CC">
      <w:pPr>
        <w:outlineLvl w:val="0"/>
        <w:rPr>
          <w:b/>
        </w:rPr>
      </w:pPr>
    </w:p>
    <w:p w14:paraId="228E0BF3" w14:textId="6DF97698" w:rsidR="00B33DD6" w:rsidRPr="001C591A" w:rsidRDefault="008E7EC5" w:rsidP="00897F4A">
      <w:pPr>
        <w:rPr>
          <w:b/>
          <w:bCs/>
        </w:rPr>
      </w:pPr>
      <w:r>
        <w:rPr>
          <w:b/>
        </w:rPr>
        <w:br w:type="page"/>
      </w:r>
      <w:r w:rsidR="00B33DD6" w:rsidRPr="001C591A">
        <w:rPr>
          <w:b/>
          <w:bCs/>
        </w:rPr>
        <w:lastRenderedPageBreak/>
        <w:t>GEE GROUP INC.</w:t>
      </w:r>
    </w:p>
    <w:p w14:paraId="3E6D3ABA" w14:textId="56E069F6" w:rsidR="00B33DD6" w:rsidRPr="001C591A" w:rsidRDefault="003A4C48" w:rsidP="00B33DD6">
      <w:pPr>
        <w:pStyle w:val="Header"/>
        <w:rPr>
          <w:rFonts w:ascii="Times New Roman" w:hAnsi="Times New Roman" w:cs="Times New Roman"/>
          <w:b/>
          <w:bCs/>
        </w:rPr>
      </w:pPr>
      <w:r w:rsidRPr="001C591A">
        <w:rPr>
          <w:rFonts w:ascii="Times New Roman" w:hAnsi="Times New Roman" w:cs="Times New Roman"/>
          <w:b/>
          <w:bCs/>
        </w:rPr>
        <w:t xml:space="preserve">CONDENSED </w:t>
      </w:r>
      <w:r w:rsidR="00B33DD6" w:rsidRPr="001C591A">
        <w:rPr>
          <w:rFonts w:ascii="Times New Roman" w:hAnsi="Times New Roman" w:cs="Times New Roman"/>
          <w:b/>
          <w:bCs/>
        </w:rPr>
        <w:t>CONSOLIDATED BALANCE SHEETS</w:t>
      </w:r>
      <w:r w:rsidRPr="001C591A">
        <w:rPr>
          <w:rFonts w:ascii="Times New Roman" w:hAnsi="Times New Roman" w:cs="Times New Roman"/>
          <w:b/>
          <w:bCs/>
        </w:rPr>
        <w:t xml:space="preserve"> (unaudited)</w:t>
      </w:r>
    </w:p>
    <w:p w14:paraId="44918172" w14:textId="50857011" w:rsidR="00B33DD6" w:rsidRPr="001C591A" w:rsidRDefault="00B33DD6" w:rsidP="00120476">
      <w:pPr>
        <w:pStyle w:val="Header"/>
        <w:pBdr>
          <w:top w:val="single" w:sz="4" w:space="1" w:color="auto"/>
        </w:pBdr>
        <w:rPr>
          <w:rFonts w:ascii="Times New Roman" w:hAnsi="Times New Roman" w:cs="Times New Roman"/>
          <w:b/>
          <w:bCs/>
          <w:sz w:val="22"/>
          <w:szCs w:val="22"/>
        </w:rPr>
      </w:pPr>
      <w:r w:rsidRPr="001C591A">
        <w:rPr>
          <w:rFonts w:ascii="Times New Roman" w:hAnsi="Times New Roman" w:cs="Times New Roman"/>
          <w:b/>
          <w:bCs/>
          <w:sz w:val="22"/>
          <w:szCs w:val="22"/>
        </w:rPr>
        <w:t>(Amounts in thousands)</w:t>
      </w:r>
    </w:p>
    <w:p w14:paraId="670B755F" w14:textId="3DA2A570" w:rsidR="00B33DD6" w:rsidRPr="001C591A" w:rsidRDefault="00B33DD6" w:rsidP="00B33DD6">
      <w:pPr>
        <w:tabs>
          <w:tab w:val="left" w:pos="2880"/>
        </w:tabs>
        <w:rPr>
          <w:b/>
          <w:bCs/>
        </w:rPr>
      </w:pPr>
      <w:r w:rsidRPr="001C591A">
        <w:rPr>
          <w:b/>
          <w:bCs/>
        </w:rPr>
        <w:tab/>
      </w:r>
    </w:p>
    <w:bookmarkStart w:id="6" w:name="_MON_1741602995"/>
    <w:bookmarkEnd w:id="6"/>
    <w:p w14:paraId="0FB4AC8C" w14:textId="20CFF85C" w:rsidR="00B33DD6" w:rsidRDefault="004E07C6" w:rsidP="55C4ABAD">
      <w:pPr>
        <w:outlineLvl w:val="0"/>
      </w:pPr>
      <w:r>
        <w:rPr>
          <w:noProof/>
          <w:sz w:val="20"/>
          <w:szCs w:val="20"/>
        </w:rPr>
        <w:object w:dxaOrig="14606" w:dyaOrig="12313" w14:anchorId="5DA2E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2pt;height:452.4pt;mso-width-percent:0;mso-height-percent:0;mso-width-percent:0;mso-height-percent:0" o:ole="">
            <v:imagedata r:id="rId12" o:title=""/>
          </v:shape>
          <o:OLEObject Type="Embed" ProgID="Excel.Sheet.12" ShapeID="_x0000_i1025" DrawAspect="Content" ObjectID="_1745480870" r:id="rId13"/>
        </w:object>
      </w:r>
    </w:p>
    <w:bookmarkEnd w:id="1"/>
    <w:p w14:paraId="60053095" w14:textId="77777777" w:rsidR="00767A42" w:rsidRDefault="00767A42">
      <w:pPr>
        <w:rPr>
          <w:rFonts w:eastAsiaTheme="minorEastAsia"/>
          <w:b/>
        </w:rPr>
      </w:pPr>
      <w:r>
        <w:rPr>
          <w:b/>
        </w:rPr>
        <w:br w:type="page"/>
      </w:r>
    </w:p>
    <w:p w14:paraId="2156AFE4" w14:textId="000F24D8" w:rsidR="00491FCE" w:rsidRPr="00A9410D" w:rsidRDefault="00491FCE" w:rsidP="00115E07">
      <w:pPr>
        <w:pStyle w:val="Header"/>
        <w:rPr>
          <w:rFonts w:ascii="Times New Roman" w:hAnsi="Times New Roman" w:cs="Times New Roman"/>
          <w:b/>
          <w:sz w:val="20"/>
          <w:szCs w:val="20"/>
        </w:rPr>
      </w:pPr>
      <w:r w:rsidRPr="00A9410D">
        <w:rPr>
          <w:rFonts w:ascii="Times New Roman" w:hAnsi="Times New Roman" w:cs="Times New Roman"/>
          <w:b/>
        </w:rPr>
        <w:lastRenderedPageBreak/>
        <w:t>Ab</w:t>
      </w:r>
      <w:r w:rsidRPr="00A9410D">
        <w:rPr>
          <w:rFonts w:ascii="Times New Roman" w:hAnsi="Times New Roman" w:cs="Times New Roman"/>
          <w:b/>
          <w:bCs/>
        </w:rPr>
        <w:t>out GEE Group</w:t>
      </w:r>
    </w:p>
    <w:p w14:paraId="15A6895C" w14:textId="77777777" w:rsidR="00491FCE" w:rsidRPr="00A9410D" w:rsidRDefault="00491FCE" w:rsidP="00F01C3B">
      <w:pPr>
        <w:jc w:val="both"/>
        <w:rPr>
          <w:b/>
          <w:bCs/>
        </w:rPr>
      </w:pPr>
    </w:p>
    <w:p w14:paraId="30F0457F" w14:textId="77777777" w:rsidR="00491FCE" w:rsidRPr="00A9410D" w:rsidRDefault="00491FCE" w:rsidP="00F01C3B">
      <w:pPr>
        <w:jc w:val="both"/>
        <w:rPr>
          <w:bCs/>
        </w:rPr>
      </w:pPr>
      <w:r w:rsidRPr="00A9410D">
        <w:rPr>
          <w:bCs/>
        </w:rPr>
        <w:t>GEE Group Inc. is a provider of specialized staffing solutions and is the successor to employment offices doing business since 1893. The Company operates in two industry segments, providing professional staffing services and solutions in the information technology, engineering, finance and accounting specialties and commercial staffing services through the names of Access Data Consulting, Agile Resources, Ashley Ellis, General Employment, Omni-One, Paladin Consulting and Triad. Also, in the healthcare sector, GEE Group, through its Scribe Solutions brand, staffs medical scribes who assist physicians in emergency departments of hospitals and in medical practices by providing required documentation for patient care in connection with electronic medical records (EMR). Additionally, the Company provides contract and direct hire professional staffing services through the following SNI brands: Accounting Now®, SNI Technology®, Legal Now®, SNI Financial®, Staffing Now®, SNI Energy®, and SNI Certes.</w:t>
      </w:r>
    </w:p>
    <w:p w14:paraId="353B3ED3" w14:textId="045A6B94" w:rsidR="00491FCE" w:rsidRPr="00A9410D" w:rsidRDefault="00491FCE" w:rsidP="00F01C3B">
      <w:pPr>
        <w:jc w:val="both"/>
        <w:rPr>
          <w:b/>
          <w:bCs/>
        </w:rPr>
      </w:pPr>
    </w:p>
    <w:p w14:paraId="1482282C" w14:textId="77777777" w:rsidR="00AE1ED8" w:rsidRPr="00AE1ED8" w:rsidRDefault="00AE1ED8" w:rsidP="00AE1ED8">
      <w:pPr>
        <w:jc w:val="both"/>
        <w:rPr>
          <w:b/>
          <w:bCs/>
        </w:rPr>
      </w:pPr>
      <w:r w:rsidRPr="00AE1ED8">
        <w:rPr>
          <w:b/>
          <w:bCs/>
        </w:rPr>
        <w:t>Forward-looking Statements Safe Harbor</w:t>
      </w:r>
    </w:p>
    <w:p w14:paraId="58B41F43" w14:textId="77777777" w:rsidR="00AE1ED8" w:rsidRPr="00AE1ED8" w:rsidRDefault="00AE1ED8" w:rsidP="00AE1ED8">
      <w:pPr>
        <w:jc w:val="both"/>
        <w:rPr>
          <w:b/>
          <w:bCs/>
        </w:rPr>
      </w:pPr>
    </w:p>
    <w:p w14:paraId="11202B87" w14:textId="1AFF6826" w:rsidR="00AE1ED8" w:rsidRPr="00AE1ED8" w:rsidRDefault="00AE1ED8" w:rsidP="00AE1ED8">
      <w:pPr>
        <w:jc w:val="both"/>
        <w:rPr>
          <w:b/>
          <w:bCs/>
        </w:rPr>
      </w:pPr>
      <w:r w:rsidRPr="00AE1ED8">
        <w:rPr>
          <w:b/>
          <w:bCs/>
        </w:rPr>
        <w:t>In addition to historical information, this press release contains statements relating to possible future events and/or the Company's future results (including results of business operations, certain projections, future financial condition, pro forma financial information, and business trends and prospects) that are "forward-looking statements" within the meaning of Section 27A of the Securities Act of 1933, as amended, and Section 21E of the Securities Act of 1934, as amended, (the "Exchange Act"), and the Private Securities Litigation Reform Act of 1995 and are subject to the "safe harbor" created by those sections. The statements made in this press release that are not historical facts are forward-looking statements that are predictive in nature and depend upon or refer to future events. These forward-looking statements include without limitation information relating to our intended share repurchases, the amount and timing of share repurchases, the possibility that the share repurchase program may be discontinued or suspended, anticipated cash flow generation and expected shareholder benefits. Such forward-looking statements often contain, or are prefaced by, words such as "will", "may," "plans," "expects," "anticipates," "projects," "predicts," “pro forma”, "estimates," "aims," "believes," "hopes," "potential," "intends," "suggests," "appears," "seeks," or variations of such words or similar words and expressions. Forward-looking statements are not guarantees of future performance, are based on certain assumptions, and are subject to various known risks and uncertainties, many of which are beyond the Company's control, and cannot be predicted or quantified and, consequently, as a result of a number of factors, the Company's actual results could differ materially from those expressed or implied by such forward-looking statements. The international pandemic, the “Novel Coronavirus” (“COVID”-19), has been detrimental and may continue to negatively impact and disrupt the Company’s business operations. The health outbreak has caused a significant negative effect on the global economy, employment in general including the lack of demand fo</w:t>
      </w:r>
      <w:r w:rsidR="00F657FA">
        <w:rPr>
          <w:b/>
          <w:bCs/>
        </w:rPr>
        <w:t xml:space="preserve">r the Company’s services which was </w:t>
      </w:r>
      <w:r w:rsidRPr="00AE1ED8">
        <w:rPr>
          <w:b/>
          <w:bCs/>
        </w:rPr>
        <w:t>exacerbated by government and client directed “quarantines”, “remote working”, “shut-downs” and “social distancing”. There is no assurance that conditions will not</w:t>
      </w:r>
      <w:r w:rsidR="00F657FA">
        <w:rPr>
          <w:b/>
          <w:bCs/>
        </w:rPr>
        <w:t xml:space="preserve"> persist or </w:t>
      </w:r>
      <w:r w:rsidRPr="00AE1ED8">
        <w:rPr>
          <w:b/>
          <w:bCs/>
        </w:rPr>
        <w:t xml:space="preserve">worsen </w:t>
      </w:r>
      <w:r w:rsidRPr="00AE1ED8">
        <w:rPr>
          <w:b/>
          <w:bCs/>
        </w:rPr>
        <w:lastRenderedPageBreak/>
        <w:t>and further negatively impact GEE Group. Certain other factors that might cause the Company's actual results to differ materially from those in the forward-looking statements include, without limitation: (i) the loss, default or bankruptcy of one or more customers; (ii) changes in general, regional, national or international economic conditions; (iii) an act of war or terrorism, industrial accidents, or cyber security breach that disrupts business; (iv) changes in the law and regulations; (v) the effect of liabilities  and other claims asserted against the Company including the failure to repay indebtedness or comply with lender covenants including the lack of liquidity to support business operations and the inability to refinance debt, failure to obtain necessary financing or the inability to access the capital markets and/or obtain alternative sources of capital; (vi) changes in the size and nature of the Company's competition; (vii) the loss of one or more key executives; (viii) increased credit risk from customers; (ix) the Company's failure to grow internally or by acquisition or the failure to successfully integrate acquisitions; (x) the Company's failure to improve operating margins and realize cost efficiencies and economies of scale; (xi) the Company's failure to attract, hire and retain quality recruiters, account managers and salesmen; (xii) the Company's failure to recruit qualified candidates to place at customers for contract or full-time hire; (xiii) the adverse impact of geopolitical events, government mandates, natural disasters or health crises, force majeure occurrences, global pandemics such as the deadly “coronavirus” (COVID-19) or other harmful viral or non-viral rapidly spreading diseases and such other factors as set forth under the heading "Forward-Looking Statements" in the Company's annual reports on Form 10-K, its quarterly reports on Form 10-Q and in the Company's other filings with the Securities and Exchange Commission (SEC). More detailed information about the Company and the risk factors that may affect the realization of forward-looking statements is set forth in the Company's filings with the SEC. Investors and security holders are urged to read these documents free of charge on the SEC's web site at </w:t>
      </w:r>
      <w:hyperlink r:id="rId14" w:tgtFrame="_blank" w:history="1">
        <w:r w:rsidRPr="00AE1ED8">
          <w:rPr>
            <w:rStyle w:val="Hyperlink"/>
            <w:b/>
            <w:bCs/>
          </w:rPr>
          <w:t>http://www.sec.gov</w:t>
        </w:r>
      </w:hyperlink>
      <w:r w:rsidRPr="00AE1ED8">
        <w:rPr>
          <w:b/>
          <w:bCs/>
        </w:rPr>
        <w:t>. The Company is under no obligation to (and expressly disclaims any such obligation to) and does not intend to publicly update, revise, or alter its forward-looking statements whether as a result of new information, future events or otherwise.</w:t>
      </w:r>
    </w:p>
    <w:p w14:paraId="1A3299E2" w14:textId="77777777" w:rsidR="00AE1ED8" w:rsidRPr="00AE1ED8" w:rsidRDefault="00AE1ED8" w:rsidP="00AE1ED8">
      <w:pPr>
        <w:jc w:val="both"/>
        <w:rPr>
          <w:b/>
          <w:bCs/>
        </w:rPr>
      </w:pPr>
    </w:p>
    <w:p w14:paraId="224643A7" w14:textId="77777777" w:rsidR="00AE1ED8" w:rsidRPr="00AE1ED8" w:rsidRDefault="00AE1ED8" w:rsidP="00AE1ED8">
      <w:pPr>
        <w:jc w:val="both"/>
        <w:rPr>
          <w:b/>
          <w:bCs/>
        </w:rPr>
      </w:pPr>
    </w:p>
    <w:p w14:paraId="2E5E7C87" w14:textId="77777777" w:rsidR="00F657FA" w:rsidRPr="0068613B" w:rsidRDefault="00F657FA" w:rsidP="00434408">
      <w:pPr>
        <w:rPr>
          <w:b/>
          <w:bCs/>
        </w:rPr>
      </w:pPr>
      <w:r w:rsidRPr="0068613B">
        <w:rPr>
          <w:b/>
          <w:bCs/>
        </w:rPr>
        <w:t>Contact:</w:t>
      </w:r>
    </w:p>
    <w:p w14:paraId="79DC1ACF" w14:textId="77777777" w:rsidR="00F657FA" w:rsidRPr="0068613B" w:rsidRDefault="00F657FA" w:rsidP="00434408">
      <w:pPr>
        <w:rPr>
          <w:bCs/>
        </w:rPr>
      </w:pPr>
      <w:r w:rsidRPr="0068613B">
        <w:rPr>
          <w:bCs/>
        </w:rPr>
        <w:t>GEE Group Inc.</w:t>
      </w:r>
      <w:r w:rsidRPr="0068613B">
        <w:rPr>
          <w:bCs/>
        </w:rPr>
        <w:br/>
        <w:t>Kim Thorpe</w:t>
      </w:r>
      <w:r w:rsidRPr="0068613B">
        <w:rPr>
          <w:bCs/>
        </w:rPr>
        <w:br/>
        <w:t>630.954.0400</w:t>
      </w:r>
      <w:r w:rsidRPr="0068613B">
        <w:rPr>
          <w:bCs/>
        </w:rPr>
        <w:br/>
      </w:r>
      <w:hyperlink r:id="rId15" w:history="1">
        <w:r w:rsidRPr="0068613B">
          <w:rPr>
            <w:rStyle w:val="Hyperlink"/>
            <w:bCs/>
          </w:rPr>
          <w:t>invest@genp.com</w:t>
        </w:r>
      </w:hyperlink>
    </w:p>
    <w:p w14:paraId="0BFD7A41" w14:textId="77777777" w:rsidR="00F657FA" w:rsidRPr="0068613B" w:rsidRDefault="00F657FA" w:rsidP="00F657FA">
      <w:pPr>
        <w:ind w:left="144"/>
        <w:rPr>
          <w:b/>
          <w:bCs/>
        </w:rPr>
      </w:pPr>
    </w:p>
    <w:p w14:paraId="1647B741" w14:textId="77777777" w:rsidR="00F657FA" w:rsidRPr="0068613B" w:rsidRDefault="00F657FA" w:rsidP="00F657FA">
      <w:pPr>
        <w:ind w:left="144"/>
        <w:rPr>
          <w:bCs/>
        </w:rPr>
      </w:pPr>
    </w:p>
    <w:p w14:paraId="584DEF76" w14:textId="77777777" w:rsidR="00F657FA" w:rsidRPr="0068613B" w:rsidRDefault="00F657FA" w:rsidP="00434408">
      <w:pPr>
        <w:rPr>
          <w:bCs/>
        </w:rPr>
      </w:pPr>
      <w:r w:rsidRPr="0068613B">
        <w:rPr>
          <w:bCs/>
        </w:rPr>
        <w:t>SOURCE: GEE Group Inc.</w:t>
      </w:r>
    </w:p>
    <w:p w14:paraId="40E85A35" w14:textId="77777777" w:rsidR="00F657FA" w:rsidRPr="0068613B" w:rsidRDefault="00F657FA" w:rsidP="00F657FA">
      <w:pPr>
        <w:ind w:left="144"/>
        <w:rPr>
          <w:b/>
          <w:bCs/>
        </w:rPr>
      </w:pPr>
    </w:p>
    <w:p w14:paraId="2CD98304" w14:textId="77777777" w:rsidR="00F657FA" w:rsidRPr="0068613B" w:rsidRDefault="00F657FA" w:rsidP="00F657FA">
      <w:pPr>
        <w:ind w:left="144"/>
        <w:rPr>
          <w:b/>
          <w:bCs/>
        </w:rPr>
      </w:pPr>
    </w:p>
    <w:p w14:paraId="7C9E1B41" w14:textId="77777777" w:rsidR="00AE1ED8" w:rsidRPr="00AE1ED8" w:rsidRDefault="00AE1ED8" w:rsidP="00AE1ED8">
      <w:pPr>
        <w:jc w:val="both"/>
        <w:rPr>
          <w:b/>
          <w:bCs/>
        </w:rPr>
      </w:pPr>
    </w:p>
    <w:p w14:paraId="588898A7" w14:textId="77777777" w:rsidR="00AE1ED8" w:rsidRPr="00AE1ED8" w:rsidRDefault="00AE1ED8" w:rsidP="00AE1ED8">
      <w:pPr>
        <w:jc w:val="both"/>
        <w:rPr>
          <w:b/>
          <w:bCs/>
        </w:rPr>
      </w:pPr>
    </w:p>
    <w:p w14:paraId="0B552B3E" w14:textId="77777777" w:rsidR="00AE1ED8" w:rsidRPr="00AE1ED8" w:rsidRDefault="00AE1ED8" w:rsidP="00AE1ED8">
      <w:pPr>
        <w:jc w:val="both"/>
        <w:rPr>
          <w:b/>
          <w:bCs/>
        </w:rPr>
      </w:pPr>
    </w:p>
    <w:p w14:paraId="3CE6072F" w14:textId="77777777" w:rsidR="00491FCE" w:rsidRPr="00A9410D" w:rsidRDefault="00491FCE" w:rsidP="00F01C3B">
      <w:pPr>
        <w:jc w:val="both"/>
        <w:rPr>
          <w:bCs/>
        </w:rPr>
      </w:pPr>
    </w:p>
    <w:p w14:paraId="57390C4C" w14:textId="77777777" w:rsidR="00F01C3B" w:rsidRPr="00117071" w:rsidRDefault="00F01C3B">
      <w:pPr>
        <w:jc w:val="both"/>
      </w:pPr>
    </w:p>
    <w:sectPr w:rsidR="00F01C3B" w:rsidRPr="00117071" w:rsidSect="0051445F">
      <w:footerReference w:type="even" r:id="rId16"/>
      <w:footerReference w:type="default" r:id="rId17"/>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577E" w16cex:dateUtc="2023-05-08T15:11:00Z"/>
  <w16cex:commentExtensible w16cex:durableId="2803A225" w16cex:dateUtc="2023-05-08T20:30:00Z"/>
  <w16cex:commentExtensible w16cex:durableId="280362A4" w16cex:dateUtc="2023-05-08T15:59:00Z"/>
  <w16cex:commentExtensible w16cex:durableId="28039A9E" w16cex:dateUtc="2023-05-08T19:58:00Z"/>
  <w16cex:commentExtensible w16cex:durableId="28039A46" w16cex:dateUtc="2023-05-08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2795C" w16cid:durableId="2803577E"/>
  <w16cid:commentId w16cid:paraId="1D4F0234" w16cid:durableId="2803A225"/>
  <w16cid:commentId w16cid:paraId="5435A9FD" w16cid:durableId="280362A4"/>
  <w16cid:commentId w16cid:paraId="4060A2C9" w16cid:durableId="28039A9E"/>
  <w16cid:commentId w16cid:paraId="4FE98EB0" w16cid:durableId="28039A4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158C5" w14:textId="77777777" w:rsidR="00CF47CD" w:rsidRDefault="00CF47CD" w:rsidP="00B20487">
      <w:r>
        <w:separator/>
      </w:r>
    </w:p>
  </w:endnote>
  <w:endnote w:type="continuationSeparator" w:id="0">
    <w:p w14:paraId="63FBDBF2" w14:textId="77777777" w:rsidR="00CF47CD" w:rsidRDefault="00CF47CD" w:rsidP="00B20487">
      <w:r>
        <w:continuationSeparator/>
      </w:r>
    </w:p>
  </w:endnote>
  <w:endnote w:type="continuationNotice" w:id="1">
    <w:p w14:paraId="1E9A7B53" w14:textId="77777777" w:rsidR="00CF47CD" w:rsidRDefault="00CF4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D1E77" w14:textId="4FDC4CC7" w:rsidR="00B908A1" w:rsidRDefault="00B908A1" w:rsidP="00406A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0F0E">
      <w:rPr>
        <w:rStyle w:val="PageNumber"/>
        <w:noProof/>
      </w:rPr>
      <w:t>5</w:t>
    </w:r>
    <w:r>
      <w:rPr>
        <w:rStyle w:val="PageNumber"/>
      </w:rPr>
      <w:fldChar w:fldCharType="end"/>
    </w:r>
  </w:p>
  <w:p w14:paraId="0B5D56F1" w14:textId="77777777" w:rsidR="00B908A1" w:rsidRDefault="00B908A1" w:rsidP="00C565E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4753806"/>
      <w:docPartObj>
        <w:docPartGallery w:val="Page Numbers (Bottom of Page)"/>
        <w:docPartUnique/>
      </w:docPartObj>
    </w:sdtPr>
    <w:sdtEndPr>
      <w:rPr>
        <w:rStyle w:val="PageNumber"/>
        <w:rFonts w:ascii="Times New Roman" w:hAnsi="Times New Roman" w:cs="Times New Roman"/>
      </w:rPr>
    </w:sdtEndPr>
    <w:sdtContent>
      <w:p w14:paraId="054F3392" w14:textId="609FAC69" w:rsidR="00B908A1" w:rsidRPr="0084532E" w:rsidRDefault="00B908A1" w:rsidP="00406A8B">
        <w:pPr>
          <w:pStyle w:val="Footer"/>
          <w:framePr w:wrap="none" w:vAnchor="text" w:hAnchor="margin" w:xAlign="right" w:y="1"/>
          <w:rPr>
            <w:rStyle w:val="PageNumber"/>
            <w:rFonts w:ascii="Times New Roman" w:hAnsi="Times New Roman" w:cs="Times New Roman"/>
          </w:rPr>
        </w:pPr>
        <w:r w:rsidRPr="0084532E">
          <w:rPr>
            <w:rStyle w:val="PageNumber"/>
            <w:rFonts w:ascii="Times New Roman" w:hAnsi="Times New Roman" w:cs="Times New Roman"/>
          </w:rPr>
          <w:fldChar w:fldCharType="begin"/>
        </w:r>
        <w:r w:rsidRPr="0084532E">
          <w:rPr>
            <w:rStyle w:val="PageNumber"/>
            <w:rFonts w:ascii="Times New Roman" w:hAnsi="Times New Roman" w:cs="Times New Roman"/>
          </w:rPr>
          <w:instrText xml:space="preserve"> PAGE </w:instrText>
        </w:r>
        <w:r w:rsidRPr="0084532E">
          <w:rPr>
            <w:rStyle w:val="PageNumber"/>
            <w:rFonts w:ascii="Times New Roman" w:hAnsi="Times New Roman" w:cs="Times New Roman"/>
          </w:rPr>
          <w:fldChar w:fldCharType="separate"/>
        </w:r>
        <w:r w:rsidR="007A2B1B">
          <w:rPr>
            <w:rStyle w:val="PageNumber"/>
            <w:rFonts w:ascii="Times New Roman" w:hAnsi="Times New Roman" w:cs="Times New Roman"/>
            <w:noProof/>
          </w:rPr>
          <w:t>1</w:t>
        </w:r>
        <w:r w:rsidRPr="0084532E">
          <w:rPr>
            <w:rStyle w:val="PageNumber"/>
            <w:rFonts w:ascii="Times New Roman" w:hAnsi="Times New Roman" w:cs="Times New Roman"/>
          </w:rPr>
          <w:fldChar w:fldCharType="end"/>
        </w:r>
      </w:p>
    </w:sdtContent>
  </w:sdt>
  <w:p w14:paraId="3F5D9CA5" w14:textId="77777777" w:rsidR="00B908A1" w:rsidRDefault="00B908A1" w:rsidP="00C565E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8B976" w14:textId="77777777" w:rsidR="00CF47CD" w:rsidRDefault="00CF47CD" w:rsidP="00B20487">
      <w:r>
        <w:separator/>
      </w:r>
    </w:p>
  </w:footnote>
  <w:footnote w:type="continuationSeparator" w:id="0">
    <w:p w14:paraId="0C23D68D" w14:textId="77777777" w:rsidR="00CF47CD" w:rsidRDefault="00CF47CD" w:rsidP="00B20487">
      <w:r>
        <w:continuationSeparator/>
      </w:r>
    </w:p>
  </w:footnote>
  <w:footnote w:type="continuationNotice" w:id="1">
    <w:p w14:paraId="21B1BE38" w14:textId="77777777" w:rsidR="00CF47CD" w:rsidRDefault="00CF47C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B26DC"/>
    <w:multiLevelType w:val="hybridMultilevel"/>
    <w:tmpl w:val="8C26F188"/>
    <w:lvl w:ilvl="0" w:tplc="B8A2CAE0">
      <w:start w:val="6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AA50AB"/>
    <w:multiLevelType w:val="hybridMultilevel"/>
    <w:tmpl w:val="DFBE0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52724"/>
    <w:multiLevelType w:val="hybridMultilevel"/>
    <w:tmpl w:val="8F5A0502"/>
    <w:lvl w:ilvl="0" w:tplc="B56EF564">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965823"/>
    <w:multiLevelType w:val="hybridMultilevel"/>
    <w:tmpl w:val="650617BE"/>
    <w:lvl w:ilvl="0" w:tplc="37004B3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A13B47"/>
    <w:multiLevelType w:val="hybridMultilevel"/>
    <w:tmpl w:val="59D0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0A5E29"/>
    <w:multiLevelType w:val="hybridMultilevel"/>
    <w:tmpl w:val="FB64EB98"/>
    <w:lvl w:ilvl="0" w:tplc="EF40F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hideGrammatical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FA"/>
    <w:rsid w:val="00000D5F"/>
    <w:rsid w:val="0000284D"/>
    <w:rsid w:val="000037A0"/>
    <w:rsid w:val="000039E1"/>
    <w:rsid w:val="00004459"/>
    <w:rsid w:val="00004CF3"/>
    <w:rsid w:val="00007DFC"/>
    <w:rsid w:val="00010C45"/>
    <w:rsid w:val="00011FFE"/>
    <w:rsid w:val="000129E0"/>
    <w:rsid w:val="00012A76"/>
    <w:rsid w:val="00012BF9"/>
    <w:rsid w:val="000137F0"/>
    <w:rsid w:val="00016845"/>
    <w:rsid w:val="000172CF"/>
    <w:rsid w:val="000203B8"/>
    <w:rsid w:val="00020A04"/>
    <w:rsid w:val="00021185"/>
    <w:rsid w:val="00021296"/>
    <w:rsid w:val="00023D9D"/>
    <w:rsid w:val="00024F25"/>
    <w:rsid w:val="00025464"/>
    <w:rsid w:val="00025F40"/>
    <w:rsid w:val="00026BCE"/>
    <w:rsid w:val="00026CAA"/>
    <w:rsid w:val="00027184"/>
    <w:rsid w:val="0002731C"/>
    <w:rsid w:val="00027365"/>
    <w:rsid w:val="0003036D"/>
    <w:rsid w:val="000310BC"/>
    <w:rsid w:val="00031C8D"/>
    <w:rsid w:val="00031ECF"/>
    <w:rsid w:val="00032691"/>
    <w:rsid w:val="00032AFD"/>
    <w:rsid w:val="00032B0A"/>
    <w:rsid w:val="00034F6A"/>
    <w:rsid w:val="000355D1"/>
    <w:rsid w:val="00035AC6"/>
    <w:rsid w:val="00036044"/>
    <w:rsid w:val="00036128"/>
    <w:rsid w:val="00036C37"/>
    <w:rsid w:val="00037D07"/>
    <w:rsid w:val="00037E8B"/>
    <w:rsid w:val="00040044"/>
    <w:rsid w:val="00040208"/>
    <w:rsid w:val="00041576"/>
    <w:rsid w:val="00041FA8"/>
    <w:rsid w:val="0004422B"/>
    <w:rsid w:val="00044234"/>
    <w:rsid w:val="00044664"/>
    <w:rsid w:val="0004699E"/>
    <w:rsid w:val="00047195"/>
    <w:rsid w:val="00050355"/>
    <w:rsid w:val="000512DF"/>
    <w:rsid w:val="000519A1"/>
    <w:rsid w:val="00051DC6"/>
    <w:rsid w:val="00051E74"/>
    <w:rsid w:val="0005215E"/>
    <w:rsid w:val="0005275E"/>
    <w:rsid w:val="00053231"/>
    <w:rsid w:val="00053679"/>
    <w:rsid w:val="00054F01"/>
    <w:rsid w:val="00056268"/>
    <w:rsid w:val="00061BE6"/>
    <w:rsid w:val="00061D38"/>
    <w:rsid w:val="0006314B"/>
    <w:rsid w:val="00064D2E"/>
    <w:rsid w:val="00064D75"/>
    <w:rsid w:val="000673DC"/>
    <w:rsid w:val="00072FC9"/>
    <w:rsid w:val="000730F4"/>
    <w:rsid w:val="00073375"/>
    <w:rsid w:val="000765AE"/>
    <w:rsid w:val="000776B2"/>
    <w:rsid w:val="00080289"/>
    <w:rsid w:val="00080C01"/>
    <w:rsid w:val="00081F61"/>
    <w:rsid w:val="000820DB"/>
    <w:rsid w:val="00082C0C"/>
    <w:rsid w:val="00083DE2"/>
    <w:rsid w:val="00084186"/>
    <w:rsid w:val="0008685C"/>
    <w:rsid w:val="00087368"/>
    <w:rsid w:val="00090910"/>
    <w:rsid w:val="00091F60"/>
    <w:rsid w:val="000922FE"/>
    <w:rsid w:val="0009233B"/>
    <w:rsid w:val="000962CA"/>
    <w:rsid w:val="000962ED"/>
    <w:rsid w:val="000974B7"/>
    <w:rsid w:val="00097846"/>
    <w:rsid w:val="00097E8F"/>
    <w:rsid w:val="000A01F3"/>
    <w:rsid w:val="000A3132"/>
    <w:rsid w:val="000A53B0"/>
    <w:rsid w:val="000A5ECB"/>
    <w:rsid w:val="000A5F82"/>
    <w:rsid w:val="000A62F6"/>
    <w:rsid w:val="000A6371"/>
    <w:rsid w:val="000A6C2D"/>
    <w:rsid w:val="000A6FFF"/>
    <w:rsid w:val="000A715A"/>
    <w:rsid w:val="000B5902"/>
    <w:rsid w:val="000B5957"/>
    <w:rsid w:val="000B6121"/>
    <w:rsid w:val="000C00D9"/>
    <w:rsid w:val="000C2114"/>
    <w:rsid w:val="000C2828"/>
    <w:rsid w:val="000C37B5"/>
    <w:rsid w:val="000C3EA6"/>
    <w:rsid w:val="000C3EB0"/>
    <w:rsid w:val="000C5751"/>
    <w:rsid w:val="000C60F6"/>
    <w:rsid w:val="000C706A"/>
    <w:rsid w:val="000D0EB3"/>
    <w:rsid w:val="000D0EF9"/>
    <w:rsid w:val="000D1078"/>
    <w:rsid w:val="000D129C"/>
    <w:rsid w:val="000D1C73"/>
    <w:rsid w:val="000D1D2F"/>
    <w:rsid w:val="000D1DEB"/>
    <w:rsid w:val="000D1E24"/>
    <w:rsid w:val="000D22A1"/>
    <w:rsid w:val="000D2C1E"/>
    <w:rsid w:val="000D4BF5"/>
    <w:rsid w:val="000D6534"/>
    <w:rsid w:val="000D6919"/>
    <w:rsid w:val="000D7EC1"/>
    <w:rsid w:val="000E0E33"/>
    <w:rsid w:val="000E1124"/>
    <w:rsid w:val="000E3C42"/>
    <w:rsid w:val="000E4F06"/>
    <w:rsid w:val="000E5570"/>
    <w:rsid w:val="000E6908"/>
    <w:rsid w:val="000F12DF"/>
    <w:rsid w:val="000F1C5C"/>
    <w:rsid w:val="000F1EEE"/>
    <w:rsid w:val="000F3248"/>
    <w:rsid w:val="000F5BF3"/>
    <w:rsid w:val="000F5CF6"/>
    <w:rsid w:val="000F6AC3"/>
    <w:rsid w:val="000F6F74"/>
    <w:rsid w:val="000FA81D"/>
    <w:rsid w:val="001007BF"/>
    <w:rsid w:val="00100848"/>
    <w:rsid w:val="00100D4E"/>
    <w:rsid w:val="001011B9"/>
    <w:rsid w:val="001014DF"/>
    <w:rsid w:val="00103729"/>
    <w:rsid w:val="00104727"/>
    <w:rsid w:val="001079BE"/>
    <w:rsid w:val="001123A4"/>
    <w:rsid w:val="00115E07"/>
    <w:rsid w:val="00116209"/>
    <w:rsid w:val="00117071"/>
    <w:rsid w:val="00117228"/>
    <w:rsid w:val="00117810"/>
    <w:rsid w:val="00120476"/>
    <w:rsid w:val="001216B6"/>
    <w:rsid w:val="00121F47"/>
    <w:rsid w:val="00121FE9"/>
    <w:rsid w:val="00122415"/>
    <w:rsid w:val="001234CA"/>
    <w:rsid w:val="00124701"/>
    <w:rsid w:val="00125D0A"/>
    <w:rsid w:val="00127E32"/>
    <w:rsid w:val="001307D4"/>
    <w:rsid w:val="0013097D"/>
    <w:rsid w:val="00131128"/>
    <w:rsid w:val="00131F64"/>
    <w:rsid w:val="001322A2"/>
    <w:rsid w:val="00133946"/>
    <w:rsid w:val="0013492D"/>
    <w:rsid w:val="00135D94"/>
    <w:rsid w:val="001360BA"/>
    <w:rsid w:val="0013611E"/>
    <w:rsid w:val="00140DB6"/>
    <w:rsid w:val="001420AE"/>
    <w:rsid w:val="001421DD"/>
    <w:rsid w:val="0014263F"/>
    <w:rsid w:val="00143010"/>
    <w:rsid w:val="00143D7E"/>
    <w:rsid w:val="0014427F"/>
    <w:rsid w:val="001444E6"/>
    <w:rsid w:val="00145463"/>
    <w:rsid w:val="00146116"/>
    <w:rsid w:val="00146495"/>
    <w:rsid w:val="00147403"/>
    <w:rsid w:val="001476E3"/>
    <w:rsid w:val="00151626"/>
    <w:rsid w:val="00152712"/>
    <w:rsid w:val="00152A94"/>
    <w:rsid w:val="0015321D"/>
    <w:rsid w:val="001548CA"/>
    <w:rsid w:val="00154BB3"/>
    <w:rsid w:val="00155202"/>
    <w:rsid w:val="00156201"/>
    <w:rsid w:val="00156C57"/>
    <w:rsid w:val="00161CB9"/>
    <w:rsid w:val="001645AC"/>
    <w:rsid w:val="00165297"/>
    <w:rsid w:val="00165E95"/>
    <w:rsid w:val="00166721"/>
    <w:rsid w:val="00166C27"/>
    <w:rsid w:val="00167814"/>
    <w:rsid w:val="001709CB"/>
    <w:rsid w:val="00171BC9"/>
    <w:rsid w:val="001740C9"/>
    <w:rsid w:val="00174173"/>
    <w:rsid w:val="00174D14"/>
    <w:rsid w:val="00175736"/>
    <w:rsid w:val="0017715D"/>
    <w:rsid w:val="001819EE"/>
    <w:rsid w:val="001821A8"/>
    <w:rsid w:val="00182C79"/>
    <w:rsid w:val="00182EE6"/>
    <w:rsid w:val="00182FD8"/>
    <w:rsid w:val="00183507"/>
    <w:rsid w:val="00183C2F"/>
    <w:rsid w:val="00183D81"/>
    <w:rsid w:val="0018644E"/>
    <w:rsid w:val="001866AE"/>
    <w:rsid w:val="00191834"/>
    <w:rsid w:val="00191A27"/>
    <w:rsid w:val="00193FDE"/>
    <w:rsid w:val="00194F65"/>
    <w:rsid w:val="00196511"/>
    <w:rsid w:val="00196B34"/>
    <w:rsid w:val="00196F29"/>
    <w:rsid w:val="001A04C6"/>
    <w:rsid w:val="001A0CE6"/>
    <w:rsid w:val="001A11E4"/>
    <w:rsid w:val="001A1CD7"/>
    <w:rsid w:val="001A1DBC"/>
    <w:rsid w:val="001A2159"/>
    <w:rsid w:val="001A2B1F"/>
    <w:rsid w:val="001A3CA5"/>
    <w:rsid w:val="001A48E4"/>
    <w:rsid w:val="001A5898"/>
    <w:rsid w:val="001A5AA1"/>
    <w:rsid w:val="001A67DF"/>
    <w:rsid w:val="001A7081"/>
    <w:rsid w:val="001B19B4"/>
    <w:rsid w:val="001B2AEA"/>
    <w:rsid w:val="001B2D97"/>
    <w:rsid w:val="001B3683"/>
    <w:rsid w:val="001B3F3A"/>
    <w:rsid w:val="001B4290"/>
    <w:rsid w:val="001B5944"/>
    <w:rsid w:val="001B5E2B"/>
    <w:rsid w:val="001B67DC"/>
    <w:rsid w:val="001B7C9A"/>
    <w:rsid w:val="001C204C"/>
    <w:rsid w:val="001C308A"/>
    <w:rsid w:val="001C403A"/>
    <w:rsid w:val="001C591A"/>
    <w:rsid w:val="001C5A0A"/>
    <w:rsid w:val="001C63F1"/>
    <w:rsid w:val="001D00F0"/>
    <w:rsid w:val="001D5394"/>
    <w:rsid w:val="001D5E31"/>
    <w:rsid w:val="001D66B3"/>
    <w:rsid w:val="001D709B"/>
    <w:rsid w:val="001D7D71"/>
    <w:rsid w:val="001E11E7"/>
    <w:rsid w:val="001E31BA"/>
    <w:rsid w:val="001E3731"/>
    <w:rsid w:val="001E48D9"/>
    <w:rsid w:val="001E49CE"/>
    <w:rsid w:val="001E5926"/>
    <w:rsid w:val="001E66C8"/>
    <w:rsid w:val="001E6D80"/>
    <w:rsid w:val="001E76C9"/>
    <w:rsid w:val="001F06D6"/>
    <w:rsid w:val="001F15C3"/>
    <w:rsid w:val="001F1D6F"/>
    <w:rsid w:val="001F33D8"/>
    <w:rsid w:val="001F6719"/>
    <w:rsid w:val="0020099E"/>
    <w:rsid w:val="00201B6C"/>
    <w:rsid w:val="002021D7"/>
    <w:rsid w:val="00202DB9"/>
    <w:rsid w:val="002031EA"/>
    <w:rsid w:val="0020647B"/>
    <w:rsid w:val="00206C4A"/>
    <w:rsid w:val="002101F1"/>
    <w:rsid w:val="00210391"/>
    <w:rsid w:val="00214001"/>
    <w:rsid w:val="0021400D"/>
    <w:rsid w:val="002141C1"/>
    <w:rsid w:val="00214E0A"/>
    <w:rsid w:val="00214F0A"/>
    <w:rsid w:val="00216B9C"/>
    <w:rsid w:val="00217F6E"/>
    <w:rsid w:val="00222A1F"/>
    <w:rsid w:val="002250C4"/>
    <w:rsid w:val="0022723D"/>
    <w:rsid w:val="00231DDB"/>
    <w:rsid w:val="0023284F"/>
    <w:rsid w:val="00233DC9"/>
    <w:rsid w:val="00234947"/>
    <w:rsid w:val="002360AD"/>
    <w:rsid w:val="002365CD"/>
    <w:rsid w:val="00237908"/>
    <w:rsid w:val="00241334"/>
    <w:rsid w:val="00242ED9"/>
    <w:rsid w:val="002432D9"/>
    <w:rsid w:val="00244067"/>
    <w:rsid w:val="0024553D"/>
    <w:rsid w:val="002457B0"/>
    <w:rsid w:val="00245DEB"/>
    <w:rsid w:val="00246FEB"/>
    <w:rsid w:val="00247B70"/>
    <w:rsid w:val="00250964"/>
    <w:rsid w:val="00254D93"/>
    <w:rsid w:val="00254F7C"/>
    <w:rsid w:val="0025607C"/>
    <w:rsid w:val="00261B08"/>
    <w:rsid w:val="002636AC"/>
    <w:rsid w:val="00264433"/>
    <w:rsid w:val="0026459A"/>
    <w:rsid w:val="00265857"/>
    <w:rsid w:val="00267416"/>
    <w:rsid w:val="002744D0"/>
    <w:rsid w:val="002748C1"/>
    <w:rsid w:val="00274C3D"/>
    <w:rsid w:val="0027533C"/>
    <w:rsid w:val="00275B65"/>
    <w:rsid w:val="00275C33"/>
    <w:rsid w:val="002766CA"/>
    <w:rsid w:val="002822D0"/>
    <w:rsid w:val="0028231A"/>
    <w:rsid w:val="00282553"/>
    <w:rsid w:val="00285568"/>
    <w:rsid w:val="002861D1"/>
    <w:rsid w:val="00286A55"/>
    <w:rsid w:val="002913E7"/>
    <w:rsid w:val="00291CEC"/>
    <w:rsid w:val="002939C1"/>
    <w:rsid w:val="00294A45"/>
    <w:rsid w:val="002958E0"/>
    <w:rsid w:val="00297D56"/>
    <w:rsid w:val="002A075B"/>
    <w:rsid w:val="002A3198"/>
    <w:rsid w:val="002A3A76"/>
    <w:rsid w:val="002A3D0A"/>
    <w:rsid w:val="002A51F8"/>
    <w:rsid w:val="002A580A"/>
    <w:rsid w:val="002A67A9"/>
    <w:rsid w:val="002A72C8"/>
    <w:rsid w:val="002A7C7B"/>
    <w:rsid w:val="002B0329"/>
    <w:rsid w:val="002B17C4"/>
    <w:rsid w:val="002B3459"/>
    <w:rsid w:val="002B582A"/>
    <w:rsid w:val="002B5D60"/>
    <w:rsid w:val="002B5E73"/>
    <w:rsid w:val="002B6E89"/>
    <w:rsid w:val="002C0506"/>
    <w:rsid w:val="002C095D"/>
    <w:rsid w:val="002C3439"/>
    <w:rsid w:val="002C60EE"/>
    <w:rsid w:val="002C6554"/>
    <w:rsid w:val="002C7BB5"/>
    <w:rsid w:val="002D053D"/>
    <w:rsid w:val="002D2553"/>
    <w:rsid w:val="002D2562"/>
    <w:rsid w:val="002D3EBC"/>
    <w:rsid w:val="002D484A"/>
    <w:rsid w:val="002D4A3D"/>
    <w:rsid w:val="002D76E0"/>
    <w:rsid w:val="002E060C"/>
    <w:rsid w:val="002E15A0"/>
    <w:rsid w:val="002E1C9A"/>
    <w:rsid w:val="002E4E0F"/>
    <w:rsid w:val="002E6774"/>
    <w:rsid w:val="002E6FCD"/>
    <w:rsid w:val="002F10DE"/>
    <w:rsid w:val="002F143E"/>
    <w:rsid w:val="002F1EB9"/>
    <w:rsid w:val="002F2917"/>
    <w:rsid w:val="002F2EF8"/>
    <w:rsid w:val="002F3ABA"/>
    <w:rsid w:val="002F402E"/>
    <w:rsid w:val="002F42B9"/>
    <w:rsid w:val="002F442B"/>
    <w:rsid w:val="002F63EA"/>
    <w:rsid w:val="002F6EED"/>
    <w:rsid w:val="003006A9"/>
    <w:rsid w:val="003006FF"/>
    <w:rsid w:val="00300B42"/>
    <w:rsid w:val="00301B8D"/>
    <w:rsid w:val="0030244C"/>
    <w:rsid w:val="00302906"/>
    <w:rsid w:val="003035FD"/>
    <w:rsid w:val="00303745"/>
    <w:rsid w:val="0030498D"/>
    <w:rsid w:val="00305040"/>
    <w:rsid w:val="00305248"/>
    <w:rsid w:val="00306411"/>
    <w:rsid w:val="00312888"/>
    <w:rsid w:val="00313C31"/>
    <w:rsid w:val="00313EA6"/>
    <w:rsid w:val="00315B02"/>
    <w:rsid w:val="003160E2"/>
    <w:rsid w:val="00317180"/>
    <w:rsid w:val="003171CD"/>
    <w:rsid w:val="00317FCC"/>
    <w:rsid w:val="0032080B"/>
    <w:rsid w:val="00320C02"/>
    <w:rsid w:val="00320D97"/>
    <w:rsid w:val="00321CBC"/>
    <w:rsid w:val="00321FE9"/>
    <w:rsid w:val="003239B6"/>
    <w:rsid w:val="0032439A"/>
    <w:rsid w:val="00324C11"/>
    <w:rsid w:val="00325D90"/>
    <w:rsid w:val="00330960"/>
    <w:rsid w:val="00331DC4"/>
    <w:rsid w:val="00332364"/>
    <w:rsid w:val="00332372"/>
    <w:rsid w:val="00334AEC"/>
    <w:rsid w:val="00334BC7"/>
    <w:rsid w:val="003358B8"/>
    <w:rsid w:val="003358F9"/>
    <w:rsid w:val="00335A33"/>
    <w:rsid w:val="00335DB4"/>
    <w:rsid w:val="003373F6"/>
    <w:rsid w:val="00337BE3"/>
    <w:rsid w:val="0033A97D"/>
    <w:rsid w:val="00340718"/>
    <w:rsid w:val="00340DD7"/>
    <w:rsid w:val="00341091"/>
    <w:rsid w:val="0034167C"/>
    <w:rsid w:val="00343E57"/>
    <w:rsid w:val="0034477A"/>
    <w:rsid w:val="003454AA"/>
    <w:rsid w:val="00345D08"/>
    <w:rsid w:val="003467FC"/>
    <w:rsid w:val="00346F02"/>
    <w:rsid w:val="00352E4E"/>
    <w:rsid w:val="00352F92"/>
    <w:rsid w:val="00354562"/>
    <w:rsid w:val="003549BE"/>
    <w:rsid w:val="0035502E"/>
    <w:rsid w:val="0035536F"/>
    <w:rsid w:val="00355AFF"/>
    <w:rsid w:val="00356E6A"/>
    <w:rsid w:val="003622A1"/>
    <w:rsid w:val="00362ECE"/>
    <w:rsid w:val="0036354A"/>
    <w:rsid w:val="003665EA"/>
    <w:rsid w:val="003673BC"/>
    <w:rsid w:val="0037082B"/>
    <w:rsid w:val="00370E24"/>
    <w:rsid w:val="003721AF"/>
    <w:rsid w:val="003723F8"/>
    <w:rsid w:val="00372438"/>
    <w:rsid w:val="00372647"/>
    <w:rsid w:val="00372AF3"/>
    <w:rsid w:val="003735E6"/>
    <w:rsid w:val="003736B1"/>
    <w:rsid w:val="003739FB"/>
    <w:rsid w:val="00375860"/>
    <w:rsid w:val="00376776"/>
    <w:rsid w:val="003813D5"/>
    <w:rsid w:val="003827CC"/>
    <w:rsid w:val="00382AB4"/>
    <w:rsid w:val="00383413"/>
    <w:rsid w:val="00383D3B"/>
    <w:rsid w:val="00384596"/>
    <w:rsid w:val="00385952"/>
    <w:rsid w:val="00386A0A"/>
    <w:rsid w:val="00386AC1"/>
    <w:rsid w:val="00386B63"/>
    <w:rsid w:val="00386E9F"/>
    <w:rsid w:val="003904E7"/>
    <w:rsid w:val="00390CFD"/>
    <w:rsid w:val="00390EE9"/>
    <w:rsid w:val="00392847"/>
    <w:rsid w:val="003936FB"/>
    <w:rsid w:val="00394BFD"/>
    <w:rsid w:val="00397DC2"/>
    <w:rsid w:val="003A0E72"/>
    <w:rsid w:val="003A144A"/>
    <w:rsid w:val="003A1BAF"/>
    <w:rsid w:val="003A1CF3"/>
    <w:rsid w:val="003A38D0"/>
    <w:rsid w:val="003A3A00"/>
    <w:rsid w:val="003A4C48"/>
    <w:rsid w:val="003A7D73"/>
    <w:rsid w:val="003B0371"/>
    <w:rsid w:val="003B2472"/>
    <w:rsid w:val="003B2EFD"/>
    <w:rsid w:val="003B3431"/>
    <w:rsid w:val="003B387B"/>
    <w:rsid w:val="003B4505"/>
    <w:rsid w:val="003B4699"/>
    <w:rsid w:val="003B524B"/>
    <w:rsid w:val="003B5B16"/>
    <w:rsid w:val="003B5DE3"/>
    <w:rsid w:val="003C1D1C"/>
    <w:rsid w:val="003C21E9"/>
    <w:rsid w:val="003C5358"/>
    <w:rsid w:val="003C653B"/>
    <w:rsid w:val="003C6A95"/>
    <w:rsid w:val="003C6EE8"/>
    <w:rsid w:val="003C7605"/>
    <w:rsid w:val="003D00A5"/>
    <w:rsid w:val="003D1D36"/>
    <w:rsid w:val="003D24A4"/>
    <w:rsid w:val="003D324B"/>
    <w:rsid w:val="003D5A02"/>
    <w:rsid w:val="003D7340"/>
    <w:rsid w:val="003D776E"/>
    <w:rsid w:val="003E05B7"/>
    <w:rsid w:val="003E090F"/>
    <w:rsid w:val="003E286B"/>
    <w:rsid w:val="003E300E"/>
    <w:rsid w:val="003E34FC"/>
    <w:rsid w:val="003E39F7"/>
    <w:rsid w:val="003E4F4A"/>
    <w:rsid w:val="003E7AC3"/>
    <w:rsid w:val="003F053B"/>
    <w:rsid w:val="003F1AD6"/>
    <w:rsid w:val="003F350A"/>
    <w:rsid w:val="003F5111"/>
    <w:rsid w:val="003F57DD"/>
    <w:rsid w:val="003F71A2"/>
    <w:rsid w:val="003F7A55"/>
    <w:rsid w:val="003F7D72"/>
    <w:rsid w:val="004006B7"/>
    <w:rsid w:val="00402566"/>
    <w:rsid w:val="00404047"/>
    <w:rsid w:val="004041B2"/>
    <w:rsid w:val="004047CA"/>
    <w:rsid w:val="004052A4"/>
    <w:rsid w:val="00406001"/>
    <w:rsid w:val="00406338"/>
    <w:rsid w:val="0040663E"/>
    <w:rsid w:val="00406A8B"/>
    <w:rsid w:val="00406EB8"/>
    <w:rsid w:val="004074F0"/>
    <w:rsid w:val="00407D62"/>
    <w:rsid w:val="00412ED5"/>
    <w:rsid w:val="004143B2"/>
    <w:rsid w:val="00414537"/>
    <w:rsid w:val="00414779"/>
    <w:rsid w:val="00414A65"/>
    <w:rsid w:val="004158AB"/>
    <w:rsid w:val="00422F5F"/>
    <w:rsid w:val="00423C92"/>
    <w:rsid w:val="00423E19"/>
    <w:rsid w:val="004246AB"/>
    <w:rsid w:val="00424C48"/>
    <w:rsid w:val="004252C9"/>
    <w:rsid w:val="00425449"/>
    <w:rsid w:val="00425573"/>
    <w:rsid w:val="00430888"/>
    <w:rsid w:val="00433101"/>
    <w:rsid w:val="004335DE"/>
    <w:rsid w:val="00433EFA"/>
    <w:rsid w:val="00434408"/>
    <w:rsid w:val="0043741B"/>
    <w:rsid w:val="00440485"/>
    <w:rsid w:val="00441AB0"/>
    <w:rsid w:val="00443CF2"/>
    <w:rsid w:val="004441FF"/>
    <w:rsid w:val="00444F08"/>
    <w:rsid w:val="004457BB"/>
    <w:rsid w:val="004462AA"/>
    <w:rsid w:val="0045206A"/>
    <w:rsid w:val="00452645"/>
    <w:rsid w:val="004531F3"/>
    <w:rsid w:val="004537A2"/>
    <w:rsid w:val="004542F7"/>
    <w:rsid w:val="0045487B"/>
    <w:rsid w:val="00456889"/>
    <w:rsid w:val="00457088"/>
    <w:rsid w:val="0045764A"/>
    <w:rsid w:val="00457BAE"/>
    <w:rsid w:val="00460C3A"/>
    <w:rsid w:val="0046157E"/>
    <w:rsid w:val="00461642"/>
    <w:rsid w:val="00461E80"/>
    <w:rsid w:val="00462B8E"/>
    <w:rsid w:val="00464F6B"/>
    <w:rsid w:val="00465482"/>
    <w:rsid w:val="004665F2"/>
    <w:rsid w:val="0047091F"/>
    <w:rsid w:val="00471DF8"/>
    <w:rsid w:val="004727B6"/>
    <w:rsid w:val="00472AE3"/>
    <w:rsid w:val="00472EF8"/>
    <w:rsid w:val="0047469B"/>
    <w:rsid w:val="00480383"/>
    <w:rsid w:val="00480844"/>
    <w:rsid w:val="00480D7C"/>
    <w:rsid w:val="004812F6"/>
    <w:rsid w:val="00482319"/>
    <w:rsid w:val="00484624"/>
    <w:rsid w:val="00484CAF"/>
    <w:rsid w:val="00485570"/>
    <w:rsid w:val="00486C4C"/>
    <w:rsid w:val="00487085"/>
    <w:rsid w:val="0048760C"/>
    <w:rsid w:val="00487E17"/>
    <w:rsid w:val="0049058F"/>
    <w:rsid w:val="00490641"/>
    <w:rsid w:val="004918A6"/>
    <w:rsid w:val="00491B84"/>
    <w:rsid w:val="00491FCE"/>
    <w:rsid w:val="00492394"/>
    <w:rsid w:val="00492C43"/>
    <w:rsid w:val="00492E51"/>
    <w:rsid w:val="00492F27"/>
    <w:rsid w:val="00495B80"/>
    <w:rsid w:val="004966A3"/>
    <w:rsid w:val="00496F96"/>
    <w:rsid w:val="00497B8A"/>
    <w:rsid w:val="004A00AE"/>
    <w:rsid w:val="004A0103"/>
    <w:rsid w:val="004A3EE1"/>
    <w:rsid w:val="004A73EE"/>
    <w:rsid w:val="004B0345"/>
    <w:rsid w:val="004B15D6"/>
    <w:rsid w:val="004B3905"/>
    <w:rsid w:val="004B6DAB"/>
    <w:rsid w:val="004C008F"/>
    <w:rsid w:val="004C0735"/>
    <w:rsid w:val="004C0EC1"/>
    <w:rsid w:val="004C12B1"/>
    <w:rsid w:val="004C16F1"/>
    <w:rsid w:val="004C1B2B"/>
    <w:rsid w:val="004C3027"/>
    <w:rsid w:val="004C3F5C"/>
    <w:rsid w:val="004C527A"/>
    <w:rsid w:val="004C7159"/>
    <w:rsid w:val="004D0E34"/>
    <w:rsid w:val="004D102A"/>
    <w:rsid w:val="004D142F"/>
    <w:rsid w:val="004D22D7"/>
    <w:rsid w:val="004D27F3"/>
    <w:rsid w:val="004D3121"/>
    <w:rsid w:val="004D3AD6"/>
    <w:rsid w:val="004D6281"/>
    <w:rsid w:val="004D7805"/>
    <w:rsid w:val="004E05F7"/>
    <w:rsid w:val="004E07C6"/>
    <w:rsid w:val="004E1A9C"/>
    <w:rsid w:val="004E231C"/>
    <w:rsid w:val="004E3526"/>
    <w:rsid w:val="004E388C"/>
    <w:rsid w:val="004E4DD2"/>
    <w:rsid w:val="004E5A29"/>
    <w:rsid w:val="004E626F"/>
    <w:rsid w:val="004E7393"/>
    <w:rsid w:val="004E7AB4"/>
    <w:rsid w:val="004F0DBD"/>
    <w:rsid w:val="004F4267"/>
    <w:rsid w:val="004F4C44"/>
    <w:rsid w:val="004F5F23"/>
    <w:rsid w:val="004F5FB8"/>
    <w:rsid w:val="004F6041"/>
    <w:rsid w:val="004F7F6D"/>
    <w:rsid w:val="00500F35"/>
    <w:rsid w:val="00501D3B"/>
    <w:rsid w:val="00502668"/>
    <w:rsid w:val="005034CD"/>
    <w:rsid w:val="00503640"/>
    <w:rsid w:val="00503D47"/>
    <w:rsid w:val="00506713"/>
    <w:rsid w:val="00506C43"/>
    <w:rsid w:val="00506EBE"/>
    <w:rsid w:val="00510186"/>
    <w:rsid w:val="00510203"/>
    <w:rsid w:val="0051084B"/>
    <w:rsid w:val="00510E62"/>
    <w:rsid w:val="00512404"/>
    <w:rsid w:val="005133ED"/>
    <w:rsid w:val="00513E9E"/>
    <w:rsid w:val="0051445F"/>
    <w:rsid w:val="00514B8A"/>
    <w:rsid w:val="005160FB"/>
    <w:rsid w:val="005176D3"/>
    <w:rsid w:val="00517786"/>
    <w:rsid w:val="00523A69"/>
    <w:rsid w:val="00525031"/>
    <w:rsid w:val="00525F21"/>
    <w:rsid w:val="00526678"/>
    <w:rsid w:val="00527AA7"/>
    <w:rsid w:val="00527D3B"/>
    <w:rsid w:val="00530909"/>
    <w:rsid w:val="00530E8A"/>
    <w:rsid w:val="00531222"/>
    <w:rsid w:val="00531742"/>
    <w:rsid w:val="00531C73"/>
    <w:rsid w:val="00531E5C"/>
    <w:rsid w:val="00533B70"/>
    <w:rsid w:val="00534C3C"/>
    <w:rsid w:val="0053527D"/>
    <w:rsid w:val="00535494"/>
    <w:rsid w:val="0053596C"/>
    <w:rsid w:val="00537135"/>
    <w:rsid w:val="005406E5"/>
    <w:rsid w:val="00540BE0"/>
    <w:rsid w:val="0054142C"/>
    <w:rsid w:val="00544DCD"/>
    <w:rsid w:val="00547284"/>
    <w:rsid w:val="00550D67"/>
    <w:rsid w:val="005518C2"/>
    <w:rsid w:val="005527EE"/>
    <w:rsid w:val="00552D1B"/>
    <w:rsid w:val="005536BE"/>
    <w:rsid w:val="00554DD2"/>
    <w:rsid w:val="00556A6D"/>
    <w:rsid w:val="0056202E"/>
    <w:rsid w:val="005627EA"/>
    <w:rsid w:val="00562D82"/>
    <w:rsid w:val="00563853"/>
    <w:rsid w:val="00563C94"/>
    <w:rsid w:val="00563CAD"/>
    <w:rsid w:val="0056534C"/>
    <w:rsid w:val="005656AA"/>
    <w:rsid w:val="0056618E"/>
    <w:rsid w:val="00566288"/>
    <w:rsid w:val="0056634E"/>
    <w:rsid w:val="00570251"/>
    <w:rsid w:val="005707E0"/>
    <w:rsid w:val="00572A4F"/>
    <w:rsid w:val="00572A5F"/>
    <w:rsid w:val="00572EBE"/>
    <w:rsid w:val="00573117"/>
    <w:rsid w:val="005734F3"/>
    <w:rsid w:val="0058012B"/>
    <w:rsid w:val="00580DA5"/>
    <w:rsid w:val="005812B2"/>
    <w:rsid w:val="005830AB"/>
    <w:rsid w:val="005837A7"/>
    <w:rsid w:val="00583956"/>
    <w:rsid w:val="0058432B"/>
    <w:rsid w:val="0058681E"/>
    <w:rsid w:val="00591774"/>
    <w:rsid w:val="00594D67"/>
    <w:rsid w:val="00595A5E"/>
    <w:rsid w:val="00596464"/>
    <w:rsid w:val="00597D0E"/>
    <w:rsid w:val="005A1633"/>
    <w:rsid w:val="005A2947"/>
    <w:rsid w:val="005A34E1"/>
    <w:rsid w:val="005A7D8D"/>
    <w:rsid w:val="005A7FB7"/>
    <w:rsid w:val="005B0B04"/>
    <w:rsid w:val="005B147B"/>
    <w:rsid w:val="005B28C7"/>
    <w:rsid w:val="005B319C"/>
    <w:rsid w:val="005B42C9"/>
    <w:rsid w:val="005B490D"/>
    <w:rsid w:val="005B5E9A"/>
    <w:rsid w:val="005B6973"/>
    <w:rsid w:val="005B74CC"/>
    <w:rsid w:val="005B7F20"/>
    <w:rsid w:val="005C0BC1"/>
    <w:rsid w:val="005C2C16"/>
    <w:rsid w:val="005C3093"/>
    <w:rsid w:val="005C4265"/>
    <w:rsid w:val="005C5258"/>
    <w:rsid w:val="005C53A8"/>
    <w:rsid w:val="005C6687"/>
    <w:rsid w:val="005C7651"/>
    <w:rsid w:val="005C771D"/>
    <w:rsid w:val="005D0948"/>
    <w:rsid w:val="005D138F"/>
    <w:rsid w:val="005D1913"/>
    <w:rsid w:val="005D472B"/>
    <w:rsid w:val="005D48B6"/>
    <w:rsid w:val="005D5B76"/>
    <w:rsid w:val="005D5B8E"/>
    <w:rsid w:val="005D62A6"/>
    <w:rsid w:val="005D75D2"/>
    <w:rsid w:val="005D7633"/>
    <w:rsid w:val="005E01A6"/>
    <w:rsid w:val="005E0271"/>
    <w:rsid w:val="005E1678"/>
    <w:rsid w:val="005E183F"/>
    <w:rsid w:val="005E1BA7"/>
    <w:rsid w:val="005E1F1B"/>
    <w:rsid w:val="005E2709"/>
    <w:rsid w:val="005E3129"/>
    <w:rsid w:val="005E3370"/>
    <w:rsid w:val="005E3F28"/>
    <w:rsid w:val="005E461E"/>
    <w:rsid w:val="005E4CBD"/>
    <w:rsid w:val="005E5264"/>
    <w:rsid w:val="005F34B4"/>
    <w:rsid w:val="005F478C"/>
    <w:rsid w:val="005F49E1"/>
    <w:rsid w:val="005F528B"/>
    <w:rsid w:val="005F5A1C"/>
    <w:rsid w:val="005F6A6B"/>
    <w:rsid w:val="005F7A19"/>
    <w:rsid w:val="006009B4"/>
    <w:rsid w:val="00601896"/>
    <w:rsid w:val="00602516"/>
    <w:rsid w:val="00603933"/>
    <w:rsid w:val="00603AEE"/>
    <w:rsid w:val="00603D18"/>
    <w:rsid w:val="00606B4E"/>
    <w:rsid w:val="006102F7"/>
    <w:rsid w:val="00610FE7"/>
    <w:rsid w:val="00611AC8"/>
    <w:rsid w:val="00611B74"/>
    <w:rsid w:val="00611C13"/>
    <w:rsid w:val="00616074"/>
    <w:rsid w:val="00616229"/>
    <w:rsid w:val="00616551"/>
    <w:rsid w:val="0061675C"/>
    <w:rsid w:val="00617199"/>
    <w:rsid w:val="00617372"/>
    <w:rsid w:val="006201DF"/>
    <w:rsid w:val="006218D5"/>
    <w:rsid w:val="00621AF8"/>
    <w:rsid w:val="00621F04"/>
    <w:rsid w:val="00622B66"/>
    <w:rsid w:val="00622BA2"/>
    <w:rsid w:val="00624621"/>
    <w:rsid w:val="00625BCA"/>
    <w:rsid w:val="00625CBD"/>
    <w:rsid w:val="00627558"/>
    <w:rsid w:val="006301C3"/>
    <w:rsid w:val="00631821"/>
    <w:rsid w:val="00632507"/>
    <w:rsid w:val="00633D01"/>
    <w:rsid w:val="00634439"/>
    <w:rsid w:val="006349C5"/>
    <w:rsid w:val="0063532D"/>
    <w:rsid w:val="00635FCA"/>
    <w:rsid w:val="00640A3F"/>
    <w:rsid w:val="0064214A"/>
    <w:rsid w:val="00642A02"/>
    <w:rsid w:val="00645897"/>
    <w:rsid w:val="006459CD"/>
    <w:rsid w:val="00650F14"/>
    <w:rsid w:val="00652367"/>
    <w:rsid w:val="00653C4D"/>
    <w:rsid w:val="006554EA"/>
    <w:rsid w:val="00656268"/>
    <w:rsid w:val="0065629F"/>
    <w:rsid w:val="006569DE"/>
    <w:rsid w:val="00660D6B"/>
    <w:rsid w:val="00662F8A"/>
    <w:rsid w:val="00663627"/>
    <w:rsid w:val="00663EC5"/>
    <w:rsid w:val="006643EE"/>
    <w:rsid w:val="006649F6"/>
    <w:rsid w:val="00664F07"/>
    <w:rsid w:val="00665BC7"/>
    <w:rsid w:val="00667C91"/>
    <w:rsid w:val="00671011"/>
    <w:rsid w:val="006743F1"/>
    <w:rsid w:val="00676966"/>
    <w:rsid w:val="00677776"/>
    <w:rsid w:val="0068007B"/>
    <w:rsid w:val="006804D2"/>
    <w:rsid w:val="00680A4E"/>
    <w:rsid w:val="00681D6C"/>
    <w:rsid w:val="00684F1B"/>
    <w:rsid w:val="0068569D"/>
    <w:rsid w:val="00685A11"/>
    <w:rsid w:val="00685C1A"/>
    <w:rsid w:val="00686259"/>
    <w:rsid w:val="006864CB"/>
    <w:rsid w:val="006867ED"/>
    <w:rsid w:val="00686D91"/>
    <w:rsid w:val="00691B75"/>
    <w:rsid w:val="006924EA"/>
    <w:rsid w:val="00693063"/>
    <w:rsid w:val="00694613"/>
    <w:rsid w:val="0069583B"/>
    <w:rsid w:val="006970DB"/>
    <w:rsid w:val="00697201"/>
    <w:rsid w:val="00697F86"/>
    <w:rsid w:val="006A1912"/>
    <w:rsid w:val="006A2951"/>
    <w:rsid w:val="006A2C32"/>
    <w:rsid w:val="006A2E21"/>
    <w:rsid w:val="006A45D4"/>
    <w:rsid w:val="006A7066"/>
    <w:rsid w:val="006A72E3"/>
    <w:rsid w:val="006A73ED"/>
    <w:rsid w:val="006B06CB"/>
    <w:rsid w:val="006B0A62"/>
    <w:rsid w:val="006B0DBC"/>
    <w:rsid w:val="006B1253"/>
    <w:rsid w:val="006B23B7"/>
    <w:rsid w:val="006B2C7D"/>
    <w:rsid w:val="006B4224"/>
    <w:rsid w:val="006B4773"/>
    <w:rsid w:val="006B5205"/>
    <w:rsid w:val="006B63D9"/>
    <w:rsid w:val="006C004E"/>
    <w:rsid w:val="006C273A"/>
    <w:rsid w:val="006C3814"/>
    <w:rsid w:val="006C769C"/>
    <w:rsid w:val="006C78C0"/>
    <w:rsid w:val="006D1698"/>
    <w:rsid w:val="006D2450"/>
    <w:rsid w:val="006D27A0"/>
    <w:rsid w:val="006D318A"/>
    <w:rsid w:val="006D3CFF"/>
    <w:rsid w:val="006D413D"/>
    <w:rsid w:val="006D41C6"/>
    <w:rsid w:val="006D6271"/>
    <w:rsid w:val="006E09C5"/>
    <w:rsid w:val="006E1DD9"/>
    <w:rsid w:val="006E1F8D"/>
    <w:rsid w:val="006E4113"/>
    <w:rsid w:val="006E4986"/>
    <w:rsid w:val="006E49D6"/>
    <w:rsid w:val="006E4BDD"/>
    <w:rsid w:val="006E4CDC"/>
    <w:rsid w:val="006E54BA"/>
    <w:rsid w:val="006E5837"/>
    <w:rsid w:val="006E5AAA"/>
    <w:rsid w:val="006E6B46"/>
    <w:rsid w:val="006E71E2"/>
    <w:rsid w:val="006E7332"/>
    <w:rsid w:val="006E7C31"/>
    <w:rsid w:val="006F0C2A"/>
    <w:rsid w:val="006F1D3E"/>
    <w:rsid w:val="006F346E"/>
    <w:rsid w:val="006F4ED3"/>
    <w:rsid w:val="006F4FD2"/>
    <w:rsid w:val="006F5549"/>
    <w:rsid w:val="006F626A"/>
    <w:rsid w:val="006F6A19"/>
    <w:rsid w:val="006F7108"/>
    <w:rsid w:val="006F7EEC"/>
    <w:rsid w:val="0070154B"/>
    <w:rsid w:val="0070186F"/>
    <w:rsid w:val="007021A1"/>
    <w:rsid w:val="00702248"/>
    <w:rsid w:val="00703476"/>
    <w:rsid w:val="007042E6"/>
    <w:rsid w:val="0070460E"/>
    <w:rsid w:val="007046D1"/>
    <w:rsid w:val="0070483B"/>
    <w:rsid w:val="00705511"/>
    <w:rsid w:val="00705F81"/>
    <w:rsid w:val="00705F86"/>
    <w:rsid w:val="00707311"/>
    <w:rsid w:val="007077DF"/>
    <w:rsid w:val="00710B12"/>
    <w:rsid w:val="00710D1A"/>
    <w:rsid w:val="00710DE4"/>
    <w:rsid w:val="0071467F"/>
    <w:rsid w:val="007174D7"/>
    <w:rsid w:val="00717DFF"/>
    <w:rsid w:val="007202FC"/>
    <w:rsid w:val="007205E8"/>
    <w:rsid w:val="0072062C"/>
    <w:rsid w:val="00721CF8"/>
    <w:rsid w:val="007222D5"/>
    <w:rsid w:val="0072235A"/>
    <w:rsid w:val="007239DA"/>
    <w:rsid w:val="00723C87"/>
    <w:rsid w:val="00723F3A"/>
    <w:rsid w:val="00724C4C"/>
    <w:rsid w:val="007268FE"/>
    <w:rsid w:val="00727BBB"/>
    <w:rsid w:val="007306C6"/>
    <w:rsid w:val="0073237C"/>
    <w:rsid w:val="0073322C"/>
    <w:rsid w:val="00734705"/>
    <w:rsid w:val="007351A3"/>
    <w:rsid w:val="00735CBB"/>
    <w:rsid w:val="0073657B"/>
    <w:rsid w:val="007373C1"/>
    <w:rsid w:val="0074038C"/>
    <w:rsid w:val="007405EF"/>
    <w:rsid w:val="00740EBC"/>
    <w:rsid w:val="00740F6E"/>
    <w:rsid w:val="00741BD5"/>
    <w:rsid w:val="007426F5"/>
    <w:rsid w:val="00743EBC"/>
    <w:rsid w:val="007448F8"/>
    <w:rsid w:val="00744EBC"/>
    <w:rsid w:val="007463F9"/>
    <w:rsid w:val="00750023"/>
    <w:rsid w:val="00750827"/>
    <w:rsid w:val="00750B36"/>
    <w:rsid w:val="00752B0D"/>
    <w:rsid w:val="00753793"/>
    <w:rsid w:val="00753A45"/>
    <w:rsid w:val="007545A7"/>
    <w:rsid w:val="007558CB"/>
    <w:rsid w:val="00756D25"/>
    <w:rsid w:val="00756F55"/>
    <w:rsid w:val="007605C8"/>
    <w:rsid w:val="007613DB"/>
    <w:rsid w:val="00764A8E"/>
    <w:rsid w:val="00764CFB"/>
    <w:rsid w:val="00764FE3"/>
    <w:rsid w:val="00765F1A"/>
    <w:rsid w:val="00766D67"/>
    <w:rsid w:val="00767A42"/>
    <w:rsid w:val="00770AD8"/>
    <w:rsid w:val="00771214"/>
    <w:rsid w:val="00771445"/>
    <w:rsid w:val="00771859"/>
    <w:rsid w:val="00772348"/>
    <w:rsid w:val="00772F0B"/>
    <w:rsid w:val="00773208"/>
    <w:rsid w:val="00773688"/>
    <w:rsid w:val="00774304"/>
    <w:rsid w:val="007748D8"/>
    <w:rsid w:val="007749C1"/>
    <w:rsid w:val="00774D6C"/>
    <w:rsid w:val="00775D1C"/>
    <w:rsid w:val="00777317"/>
    <w:rsid w:val="00777CB2"/>
    <w:rsid w:val="00777F8F"/>
    <w:rsid w:val="00780C59"/>
    <w:rsid w:val="00780CB6"/>
    <w:rsid w:val="00781B77"/>
    <w:rsid w:val="00781E9F"/>
    <w:rsid w:val="0078287E"/>
    <w:rsid w:val="00782E21"/>
    <w:rsid w:val="00783B48"/>
    <w:rsid w:val="00784009"/>
    <w:rsid w:val="007858B7"/>
    <w:rsid w:val="007862E9"/>
    <w:rsid w:val="00786514"/>
    <w:rsid w:val="00786FBF"/>
    <w:rsid w:val="00787099"/>
    <w:rsid w:val="00787400"/>
    <w:rsid w:val="007875B3"/>
    <w:rsid w:val="00792484"/>
    <w:rsid w:val="00792E98"/>
    <w:rsid w:val="00793D27"/>
    <w:rsid w:val="00794202"/>
    <w:rsid w:val="0079527D"/>
    <w:rsid w:val="00796655"/>
    <w:rsid w:val="007973AE"/>
    <w:rsid w:val="007A0AC8"/>
    <w:rsid w:val="007A0F4A"/>
    <w:rsid w:val="007A1B2F"/>
    <w:rsid w:val="007A1D8B"/>
    <w:rsid w:val="007A1FF9"/>
    <w:rsid w:val="007A2639"/>
    <w:rsid w:val="007A2B1B"/>
    <w:rsid w:val="007A36A2"/>
    <w:rsid w:val="007A5A84"/>
    <w:rsid w:val="007A5FAC"/>
    <w:rsid w:val="007A6E4E"/>
    <w:rsid w:val="007A7356"/>
    <w:rsid w:val="007A76DE"/>
    <w:rsid w:val="007B026D"/>
    <w:rsid w:val="007B079C"/>
    <w:rsid w:val="007B0BB6"/>
    <w:rsid w:val="007B2E21"/>
    <w:rsid w:val="007B31B8"/>
    <w:rsid w:val="007B3BD7"/>
    <w:rsid w:val="007B48D6"/>
    <w:rsid w:val="007B55A2"/>
    <w:rsid w:val="007B5790"/>
    <w:rsid w:val="007B7675"/>
    <w:rsid w:val="007C0608"/>
    <w:rsid w:val="007C1555"/>
    <w:rsid w:val="007C1D99"/>
    <w:rsid w:val="007C3C92"/>
    <w:rsid w:val="007C512E"/>
    <w:rsid w:val="007C68DB"/>
    <w:rsid w:val="007C6D69"/>
    <w:rsid w:val="007D0AC8"/>
    <w:rsid w:val="007D0AD4"/>
    <w:rsid w:val="007D0B1A"/>
    <w:rsid w:val="007D1C67"/>
    <w:rsid w:val="007D1DC0"/>
    <w:rsid w:val="007D30BB"/>
    <w:rsid w:val="007D3271"/>
    <w:rsid w:val="007D44B8"/>
    <w:rsid w:val="007E0CF9"/>
    <w:rsid w:val="007E1860"/>
    <w:rsid w:val="007E209D"/>
    <w:rsid w:val="007E36C4"/>
    <w:rsid w:val="007E3964"/>
    <w:rsid w:val="007E4435"/>
    <w:rsid w:val="007E461A"/>
    <w:rsid w:val="007E46B3"/>
    <w:rsid w:val="007E4AC2"/>
    <w:rsid w:val="007E4B36"/>
    <w:rsid w:val="007E5D0C"/>
    <w:rsid w:val="007E5D5B"/>
    <w:rsid w:val="007E6E81"/>
    <w:rsid w:val="007F02CE"/>
    <w:rsid w:val="007F0392"/>
    <w:rsid w:val="007F1F02"/>
    <w:rsid w:val="007F5644"/>
    <w:rsid w:val="007F614B"/>
    <w:rsid w:val="007F6CB9"/>
    <w:rsid w:val="007F72A6"/>
    <w:rsid w:val="007F7D82"/>
    <w:rsid w:val="007F7EB3"/>
    <w:rsid w:val="00800299"/>
    <w:rsid w:val="008003CF"/>
    <w:rsid w:val="00801084"/>
    <w:rsid w:val="008021B8"/>
    <w:rsid w:val="0080252F"/>
    <w:rsid w:val="0080348E"/>
    <w:rsid w:val="00803511"/>
    <w:rsid w:val="00803665"/>
    <w:rsid w:val="00803A1D"/>
    <w:rsid w:val="00803E48"/>
    <w:rsid w:val="008046F6"/>
    <w:rsid w:val="00804EFC"/>
    <w:rsid w:val="0080798C"/>
    <w:rsid w:val="008132AC"/>
    <w:rsid w:val="00813FC0"/>
    <w:rsid w:val="00814FDA"/>
    <w:rsid w:val="008168A2"/>
    <w:rsid w:val="00816FEC"/>
    <w:rsid w:val="008170CD"/>
    <w:rsid w:val="00820C73"/>
    <w:rsid w:val="008215AB"/>
    <w:rsid w:val="008232D7"/>
    <w:rsid w:val="00825153"/>
    <w:rsid w:val="00826E7B"/>
    <w:rsid w:val="008270F9"/>
    <w:rsid w:val="00830708"/>
    <w:rsid w:val="00832A60"/>
    <w:rsid w:val="00833239"/>
    <w:rsid w:val="00833600"/>
    <w:rsid w:val="0083515B"/>
    <w:rsid w:val="008364AF"/>
    <w:rsid w:val="0083798B"/>
    <w:rsid w:val="00837FDA"/>
    <w:rsid w:val="008404F1"/>
    <w:rsid w:val="00842A86"/>
    <w:rsid w:val="00843C78"/>
    <w:rsid w:val="0084532E"/>
    <w:rsid w:val="0084728B"/>
    <w:rsid w:val="00847850"/>
    <w:rsid w:val="008508FD"/>
    <w:rsid w:val="00851BA3"/>
    <w:rsid w:val="008535ED"/>
    <w:rsid w:val="00854C6F"/>
    <w:rsid w:val="0085521A"/>
    <w:rsid w:val="00855424"/>
    <w:rsid w:val="008569C4"/>
    <w:rsid w:val="00856A75"/>
    <w:rsid w:val="00860688"/>
    <w:rsid w:val="0086076E"/>
    <w:rsid w:val="00860B54"/>
    <w:rsid w:val="00862511"/>
    <w:rsid w:val="00863993"/>
    <w:rsid w:val="008639A1"/>
    <w:rsid w:val="00863B19"/>
    <w:rsid w:val="00864371"/>
    <w:rsid w:val="008649DF"/>
    <w:rsid w:val="008660FE"/>
    <w:rsid w:val="00866F66"/>
    <w:rsid w:val="008671F2"/>
    <w:rsid w:val="0087157D"/>
    <w:rsid w:val="00871822"/>
    <w:rsid w:val="00873B8E"/>
    <w:rsid w:val="008743EE"/>
    <w:rsid w:val="00875BA7"/>
    <w:rsid w:val="00880CAC"/>
    <w:rsid w:val="00880D08"/>
    <w:rsid w:val="0088110E"/>
    <w:rsid w:val="00881294"/>
    <w:rsid w:val="0088174B"/>
    <w:rsid w:val="00882929"/>
    <w:rsid w:val="00882F71"/>
    <w:rsid w:val="00883DF9"/>
    <w:rsid w:val="0088630B"/>
    <w:rsid w:val="00887484"/>
    <w:rsid w:val="00887528"/>
    <w:rsid w:val="0089002C"/>
    <w:rsid w:val="0089078C"/>
    <w:rsid w:val="0089170B"/>
    <w:rsid w:val="00892552"/>
    <w:rsid w:val="0089470E"/>
    <w:rsid w:val="00894A92"/>
    <w:rsid w:val="00894D66"/>
    <w:rsid w:val="008955C4"/>
    <w:rsid w:val="0089602F"/>
    <w:rsid w:val="00896F00"/>
    <w:rsid w:val="00897F4A"/>
    <w:rsid w:val="008A0B1B"/>
    <w:rsid w:val="008A17AB"/>
    <w:rsid w:val="008A1B96"/>
    <w:rsid w:val="008A27ED"/>
    <w:rsid w:val="008A3499"/>
    <w:rsid w:val="008A670B"/>
    <w:rsid w:val="008A71CB"/>
    <w:rsid w:val="008A7D54"/>
    <w:rsid w:val="008B0521"/>
    <w:rsid w:val="008B0728"/>
    <w:rsid w:val="008B0989"/>
    <w:rsid w:val="008B188C"/>
    <w:rsid w:val="008B1B42"/>
    <w:rsid w:val="008B23B7"/>
    <w:rsid w:val="008B245E"/>
    <w:rsid w:val="008B2DAE"/>
    <w:rsid w:val="008B4966"/>
    <w:rsid w:val="008B4FB3"/>
    <w:rsid w:val="008B60BA"/>
    <w:rsid w:val="008B7D79"/>
    <w:rsid w:val="008C10BF"/>
    <w:rsid w:val="008C15C8"/>
    <w:rsid w:val="008C180E"/>
    <w:rsid w:val="008C3850"/>
    <w:rsid w:val="008C5B32"/>
    <w:rsid w:val="008C7620"/>
    <w:rsid w:val="008D0831"/>
    <w:rsid w:val="008D0C6E"/>
    <w:rsid w:val="008D2068"/>
    <w:rsid w:val="008D3ABC"/>
    <w:rsid w:val="008D45DB"/>
    <w:rsid w:val="008D5AA7"/>
    <w:rsid w:val="008D6883"/>
    <w:rsid w:val="008D6967"/>
    <w:rsid w:val="008D798C"/>
    <w:rsid w:val="008E12CE"/>
    <w:rsid w:val="008E1705"/>
    <w:rsid w:val="008E1CA2"/>
    <w:rsid w:val="008E250B"/>
    <w:rsid w:val="008E2516"/>
    <w:rsid w:val="008E2CD3"/>
    <w:rsid w:val="008E2DAC"/>
    <w:rsid w:val="008E4E57"/>
    <w:rsid w:val="008E6239"/>
    <w:rsid w:val="008E6494"/>
    <w:rsid w:val="008E6A72"/>
    <w:rsid w:val="008E70FC"/>
    <w:rsid w:val="008E7632"/>
    <w:rsid w:val="008E7D54"/>
    <w:rsid w:val="008E7EC5"/>
    <w:rsid w:val="008F05CF"/>
    <w:rsid w:val="008F1569"/>
    <w:rsid w:val="008F17C8"/>
    <w:rsid w:val="008F74F0"/>
    <w:rsid w:val="008F78EF"/>
    <w:rsid w:val="00902966"/>
    <w:rsid w:val="00903E1F"/>
    <w:rsid w:val="00903F98"/>
    <w:rsid w:val="009041DF"/>
    <w:rsid w:val="00904B21"/>
    <w:rsid w:val="00905EF9"/>
    <w:rsid w:val="00905F57"/>
    <w:rsid w:val="00905FB5"/>
    <w:rsid w:val="00907C95"/>
    <w:rsid w:val="00911668"/>
    <w:rsid w:val="009122DA"/>
    <w:rsid w:val="0091247D"/>
    <w:rsid w:val="00912698"/>
    <w:rsid w:val="00913FAD"/>
    <w:rsid w:val="00914B7B"/>
    <w:rsid w:val="00915AD4"/>
    <w:rsid w:val="00917032"/>
    <w:rsid w:val="00917822"/>
    <w:rsid w:val="00921EAD"/>
    <w:rsid w:val="009223F6"/>
    <w:rsid w:val="0092275E"/>
    <w:rsid w:val="009237BF"/>
    <w:rsid w:val="00923BBA"/>
    <w:rsid w:val="00923DC9"/>
    <w:rsid w:val="0092407D"/>
    <w:rsid w:val="0092421F"/>
    <w:rsid w:val="009244EC"/>
    <w:rsid w:val="009251FE"/>
    <w:rsid w:val="00931641"/>
    <w:rsid w:val="00931CB9"/>
    <w:rsid w:val="00931DE7"/>
    <w:rsid w:val="00931F8A"/>
    <w:rsid w:val="00932AEB"/>
    <w:rsid w:val="00932F67"/>
    <w:rsid w:val="00933AEA"/>
    <w:rsid w:val="00934762"/>
    <w:rsid w:val="00934AE6"/>
    <w:rsid w:val="0093563B"/>
    <w:rsid w:val="00937C3B"/>
    <w:rsid w:val="009412F8"/>
    <w:rsid w:val="00941364"/>
    <w:rsid w:val="00941D90"/>
    <w:rsid w:val="00942BB7"/>
    <w:rsid w:val="00943879"/>
    <w:rsid w:val="0094469C"/>
    <w:rsid w:val="009450E1"/>
    <w:rsid w:val="00946CB5"/>
    <w:rsid w:val="00947369"/>
    <w:rsid w:val="009478E6"/>
    <w:rsid w:val="00951775"/>
    <w:rsid w:val="00952C34"/>
    <w:rsid w:val="00953B73"/>
    <w:rsid w:val="00953F4A"/>
    <w:rsid w:val="009556F4"/>
    <w:rsid w:val="00956AF6"/>
    <w:rsid w:val="009605BB"/>
    <w:rsid w:val="00961C58"/>
    <w:rsid w:val="00964D86"/>
    <w:rsid w:val="00965B29"/>
    <w:rsid w:val="009706A0"/>
    <w:rsid w:val="0097284B"/>
    <w:rsid w:val="0097325E"/>
    <w:rsid w:val="00974335"/>
    <w:rsid w:val="009747C3"/>
    <w:rsid w:val="00976032"/>
    <w:rsid w:val="00977126"/>
    <w:rsid w:val="00977827"/>
    <w:rsid w:val="00980221"/>
    <w:rsid w:val="00981CEF"/>
    <w:rsid w:val="00983346"/>
    <w:rsid w:val="00984FA1"/>
    <w:rsid w:val="009859CC"/>
    <w:rsid w:val="009871F8"/>
    <w:rsid w:val="009900BA"/>
    <w:rsid w:val="0099147F"/>
    <w:rsid w:val="00993B49"/>
    <w:rsid w:val="0099553C"/>
    <w:rsid w:val="00997C94"/>
    <w:rsid w:val="009A01F6"/>
    <w:rsid w:val="009A0CC0"/>
    <w:rsid w:val="009A0F0E"/>
    <w:rsid w:val="009A37AE"/>
    <w:rsid w:val="009A4A4E"/>
    <w:rsid w:val="009A4E50"/>
    <w:rsid w:val="009A5C89"/>
    <w:rsid w:val="009A7268"/>
    <w:rsid w:val="009A77A5"/>
    <w:rsid w:val="009B1300"/>
    <w:rsid w:val="009B1AC3"/>
    <w:rsid w:val="009B240B"/>
    <w:rsid w:val="009B2EBC"/>
    <w:rsid w:val="009B40E3"/>
    <w:rsid w:val="009B46AB"/>
    <w:rsid w:val="009B49C7"/>
    <w:rsid w:val="009B6053"/>
    <w:rsid w:val="009B6EDE"/>
    <w:rsid w:val="009B7495"/>
    <w:rsid w:val="009B777B"/>
    <w:rsid w:val="009C114C"/>
    <w:rsid w:val="009C2475"/>
    <w:rsid w:val="009C4305"/>
    <w:rsid w:val="009C4D8B"/>
    <w:rsid w:val="009C55C5"/>
    <w:rsid w:val="009C5BAF"/>
    <w:rsid w:val="009C632E"/>
    <w:rsid w:val="009C7B82"/>
    <w:rsid w:val="009D1496"/>
    <w:rsid w:val="009D20BE"/>
    <w:rsid w:val="009D2446"/>
    <w:rsid w:val="009D2A86"/>
    <w:rsid w:val="009D38B0"/>
    <w:rsid w:val="009D4743"/>
    <w:rsid w:val="009D4BEB"/>
    <w:rsid w:val="009D5171"/>
    <w:rsid w:val="009D6848"/>
    <w:rsid w:val="009D6B74"/>
    <w:rsid w:val="009D7A6A"/>
    <w:rsid w:val="009E122A"/>
    <w:rsid w:val="009E1E2F"/>
    <w:rsid w:val="009E1EC4"/>
    <w:rsid w:val="009E4943"/>
    <w:rsid w:val="009E52FC"/>
    <w:rsid w:val="009E60A4"/>
    <w:rsid w:val="009E6923"/>
    <w:rsid w:val="009E7609"/>
    <w:rsid w:val="009E79D0"/>
    <w:rsid w:val="009F1713"/>
    <w:rsid w:val="009F1A2B"/>
    <w:rsid w:val="009F1B3E"/>
    <w:rsid w:val="009F219B"/>
    <w:rsid w:val="009F2762"/>
    <w:rsid w:val="009F2CCA"/>
    <w:rsid w:val="009F3833"/>
    <w:rsid w:val="009F4BCC"/>
    <w:rsid w:val="009F6E90"/>
    <w:rsid w:val="009F6EC6"/>
    <w:rsid w:val="009F7B16"/>
    <w:rsid w:val="009F7BEB"/>
    <w:rsid w:val="009F7E31"/>
    <w:rsid w:val="009F7FB6"/>
    <w:rsid w:val="00A026AE"/>
    <w:rsid w:val="00A02960"/>
    <w:rsid w:val="00A03540"/>
    <w:rsid w:val="00A0379F"/>
    <w:rsid w:val="00A04DE3"/>
    <w:rsid w:val="00A0530B"/>
    <w:rsid w:val="00A06E7E"/>
    <w:rsid w:val="00A06FA9"/>
    <w:rsid w:val="00A07BD6"/>
    <w:rsid w:val="00A10EF1"/>
    <w:rsid w:val="00A11567"/>
    <w:rsid w:val="00A12533"/>
    <w:rsid w:val="00A12DE8"/>
    <w:rsid w:val="00A13F0D"/>
    <w:rsid w:val="00A14576"/>
    <w:rsid w:val="00A14FB7"/>
    <w:rsid w:val="00A1510F"/>
    <w:rsid w:val="00A2043F"/>
    <w:rsid w:val="00A2151A"/>
    <w:rsid w:val="00A2318C"/>
    <w:rsid w:val="00A2318D"/>
    <w:rsid w:val="00A23A19"/>
    <w:rsid w:val="00A25F5D"/>
    <w:rsid w:val="00A26DE4"/>
    <w:rsid w:val="00A30C25"/>
    <w:rsid w:val="00A320DF"/>
    <w:rsid w:val="00A34001"/>
    <w:rsid w:val="00A34FAF"/>
    <w:rsid w:val="00A35DE5"/>
    <w:rsid w:val="00A35E13"/>
    <w:rsid w:val="00A36466"/>
    <w:rsid w:val="00A36962"/>
    <w:rsid w:val="00A3798C"/>
    <w:rsid w:val="00A404E3"/>
    <w:rsid w:val="00A4085D"/>
    <w:rsid w:val="00A4154E"/>
    <w:rsid w:val="00A41806"/>
    <w:rsid w:val="00A41D22"/>
    <w:rsid w:val="00A42F71"/>
    <w:rsid w:val="00A430C4"/>
    <w:rsid w:val="00A44014"/>
    <w:rsid w:val="00A4535C"/>
    <w:rsid w:val="00A50329"/>
    <w:rsid w:val="00A5035E"/>
    <w:rsid w:val="00A52956"/>
    <w:rsid w:val="00A54F48"/>
    <w:rsid w:val="00A556D5"/>
    <w:rsid w:val="00A57459"/>
    <w:rsid w:val="00A57A6C"/>
    <w:rsid w:val="00A60C54"/>
    <w:rsid w:val="00A6144B"/>
    <w:rsid w:val="00A6165D"/>
    <w:rsid w:val="00A61E9C"/>
    <w:rsid w:val="00A62752"/>
    <w:rsid w:val="00A63744"/>
    <w:rsid w:val="00A6421B"/>
    <w:rsid w:val="00A651B5"/>
    <w:rsid w:val="00A66308"/>
    <w:rsid w:val="00A66781"/>
    <w:rsid w:val="00A66C06"/>
    <w:rsid w:val="00A71256"/>
    <w:rsid w:val="00A7203D"/>
    <w:rsid w:val="00A72980"/>
    <w:rsid w:val="00A734CB"/>
    <w:rsid w:val="00A73816"/>
    <w:rsid w:val="00A74A13"/>
    <w:rsid w:val="00A75616"/>
    <w:rsid w:val="00A75868"/>
    <w:rsid w:val="00A767DE"/>
    <w:rsid w:val="00A7789F"/>
    <w:rsid w:val="00A7796E"/>
    <w:rsid w:val="00A8007F"/>
    <w:rsid w:val="00A80A8D"/>
    <w:rsid w:val="00A817C3"/>
    <w:rsid w:val="00A81969"/>
    <w:rsid w:val="00A81D54"/>
    <w:rsid w:val="00A84AC0"/>
    <w:rsid w:val="00A85D79"/>
    <w:rsid w:val="00A85E04"/>
    <w:rsid w:val="00A85FD1"/>
    <w:rsid w:val="00A86886"/>
    <w:rsid w:val="00A87C46"/>
    <w:rsid w:val="00A914EB"/>
    <w:rsid w:val="00A92F42"/>
    <w:rsid w:val="00A9340D"/>
    <w:rsid w:val="00A9383F"/>
    <w:rsid w:val="00A9410D"/>
    <w:rsid w:val="00A94141"/>
    <w:rsid w:val="00A9454C"/>
    <w:rsid w:val="00A94BAC"/>
    <w:rsid w:val="00A94EA1"/>
    <w:rsid w:val="00A95ED4"/>
    <w:rsid w:val="00A97B20"/>
    <w:rsid w:val="00AA0661"/>
    <w:rsid w:val="00AA1A31"/>
    <w:rsid w:val="00AA3F28"/>
    <w:rsid w:val="00AA4711"/>
    <w:rsid w:val="00AA4790"/>
    <w:rsid w:val="00AA4E6B"/>
    <w:rsid w:val="00AA4F65"/>
    <w:rsid w:val="00AA5B24"/>
    <w:rsid w:val="00AA5D8F"/>
    <w:rsid w:val="00AA6A1C"/>
    <w:rsid w:val="00AA781B"/>
    <w:rsid w:val="00AB04DC"/>
    <w:rsid w:val="00AB0B80"/>
    <w:rsid w:val="00AB1270"/>
    <w:rsid w:val="00AB1852"/>
    <w:rsid w:val="00AB49A1"/>
    <w:rsid w:val="00AB71E9"/>
    <w:rsid w:val="00AC1BA8"/>
    <w:rsid w:val="00AC1CAE"/>
    <w:rsid w:val="00AC3C92"/>
    <w:rsid w:val="00AC5D35"/>
    <w:rsid w:val="00AC68C8"/>
    <w:rsid w:val="00AC69C6"/>
    <w:rsid w:val="00AC7177"/>
    <w:rsid w:val="00AC7E56"/>
    <w:rsid w:val="00AD08E7"/>
    <w:rsid w:val="00AD28C9"/>
    <w:rsid w:val="00AD2AA0"/>
    <w:rsid w:val="00AD300A"/>
    <w:rsid w:val="00AD4463"/>
    <w:rsid w:val="00AD4A12"/>
    <w:rsid w:val="00AD4D3B"/>
    <w:rsid w:val="00AD6161"/>
    <w:rsid w:val="00AD695B"/>
    <w:rsid w:val="00AE1387"/>
    <w:rsid w:val="00AE1ED8"/>
    <w:rsid w:val="00AE2D32"/>
    <w:rsid w:val="00AE34DA"/>
    <w:rsid w:val="00AE3B3C"/>
    <w:rsid w:val="00AE3DB1"/>
    <w:rsid w:val="00AE6F63"/>
    <w:rsid w:val="00AF03C6"/>
    <w:rsid w:val="00AF0CDF"/>
    <w:rsid w:val="00AF1E61"/>
    <w:rsid w:val="00AF3F28"/>
    <w:rsid w:val="00AF4A6A"/>
    <w:rsid w:val="00AF56F5"/>
    <w:rsid w:val="00AF583D"/>
    <w:rsid w:val="00AF7B7F"/>
    <w:rsid w:val="00B02F36"/>
    <w:rsid w:val="00B0329C"/>
    <w:rsid w:val="00B0395A"/>
    <w:rsid w:val="00B04CCD"/>
    <w:rsid w:val="00B054F8"/>
    <w:rsid w:val="00B05CD7"/>
    <w:rsid w:val="00B06207"/>
    <w:rsid w:val="00B06517"/>
    <w:rsid w:val="00B10300"/>
    <w:rsid w:val="00B1122C"/>
    <w:rsid w:val="00B11C69"/>
    <w:rsid w:val="00B15A24"/>
    <w:rsid w:val="00B15B85"/>
    <w:rsid w:val="00B16E8E"/>
    <w:rsid w:val="00B17757"/>
    <w:rsid w:val="00B20487"/>
    <w:rsid w:val="00B2339B"/>
    <w:rsid w:val="00B2572D"/>
    <w:rsid w:val="00B267EF"/>
    <w:rsid w:val="00B268DA"/>
    <w:rsid w:val="00B26E3F"/>
    <w:rsid w:val="00B26FF9"/>
    <w:rsid w:val="00B27558"/>
    <w:rsid w:val="00B27A81"/>
    <w:rsid w:val="00B30915"/>
    <w:rsid w:val="00B30AD9"/>
    <w:rsid w:val="00B31293"/>
    <w:rsid w:val="00B31435"/>
    <w:rsid w:val="00B32A6A"/>
    <w:rsid w:val="00B33A51"/>
    <w:rsid w:val="00B33DD6"/>
    <w:rsid w:val="00B33E51"/>
    <w:rsid w:val="00B3472E"/>
    <w:rsid w:val="00B3533D"/>
    <w:rsid w:val="00B361A9"/>
    <w:rsid w:val="00B3795E"/>
    <w:rsid w:val="00B37AC2"/>
    <w:rsid w:val="00B37E3D"/>
    <w:rsid w:val="00B41CD0"/>
    <w:rsid w:val="00B41D66"/>
    <w:rsid w:val="00B41EC5"/>
    <w:rsid w:val="00B4226D"/>
    <w:rsid w:val="00B43391"/>
    <w:rsid w:val="00B44687"/>
    <w:rsid w:val="00B454C7"/>
    <w:rsid w:val="00B469A7"/>
    <w:rsid w:val="00B46DEF"/>
    <w:rsid w:val="00B47FF7"/>
    <w:rsid w:val="00B5197E"/>
    <w:rsid w:val="00B52093"/>
    <w:rsid w:val="00B52E6B"/>
    <w:rsid w:val="00B576A6"/>
    <w:rsid w:val="00B60C50"/>
    <w:rsid w:val="00B6206E"/>
    <w:rsid w:val="00B638C5"/>
    <w:rsid w:val="00B63FCF"/>
    <w:rsid w:val="00B64C84"/>
    <w:rsid w:val="00B64DB2"/>
    <w:rsid w:val="00B65F43"/>
    <w:rsid w:val="00B66CEB"/>
    <w:rsid w:val="00B70CCD"/>
    <w:rsid w:val="00B70FE7"/>
    <w:rsid w:val="00B71B11"/>
    <w:rsid w:val="00B72F08"/>
    <w:rsid w:val="00B73C36"/>
    <w:rsid w:val="00B74E60"/>
    <w:rsid w:val="00B74EC9"/>
    <w:rsid w:val="00B75542"/>
    <w:rsid w:val="00B7718B"/>
    <w:rsid w:val="00B77B7F"/>
    <w:rsid w:val="00B801B2"/>
    <w:rsid w:val="00B80B16"/>
    <w:rsid w:val="00B80E21"/>
    <w:rsid w:val="00B80FCA"/>
    <w:rsid w:val="00B81FEC"/>
    <w:rsid w:val="00B8215F"/>
    <w:rsid w:val="00B831F5"/>
    <w:rsid w:val="00B87787"/>
    <w:rsid w:val="00B900A3"/>
    <w:rsid w:val="00B908A1"/>
    <w:rsid w:val="00B910B0"/>
    <w:rsid w:val="00B92B36"/>
    <w:rsid w:val="00B930E7"/>
    <w:rsid w:val="00B93A51"/>
    <w:rsid w:val="00B94BC6"/>
    <w:rsid w:val="00B96192"/>
    <w:rsid w:val="00B976D3"/>
    <w:rsid w:val="00B97E42"/>
    <w:rsid w:val="00BA14E4"/>
    <w:rsid w:val="00BA221E"/>
    <w:rsid w:val="00BA2D0E"/>
    <w:rsid w:val="00BA3864"/>
    <w:rsid w:val="00BA3CCF"/>
    <w:rsid w:val="00BA4F9F"/>
    <w:rsid w:val="00BB02FA"/>
    <w:rsid w:val="00BB2C23"/>
    <w:rsid w:val="00BB5949"/>
    <w:rsid w:val="00BB5F4B"/>
    <w:rsid w:val="00BB619F"/>
    <w:rsid w:val="00BB6A98"/>
    <w:rsid w:val="00BB6E3B"/>
    <w:rsid w:val="00BB7633"/>
    <w:rsid w:val="00BC027D"/>
    <w:rsid w:val="00BC173F"/>
    <w:rsid w:val="00BC1E3C"/>
    <w:rsid w:val="00BC2E9E"/>
    <w:rsid w:val="00BC30B3"/>
    <w:rsid w:val="00BC52B8"/>
    <w:rsid w:val="00BC5AB6"/>
    <w:rsid w:val="00BC61C4"/>
    <w:rsid w:val="00BC6684"/>
    <w:rsid w:val="00BC6B47"/>
    <w:rsid w:val="00BD0447"/>
    <w:rsid w:val="00BD1CB2"/>
    <w:rsid w:val="00BD2560"/>
    <w:rsid w:val="00BD40B0"/>
    <w:rsid w:val="00BD7D91"/>
    <w:rsid w:val="00BE00BC"/>
    <w:rsid w:val="00BE0C87"/>
    <w:rsid w:val="00BE3B52"/>
    <w:rsid w:val="00BE44D9"/>
    <w:rsid w:val="00BE4615"/>
    <w:rsid w:val="00BE5745"/>
    <w:rsid w:val="00BE5B5C"/>
    <w:rsid w:val="00BE64B0"/>
    <w:rsid w:val="00BE6CBC"/>
    <w:rsid w:val="00BE6FC2"/>
    <w:rsid w:val="00BF0B90"/>
    <w:rsid w:val="00BF104D"/>
    <w:rsid w:val="00BF236B"/>
    <w:rsid w:val="00BF2800"/>
    <w:rsid w:val="00BF2B30"/>
    <w:rsid w:val="00BF2D0E"/>
    <w:rsid w:val="00BF4E1B"/>
    <w:rsid w:val="00BF55A9"/>
    <w:rsid w:val="00BF5B74"/>
    <w:rsid w:val="00C003F0"/>
    <w:rsid w:val="00C01024"/>
    <w:rsid w:val="00C01030"/>
    <w:rsid w:val="00C0283E"/>
    <w:rsid w:val="00C036A8"/>
    <w:rsid w:val="00C043BC"/>
    <w:rsid w:val="00C055DC"/>
    <w:rsid w:val="00C058DF"/>
    <w:rsid w:val="00C07D6A"/>
    <w:rsid w:val="00C144F5"/>
    <w:rsid w:val="00C146CD"/>
    <w:rsid w:val="00C16CA9"/>
    <w:rsid w:val="00C175AC"/>
    <w:rsid w:val="00C179DB"/>
    <w:rsid w:val="00C17A00"/>
    <w:rsid w:val="00C17A40"/>
    <w:rsid w:val="00C2093E"/>
    <w:rsid w:val="00C21426"/>
    <w:rsid w:val="00C217FC"/>
    <w:rsid w:val="00C21EB0"/>
    <w:rsid w:val="00C229AC"/>
    <w:rsid w:val="00C22CEC"/>
    <w:rsid w:val="00C22F19"/>
    <w:rsid w:val="00C232AB"/>
    <w:rsid w:val="00C23F01"/>
    <w:rsid w:val="00C249B4"/>
    <w:rsid w:val="00C25996"/>
    <w:rsid w:val="00C25D85"/>
    <w:rsid w:val="00C268D7"/>
    <w:rsid w:val="00C27614"/>
    <w:rsid w:val="00C27975"/>
    <w:rsid w:val="00C32820"/>
    <w:rsid w:val="00C32D4F"/>
    <w:rsid w:val="00C339A9"/>
    <w:rsid w:val="00C3452A"/>
    <w:rsid w:val="00C360B0"/>
    <w:rsid w:val="00C36246"/>
    <w:rsid w:val="00C42329"/>
    <w:rsid w:val="00C44506"/>
    <w:rsid w:val="00C46319"/>
    <w:rsid w:val="00C4795D"/>
    <w:rsid w:val="00C53F3E"/>
    <w:rsid w:val="00C54F67"/>
    <w:rsid w:val="00C565E2"/>
    <w:rsid w:val="00C569C3"/>
    <w:rsid w:val="00C57009"/>
    <w:rsid w:val="00C57419"/>
    <w:rsid w:val="00C57640"/>
    <w:rsid w:val="00C607B1"/>
    <w:rsid w:val="00C61FD5"/>
    <w:rsid w:val="00C62AEE"/>
    <w:rsid w:val="00C630FC"/>
    <w:rsid w:val="00C6520F"/>
    <w:rsid w:val="00C65C35"/>
    <w:rsid w:val="00C70B4A"/>
    <w:rsid w:val="00C71235"/>
    <w:rsid w:val="00C723EF"/>
    <w:rsid w:val="00C72C04"/>
    <w:rsid w:val="00C72C68"/>
    <w:rsid w:val="00C76C39"/>
    <w:rsid w:val="00C8223B"/>
    <w:rsid w:val="00C82C93"/>
    <w:rsid w:val="00C84B4E"/>
    <w:rsid w:val="00C852B8"/>
    <w:rsid w:val="00C870D2"/>
    <w:rsid w:val="00C8780E"/>
    <w:rsid w:val="00C92015"/>
    <w:rsid w:val="00C92AB4"/>
    <w:rsid w:val="00C93A75"/>
    <w:rsid w:val="00C93E0D"/>
    <w:rsid w:val="00C940FD"/>
    <w:rsid w:val="00C943DB"/>
    <w:rsid w:val="00C94542"/>
    <w:rsid w:val="00C95AAA"/>
    <w:rsid w:val="00C97AD8"/>
    <w:rsid w:val="00C97B11"/>
    <w:rsid w:val="00CA0BF6"/>
    <w:rsid w:val="00CA0D1B"/>
    <w:rsid w:val="00CA2E4C"/>
    <w:rsid w:val="00CA2F3F"/>
    <w:rsid w:val="00CA44A5"/>
    <w:rsid w:val="00CA4CCE"/>
    <w:rsid w:val="00CA4F36"/>
    <w:rsid w:val="00CA4F78"/>
    <w:rsid w:val="00CA59C4"/>
    <w:rsid w:val="00CA7C67"/>
    <w:rsid w:val="00CB09E3"/>
    <w:rsid w:val="00CB25A9"/>
    <w:rsid w:val="00CB3051"/>
    <w:rsid w:val="00CB36E1"/>
    <w:rsid w:val="00CB3852"/>
    <w:rsid w:val="00CB4AEA"/>
    <w:rsid w:val="00CB5125"/>
    <w:rsid w:val="00CB5199"/>
    <w:rsid w:val="00CB5535"/>
    <w:rsid w:val="00CB737F"/>
    <w:rsid w:val="00CB75AD"/>
    <w:rsid w:val="00CC0F25"/>
    <w:rsid w:val="00CC23D2"/>
    <w:rsid w:val="00CC2B12"/>
    <w:rsid w:val="00CC4F02"/>
    <w:rsid w:val="00CC6993"/>
    <w:rsid w:val="00CC6A42"/>
    <w:rsid w:val="00CC702F"/>
    <w:rsid w:val="00CD007E"/>
    <w:rsid w:val="00CD042F"/>
    <w:rsid w:val="00CD0C5E"/>
    <w:rsid w:val="00CD114F"/>
    <w:rsid w:val="00CD12D2"/>
    <w:rsid w:val="00CD2916"/>
    <w:rsid w:val="00CD2D8B"/>
    <w:rsid w:val="00CD2E05"/>
    <w:rsid w:val="00CD4194"/>
    <w:rsid w:val="00CD47A6"/>
    <w:rsid w:val="00CD4B03"/>
    <w:rsid w:val="00CD5E90"/>
    <w:rsid w:val="00CD6FBA"/>
    <w:rsid w:val="00CD7D71"/>
    <w:rsid w:val="00CE1B14"/>
    <w:rsid w:val="00CE32EF"/>
    <w:rsid w:val="00CE38F8"/>
    <w:rsid w:val="00CE3E34"/>
    <w:rsid w:val="00CE4693"/>
    <w:rsid w:val="00CE714B"/>
    <w:rsid w:val="00CE71E3"/>
    <w:rsid w:val="00CF0244"/>
    <w:rsid w:val="00CF047E"/>
    <w:rsid w:val="00CF47CD"/>
    <w:rsid w:val="00CF4EA5"/>
    <w:rsid w:val="00CF5BF5"/>
    <w:rsid w:val="00D00208"/>
    <w:rsid w:val="00D00626"/>
    <w:rsid w:val="00D01143"/>
    <w:rsid w:val="00D02F2E"/>
    <w:rsid w:val="00D049E3"/>
    <w:rsid w:val="00D0553E"/>
    <w:rsid w:val="00D056F1"/>
    <w:rsid w:val="00D0676F"/>
    <w:rsid w:val="00D07237"/>
    <w:rsid w:val="00D11263"/>
    <w:rsid w:val="00D1148F"/>
    <w:rsid w:val="00D114CC"/>
    <w:rsid w:val="00D1353F"/>
    <w:rsid w:val="00D13CF3"/>
    <w:rsid w:val="00D1494E"/>
    <w:rsid w:val="00D164EC"/>
    <w:rsid w:val="00D17FA9"/>
    <w:rsid w:val="00D2212D"/>
    <w:rsid w:val="00D22293"/>
    <w:rsid w:val="00D22E9D"/>
    <w:rsid w:val="00D23709"/>
    <w:rsid w:val="00D24080"/>
    <w:rsid w:val="00D24860"/>
    <w:rsid w:val="00D24B69"/>
    <w:rsid w:val="00D27368"/>
    <w:rsid w:val="00D2736D"/>
    <w:rsid w:val="00D27474"/>
    <w:rsid w:val="00D27F29"/>
    <w:rsid w:val="00D3106B"/>
    <w:rsid w:val="00D3127E"/>
    <w:rsid w:val="00D319FA"/>
    <w:rsid w:val="00D32BD9"/>
    <w:rsid w:val="00D333D0"/>
    <w:rsid w:val="00D3449B"/>
    <w:rsid w:val="00D346A8"/>
    <w:rsid w:val="00D36F4D"/>
    <w:rsid w:val="00D40695"/>
    <w:rsid w:val="00D4084D"/>
    <w:rsid w:val="00D41530"/>
    <w:rsid w:val="00D417DB"/>
    <w:rsid w:val="00D44672"/>
    <w:rsid w:val="00D44E7F"/>
    <w:rsid w:val="00D454A1"/>
    <w:rsid w:val="00D46655"/>
    <w:rsid w:val="00D5011C"/>
    <w:rsid w:val="00D50788"/>
    <w:rsid w:val="00D5240E"/>
    <w:rsid w:val="00D52749"/>
    <w:rsid w:val="00D5329F"/>
    <w:rsid w:val="00D53336"/>
    <w:rsid w:val="00D533C5"/>
    <w:rsid w:val="00D5450F"/>
    <w:rsid w:val="00D55662"/>
    <w:rsid w:val="00D55AC6"/>
    <w:rsid w:val="00D56F6E"/>
    <w:rsid w:val="00D57A3F"/>
    <w:rsid w:val="00D60EEA"/>
    <w:rsid w:val="00D6139F"/>
    <w:rsid w:val="00D665C6"/>
    <w:rsid w:val="00D67885"/>
    <w:rsid w:val="00D71DBB"/>
    <w:rsid w:val="00D75E6C"/>
    <w:rsid w:val="00D762F8"/>
    <w:rsid w:val="00D80848"/>
    <w:rsid w:val="00D80B08"/>
    <w:rsid w:val="00D83044"/>
    <w:rsid w:val="00D84B0F"/>
    <w:rsid w:val="00D85536"/>
    <w:rsid w:val="00D855C2"/>
    <w:rsid w:val="00D8579D"/>
    <w:rsid w:val="00D858EC"/>
    <w:rsid w:val="00D87144"/>
    <w:rsid w:val="00D91D3D"/>
    <w:rsid w:val="00D91EEE"/>
    <w:rsid w:val="00D93289"/>
    <w:rsid w:val="00D93A25"/>
    <w:rsid w:val="00D94077"/>
    <w:rsid w:val="00D949EE"/>
    <w:rsid w:val="00D9559D"/>
    <w:rsid w:val="00D9586E"/>
    <w:rsid w:val="00D976BD"/>
    <w:rsid w:val="00D9780C"/>
    <w:rsid w:val="00DA1FD8"/>
    <w:rsid w:val="00DA22F2"/>
    <w:rsid w:val="00DA2A6C"/>
    <w:rsid w:val="00DA4274"/>
    <w:rsid w:val="00DB0556"/>
    <w:rsid w:val="00DB3427"/>
    <w:rsid w:val="00DB4E84"/>
    <w:rsid w:val="00DB5F4E"/>
    <w:rsid w:val="00DB6CAD"/>
    <w:rsid w:val="00DB7B16"/>
    <w:rsid w:val="00DC0061"/>
    <w:rsid w:val="00DC0606"/>
    <w:rsid w:val="00DC0D8F"/>
    <w:rsid w:val="00DC26DC"/>
    <w:rsid w:val="00DC46B7"/>
    <w:rsid w:val="00DC50D5"/>
    <w:rsid w:val="00DC58B0"/>
    <w:rsid w:val="00DC5F5F"/>
    <w:rsid w:val="00DC7152"/>
    <w:rsid w:val="00DC73FC"/>
    <w:rsid w:val="00DC7A42"/>
    <w:rsid w:val="00DD00A0"/>
    <w:rsid w:val="00DD0BB5"/>
    <w:rsid w:val="00DD3D7C"/>
    <w:rsid w:val="00DD4227"/>
    <w:rsid w:val="00DD5A82"/>
    <w:rsid w:val="00DD5F1C"/>
    <w:rsid w:val="00DD65D0"/>
    <w:rsid w:val="00DD695F"/>
    <w:rsid w:val="00DD7574"/>
    <w:rsid w:val="00DE0DA4"/>
    <w:rsid w:val="00DE13E7"/>
    <w:rsid w:val="00DE144E"/>
    <w:rsid w:val="00DE19ED"/>
    <w:rsid w:val="00DE4021"/>
    <w:rsid w:val="00DE5105"/>
    <w:rsid w:val="00DE68A3"/>
    <w:rsid w:val="00DE71C7"/>
    <w:rsid w:val="00DE7D4A"/>
    <w:rsid w:val="00DF06C1"/>
    <w:rsid w:val="00DF1C9A"/>
    <w:rsid w:val="00DF36D6"/>
    <w:rsid w:val="00DF3F32"/>
    <w:rsid w:val="00DF489A"/>
    <w:rsid w:val="00DF5B79"/>
    <w:rsid w:val="00DF7049"/>
    <w:rsid w:val="00E00DFA"/>
    <w:rsid w:val="00E0182F"/>
    <w:rsid w:val="00E040A0"/>
    <w:rsid w:val="00E0555E"/>
    <w:rsid w:val="00E06528"/>
    <w:rsid w:val="00E067F3"/>
    <w:rsid w:val="00E06E8B"/>
    <w:rsid w:val="00E073F5"/>
    <w:rsid w:val="00E12DA6"/>
    <w:rsid w:val="00E13EBE"/>
    <w:rsid w:val="00E14A89"/>
    <w:rsid w:val="00E14BAC"/>
    <w:rsid w:val="00E14E33"/>
    <w:rsid w:val="00E1509E"/>
    <w:rsid w:val="00E15E8F"/>
    <w:rsid w:val="00E164F2"/>
    <w:rsid w:val="00E220FE"/>
    <w:rsid w:val="00E22569"/>
    <w:rsid w:val="00E22AFE"/>
    <w:rsid w:val="00E22E0F"/>
    <w:rsid w:val="00E23188"/>
    <w:rsid w:val="00E259E0"/>
    <w:rsid w:val="00E26765"/>
    <w:rsid w:val="00E26C1C"/>
    <w:rsid w:val="00E2759B"/>
    <w:rsid w:val="00E31A40"/>
    <w:rsid w:val="00E31A9B"/>
    <w:rsid w:val="00E33F0D"/>
    <w:rsid w:val="00E34ED3"/>
    <w:rsid w:val="00E41F5E"/>
    <w:rsid w:val="00E44FD6"/>
    <w:rsid w:val="00E451A4"/>
    <w:rsid w:val="00E4780A"/>
    <w:rsid w:val="00E47F13"/>
    <w:rsid w:val="00E509A8"/>
    <w:rsid w:val="00E52D9F"/>
    <w:rsid w:val="00E54500"/>
    <w:rsid w:val="00E54F42"/>
    <w:rsid w:val="00E557D7"/>
    <w:rsid w:val="00E55A36"/>
    <w:rsid w:val="00E56D2A"/>
    <w:rsid w:val="00E5789B"/>
    <w:rsid w:val="00E60085"/>
    <w:rsid w:val="00E60AD7"/>
    <w:rsid w:val="00E60D57"/>
    <w:rsid w:val="00E61D33"/>
    <w:rsid w:val="00E643FE"/>
    <w:rsid w:val="00E64997"/>
    <w:rsid w:val="00E70C82"/>
    <w:rsid w:val="00E71E34"/>
    <w:rsid w:val="00E73DAB"/>
    <w:rsid w:val="00E749F8"/>
    <w:rsid w:val="00E74B48"/>
    <w:rsid w:val="00E755FE"/>
    <w:rsid w:val="00E761F0"/>
    <w:rsid w:val="00E7684F"/>
    <w:rsid w:val="00E81089"/>
    <w:rsid w:val="00E8402E"/>
    <w:rsid w:val="00E8502B"/>
    <w:rsid w:val="00E8533E"/>
    <w:rsid w:val="00E8535F"/>
    <w:rsid w:val="00E85A38"/>
    <w:rsid w:val="00E9054C"/>
    <w:rsid w:val="00E913E5"/>
    <w:rsid w:val="00E91DBF"/>
    <w:rsid w:val="00E926F0"/>
    <w:rsid w:val="00E93197"/>
    <w:rsid w:val="00E94613"/>
    <w:rsid w:val="00E94644"/>
    <w:rsid w:val="00E9506B"/>
    <w:rsid w:val="00E956EF"/>
    <w:rsid w:val="00E95F64"/>
    <w:rsid w:val="00EA030F"/>
    <w:rsid w:val="00EA1E90"/>
    <w:rsid w:val="00EA412F"/>
    <w:rsid w:val="00EA49EB"/>
    <w:rsid w:val="00EA5A4E"/>
    <w:rsid w:val="00EA5C51"/>
    <w:rsid w:val="00EA6CFF"/>
    <w:rsid w:val="00EB0049"/>
    <w:rsid w:val="00EB1EC6"/>
    <w:rsid w:val="00EB2035"/>
    <w:rsid w:val="00EB235F"/>
    <w:rsid w:val="00EB2EDA"/>
    <w:rsid w:val="00EB2FE6"/>
    <w:rsid w:val="00EB3E65"/>
    <w:rsid w:val="00EB5AE8"/>
    <w:rsid w:val="00EB6550"/>
    <w:rsid w:val="00EB6F65"/>
    <w:rsid w:val="00EB7431"/>
    <w:rsid w:val="00EB7444"/>
    <w:rsid w:val="00EB77E0"/>
    <w:rsid w:val="00EC0040"/>
    <w:rsid w:val="00EC26AE"/>
    <w:rsid w:val="00EC2FBA"/>
    <w:rsid w:val="00EC3FA4"/>
    <w:rsid w:val="00EC675F"/>
    <w:rsid w:val="00EC6DF0"/>
    <w:rsid w:val="00ED0D11"/>
    <w:rsid w:val="00ED0F32"/>
    <w:rsid w:val="00ED14AC"/>
    <w:rsid w:val="00ED364B"/>
    <w:rsid w:val="00ED60F5"/>
    <w:rsid w:val="00ED651D"/>
    <w:rsid w:val="00EE040F"/>
    <w:rsid w:val="00EE454B"/>
    <w:rsid w:val="00EE4569"/>
    <w:rsid w:val="00EE6076"/>
    <w:rsid w:val="00EE672A"/>
    <w:rsid w:val="00EE7770"/>
    <w:rsid w:val="00EF14CB"/>
    <w:rsid w:val="00EF14E7"/>
    <w:rsid w:val="00EF174F"/>
    <w:rsid w:val="00EF1F56"/>
    <w:rsid w:val="00EF3C90"/>
    <w:rsid w:val="00EF4318"/>
    <w:rsid w:val="00EF43F6"/>
    <w:rsid w:val="00EF4519"/>
    <w:rsid w:val="00EF4BD4"/>
    <w:rsid w:val="00EF5C9F"/>
    <w:rsid w:val="00EF6B86"/>
    <w:rsid w:val="00EF73B1"/>
    <w:rsid w:val="00EF7882"/>
    <w:rsid w:val="00EF7967"/>
    <w:rsid w:val="00F00DDC"/>
    <w:rsid w:val="00F00FE8"/>
    <w:rsid w:val="00F015C4"/>
    <w:rsid w:val="00F01C3B"/>
    <w:rsid w:val="00F021D7"/>
    <w:rsid w:val="00F03E15"/>
    <w:rsid w:val="00F05739"/>
    <w:rsid w:val="00F068FC"/>
    <w:rsid w:val="00F06ACA"/>
    <w:rsid w:val="00F06EDE"/>
    <w:rsid w:val="00F0750F"/>
    <w:rsid w:val="00F07675"/>
    <w:rsid w:val="00F07AB3"/>
    <w:rsid w:val="00F10244"/>
    <w:rsid w:val="00F10407"/>
    <w:rsid w:val="00F10E08"/>
    <w:rsid w:val="00F11247"/>
    <w:rsid w:val="00F124D8"/>
    <w:rsid w:val="00F14CE1"/>
    <w:rsid w:val="00F15DCD"/>
    <w:rsid w:val="00F1714A"/>
    <w:rsid w:val="00F21947"/>
    <w:rsid w:val="00F225FC"/>
    <w:rsid w:val="00F234F0"/>
    <w:rsid w:val="00F24EAC"/>
    <w:rsid w:val="00F25896"/>
    <w:rsid w:val="00F25E8B"/>
    <w:rsid w:val="00F26AA1"/>
    <w:rsid w:val="00F26C8F"/>
    <w:rsid w:val="00F275D6"/>
    <w:rsid w:val="00F304DF"/>
    <w:rsid w:val="00F30BDC"/>
    <w:rsid w:val="00F313D6"/>
    <w:rsid w:val="00F317B5"/>
    <w:rsid w:val="00F31E00"/>
    <w:rsid w:val="00F34138"/>
    <w:rsid w:val="00F3531E"/>
    <w:rsid w:val="00F360DE"/>
    <w:rsid w:val="00F36E78"/>
    <w:rsid w:val="00F3767F"/>
    <w:rsid w:val="00F37D21"/>
    <w:rsid w:val="00F37E09"/>
    <w:rsid w:val="00F40F9F"/>
    <w:rsid w:val="00F427F0"/>
    <w:rsid w:val="00F42BE6"/>
    <w:rsid w:val="00F430C9"/>
    <w:rsid w:val="00F435B0"/>
    <w:rsid w:val="00F47668"/>
    <w:rsid w:val="00F47C2C"/>
    <w:rsid w:val="00F47F76"/>
    <w:rsid w:val="00F5067C"/>
    <w:rsid w:val="00F50832"/>
    <w:rsid w:val="00F508B0"/>
    <w:rsid w:val="00F515D4"/>
    <w:rsid w:val="00F51935"/>
    <w:rsid w:val="00F51CDF"/>
    <w:rsid w:val="00F51DAF"/>
    <w:rsid w:val="00F52598"/>
    <w:rsid w:val="00F52ACA"/>
    <w:rsid w:val="00F53747"/>
    <w:rsid w:val="00F53F5F"/>
    <w:rsid w:val="00F54436"/>
    <w:rsid w:val="00F54732"/>
    <w:rsid w:val="00F54CD8"/>
    <w:rsid w:val="00F54E4B"/>
    <w:rsid w:val="00F55CBD"/>
    <w:rsid w:val="00F56681"/>
    <w:rsid w:val="00F578C4"/>
    <w:rsid w:val="00F57B20"/>
    <w:rsid w:val="00F57DD2"/>
    <w:rsid w:val="00F601EA"/>
    <w:rsid w:val="00F61675"/>
    <w:rsid w:val="00F64127"/>
    <w:rsid w:val="00F649B7"/>
    <w:rsid w:val="00F64AEC"/>
    <w:rsid w:val="00F657FA"/>
    <w:rsid w:val="00F67044"/>
    <w:rsid w:val="00F67A35"/>
    <w:rsid w:val="00F67D0D"/>
    <w:rsid w:val="00F70352"/>
    <w:rsid w:val="00F71A30"/>
    <w:rsid w:val="00F72078"/>
    <w:rsid w:val="00F726C9"/>
    <w:rsid w:val="00F72789"/>
    <w:rsid w:val="00F72B56"/>
    <w:rsid w:val="00F72CDD"/>
    <w:rsid w:val="00F746BF"/>
    <w:rsid w:val="00F74B78"/>
    <w:rsid w:val="00F77EDA"/>
    <w:rsid w:val="00F80DE6"/>
    <w:rsid w:val="00F813E4"/>
    <w:rsid w:val="00F81DC4"/>
    <w:rsid w:val="00F81F5A"/>
    <w:rsid w:val="00F81FA2"/>
    <w:rsid w:val="00F83ADB"/>
    <w:rsid w:val="00F849B0"/>
    <w:rsid w:val="00F8520A"/>
    <w:rsid w:val="00F8571A"/>
    <w:rsid w:val="00F862E1"/>
    <w:rsid w:val="00F8790E"/>
    <w:rsid w:val="00F91AB0"/>
    <w:rsid w:val="00F93D12"/>
    <w:rsid w:val="00F95ED3"/>
    <w:rsid w:val="00F970F4"/>
    <w:rsid w:val="00F97B5E"/>
    <w:rsid w:val="00F97F0E"/>
    <w:rsid w:val="00FA15C7"/>
    <w:rsid w:val="00FA36DA"/>
    <w:rsid w:val="00FA52A4"/>
    <w:rsid w:val="00FA5A0D"/>
    <w:rsid w:val="00FA5A19"/>
    <w:rsid w:val="00FA5ABC"/>
    <w:rsid w:val="00FA75D5"/>
    <w:rsid w:val="00FA7B07"/>
    <w:rsid w:val="00FA7F8E"/>
    <w:rsid w:val="00FB1C4B"/>
    <w:rsid w:val="00FB328D"/>
    <w:rsid w:val="00FB350A"/>
    <w:rsid w:val="00FB3BE2"/>
    <w:rsid w:val="00FB4595"/>
    <w:rsid w:val="00FB5F65"/>
    <w:rsid w:val="00FB6170"/>
    <w:rsid w:val="00FC0CF9"/>
    <w:rsid w:val="00FC2CD5"/>
    <w:rsid w:val="00FC328D"/>
    <w:rsid w:val="00FC46B4"/>
    <w:rsid w:val="00FC47B4"/>
    <w:rsid w:val="00FC5132"/>
    <w:rsid w:val="00FC663A"/>
    <w:rsid w:val="00FD1480"/>
    <w:rsid w:val="00FD183C"/>
    <w:rsid w:val="00FD1CB8"/>
    <w:rsid w:val="00FD36F7"/>
    <w:rsid w:val="00FD3ADD"/>
    <w:rsid w:val="00FD433F"/>
    <w:rsid w:val="00FD43C1"/>
    <w:rsid w:val="00FD462C"/>
    <w:rsid w:val="00FD4753"/>
    <w:rsid w:val="00FD4B7B"/>
    <w:rsid w:val="00FD4C1E"/>
    <w:rsid w:val="00FD4D96"/>
    <w:rsid w:val="00FD5622"/>
    <w:rsid w:val="00FD58F0"/>
    <w:rsid w:val="00FD5ABD"/>
    <w:rsid w:val="00FD7F6A"/>
    <w:rsid w:val="00FE005F"/>
    <w:rsid w:val="00FE0A71"/>
    <w:rsid w:val="00FE2DDA"/>
    <w:rsid w:val="00FE3951"/>
    <w:rsid w:val="00FE49A6"/>
    <w:rsid w:val="00FE4D24"/>
    <w:rsid w:val="00FE54DA"/>
    <w:rsid w:val="00FE6634"/>
    <w:rsid w:val="00FE7865"/>
    <w:rsid w:val="00FF046A"/>
    <w:rsid w:val="00FF1C1F"/>
    <w:rsid w:val="00FF25B3"/>
    <w:rsid w:val="00FF3589"/>
    <w:rsid w:val="00FF3F5C"/>
    <w:rsid w:val="00FF4F23"/>
    <w:rsid w:val="00FF5AA4"/>
    <w:rsid w:val="00FF5E95"/>
    <w:rsid w:val="011365E2"/>
    <w:rsid w:val="01151446"/>
    <w:rsid w:val="01994668"/>
    <w:rsid w:val="01AD4344"/>
    <w:rsid w:val="01CE3CDE"/>
    <w:rsid w:val="02683C7E"/>
    <w:rsid w:val="0282BCB4"/>
    <w:rsid w:val="031A4CAF"/>
    <w:rsid w:val="0339F909"/>
    <w:rsid w:val="03EBB088"/>
    <w:rsid w:val="040851AF"/>
    <w:rsid w:val="05234455"/>
    <w:rsid w:val="054E9CF1"/>
    <w:rsid w:val="05602680"/>
    <w:rsid w:val="056701D9"/>
    <w:rsid w:val="058A3E6A"/>
    <w:rsid w:val="05AFF3F3"/>
    <w:rsid w:val="05EC1DA9"/>
    <w:rsid w:val="0600DEDB"/>
    <w:rsid w:val="064D2247"/>
    <w:rsid w:val="0665248D"/>
    <w:rsid w:val="0689E7F6"/>
    <w:rsid w:val="06903607"/>
    <w:rsid w:val="06BC522F"/>
    <w:rsid w:val="06BE874C"/>
    <w:rsid w:val="070C2B01"/>
    <w:rsid w:val="0713A5AF"/>
    <w:rsid w:val="07218772"/>
    <w:rsid w:val="07228544"/>
    <w:rsid w:val="07318A5A"/>
    <w:rsid w:val="074657C8"/>
    <w:rsid w:val="077BAAAA"/>
    <w:rsid w:val="077C9269"/>
    <w:rsid w:val="078D9FB7"/>
    <w:rsid w:val="079BD43C"/>
    <w:rsid w:val="07A897D6"/>
    <w:rsid w:val="07D65A9C"/>
    <w:rsid w:val="07E698DF"/>
    <w:rsid w:val="08095170"/>
    <w:rsid w:val="081B0C26"/>
    <w:rsid w:val="085A5E18"/>
    <w:rsid w:val="089D415C"/>
    <w:rsid w:val="08AE8244"/>
    <w:rsid w:val="08C43EAC"/>
    <w:rsid w:val="09137403"/>
    <w:rsid w:val="0951CF38"/>
    <w:rsid w:val="09C3536F"/>
    <w:rsid w:val="09FA4DBC"/>
    <w:rsid w:val="09FC8D65"/>
    <w:rsid w:val="0A30CC86"/>
    <w:rsid w:val="0A72866D"/>
    <w:rsid w:val="0AE03898"/>
    <w:rsid w:val="0AE82119"/>
    <w:rsid w:val="0AF2AF97"/>
    <w:rsid w:val="0B32C3B5"/>
    <w:rsid w:val="0B94E2BE"/>
    <w:rsid w:val="0B97B0D8"/>
    <w:rsid w:val="0BB80205"/>
    <w:rsid w:val="0BC97458"/>
    <w:rsid w:val="0BC9A9A0"/>
    <w:rsid w:val="0C1581BD"/>
    <w:rsid w:val="0C4DA67A"/>
    <w:rsid w:val="0C838645"/>
    <w:rsid w:val="0C95BFEC"/>
    <w:rsid w:val="0CAD400D"/>
    <w:rsid w:val="0D287828"/>
    <w:rsid w:val="0D5F4FCB"/>
    <w:rsid w:val="0DAAEF25"/>
    <w:rsid w:val="0E437616"/>
    <w:rsid w:val="0E6885AF"/>
    <w:rsid w:val="0E75CF5E"/>
    <w:rsid w:val="0EAA1460"/>
    <w:rsid w:val="0EF41A66"/>
    <w:rsid w:val="0F038A8F"/>
    <w:rsid w:val="0F5A50C7"/>
    <w:rsid w:val="0FDF4677"/>
    <w:rsid w:val="105B804E"/>
    <w:rsid w:val="1088CA67"/>
    <w:rsid w:val="10D3DA12"/>
    <w:rsid w:val="10DFD6C7"/>
    <w:rsid w:val="10F61820"/>
    <w:rsid w:val="10F62128"/>
    <w:rsid w:val="1110C6F1"/>
    <w:rsid w:val="114F7A1C"/>
    <w:rsid w:val="11BDE5CF"/>
    <w:rsid w:val="11FE8C7C"/>
    <w:rsid w:val="1206F25C"/>
    <w:rsid w:val="12153E38"/>
    <w:rsid w:val="1278242E"/>
    <w:rsid w:val="127C1821"/>
    <w:rsid w:val="128E4ED6"/>
    <w:rsid w:val="129371F2"/>
    <w:rsid w:val="12A2B18E"/>
    <w:rsid w:val="12BB8640"/>
    <w:rsid w:val="1338C165"/>
    <w:rsid w:val="13443ECA"/>
    <w:rsid w:val="13473624"/>
    <w:rsid w:val="13679DC6"/>
    <w:rsid w:val="1371678D"/>
    <w:rsid w:val="138893A9"/>
    <w:rsid w:val="13960C64"/>
    <w:rsid w:val="13C89860"/>
    <w:rsid w:val="13D85C54"/>
    <w:rsid w:val="13F0453D"/>
    <w:rsid w:val="143FC70A"/>
    <w:rsid w:val="1476616F"/>
    <w:rsid w:val="158110D7"/>
    <w:rsid w:val="162EA203"/>
    <w:rsid w:val="164E87FB"/>
    <w:rsid w:val="16B05A00"/>
    <w:rsid w:val="16C0346B"/>
    <w:rsid w:val="16FB1E53"/>
    <w:rsid w:val="17267B47"/>
    <w:rsid w:val="1739C633"/>
    <w:rsid w:val="176559D3"/>
    <w:rsid w:val="17CE6323"/>
    <w:rsid w:val="17DB52DB"/>
    <w:rsid w:val="17F3A84A"/>
    <w:rsid w:val="182FDCA4"/>
    <w:rsid w:val="1842B7E1"/>
    <w:rsid w:val="1855BC03"/>
    <w:rsid w:val="1873ED2C"/>
    <w:rsid w:val="188C8E23"/>
    <w:rsid w:val="18B053C7"/>
    <w:rsid w:val="18C0E4B9"/>
    <w:rsid w:val="18D7EF2C"/>
    <w:rsid w:val="196E1856"/>
    <w:rsid w:val="199FBAA1"/>
    <w:rsid w:val="19A4E008"/>
    <w:rsid w:val="19C83C62"/>
    <w:rsid w:val="1A189599"/>
    <w:rsid w:val="1A9E4371"/>
    <w:rsid w:val="1A9EB8F8"/>
    <w:rsid w:val="1AA1ECA4"/>
    <w:rsid w:val="1AB980C5"/>
    <w:rsid w:val="1AE61241"/>
    <w:rsid w:val="1AE628DB"/>
    <w:rsid w:val="1B0DA944"/>
    <w:rsid w:val="1B3ED2EB"/>
    <w:rsid w:val="1BAAB458"/>
    <w:rsid w:val="1BCF12F5"/>
    <w:rsid w:val="1BE7F489"/>
    <w:rsid w:val="1C36674D"/>
    <w:rsid w:val="1C46CD1D"/>
    <w:rsid w:val="1CAC1E6F"/>
    <w:rsid w:val="1CACBA87"/>
    <w:rsid w:val="1CBDC97F"/>
    <w:rsid w:val="1CC21102"/>
    <w:rsid w:val="1D480103"/>
    <w:rsid w:val="1D6CC759"/>
    <w:rsid w:val="1DA7EA92"/>
    <w:rsid w:val="1DC4E9C2"/>
    <w:rsid w:val="1DFD9B93"/>
    <w:rsid w:val="1E5999E0"/>
    <w:rsid w:val="1EDFF056"/>
    <w:rsid w:val="1EE2A74A"/>
    <w:rsid w:val="1F60BA23"/>
    <w:rsid w:val="1FB9EF6A"/>
    <w:rsid w:val="1FC675A0"/>
    <w:rsid w:val="1FED370D"/>
    <w:rsid w:val="2047FA07"/>
    <w:rsid w:val="20D9EA9B"/>
    <w:rsid w:val="21146E7B"/>
    <w:rsid w:val="213F8CC6"/>
    <w:rsid w:val="21906F6C"/>
    <w:rsid w:val="219C7745"/>
    <w:rsid w:val="21AF289F"/>
    <w:rsid w:val="21BA25EA"/>
    <w:rsid w:val="21C1BFEF"/>
    <w:rsid w:val="21C38342"/>
    <w:rsid w:val="21D34E47"/>
    <w:rsid w:val="221A480C"/>
    <w:rsid w:val="2242097C"/>
    <w:rsid w:val="22B002D9"/>
    <w:rsid w:val="22E86FCC"/>
    <w:rsid w:val="22F0F8B4"/>
    <w:rsid w:val="233152B5"/>
    <w:rsid w:val="235A6B06"/>
    <w:rsid w:val="23A64323"/>
    <w:rsid w:val="24303624"/>
    <w:rsid w:val="24320910"/>
    <w:rsid w:val="2432A088"/>
    <w:rsid w:val="24342B46"/>
    <w:rsid w:val="24E2C0C9"/>
    <w:rsid w:val="24E460E9"/>
    <w:rsid w:val="2518ABA0"/>
    <w:rsid w:val="2551E8CE"/>
    <w:rsid w:val="25C16B4C"/>
    <w:rsid w:val="25FA6978"/>
    <w:rsid w:val="2610A0A3"/>
    <w:rsid w:val="264B33C2"/>
    <w:rsid w:val="26F6D2BD"/>
    <w:rsid w:val="2765D138"/>
    <w:rsid w:val="27F6F071"/>
    <w:rsid w:val="282720F7"/>
    <w:rsid w:val="28917716"/>
    <w:rsid w:val="28AF7A00"/>
    <w:rsid w:val="29079C69"/>
    <w:rsid w:val="290B026A"/>
    <w:rsid w:val="2967EE5F"/>
    <w:rsid w:val="29C2F158"/>
    <w:rsid w:val="29C3B659"/>
    <w:rsid w:val="29F236E9"/>
    <w:rsid w:val="2A47930D"/>
    <w:rsid w:val="2A6974A6"/>
    <w:rsid w:val="2AA43EAE"/>
    <w:rsid w:val="2B053391"/>
    <w:rsid w:val="2B2870A3"/>
    <w:rsid w:val="2B6A022B"/>
    <w:rsid w:val="2B801674"/>
    <w:rsid w:val="2B8106A3"/>
    <w:rsid w:val="2B95D288"/>
    <w:rsid w:val="2BA31BE8"/>
    <w:rsid w:val="2BC917D8"/>
    <w:rsid w:val="2C3EDD02"/>
    <w:rsid w:val="2C6B3B91"/>
    <w:rsid w:val="2C7C1698"/>
    <w:rsid w:val="2C800303"/>
    <w:rsid w:val="2C856AA5"/>
    <w:rsid w:val="2CC17054"/>
    <w:rsid w:val="2CC30F24"/>
    <w:rsid w:val="2D278A54"/>
    <w:rsid w:val="2D29922F"/>
    <w:rsid w:val="2D304128"/>
    <w:rsid w:val="2DB9D13A"/>
    <w:rsid w:val="2DF3F583"/>
    <w:rsid w:val="2DFEC59B"/>
    <w:rsid w:val="2EAF64C2"/>
    <w:rsid w:val="2EBDD6B7"/>
    <w:rsid w:val="2EE1AD16"/>
    <w:rsid w:val="2F045453"/>
    <w:rsid w:val="2F2D6CA4"/>
    <w:rsid w:val="2F69DB6B"/>
    <w:rsid w:val="2FE51749"/>
    <w:rsid w:val="3004CB6B"/>
    <w:rsid w:val="301523D1"/>
    <w:rsid w:val="30225383"/>
    <w:rsid w:val="30276286"/>
    <w:rsid w:val="303C66D9"/>
    <w:rsid w:val="3088E0B4"/>
    <w:rsid w:val="308ED3F2"/>
    <w:rsid w:val="3098787F"/>
    <w:rsid w:val="30BB83FA"/>
    <w:rsid w:val="31259B29"/>
    <w:rsid w:val="313EACB4"/>
    <w:rsid w:val="314571D8"/>
    <w:rsid w:val="3158DBC8"/>
    <w:rsid w:val="316CA032"/>
    <w:rsid w:val="31904BEE"/>
    <w:rsid w:val="31D8373A"/>
    <w:rsid w:val="321AF247"/>
    <w:rsid w:val="327D6171"/>
    <w:rsid w:val="32B90F5C"/>
    <w:rsid w:val="32D808C2"/>
    <w:rsid w:val="330DD486"/>
    <w:rsid w:val="332AAE22"/>
    <w:rsid w:val="333450DB"/>
    <w:rsid w:val="333BD4B5"/>
    <w:rsid w:val="336C1A15"/>
    <w:rsid w:val="3414A4C0"/>
    <w:rsid w:val="3444B5E4"/>
    <w:rsid w:val="346352C5"/>
    <w:rsid w:val="348ABF0C"/>
    <w:rsid w:val="351C55DF"/>
    <w:rsid w:val="35235EE8"/>
    <w:rsid w:val="352B3E6B"/>
    <w:rsid w:val="35539FFB"/>
    <w:rsid w:val="355EE56E"/>
    <w:rsid w:val="35A8F665"/>
    <w:rsid w:val="35CB6C56"/>
    <w:rsid w:val="35D51F49"/>
    <w:rsid w:val="366BF19D"/>
    <w:rsid w:val="367CAD46"/>
    <w:rsid w:val="367F952F"/>
    <w:rsid w:val="371F0927"/>
    <w:rsid w:val="373A336B"/>
    <w:rsid w:val="375503C7"/>
    <w:rsid w:val="3762441F"/>
    <w:rsid w:val="3765B9DA"/>
    <w:rsid w:val="37880F34"/>
    <w:rsid w:val="37AC8F74"/>
    <w:rsid w:val="37ED409C"/>
    <w:rsid w:val="37FF8D72"/>
    <w:rsid w:val="382F36D9"/>
    <w:rsid w:val="384778BE"/>
    <w:rsid w:val="388B1413"/>
    <w:rsid w:val="38B368FB"/>
    <w:rsid w:val="38CF5C50"/>
    <w:rsid w:val="390CC00B"/>
    <w:rsid w:val="3A07D101"/>
    <w:rsid w:val="3A25BAF0"/>
    <w:rsid w:val="3A291EAE"/>
    <w:rsid w:val="3A42836A"/>
    <w:rsid w:val="3A695BB1"/>
    <w:rsid w:val="3A7C6788"/>
    <w:rsid w:val="3A7E57F4"/>
    <w:rsid w:val="3AB4D960"/>
    <w:rsid w:val="3B1CED55"/>
    <w:rsid w:val="3B372E34"/>
    <w:rsid w:val="3B7B02CD"/>
    <w:rsid w:val="3BA7D20A"/>
    <w:rsid w:val="3BA9B922"/>
    <w:rsid w:val="3BC4CAF8"/>
    <w:rsid w:val="3BEE5602"/>
    <w:rsid w:val="3C052C12"/>
    <w:rsid w:val="3C1837E9"/>
    <w:rsid w:val="3C3EC8A9"/>
    <w:rsid w:val="3C4460CD"/>
    <w:rsid w:val="3C4C4E10"/>
    <w:rsid w:val="3C629A4D"/>
    <w:rsid w:val="3C815F5B"/>
    <w:rsid w:val="3C9B8E6F"/>
    <w:rsid w:val="3D57F263"/>
    <w:rsid w:val="3D6AABA0"/>
    <w:rsid w:val="3D7B0C03"/>
    <w:rsid w:val="3D89A516"/>
    <w:rsid w:val="3DD65ED4"/>
    <w:rsid w:val="3DDE6BC1"/>
    <w:rsid w:val="3E088AED"/>
    <w:rsid w:val="3E81FA02"/>
    <w:rsid w:val="3E96B2FC"/>
    <w:rsid w:val="3ECA412E"/>
    <w:rsid w:val="3F507E97"/>
    <w:rsid w:val="3F73E1F0"/>
    <w:rsid w:val="3F8D0A4D"/>
    <w:rsid w:val="3FA49DA1"/>
    <w:rsid w:val="3FBB3759"/>
    <w:rsid w:val="4028A241"/>
    <w:rsid w:val="40528AA3"/>
    <w:rsid w:val="40C9E249"/>
    <w:rsid w:val="40E11D2E"/>
    <w:rsid w:val="410439F1"/>
    <w:rsid w:val="412FB33B"/>
    <w:rsid w:val="416EFF92"/>
    <w:rsid w:val="421BA54B"/>
    <w:rsid w:val="4246D5A3"/>
    <w:rsid w:val="425291BE"/>
    <w:rsid w:val="425E03B6"/>
    <w:rsid w:val="42652FA3"/>
    <w:rsid w:val="42746D96"/>
    <w:rsid w:val="42924525"/>
    <w:rsid w:val="42B43F9C"/>
    <w:rsid w:val="42B79A14"/>
    <w:rsid w:val="42D6393C"/>
    <w:rsid w:val="431525F1"/>
    <w:rsid w:val="4331483E"/>
    <w:rsid w:val="435202AB"/>
    <w:rsid w:val="436605BD"/>
    <w:rsid w:val="438A2B65"/>
    <w:rsid w:val="43B82506"/>
    <w:rsid w:val="44103DF7"/>
    <w:rsid w:val="443C03F3"/>
    <w:rsid w:val="4451EF47"/>
    <w:rsid w:val="44621F2E"/>
    <w:rsid w:val="448BF547"/>
    <w:rsid w:val="44945EC6"/>
    <w:rsid w:val="450400EA"/>
    <w:rsid w:val="4521E513"/>
    <w:rsid w:val="45275A0E"/>
    <w:rsid w:val="4553F567"/>
    <w:rsid w:val="45789144"/>
    <w:rsid w:val="45E32374"/>
    <w:rsid w:val="45FC4BD1"/>
    <w:rsid w:val="465C308A"/>
    <w:rsid w:val="466EF8B3"/>
    <w:rsid w:val="46868CF8"/>
    <w:rsid w:val="4686A8EE"/>
    <w:rsid w:val="469515B9"/>
    <w:rsid w:val="4696A57F"/>
    <w:rsid w:val="46AA5824"/>
    <w:rsid w:val="46D24BFA"/>
    <w:rsid w:val="470A38D3"/>
    <w:rsid w:val="47192567"/>
    <w:rsid w:val="4731D945"/>
    <w:rsid w:val="473633A8"/>
    <w:rsid w:val="47737B75"/>
    <w:rsid w:val="477EF3D5"/>
    <w:rsid w:val="47A9F878"/>
    <w:rsid w:val="481129BD"/>
    <w:rsid w:val="4822794F"/>
    <w:rsid w:val="4860CC70"/>
    <w:rsid w:val="494B4B56"/>
    <w:rsid w:val="498518E0"/>
    <w:rsid w:val="49985940"/>
    <w:rsid w:val="4999CC27"/>
    <w:rsid w:val="49B8990F"/>
    <w:rsid w:val="49D57998"/>
    <w:rsid w:val="49E73B22"/>
    <w:rsid w:val="49F9EAD7"/>
    <w:rsid w:val="49FA559F"/>
    <w:rsid w:val="4ADA92DB"/>
    <w:rsid w:val="4AFFAE85"/>
    <w:rsid w:val="4B03A04A"/>
    <w:rsid w:val="4B1568F7"/>
    <w:rsid w:val="4B158A9D"/>
    <w:rsid w:val="4B3429A1"/>
    <w:rsid w:val="4B360F9B"/>
    <w:rsid w:val="4B61F932"/>
    <w:rsid w:val="4BBBC9C7"/>
    <w:rsid w:val="4BCDA13B"/>
    <w:rsid w:val="4BD45B31"/>
    <w:rsid w:val="4BFA7115"/>
    <w:rsid w:val="4C6ECEAC"/>
    <w:rsid w:val="4C8D680D"/>
    <w:rsid w:val="4C93C99A"/>
    <w:rsid w:val="4D0E99B1"/>
    <w:rsid w:val="4D1C7E11"/>
    <w:rsid w:val="4D2B6C3A"/>
    <w:rsid w:val="4E162FD0"/>
    <w:rsid w:val="4E3FA209"/>
    <w:rsid w:val="4E81972F"/>
    <w:rsid w:val="4E8392F6"/>
    <w:rsid w:val="4F41B0C2"/>
    <w:rsid w:val="4F7501A5"/>
    <w:rsid w:val="4F841C48"/>
    <w:rsid w:val="4FD43240"/>
    <w:rsid w:val="4FE9EA73"/>
    <w:rsid w:val="501768D2"/>
    <w:rsid w:val="5027DAC2"/>
    <w:rsid w:val="5040970B"/>
    <w:rsid w:val="50630CFC"/>
    <w:rsid w:val="510CAA1E"/>
    <w:rsid w:val="5120FD52"/>
    <w:rsid w:val="517002A1"/>
    <w:rsid w:val="519DE174"/>
    <w:rsid w:val="51BBFEEE"/>
    <w:rsid w:val="51BE74A1"/>
    <w:rsid w:val="51D6C296"/>
    <w:rsid w:val="520855A1"/>
    <w:rsid w:val="525132EE"/>
    <w:rsid w:val="525A212B"/>
    <w:rsid w:val="5272915E"/>
    <w:rsid w:val="52AB9B4A"/>
    <w:rsid w:val="52BFBDFC"/>
    <w:rsid w:val="52D6E001"/>
    <w:rsid w:val="53505109"/>
    <w:rsid w:val="53687196"/>
    <w:rsid w:val="53DC9908"/>
    <w:rsid w:val="5419D61C"/>
    <w:rsid w:val="54693FBC"/>
    <w:rsid w:val="54DC94F5"/>
    <w:rsid w:val="54EA6D3C"/>
    <w:rsid w:val="54EB2DF9"/>
    <w:rsid w:val="554E7322"/>
    <w:rsid w:val="55B6C7DE"/>
    <w:rsid w:val="55C4ABAD"/>
    <w:rsid w:val="55D2CA01"/>
    <w:rsid w:val="55D8C138"/>
    <w:rsid w:val="55E9D85F"/>
    <w:rsid w:val="564BB66C"/>
    <w:rsid w:val="56B5F515"/>
    <w:rsid w:val="571EF22A"/>
    <w:rsid w:val="571EF9CF"/>
    <w:rsid w:val="575176DE"/>
    <w:rsid w:val="5751C1FB"/>
    <w:rsid w:val="5776281E"/>
    <w:rsid w:val="5792ADC1"/>
    <w:rsid w:val="57B28A87"/>
    <w:rsid w:val="57C306A8"/>
    <w:rsid w:val="58760C67"/>
    <w:rsid w:val="58C66F83"/>
    <w:rsid w:val="58E13DF5"/>
    <w:rsid w:val="58F11178"/>
    <w:rsid w:val="5970280B"/>
    <w:rsid w:val="59A95C3E"/>
    <w:rsid w:val="5A7BB1DD"/>
    <w:rsid w:val="5ABB7D8A"/>
    <w:rsid w:val="5BF45EAA"/>
    <w:rsid w:val="5C0E8DBE"/>
    <w:rsid w:val="5C9AD136"/>
    <w:rsid w:val="5CA2FADA"/>
    <w:rsid w:val="5CF327C6"/>
    <w:rsid w:val="5D4A5299"/>
    <w:rsid w:val="5DC0E09B"/>
    <w:rsid w:val="5DD62CB1"/>
    <w:rsid w:val="5E6EDA21"/>
    <w:rsid w:val="5E83EC3B"/>
    <w:rsid w:val="5F26026B"/>
    <w:rsid w:val="5FEBD376"/>
    <w:rsid w:val="60C09412"/>
    <w:rsid w:val="60C7CFCD"/>
    <w:rsid w:val="60E1FEE1"/>
    <w:rsid w:val="617669BF"/>
    <w:rsid w:val="61BD6D50"/>
    <w:rsid w:val="61CDD44E"/>
    <w:rsid w:val="61D637E6"/>
    <w:rsid w:val="622A092F"/>
    <w:rsid w:val="625E211B"/>
    <w:rsid w:val="626EA417"/>
    <w:rsid w:val="62C68F6F"/>
    <w:rsid w:val="6312BD0A"/>
    <w:rsid w:val="635AC447"/>
    <w:rsid w:val="635F39F2"/>
    <w:rsid w:val="6383E4A6"/>
    <w:rsid w:val="63A1EE9D"/>
    <w:rsid w:val="642A3BB5"/>
    <w:rsid w:val="6446365A"/>
    <w:rsid w:val="6447085A"/>
    <w:rsid w:val="647BFB93"/>
    <w:rsid w:val="64858013"/>
    <w:rsid w:val="648CFB68"/>
    <w:rsid w:val="64CC6A70"/>
    <w:rsid w:val="64DA92C5"/>
    <w:rsid w:val="64FB791B"/>
    <w:rsid w:val="656BA825"/>
    <w:rsid w:val="6573D9A2"/>
    <w:rsid w:val="657E9BFF"/>
    <w:rsid w:val="6580B9CF"/>
    <w:rsid w:val="65AA98A7"/>
    <w:rsid w:val="65F1BAB7"/>
    <w:rsid w:val="661FEA10"/>
    <w:rsid w:val="662E3315"/>
    <w:rsid w:val="666E8D01"/>
    <w:rsid w:val="66D73773"/>
    <w:rsid w:val="66F05FD0"/>
    <w:rsid w:val="6735B28D"/>
    <w:rsid w:val="67371151"/>
    <w:rsid w:val="6741D189"/>
    <w:rsid w:val="675D61CC"/>
    <w:rsid w:val="677FD961"/>
    <w:rsid w:val="678F5C18"/>
    <w:rsid w:val="68161830"/>
    <w:rsid w:val="6865EBFD"/>
    <w:rsid w:val="6895E324"/>
    <w:rsid w:val="6938FCE4"/>
    <w:rsid w:val="6984D953"/>
    <w:rsid w:val="6A0CA24B"/>
    <w:rsid w:val="6A2993E6"/>
    <w:rsid w:val="6A639830"/>
    <w:rsid w:val="6A6ED1C5"/>
    <w:rsid w:val="6B082328"/>
    <w:rsid w:val="6B35613D"/>
    <w:rsid w:val="6BF41206"/>
    <w:rsid w:val="6C0F8699"/>
    <w:rsid w:val="6C692F8C"/>
    <w:rsid w:val="6C6D71B5"/>
    <w:rsid w:val="6CB1BF66"/>
    <w:rsid w:val="6D096A46"/>
    <w:rsid w:val="6D12C82F"/>
    <w:rsid w:val="6DC34470"/>
    <w:rsid w:val="6DC4C0FF"/>
    <w:rsid w:val="6DCF9457"/>
    <w:rsid w:val="6DD3A4FA"/>
    <w:rsid w:val="6DDEC9B2"/>
    <w:rsid w:val="6DE791AC"/>
    <w:rsid w:val="6E79805C"/>
    <w:rsid w:val="6EAEDAD3"/>
    <w:rsid w:val="6F128A6B"/>
    <w:rsid w:val="6F2DC5E5"/>
    <w:rsid w:val="6F3D5DB0"/>
    <w:rsid w:val="6F5F14D1"/>
    <w:rsid w:val="6F66B721"/>
    <w:rsid w:val="6FAD58DE"/>
    <w:rsid w:val="6FDFE9D2"/>
    <w:rsid w:val="7002DE4A"/>
    <w:rsid w:val="70050706"/>
    <w:rsid w:val="70348765"/>
    <w:rsid w:val="703BC37A"/>
    <w:rsid w:val="703CB231"/>
    <w:rsid w:val="704BF1F0"/>
    <w:rsid w:val="70502D6D"/>
    <w:rsid w:val="70BA1C49"/>
    <w:rsid w:val="70D9A407"/>
    <w:rsid w:val="70DC94D3"/>
    <w:rsid w:val="70E72038"/>
    <w:rsid w:val="711E9F00"/>
    <w:rsid w:val="712D149B"/>
    <w:rsid w:val="713B26EF"/>
    <w:rsid w:val="713C5AE4"/>
    <w:rsid w:val="71459065"/>
    <w:rsid w:val="71600A1A"/>
    <w:rsid w:val="718C8FC7"/>
    <w:rsid w:val="71B7838B"/>
    <w:rsid w:val="72260585"/>
    <w:rsid w:val="723147C2"/>
    <w:rsid w:val="7248AD72"/>
    <w:rsid w:val="72698C55"/>
    <w:rsid w:val="7293C6C9"/>
    <w:rsid w:val="7315A4BE"/>
    <w:rsid w:val="7326DFBF"/>
    <w:rsid w:val="733785DE"/>
    <w:rsid w:val="7388B21E"/>
    <w:rsid w:val="73EDE914"/>
    <w:rsid w:val="740196CE"/>
    <w:rsid w:val="7402FABE"/>
    <w:rsid w:val="74277D16"/>
    <w:rsid w:val="746D9DAD"/>
    <w:rsid w:val="7481BBCD"/>
    <w:rsid w:val="7490B974"/>
    <w:rsid w:val="7524827F"/>
    <w:rsid w:val="75AE858D"/>
    <w:rsid w:val="762F7B24"/>
    <w:rsid w:val="76444C68"/>
    <w:rsid w:val="76BB3374"/>
    <w:rsid w:val="76BED527"/>
    <w:rsid w:val="76EEEE91"/>
    <w:rsid w:val="770816EE"/>
    <w:rsid w:val="772273CE"/>
    <w:rsid w:val="7732ADFA"/>
    <w:rsid w:val="7764E196"/>
    <w:rsid w:val="77A3AEE2"/>
    <w:rsid w:val="77AB9C68"/>
    <w:rsid w:val="784656E5"/>
    <w:rsid w:val="7898F538"/>
    <w:rsid w:val="78B181A8"/>
    <w:rsid w:val="78C3E566"/>
    <w:rsid w:val="7929B0E5"/>
    <w:rsid w:val="797CEE91"/>
    <w:rsid w:val="7982AA95"/>
    <w:rsid w:val="79962143"/>
    <w:rsid w:val="79A448AE"/>
    <w:rsid w:val="79E43DFE"/>
    <w:rsid w:val="7A268F53"/>
    <w:rsid w:val="7AB277C5"/>
    <w:rsid w:val="7AF2F0B5"/>
    <w:rsid w:val="7B06EC60"/>
    <w:rsid w:val="7B11ED36"/>
    <w:rsid w:val="7B2271E5"/>
    <w:rsid w:val="7B5B1C0D"/>
    <w:rsid w:val="7B6F551C"/>
    <w:rsid w:val="7B799F87"/>
    <w:rsid w:val="7BE52695"/>
    <w:rsid w:val="7C591D1B"/>
    <w:rsid w:val="7C8786F6"/>
    <w:rsid w:val="7C89BEBD"/>
    <w:rsid w:val="7CCFCF26"/>
    <w:rsid w:val="7D2096A0"/>
    <w:rsid w:val="7D775872"/>
    <w:rsid w:val="7D7BA2FD"/>
    <w:rsid w:val="7E2CF628"/>
    <w:rsid w:val="7E358537"/>
    <w:rsid w:val="7E5A12A7"/>
    <w:rsid w:val="7EB4C6A4"/>
    <w:rsid w:val="7F4F7087"/>
    <w:rsid w:val="7FC9BA24"/>
    <w:rsid w:val="7FEDB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1DABB3"/>
  <w14:defaultImageDpi w14:val="330"/>
  <w15:docId w15:val="{580534B5-B7CA-4B4B-A9CD-990136D8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55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9FA"/>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D319FA"/>
  </w:style>
  <w:style w:type="paragraph" w:styleId="BalloonText">
    <w:name w:val="Balloon Text"/>
    <w:basedOn w:val="Normal"/>
    <w:link w:val="BalloonTextChar"/>
    <w:uiPriority w:val="99"/>
    <w:semiHidden/>
    <w:unhideWhenUsed/>
    <w:rsid w:val="00390CFD"/>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390CFD"/>
    <w:rPr>
      <w:rFonts w:ascii="Segoe UI" w:hAnsi="Segoe UI" w:cs="Segoe UI"/>
      <w:sz w:val="18"/>
      <w:szCs w:val="18"/>
    </w:rPr>
  </w:style>
  <w:style w:type="table" w:customStyle="1" w:styleId="PlainTable11">
    <w:name w:val="Plain Table 11"/>
    <w:basedOn w:val="TableNormal"/>
    <w:uiPriority w:val="41"/>
    <w:rsid w:val="004B0345"/>
    <w:rPr>
      <w:rFonts w:eastAsiaTheme="minorHAns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43879"/>
    <w:rPr>
      <w:color w:val="0000FF" w:themeColor="hyperlink"/>
      <w:u w:val="single"/>
    </w:rPr>
  </w:style>
  <w:style w:type="table" w:styleId="TableGrid">
    <w:name w:val="Table Grid"/>
    <w:basedOn w:val="TableNormal"/>
    <w:uiPriority w:val="59"/>
    <w:rsid w:val="008E1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99"/>
    <w:rsid w:val="00BE461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20487"/>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B20487"/>
    <w:rPr>
      <w:sz w:val="20"/>
      <w:szCs w:val="20"/>
    </w:rPr>
  </w:style>
  <w:style w:type="character" w:styleId="FootnoteReference">
    <w:name w:val="footnote reference"/>
    <w:basedOn w:val="DefaultParagraphFont"/>
    <w:uiPriority w:val="99"/>
    <w:semiHidden/>
    <w:unhideWhenUsed/>
    <w:rsid w:val="00B20487"/>
    <w:rPr>
      <w:vertAlign w:val="superscript"/>
    </w:rPr>
  </w:style>
  <w:style w:type="paragraph" w:styleId="ListParagraph">
    <w:name w:val="List Paragraph"/>
    <w:basedOn w:val="Normal"/>
    <w:uiPriority w:val="34"/>
    <w:qFormat/>
    <w:rsid w:val="00EF43F6"/>
    <w:pPr>
      <w:ind w:left="720"/>
      <w:contextualSpacing/>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3549BE"/>
    <w:rPr>
      <w:color w:val="800080" w:themeColor="followedHyperlink"/>
      <w:u w:val="single"/>
    </w:rPr>
  </w:style>
  <w:style w:type="character" w:styleId="CommentReference">
    <w:name w:val="annotation reference"/>
    <w:basedOn w:val="DefaultParagraphFont"/>
    <w:uiPriority w:val="99"/>
    <w:semiHidden/>
    <w:unhideWhenUsed/>
    <w:rsid w:val="001866AE"/>
    <w:rPr>
      <w:sz w:val="16"/>
      <w:szCs w:val="16"/>
    </w:rPr>
  </w:style>
  <w:style w:type="paragraph" w:styleId="CommentText">
    <w:name w:val="annotation text"/>
    <w:basedOn w:val="Normal"/>
    <w:link w:val="CommentTextChar"/>
    <w:uiPriority w:val="99"/>
    <w:unhideWhenUsed/>
    <w:rsid w:val="001866AE"/>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866AE"/>
    <w:rPr>
      <w:sz w:val="20"/>
      <w:szCs w:val="20"/>
    </w:rPr>
  </w:style>
  <w:style w:type="paragraph" w:styleId="CommentSubject">
    <w:name w:val="annotation subject"/>
    <w:basedOn w:val="CommentText"/>
    <w:next w:val="CommentText"/>
    <w:link w:val="CommentSubjectChar"/>
    <w:uiPriority w:val="99"/>
    <w:semiHidden/>
    <w:unhideWhenUsed/>
    <w:rsid w:val="001866AE"/>
    <w:rPr>
      <w:b/>
      <w:bCs/>
    </w:rPr>
  </w:style>
  <w:style w:type="character" w:customStyle="1" w:styleId="CommentSubjectChar">
    <w:name w:val="Comment Subject Char"/>
    <w:basedOn w:val="CommentTextChar"/>
    <w:link w:val="CommentSubject"/>
    <w:uiPriority w:val="99"/>
    <w:semiHidden/>
    <w:rsid w:val="001866AE"/>
    <w:rPr>
      <w:b/>
      <w:bCs/>
      <w:sz w:val="20"/>
      <w:szCs w:val="20"/>
    </w:rPr>
  </w:style>
  <w:style w:type="paragraph" w:styleId="DocumentMap">
    <w:name w:val="Document Map"/>
    <w:basedOn w:val="Normal"/>
    <w:link w:val="DocumentMapChar"/>
    <w:uiPriority w:val="99"/>
    <w:semiHidden/>
    <w:unhideWhenUsed/>
    <w:rsid w:val="00EE4569"/>
    <w:rPr>
      <w:rFonts w:eastAsiaTheme="minorEastAsia"/>
    </w:rPr>
  </w:style>
  <w:style w:type="character" w:customStyle="1" w:styleId="DocumentMapChar">
    <w:name w:val="Document Map Char"/>
    <w:basedOn w:val="DefaultParagraphFont"/>
    <w:link w:val="DocumentMap"/>
    <w:uiPriority w:val="99"/>
    <w:semiHidden/>
    <w:rsid w:val="00EE4569"/>
    <w:rPr>
      <w:rFonts w:ascii="Times New Roman" w:hAnsi="Times New Roman" w:cs="Times New Roman"/>
    </w:rPr>
  </w:style>
  <w:style w:type="paragraph" w:styleId="Revision">
    <w:name w:val="Revision"/>
    <w:hidden/>
    <w:uiPriority w:val="99"/>
    <w:semiHidden/>
    <w:rsid w:val="00EE4569"/>
  </w:style>
  <w:style w:type="paragraph" w:styleId="Footer">
    <w:name w:val="footer"/>
    <w:basedOn w:val="Normal"/>
    <w:link w:val="FooterChar"/>
    <w:uiPriority w:val="99"/>
    <w:unhideWhenUsed/>
    <w:rsid w:val="00C565E2"/>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565E2"/>
  </w:style>
  <w:style w:type="character" w:styleId="PageNumber">
    <w:name w:val="page number"/>
    <w:basedOn w:val="DefaultParagraphFont"/>
    <w:uiPriority w:val="99"/>
    <w:semiHidden/>
    <w:unhideWhenUsed/>
    <w:rsid w:val="00C565E2"/>
  </w:style>
  <w:style w:type="paragraph" w:styleId="Header">
    <w:name w:val="header"/>
    <w:basedOn w:val="Normal"/>
    <w:link w:val="HeaderChar"/>
    <w:uiPriority w:val="99"/>
    <w:unhideWhenUsed/>
    <w:rsid w:val="00A3798C"/>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3798C"/>
  </w:style>
  <w:style w:type="character" w:styleId="Strong">
    <w:name w:val="Strong"/>
    <w:basedOn w:val="DefaultParagraphFont"/>
    <w:uiPriority w:val="22"/>
    <w:qFormat/>
    <w:rsid w:val="003723F8"/>
    <w:rPr>
      <w:b/>
      <w:bCs/>
    </w:rPr>
  </w:style>
  <w:style w:type="character" w:customStyle="1" w:styleId="UnresolvedMention1">
    <w:name w:val="Unresolved Mention1"/>
    <w:basedOn w:val="DefaultParagraphFont"/>
    <w:uiPriority w:val="99"/>
    <w:rsid w:val="00F64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620">
      <w:bodyDiv w:val="1"/>
      <w:marLeft w:val="0"/>
      <w:marRight w:val="0"/>
      <w:marTop w:val="0"/>
      <w:marBottom w:val="0"/>
      <w:divBdr>
        <w:top w:val="none" w:sz="0" w:space="0" w:color="auto"/>
        <w:left w:val="none" w:sz="0" w:space="0" w:color="auto"/>
        <w:bottom w:val="none" w:sz="0" w:space="0" w:color="auto"/>
        <w:right w:val="none" w:sz="0" w:space="0" w:color="auto"/>
      </w:divBdr>
    </w:div>
    <w:div w:id="10451506">
      <w:bodyDiv w:val="1"/>
      <w:marLeft w:val="0"/>
      <w:marRight w:val="0"/>
      <w:marTop w:val="0"/>
      <w:marBottom w:val="0"/>
      <w:divBdr>
        <w:top w:val="none" w:sz="0" w:space="0" w:color="auto"/>
        <w:left w:val="none" w:sz="0" w:space="0" w:color="auto"/>
        <w:bottom w:val="none" w:sz="0" w:space="0" w:color="auto"/>
        <w:right w:val="none" w:sz="0" w:space="0" w:color="auto"/>
      </w:divBdr>
    </w:div>
    <w:div w:id="28264933">
      <w:bodyDiv w:val="1"/>
      <w:marLeft w:val="0"/>
      <w:marRight w:val="0"/>
      <w:marTop w:val="0"/>
      <w:marBottom w:val="0"/>
      <w:divBdr>
        <w:top w:val="none" w:sz="0" w:space="0" w:color="auto"/>
        <w:left w:val="none" w:sz="0" w:space="0" w:color="auto"/>
        <w:bottom w:val="none" w:sz="0" w:space="0" w:color="auto"/>
        <w:right w:val="none" w:sz="0" w:space="0" w:color="auto"/>
      </w:divBdr>
    </w:div>
    <w:div w:id="49496326">
      <w:bodyDiv w:val="1"/>
      <w:marLeft w:val="0"/>
      <w:marRight w:val="0"/>
      <w:marTop w:val="0"/>
      <w:marBottom w:val="0"/>
      <w:divBdr>
        <w:top w:val="none" w:sz="0" w:space="0" w:color="auto"/>
        <w:left w:val="none" w:sz="0" w:space="0" w:color="auto"/>
        <w:bottom w:val="none" w:sz="0" w:space="0" w:color="auto"/>
        <w:right w:val="none" w:sz="0" w:space="0" w:color="auto"/>
      </w:divBdr>
    </w:div>
    <w:div w:id="68236787">
      <w:bodyDiv w:val="1"/>
      <w:marLeft w:val="0"/>
      <w:marRight w:val="0"/>
      <w:marTop w:val="0"/>
      <w:marBottom w:val="0"/>
      <w:divBdr>
        <w:top w:val="none" w:sz="0" w:space="0" w:color="auto"/>
        <w:left w:val="none" w:sz="0" w:space="0" w:color="auto"/>
        <w:bottom w:val="none" w:sz="0" w:space="0" w:color="auto"/>
        <w:right w:val="none" w:sz="0" w:space="0" w:color="auto"/>
      </w:divBdr>
    </w:div>
    <w:div w:id="89860911">
      <w:bodyDiv w:val="1"/>
      <w:marLeft w:val="0"/>
      <w:marRight w:val="0"/>
      <w:marTop w:val="0"/>
      <w:marBottom w:val="0"/>
      <w:divBdr>
        <w:top w:val="none" w:sz="0" w:space="0" w:color="auto"/>
        <w:left w:val="none" w:sz="0" w:space="0" w:color="auto"/>
        <w:bottom w:val="none" w:sz="0" w:space="0" w:color="auto"/>
        <w:right w:val="none" w:sz="0" w:space="0" w:color="auto"/>
      </w:divBdr>
    </w:div>
    <w:div w:id="115804714">
      <w:bodyDiv w:val="1"/>
      <w:marLeft w:val="0"/>
      <w:marRight w:val="0"/>
      <w:marTop w:val="0"/>
      <w:marBottom w:val="0"/>
      <w:divBdr>
        <w:top w:val="none" w:sz="0" w:space="0" w:color="auto"/>
        <w:left w:val="none" w:sz="0" w:space="0" w:color="auto"/>
        <w:bottom w:val="none" w:sz="0" w:space="0" w:color="auto"/>
        <w:right w:val="none" w:sz="0" w:space="0" w:color="auto"/>
      </w:divBdr>
    </w:div>
    <w:div w:id="116341367">
      <w:bodyDiv w:val="1"/>
      <w:marLeft w:val="0"/>
      <w:marRight w:val="0"/>
      <w:marTop w:val="0"/>
      <w:marBottom w:val="0"/>
      <w:divBdr>
        <w:top w:val="none" w:sz="0" w:space="0" w:color="auto"/>
        <w:left w:val="none" w:sz="0" w:space="0" w:color="auto"/>
        <w:bottom w:val="none" w:sz="0" w:space="0" w:color="auto"/>
        <w:right w:val="none" w:sz="0" w:space="0" w:color="auto"/>
      </w:divBdr>
    </w:div>
    <w:div w:id="118115244">
      <w:bodyDiv w:val="1"/>
      <w:marLeft w:val="0"/>
      <w:marRight w:val="0"/>
      <w:marTop w:val="0"/>
      <w:marBottom w:val="0"/>
      <w:divBdr>
        <w:top w:val="none" w:sz="0" w:space="0" w:color="auto"/>
        <w:left w:val="none" w:sz="0" w:space="0" w:color="auto"/>
        <w:bottom w:val="none" w:sz="0" w:space="0" w:color="auto"/>
        <w:right w:val="none" w:sz="0" w:space="0" w:color="auto"/>
      </w:divBdr>
    </w:div>
    <w:div w:id="121458030">
      <w:bodyDiv w:val="1"/>
      <w:marLeft w:val="0"/>
      <w:marRight w:val="0"/>
      <w:marTop w:val="0"/>
      <w:marBottom w:val="0"/>
      <w:divBdr>
        <w:top w:val="none" w:sz="0" w:space="0" w:color="auto"/>
        <w:left w:val="none" w:sz="0" w:space="0" w:color="auto"/>
        <w:bottom w:val="none" w:sz="0" w:space="0" w:color="auto"/>
        <w:right w:val="none" w:sz="0" w:space="0" w:color="auto"/>
      </w:divBdr>
    </w:div>
    <w:div w:id="167604668">
      <w:bodyDiv w:val="1"/>
      <w:marLeft w:val="0"/>
      <w:marRight w:val="0"/>
      <w:marTop w:val="0"/>
      <w:marBottom w:val="0"/>
      <w:divBdr>
        <w:top w:val="none" w:sz="0" w:space="0" w:color="auto"/>
        <w:left w:val="none" w:sz="0" w:space="0" w:color="auto"/>
        <w:bottom w:val="none" w:sz="0" w:space="0" w:color="auto"/>
        <w:right w:val="none" w:sz="0" w:space="0" w:color="auto"/>
      </w:divBdr>
    </w:div>
    <w:div w:id="182598602">
      <w:bodyDiv w:val="1"/>
      <w:marLeft w:val="0"/>
      <w:marRight w:val="0"/>
      <w:marTop w:val="0"/>
      <w:marBottom w:val="0"/>
      <w:divBdr>
        <w:top w:val="none" w:sz="0" w:space="0" w:color="auto"/>
        <w:left w:val="none" w:sz="0" w:space="0" w:color="auto"/>
        <w:bottom w:val="none" w:sz="0" w:space="0" w:color="auto"/>
        <w:right w:val="none" w:sz="0" w:space="0" w:color="auto"/>
      </w:divBdr>
    </w:div>
    <w:div w:id="205336116">
      <w:bodyDiv w:val="1"/>
      <w:marLeft w:val="0"/>
      <w:marRight w:val="0"/>
      <w:marTop w:val="0"/>
      <w:marBottom w:val="0"/>
      <w:divBdr>
        <w:top w:val="none" w:sz="0" w:space="0" w:color="auto"/>
        <w:left w:val="none" w:sz="0" w:space="0" w:color="auto"/>
        <w:bottom w:val="none" w:sz="0" w:space="0" w:color="auto"/>
        <w:right w:val="none" w:sz="0" w:space="0" w:color="auto"/>
      </w:divBdr>
    </w:div>
    <w:div w:id="322391110">
      <w:bodyDiv w:val="1"/>
      <w:marLeft w:val="0"/>
      <w:marRight w:val="0"/>
      <w:marTop w:val="0"/>
      <w:marBottom w:val="0"/>
      <w:divBdr>
        <w:top w:val="none" w:sz="0" w:space="0" w:color="auto"/>
        <w:left w:val="none" w:sz="0" w:space="0" w:color="auto"/>
        <w:bottom w:val="none" w:sz="0" w:space="0" w:color="auto"/>
        <w:right w:val="none" w:sz="0" w:space="0" w:color="auto"/>
      </w:divBdr>
    </w:div>
    <w:div w:id="338653539">
      <w:bodyDiv w:val="1"/>
      <w:marLeft w:val="0"/>
      <w:marRight w:val="0"/>
      <w:marTop w:val="0"/>
      <w:marBottom w:val="0"/>
      <w:divBdr>
        <w:top w:val="none" w:sz="0" w:space="0" w:color="auto"/>
        <w:left w:val="none" w:sz="0" w:space="0" w:color="auto"/>
        <w:bottom w:val="none" w:sz="0" w:space="0" w:color="auto"/>
        <w:right w:val="none" w:sz="0" w:space="0" w:color="auto"/>
      </w:divBdr>
    </w:div>
    <w:div w:id="434983625">
      <w:bodyDiv w:val="1"/>
      <w:marLeft w:val="0"/>
      <w:marRight w:val="0"/>
      <w:marTop w:val="0"/>
      <w:marBottom w:val="0"/>
      <w:divBdr>
        <w:top w:val="none" w:sz="0" w:space="0" w:color="auto"/>
        <w:left w:val="none" w:sz="0" w:space="0" w:color="auto"/>
        <w:bottom w:val="none" w:sz="0" w:space="0" w:color="auto"/>
        <w:right w:val="none" w:sz="0" w:space="0" w:color="auto"/>
      </w:divBdr>
    </w:div>
    <w:div w:id="437026346">
      <w:bodyDiv w:val="1"/>
      <w:marLeft w:val="0"/>
      <w:marRight w:val="0"/>
      <w:marTop w:val="0"/>
      <w:marBottom w:val="0"/>
      <w:divBdr>
        <w:top w:val="none" w:sz="0" w:space="0" w:color="auto"/>
        <w:left w:val="none" w:sz="0" w:space="0" w:color="auto"/>
        <w:bottom w:val="none" w:sz="0" w:space="0" w:color="auto"/>
        <w:right w:val="none" w:sz="0" w:space="0" w:color="auto"/>
      </w:divBdr>
    </w:div>
    <w:div w:id="453865902">
      <w:bodyDiv w:val="1"/>
      <w:marLeft w:val="0"/>
      <w:marRight w:val="0"/>
      <w:marTop w:val="0"/>
      <w:marBottom w:val="0"/>
      <w:divBdr>
        <w:top w:val="none" w:sz="0" w:space="0" w:color="auto"/>
        <w:left w:val="none" w:sz="0" w:space="0" w:color="auto"/>
        <w:bottom w:val="none" w:sz="0" w:space="0" w:color="auto"/>
        <w:right w:val="none" w:sz="0" w:space="0" w:color="auto"/>
      </w:divBdr>
    </w:div>
    <w:div w:id="469178030">
      <w:bodyDiv w:val="1"/>
      <w:marLeft w:val="0"/>
      <w:marRight w:val="0"/>
      <w:marTop w:val="0"/>
      <w:marBottom w:val="0"/>
      <w:divBdr>
        <w:top w:val="none" w:sz="0" w:space="0" w:color="auto"/>
        <w:left w:val="none" w:sz="0" w:space="0" w:color="auto"/>
        <w:bottom w:val="none" w:sz="0" w:space="0" w:color="auto"/>
        <w:right w:val="none" w:sz="0" w:space="0" w:color="auto"/>
      </w:divBdr>
    </w:div>
    <w:div w:id="506333559">
      <w:bodyDiv w:val="1"/>
      <w:marLeft w:val="0"/>
      <w:marRight w:val="0"/>
      <w:marTop w:val="0"/>
      <w:marBottom w:val="0"/>
      <w:divBdr>
        <w:top w:val="none" w:sz="0" w:space="0" w:color="auto"/>
        <w:left w:val="none" w:sz="0" w:space="0" w:color="auto"/>
        <w:bottom w:val="none" w:sz="0" w:space="0" w:color="auto"/>
        <w:right w:val="none" w:sz="0" w:space="0" w:color="auto"/>
      </w:divBdr>
      <w:divsChild>
        <w:div w:id="1419789611">
          <w:marLeft w:val="0"/>
          <w:marRight w:val="0"/>
          <w:marTop w:val="0"/>
          <w:marBottom w:val="0"/>
          <w:divBdr>
            <w:top w:val="none" w:sz="0" w:space="0" w:color="auto"/>
            <w:left w:val="none" w:sz="0" w:space="0" w:color="auto"/>
            <w:bottom w:val="none" w:sz="0" w:space="0" w:color="auto"/>
            <w:right w:val="none" w:sz="0" w:space="0" w:color="auto"/>
          </w:divBdr>
        </w:div>
      </w:divsChild>
    </w:div>
    <w:div w:id="529999404">
      <w:bodyDiv w:val="1"/>
      <w:marLeft w:val="0"/>
      <w:marRight w:val="0"/>
      <w:marTop w:val="0"/>
      <w:marBottom w:val="0"/>
      <w:divBdr>
        <w:top w:val="none" w:sz="0" w:space="0" w:color="auto"/>
        <w:left w:val="none" w:sz="0" w:space="0" w:color="auto"/>
        <w:bottom w:val="none" w:sz="0" w:space="0" w:color="auto"/>
        <w:right w:val="none" w:sz="0" w:space="0" w:color="auto"/>
      </w:divBdr>
    </w:div>
    <w:div w:id="534007399">
      <w:bodyDiv w:val="1"/>
      <w:marLeft w:val="0"/>
      <w:marRight w:val="0"/>
      <w:marTop w:val="0"/>
      <w:marBottom w:val="0"/>
      <w:divBdr>
        <w:top w:val="none" w:sz="0" w:space="0" w:color="auto"/>
        <w:left w:val="none" w:sz="0" w:space="0" w:color="auto"/>
        <w:bottom w:val="none" w:sz="0" w:space="0" w:color="auto"/>
        <w:right w:val="none" w:sz="0" w:space="0" w:color="auto"/>
      </w:divBdr>
    </w:div>
    <w:div w:id="589430850">
      <w:bodyDiv w:val="1"/>
      <w:marLeft w:val="0"/>
      <w:marRight w:val="0"/>
      <w:marTop w:val="0"/>
      <w:marBottom w:val="0"/>
      <w:divBdr>
        <w:top w:val="none" w:sz="0" w:space="0" w:color="auto"/>
        <w:left w:val="none" w:sz="0" w:space="0" w:color="auto"/>
        <w:bottom w:val="none" w:sz="0" w:space="0" w:color="auto"/>
        <w:right w:val="none" w:sz="0" w:space="0" w:color="auto"/>
      </w:divBdr>
    </w:div>
    <w:div w:id="611059762">
      <w:bodyDiv w:val="1"/>
      <w:marLeft w:val="0"/>
      <w:marRight w:val="0"/>
      <w:marTop w:val="0"/>
      <w:marBottom w:val="0"/>
      <w:divBdr>
        <w:top w:val="none" w:sz="0" w:space="0" w:color="auto"/>
        <w:left w:val="none" w:sz="0" w:space="0" w:color="auto"/>
        <w:bottom w:val="none" w:sz="0" w:space="0" w:color="auto"/>
        <w:right w:val="none" w:sz="0" w:space="0" w:color="auto"/>
      </w:divBdr>
    </w:div>
    <w:div w:id="648022447">
      <w:bodyDiv w:val="1"/>
      <w:marLeft w:val="0"/>
      <w:marRight w:val="0"/>
      <w:marTop w:val="0"/>
      <w:marBottom w:val="0"/>
      <w:divBdr>
        <w:top w:val="none" w:sz="0" w:space="0" w:color="auto"/>
        <w:left w:val="none" w:sz="0" w:space="0" w:color="auto"/>
        <w:bottom w:val="none" w:sz="0" w:space="0" w:color="auto"/>
        <w:right w:val="none" w:sz="0" w:space="0" w:color="auto"/>
      </w:divBdr>
    </w:div>
    <w:div w:id="707488356">
      <w:bodyDiv w:val="1"/>
      <w:marLeft w:val="0"/>
      <w:marRight w:val="0"/>
      <w:marTop w:val="0"/>
      <w:marBottom w:val="0"/>
      <w:divBdr>
        <w:top w:val="none" w:sz="0" w:space="0" w:color="auto"/>
        <w:left w:val="none" w:sz="0" w:space="0" w:color="auto"/>
        <w:bottom w:val="none" w:sz="0" w:space="0" w:color="auto"/>
        <w:right w:val="none" w:sz="0" w:space="0" w:color="auto"/>
      </w:divBdr>
    </w:div>
    <w:div w:id="729499721">
      <w:bodyDiv w:val="1"/>
      <w:marLeft w:val="0"/>
      <w:marRight w:val="0"/>
      <w:marTop w:val="0"/>
      <w:marBottom w:val="0"/>
      <w:divBdr>
        <w:top w:val="none" w:sz="0" w:space="0" w:color="auto"/>
        <w:left w:val="none" w:sz="0" w:space="0" w:color="auto"/>
        <w:bottom w:val="none" w:sz="0" w:space="0" w:color="auto"/>
        <w:right w:val="none" w:sz="0" w:space="0" w:color="auto"/>
      </w:divBdr>
    </w:div>
    <w:div w:id="817649645">
      <w:bodyDiv w:val="1"/>
      <w:marLeft w:val="0"/>
      <w:marRight w:val="0"/>
      <w:marTop w:val="0"/>
      <w:marBottom w:val="0"/>
      <w:divBdr>
        <w:top w:val="none" w:sz="0" w:space="0" w:color="auto"/>
        <w:left w:val="none" w:sz="0" w:space="0" w:color="auto"/>
        <w:bottom w:val="none" w:sz="0" w:space="0" w:color="auto"/>
        <w:right w:val="none" w:sz="0" w:space="0" w:color="auto"/>
      </w:divBdr>
    </w:div>
    <w:div w:id="883324291">
      <w:bodyDiv w:val="1"/>
      <w:marLeft w:val="0"/>
      <w:marRight w:val="0"/>
      <w:marTop w:val="0"/>
      <w:marBottom w:val="0"/>
      <w:divBdr>
        <w:top w:val="none" w:sz="0" w:space="0" w:color="auto"/>
        <w:left w:val="none" w:sz="0" w:space="0" w:color="auto"/>
        <w:bottom w:val="none" w:sz="0" w:space="0" w:color="auto"/>
        <w:right w:val="none" w:sz="0" w:space="0" w:color="auto"/>
      </w:divBdr>
    </w:div>
    <w:div w:id="886722596">
      <w:bodyDiv w:val="1"/>
      <w:marLeft w:val="0"/>
      <w:marRight w:val="0"/>
      <w:marTop w:val="0"/>
      <w:marBottom w:val="0"/>
      <w:divBdr>
        <w:top w:val="none" w:sz="0" w:space="0" w:color="auto"/>
        <w:left w:val="none" w:sz="0" w:space="0" w:color="auto"/>
        <w:bottom w:val="none" w:sz="0" w:space="0" w:color="auto"/>
        <w:right w:val="none" w:sz="0" w:space="0" w:color="auto"/>
      </w:divBdr>
    </w:div>
    <w:div w:id="909390333">
      <w:bodyDiv w:val="1"/>
      <w:marLeft w:val="0"/>
      <w:marRight w:val="0"/>
      <w:marTop w:val="0"/>
      <w:marBottom w:val="0"/>
      <w:divBdr>
        <w:top w:val="none" w:sz="0" w:space="0" w:color="auto"/>
        <w:left w:val="none" w:sz="0" w:space="0" w:color="auto"/>
        <w:bottom w:val="none" w:sz="0" w:space="0" w:color="auto"/>
        <w:right w:val="none" w:sz="0" w:space="0" w:color="auto"/>
      </w:divBdr>
      <w:divsChild>
        <w:div w:id="1489251422">
          <w:marLeft w:val="0"/>
          <w:marRight w:val="0"/>
          <w:marTop w:val="0"/>
          <w:marBottom w:val="0"/>
          <w:divBdr>
            <w:top w:val="none" w:sz="0" w:space="0" w:color="auto"/>
            <w:left w:val="none" w:sz="0" w:space="0" w:color="auto"/>
            <w:bottom w:val="none" w:sz="0" w:space="0" w:color="auto"/>
            <w:right w:val="none" w:sz="0" w:space="0" w:color="auto"/>
          </w:divBdr>
        </w:div>
      </w:divsChild>
    </w:div>
    <w:div w:id="909576195">
      <w:bodyDiv w:val="1"/>
      <w:marLeft w:val="0"/>
      <w:marRight w:val="0"/>
      <w:marTop w:val="0"/>
      <w:marBottom w:val="0"/>
      <w:divBdr>
        <w:top w:val="none" w:sz="0" w:space="0" w:color="auto"/>
        <w:left w:val="none" w:sz="0" w:space="0" w:color="auto"/>
        <w:bottom w:val="none" w:sz="0" w:space="0" w:color="auto"/>
        <w:right w:val="none" w:sz="0" w:space="0" w:color="auto"/>
      </w:divBdr>
    </w:div>
    <w:div w:id="925459529">
      <w:bodyDiv w:val="1"/>
      <w:marLeft w:val="0"/>
      <w:marRight w:val="0"/>
      <w:marTop w:val="0"/>
      <w:marBottom w:val="0"/>
      <w:divBdr>
        <w:top w:val="none" w:sz="0" w:space="0" w:color="auto"/>
        <w:left w:val="none" w:sz="0" w:space="0" w:color="auto"/>
        <w:bottom w:val="none" w:sz="0" w:space="0" w:color="auto"/>
        <w:right w:val="none" w:sz="0" w:space="0" w:color="auto"/>
      </w:divBdr>
    </w:div>
    <w:div w:id="967004677">
      <w:bodyDiv w:val="1"/>
      <w:marLeft w:val="0"/>
      <w:marRight w:val="0"/>
      <w:marTop w:val="0"/>
      <w:marBottom w:val="0"/>
      <w:divBdr>
        <w:top w:val="none" w:sz="0" w:space="0" w:color="auto"/>
        <w:left w:val="none" w:sz="0" w:space="0" w:color="auto"/>
        <w:bottom w:val="none" w:sz="0" w:space="0" w:color="auto"/>
        <w:right w:val="none" w:sz="0" w:space="0" w:color="auto"/>
      </w:divBdr>
    </w:div>
    <w:div w:id="969436855">
      <w:bodyDiv w:val="1"/>
      <w:marLeft w:val="0"/>
      <w:marRight w:val="0"/>
      <w:marTop w:val="0"/>
      <w:marBottom w:val="0"/>
      <w:divBdr>
        <w:top w:val="none" w:sz="0" w:space="0" w:color="auto"/>
        <w:left w:val="none" w:sz="0" w:space="0" w:color="auto"/>
        <w:bottom w:val="none" w:sz="0" w:space="0" w:color="auto"/>
        <w:right w:val="none" w:sz="0" w:space="0" w:color="auto"/>
      </w:divBdr>
    </w:div>
    <w:div w:id="1041368012">
      <w:bodyDiv w:val="1"/>
      <w:marLeft w:val="0"/>
      <w:marRight w:val="0"/>
      <w:marTop w:val="0"/>
      <w:marBottom w:val="0"/>
      <w:divBdr>
        <w:top w:val="none" w:sz="0" w:space="0" w:color="auto"/>
        <w:left w:val="none" w:sz="0" w:space="0" w:color="auto"/>
        <w:bottom w:val="none" w:sz="0" w:space="0" w:color="auto"/>
        <w:right w:val="none" w:sz="0" w:space="0" w:color="auto"/>
      </w:divBdr>
    </w:div>
    <w:div w:id="1044910587">
      <w:bodyDiv w:val="1"/>
      <w:marLeft w:val="0"/>
      <w:marRight w:val="0"/>
      <w:marTop w:val="0"/>
      <w:marBottom w:val="0"/>
      <w:divBdr>
        <w:top w:val="none" w:sz="0" w:space="0" w:color="auto"/>
        <w:left w:val="none" w:sz="0" w:space="0" w:color="auto"/>
        <w:bottom w:val="none" w:sz="0" w:space="0" w:color="auto"/>
        <w:right w:val="none" w:sz="0" w:space="0" w:color="auto"/>
      </w:divBdr>
    </w:div>
    <w:div w:id="1106775246">
      <w:bodyDiv w:val="1"/>
      <w:marLeft w:val="0"/>
      <w:marRight w:val="0"/>
      <w:marTop w:val="0"/>
      <w:marBottom w:val="0"/>
      <w:divBdr>
        <w:top w:val="none" w:sz="0" w:space="0" w:color="auto"/>
        <w:left w:val="none" w:sz="0" w:space="0" w:color="auto"/>
        <w:bottom w:val="none" w:sz="0" w:space="0" w:color="auto"/>
        <w:right w:val="none" w:sz="0" w:space="0" w:color="auto"/>
      </w:divBdr>
    </w:div>
    <w:div w:id="1124227175">
      <w:bodyDiv w:val="1"/>
      <w:marLeft w:val="0"/>
      <w:marRight w:val="0"/>
      <w:marTop w:val="0"/>
      <w:marBottom w:val="0"/>
      <w:divBdr>
        <w:top w:val="none" w:sz="0" w:space="0" w:color="auto"/>
        <w:left w:val="none" w:sz="0" w:space="0" w:color="auto"/>
        <w:bottom w:val="none" w:sz="0" w:space="0" w:color="auto"/>
        <w:right w:val="none" w:sz="0" w:space="0" w:color="auto"/>
      </w:divBdr>
    </w:div>
    <w:div w:id="1145049162">
      <w:bodyDiv w:val="1"/>
      <w:marLeft w:val="0"/>
      <w:marRight w:val="0"/>
      <w:marTop w:val="0"/>
      <w:marBottom w:val="0"/>
      <w:divBdr>
        <w:top w:val="none" w:sz="0" w:space="0" w:color="auto"/>
        <w:left w:val="none" w:sz="0" w:space="0" w:color="auto"/>
        <w:bottom w:val="none" w:sz="0" w:space="0" w:color="auto"/>
        <w:right w:val="none" w:sz="0" w:space="0" w:color="auto"/>
      </w:divBdr>
    </w:div>
    <w:div w:id="1168013225">
      <w:bodyDiv w:val="1"/>
      <w:marLeft w:val="0"/>
      <w:marRight w:val="0"/>
      <w:marTop w:val="0"/>
      <w:marBottom w:val="0"/>
      <w:divBdr>
        <w:top w:val="none" w:sz="0" w:space="0" w:color="auto"/>
        <w:left w:val="none" w:sz="0" w:space="0" w:color="auto"/>
        <w:bottom w:val="none" w:sz="0" w:space="0" w:color="auto"/>
        <w:right w:val="none" w:sz="0" w:space="0" w:color="auto"/>
      </w:divBdr>
    </w:div>
    <w:div w:id="1171943286">
      <w:bodyDiv w:val="1"/>
      <w:marLeft w:val="0"/>
      <w:marRight w:val="0"/>
      <w:marTop w:val="0"/>
      <w:marBottom w:val="0"/>
      <w:divBdr>
        <w:top w:val="none" w:sz="0" w:space="0" w:color="auto"/>
        <w:left w:val="none" w:sz="0" w:space="0" w:color="auto"/>
        <w:bottom w:val="none" w:sz="0" w:space="0" w:color="auto"/>
        <w:right w:val="none" w:sz="0" w:space="0" w:color="auto"/>
      </w:divBdr>
    </w:div>
    <w:div w:id="1184056002">
      <w:bodyDiv w:val="1"/>
      <w:marLeft w:val="0"/>
      <w:marRight w:val="0"/>
      <w:marTop w:val="0"/>
      <w:marBottom w:val="0"/>
      <w:divBdr>
        <w:top w:val="none" w:sz="0" w:space="0" w:color="auto"/>
        <w:left w:val="none" w:sz="0" w:space="0" w:color="auto"/>
        <w:bottom w:val="none" w:sz="0" w:space="0" w:color="auto"/>
        <w:right w:val="none" w:sz="0" w:space="0" w:color="auto"/>
      </w:divBdr>
    </w:div>
    <w:div w:id="1196651176">
      <w:bodyDiv w:val="1"/>
      <w:marLeft w:val="0"/>
      <w:marRight w:val="0"/>
      <w:marTop w:val="0"/>
      <w:marBottom w:val="0"/>
      <w:divBdr>
        <w:top w:val="none" w:sz="0" w:space="0" w:color="auto"/>
        <w:left w:val="none" w:sz="0" w:space="0" w:color="auto"/>
        <w:bottom w:val="none" w:sz="0" w:space="0" w:color="auto"/>
        <w:right w:val="none" w:sz="0" w:space="0" w:color="auto"/>
      </w:divBdr>
    </w:div>
    <w:div w:id="1210923391">
      <w:bodyDiv w:val="1"/>
      <w:marLeft w:val="0"/>
      <w:marRight w:val="0"/>
      <w:marTop w:val="0"/>
      <w:marBottom w:val="0"/>
      <w:divBdr>
        <w:top w:val="none" w:sz="0" w:space="0" w:color="auto"/>
        <w:left w:val="none" w:sz="0" w:space="0" w:color="auto"/>
        <w:bottom w:val="none" w:sz="0" w:space="0" w:color="auto"/>
        <w:right w:val="none" w:sz="0" w:space="0" w:color="auto"/>
      </w:divBdr>
    </w:div>
    <w:div w:id="1219170421">
      <w:bodyDiv w:val="1"/>
      <w:marLeft w:val="0"/>
      <w:marRight w:val="0"/>
      <w:marTop w:val="0"/>
      <w:marBottom w:val="0"/>
      <w:divBdr>
        <w:top w:val="none" w:sz="0" w:space="0" w:color="auto"/>
        <w:left w:val="none" w:sz="0" w:space="0" w:color="auto"/>
        <w:bottom w:val="none" w:sz="0" w:space="0" w:color="auto"/>
        <w:right w:val="none" w:sz="0" w:space="0" w:color="auto"/>
      </w:divBdr>
    </w:div>
    <w:div w:id="1233547358">
      <w:bodyDiv w:val="1"/>
      <w:marLeft w:val="0"/>
      <w:marRight w:val="0"/>
      <w:marTop w:val="0"/>
      <w:marBottom w:val="0"/>
      <w:divBdr>
        <w:top w:val="none" w:sz="0" w:space="0" w:color="auto"/>
        <w:left w:val="none" w:sz="0" w:space="0" w:color="auto"/>
        <w:bottom w:val="none" w:sz="0" w:space="0" w:color="auto"/>
        <w:right w:val="none" w:sz="0" w:space="0" w:color="auto"/>
      </w:divBdr>
    </w:div>
    <w:div w:id="1271090880">
      <w:bodyDiv w:val="1"/>
      <w:marLeft w:val="0"/>
      <w:marRight w:val="0"/>
      <w:marTop w:val="0"/>
      <w:marBottom w:val="0"/>
      <w:divBdr>
        <w:top w:val="none" w:sz="0" w:space="0" w:color="auto"/>
        <w:left w:val="none" w:sz="0" w:space="0" w:color="auto"/>
        <w:bottom w:val="none" w:sz="0" w:space="0" w:color="auto"/>
        <w:right w:val="none" w:sz="0" w:space="0" w:color="auto"/>
      </w:divBdr>
    </w:div>
    <w:div w:id="1282415931">
      <w:bodyDiv w:val="1"/>
      <w:marLeft w:val="0"/>
      <w:marRight w:val="0"/>
      <w:marTop w:val="0"/>
      <w:marBottom w:val="0"/>
      <w:divBdr>
        <w:top w:val="none" w:sz="0" w:space="0" w:color="auto"/>
        <w:left w:val="none" w:sz="0" w:space="0" w:color="auto"/>
        <w:bottom w:val="none" w:sz="0" w:space="0" w:color="auto"/>
        <w:right w:val="none" w:sz="0" w:space="0" w:color="auto"/>
      </w:divBdr>
    </w:div>
    <w:div w:id="1290280772">
      <w:bodyDiv w:val="1"/>
      <w:marLeft w:val="0"/>
      <w:marRight w:val="0"/>
      <w:marTop w:val="0"/>
      <w:marBottom w:val="0"/>
      <w:divBdr>
        <w:top w:val="none" w:sz="0" w:space="0" w:color="auto"/>
        <w:left w:val="none" w:sz="0" w:space="0" w:color="auto"/>
        <w:bottom w:val="none" w:sz="0" w:space="0" w:color="auto"/>
        <w:right w:val="none" w:sz="0" w:space="0" w:color="auto"/>
      </w:divBdr>
    </w:div>
    <w:div w:id="1350185369">
      <w:bodyDiv w:val="1"/>
      <w:marLeft w:val="0"/>
      <w:marRight w:val="0"/>
      <w:marTop w:val="0"/>
      <w:marBottom w:val="0"/>
      <w:divBdr>
        <w:top w:val="none" w:sz="0" w:space="0" w:color="auto"/>
        <w:left w:val="none" w:sz="0" w:space="0" w:color="auto"/>
        <w:bottom w:val="none" w:sz="0" w:space="0" w:color="auto"/>
        <w:right w:val="none" w:sz="0" w:space="0" w:color="auto"/>
      </w:divBdr>
    </w:div>
    <w:div w:id="1362363690">
      <w:bodyDiv w:val="1"/>
      <w:marLeft w:val="0"/>
      <w:marRight w:val="0"/>
      <w:marTop w:val="0"/>
      <w:marBottom w:val="0"/>
      <w:divBdr>
        <w:top w:val="none" w:sz="0" w:space="0" w:color="auto"/>
        <w:left w:val="none" w:sz="0" w:space="0" w:color="auto"/>
        <w:bottom w:val="none" w:sz="0" w:space="0" w:color="auto"/>
        <w:right w:val="none" w:sz="0" w:space="0" w:color="auto"/>
      </w:divBdr>
    </w:div>
    <w:div w:id="1387140028">
      <w:bodyDiv w:val="1"/>
      <w:marLeft w:val="0"/>
      <w:marRight w:val="0"/>
      <w:marTop w:val="0"/>
      <w:marBottom w:val="0"/>
      <w:divBdr>
        <w:top w:val="none" w:sz="0" w:space="0" w:color="auto"/>
        <w:left w:val="none" w:sz="0" w:space="0" w:color="auto"/>
        <w:bottom w:val="none" w:sz="0" w:space="0" w:color="auto"/>
        <w:right w:val="none" w:sz="0" w:space="0" w:color="auto"/>
      </w:divBdr>
    </w:div>
    <w:div w:id="1449006594">
      <w:bodyDiv w:val="1"/>
      <w:marLeft w:val="0"/>
      <w:marRight w:val="0"/>
      <w:marTop w:val="0"/>
      <w:marBottom w:val="0"/>
      <w:divBdr>
        <w:top w:val="none" w:sz="0" w:space="0" w:color="auto"/>
        <w:left w:val="none" w:sz="0" w:space="0" w:color="auto"/>
        <w:bottom w:val="none" w:sz="0" w:space="0" w:color="auto"/>
        <w:right w:val="none" w:sz="0" w:space="0" w:color="auto"/>
      </w:divBdr>
    </w:div>
    <w:div w:id="1477995047">
      <w:bodyDiv w:val="1"/>
      <w:marLeft w:val="0"/>
      <w:marRight w:val="0"/>
      <w:marTop w:val="0"/>
      <w:marBottom w:val="0"/>
      <w:divBdr>
        <w:top w:val="none" w:sz="0" w:space="0" w:color="auto"/>
        <w:left w:val="none" w:sz="0" w:space="0" w:color="auto"/>
        <w:bottom w:val="none" w:sz="0" w:space="0" w:color="auto"/>
        <w:right w:val="none" w:sz="0" w:space="0" w:color="auto"/>
      </w:divBdr>
    </w:div>
    <w:div w:id="1507556124">
      <w:bodyDiv w:val="1"/>
      <w:marLeft w:val="0"/>
      <w:marRight w:val="0"/>
      <w:marTop w:val="0"/>
      <w:marBottom w:val="0"/>
      <w:divBdr>
        <w:top w:val="none" w:sz="0" w:space="0" w:color="auto"/>
        <w:left w:val="none" w:sz="0" w:space="0" w:color="auto"/>
        <w:bottom w:val="none" w:sz="0" w:space="0" w:color="auto"/>
        <w:right w:val="none" w:sz="0" w:space="0" w:color="auto"/>
      </w:divBdr>
    </w:div>
    <w:div w:id="1537888737">
      <w:bodyDiv w:val="1"/>
      <w:marLeft w:val="0"/>
      <w:marRight w:val="0"/>
      <w:marTop w:val="0"/>
      <w:marBottom w:val="0"/>
      <w:divBdr>
        <w:top w:val="none" w:sz="0" w:space="0" w:color="auto"/>
        <w:left w:val="none" w:sz="0" w:space="0" w:color="auto"/>
        <w:bottom w:val="none" w:sz="0" w:space="0" w:color="auto"/>
        <w:right w:val="none" w:sz="0" w:space="0" w:color="auto"/>
      </w:divBdr>
    </w:div>
    <w:div w:id="1584333039">
      <w:bodyDiv w:val="1"/>
      <w:marLeft w:val="0"/>
      <w:marRight w:val="0"/>
      <w:marTop w:val="0"/>
      <w:marBottom w:val="0"/>
      <w:divBdr>
        <w:top w:val="none" w:sz="0" w:space="0" w:color="auto"/>
        <w:left w:val="none" w:sz="0" w:space="0" w:color="auto"/>
        <w:bottom w:val="none" w:sz="0" w:space="0" w:color="auto"/>
        <w:right w:val="none" w:sz="0" w:space="0" w:color="auto"/>
      </w:divBdr>
    </w:div>
    <w:div w:id="1703170796">
      <w:bodyDiv w:val="1"/>
      <w:marLeft w:val="0"/>
      <w:marRight w:val="0"/>
      <w:marTop w:val="0"/>
      <w:marBottom w:val="0"/>
      <w:divBdr>
        <w:top w:val="none" w:sz="0" w:space="0" w:color="auto"/>
        <w:left w:val="none" w:sz="0" w:space="0" w:color="auto"/>
        <w:bottom w:val="none" w:sz="0" w:space="0" w:color="auto"/>
        <w:right w:val="none" w:sz="0" w:space="0" w:color="auto"/>
      </w:divBdr>
    </w:div>
    <w:div w:id="1712070976">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46801783">
      <w:bodyDiv w:val="1"/>
      <w:marLeft w:val="0"/>
      <w:marRight w:val="0"/>
      <w:marTop w:val="0"/>
      <w:marBottom w:val="0"/>
      <w:divBdr>
        <w:top w:val="none" w:sz="0" w:space="0" w:color="auto"/>
        <w:left w:val="none" w:sz="0" w:space="0" w:color="auto"/>
        <w:bottom w:val="none" w:sz="0" w:space="0" w:color="auto"/>
        <w:right w:val="none" w:sz="0" w:space="0" w:color="auto"/>
      </w:divBdr>
      <w:divsChild>
        <w:div w:id="1407141479">
          <w:marLeft w:val="0"/>
          <w:marRight w:val="0"/>
          <w:marTop w:val="0"/>
          <w:marBottom w:val="0"/>
          <w:divBdr>
            <w:top w:val="none" w:sz="0" w:space="0" w:color="auto"/>
            <w:left w:val="none" w:sz="0" w:space="0" w:color="auto"/>
            <w:bottom w:val="none" w:sz="0" w:space="0" w:color="auto"/>
            <w:right w:val="none" w:sz="0" w:space="0" w:color="auto"/>
          </w:divBdr>
        </w:div>
      </w:divsChild>
    </w:div>
    <w:div w:id="1772242332">
      <w:bodyDiv w:val="1"/>
      <w:marLeft w:val="0"/>
      <w:marRight w:val="0"/>
      <w:marTop w:val="0"/>
      <w:marBottom w:val="0"/>
      <w:divBdr>
        <w:top w:val="none" w:sz="0" w:space="0" w:color="auto"/>
        <w:left w:val="none" w:sz="0" w:space="0" w:color="auto"/>
        <w:bottom w:val="none" w:sz="0" w:space="0" w:color="auto"/>
        <w:right w:val="none" w:sz="0" w:space="0" w:color="auto"/>
      </w:divBdr>
    </w:div>
    <w:div w:id="1787388753">
      <w:bodyDiv w:val="1"/>
      <w:marLeft w:val="0"/>
      <w:marRight w:val="0"/>
      <w:marTop w:val="0"/>
      <w:marBottom w:val="0"/>
      <w:divBdr>
        <w:top w:val="none" w:sz="0" w:space="0" w:color="auto"/>
        <w:left w:val="none" w:sz="0" w:space="0" w:color="auto"/>
        <w:bottom w:val="none" w:sz="0" w:space="0" w:color="auto"/>
        <w:right w:val="none" w:sz="0" w:space="0" w:color="auto"/>
      </w:divBdr>
    </w:div>
    <w:div w:id="1827471664">
      <w:bodyDiv w:val="1"/>
      <w:marLeft w:val="0"/>
      <w:marRight w:val="0"/>
      <w:marTop w:val="0"/>
      <w:marBottom w:val="0"/>
      <w:divBdr>
        <w:top w:val="none" w:sz="0" w:space="0" w:color="auto"/>
        <w:left w:val="none" w:sz="0" w:space="0" w:color="auto"/>
        <w:bottom w:val="none" w:sz="0" w:space="0" w:color="auto"/>
        <w:right w:val="none" w:sz="0" w:space="0" w:color="auto"/>
      </w:divBdr>
    </w:div>
    <w:div w:id="1872954811">
      <w:bodyDiv w:val="1"/>
      <w:marLeft w:val="0"/>
      <w:marRight w:val="0"/>
      <w:marTop w:val="0"/>
      <w:marBottom w:val="0"/>
      <w:divBdr>
        <w:top w:val="none" w:sz="0" w:space="0" w:color="auto"/>
        <w:left w:val="none" w:sz="0" w:space="0" w:color="auto"/>
        <w:bottom w:val="none" w:sz="0" w:space="0" w:color="auto"/>
        <w:right w:val="none" w:sz="0" w:space="0" w:color="auto"/>
      </w:divBdr>
      <w:divsChild>
        <w:div w:id="1105685653">
          <w:marLeft w:val="0"/>
          <w:marRight w:val="0"/>
          <w:marTop w:val="0"/>
          <w:marBottom w:val="0"/>
          <w:divBdr>
            <w:top w:val="none" w:sz="0" w:space="0" w:color="auto"/>
            <w:left w:val="none" w:sz="0" w:space="0" w:color="auto"/>
            <w:bottom w:val="none" w:sz="0" w:space="0" w:color="auto"/>
            <w:right w:val="none" w:sz="0" w:space="0" w:color="auto"/>
          </w:divBdr>
        </w:div>
        <w:div w:id="1144157816">
          <w:marLeft w:val="0"/>
          <w:marRight w:val="0"/>
          <w:marTop w:val="0"/>
          <w:marBottom w:val="0"/>
          <w:divBdr>
            <w:top w:val="none" w:sz="0" w:space="0" w:color="auto"/>
            <w:left w:val="none" w:sz="0" w:space="0" w:color="auto"/>
            <w:bottom w:val="none" w:sz="0" w:space="0" w:color="auto"/>
            <w:right w:val="none" w:sz="0" w:space="0" w:color="auto"/>
          </w:divBdr>
        </w:div>
        <w:div w:id="1946036286">
          <w:marLeft w:val="0"/>
          <w:marRight w:val="0"/>
          <w:marTop w:val="0"/>
          <w:marBottom w:val="0"/>
          <w:divBdr>
            <w:top w:val="none" w:sz="0" w:space="0" w:color="auto"/>
            <w:left w:val="none" w:sz="0" w:space="0" w:color="auto"/>
            <w:bottom w:val="none" w:sz="0" w:space="0" w:color="auto"/>
            <w:right w:val="none" w:sz="0" w:space="0" w:color="auto"/>
          </w:divBdr>
        </w:div>
      </w:divsChild>
    </w:div>
    <w:div w:id="1904020864">
      <w:bodyDiv w:val="1"/>
      <w:marLeft w:val="0"/>
      <w:marRight w:val="0"/>
      <w:marTop w:val="0"/>
      <w:marBottom w:val="0"/>
      <w:divBdr>
        <w:top w:val="none" w:sz="0" w:space="0" w:color="auto"/>
        <w:left w:val="none" w:sz="0" w:space="0" w:color="auto"/>
        <w:bottom w:val="none" w:sz="0" w:space="0" w:color="auto"/>
        <w:right w:val="none" w:sz="0" w:space="0" w:color="auto"/>
      </w:divBdr>
    </w:div>
    <w:div w:id="1916278015">
      <w:bodyDiv w:val="1"/>
      <w:marLeft w:val="0"/>
      <w:marRight w:val="0"/>
      <w:marTop w:val="0"/>
      <w:marBottom w:val="0"/>
      <w:divBdr>
        <w:top w:val="none" w:sz="0" w:space="0" w:color="auto"/>
        <w:left w:val="none" w:sz="0" w:space="0" w:color="auto"/>
        <w:bottom w:val="none" w:sz="0" w:space="0" w:color="auto"/>
        <w:right w:val="none" w:sz="0" w:space="0" w:color="auto"/>
      </w:divBdr>
      <w:divsChild>
        <w:div w:id="1374428261">
          <w:marLeft w:val="0"/>
          <w:marRight w:val="0"/>
          <w:marTop w:val="0"/>
          <w:marBottom w:val="0"/>
          <w:divBdr>
            <w:top w:val="none" w:sz="0" w:space="0" w:color="auto"/>
            <w:left w:val="none" w:sz="0" w:space="0" w:color="auto"/>
            <w:bottom w:val="none" w:sz="0" w:space="0" w:color="auto"/>
            <w:right w:val="none" w:sz="0" w:space="0" w:color="auto"/>
          </w:divBdr>
        </w:div>
        <w:div w:id="1715350624">
          <w:marLeft w:val="0"/>
          <w:marRight w:val="0"/>
          <w:marTop w:val="0"/>
          <w:marBottom w:val="0"/>
          <w:divBdr>
            <w:top w:val="none" w:sz="0" w:space="0" w:color="auto"/>
            <w:left w:val="none" w:sz="0" w:space="0" w:color="auto"/>
            <w:bottom w:val="none" w:sz="0" w:space="0" w:color="auto"/>
            <w:right w:val="none" w:sz="0" w:space="0" w:color="auto"/>
          </w:divBdr>
        </w:div>
        <w:div w:id="1792549702">
          <w:marLeft w:val="0"/>
          <w:marRight w:val="0"/>
          <w:marTop w:val="0"/>
          <w:marBottom w:val="0"/>
          <w:divBdr>
            <w:top w:val="none" w:sz="0" w:space="0" w:color="auto"/>
            <w:left w:val="none" w:sz="0" w:space="0" w:color="auto"/>
            <w:bottom w:val="none" w:sz="0" w:space="0" w:color="auto"/>
            <w:right w:val="none" w:sz="0" w:space="0" w:color="auto"/>
          </w:divBdr>
        </w:div>
      </w:divsChild>
    </w:div>
    <w:div w:id="1953583558">
      <w:bodyDiv w:val="1"/>
      <w:marLeft w:val="0"/>
      <w:marRight w:val="0"/>
      <w:marTop w:val="0"/>
      <w:marBottom w:val="0"/>
      <w:divBdr>
        <w:top w:val="none" w:sz="0" w:space="0" w:color="auto"/>
        <w:left w:val="none" w:sz="0" w:space="0" w:color="auto"/>
        <w:bottom w:val="none" w:sz="0" w:space="0" w:color="auto"/>
        <w:right w:val="none" w:sz="0" w:space="0" w:color="auto"/>
      </w:divBdr>
    </w:div>
    <w:div w:id="1963228409">
      <w:bodyDiv w:val="1"/>
      <w:marLeft w:val="0"/>
      <w:marRight w:val="0"/>
      <w:marTop w:val="0"/>
      <w:marBottom w:val="0"/>
      <w:divBdr>
        <w:top w:val="none" w:sz="0" w:space="0" w:color="auto"/>
        <w:left w:val="none" w:sz="0" w:space="0" w:color="auto"/>
        <w:bottom w:val="none" w:sz="0" w:space="0" w:color="auto"/>
        <w:right w:val="none" w:sz="0" w:space="0" w:color="auto"/>
      </w:divBdr>
    </w:div>
    <w:div w:id="1974483015">
      <w:bodyDiv w:val="1"/>
      <w:marLeft w:val="0"/>
      <w:marRight w:val="0"/>
      <w:marTop w:val="0"/>
      <w:marBottom w:val="0"/>
      <w:divBdr>
        <w:top w:val="none" w:sz="0" w:space="0" w:color="auto"/>
        <w:left w:val="none" w:sz="0" w:space="0" w:color="auto"/>
        <w:bottom w:val="none" w:sz="0" w:space="0" w:color="auto"/>
        <w:right w:val="none" w:sz="0" w:space="0" w:color="auto"/>
      </w:divBdr>
    </w:div>
    <w:div w:id="2056077649">
      <w:bodyDiv w:val="1"/>
      <w:marLeft w:val="0"/>
      <w:marRight w:val="0"/>
      <w:marTop w:val="0"/>
      <w:marBottom w:val="0"/>
      <w:divBdr>
        <w:top w:val="none" w:sz="0" w:space="0" w:color="auto"/>
        <w:left w:val="none" w:sz="0" w:space="0" w:color="auto"/>
        <w:bottom w:val="none" w:sz="0" w:space="0" w:color="auto"/>
        <w:right w:val="none" w:sz="0" w:space="0" w:color="auto"/>
      </w:divBdr>
    </w:div>
    <w:div w:id="2119174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3" Type="http://schemas.microsoft.com/office/2016/09/relationships/commentsIds" Target="commentsIds.xml"/><Relationship Id="rId24" Type="http://schemas.microsoft.com/office/2018/08/relationships/commentsExtensible" Target="commentsExtensible.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emf"/><Relationship Id="rId13" Type="http://schemas.openxmlformats.org/officeDocument/2006/relationships/package" Target="embeddings/Microsoft_Excel_Worksheet1.xlsx"/><Relationship Id="rId14" Type="http://schemas.openxmlformats.org/officeDocument/2006/relationships/hyperlink" Target="http://pr.report/vFihJVSp" TargetMode="External"/><Relationship Id="rId15" Type="http://schemas.openxmlformats.org/officeDocument/2006/relationships/hyperlink" Target="mailto:invest@genp.com"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758A807464B40B3BB11A0AFA5A57B" ma:contentTypeVersion="13" ma:contentTypeDescription="Create a new document." ma:contentTypeScope="" ma:versionID="4323553211ef3ce7c0b73ed513f86431">
  <xsd:schema xmlns:xsd="http://www.w3.org/2001/XMLSchema" xmlns:xs="http://www.w3.org/2001/XMLSchema" xmlns:p="http://schemas.microsoft.com/office/2006/metadata/properties" xmlns:ns1="http://schemas.microsoft.com/sharepoint/v3" xmlns:ns2="d2d5c05a-5e51-448a-98e1-da0800dd54a0" xmlns:ns3="69f56e88-24ff-4113-92f9-ce5b411f531f" targetNamespace="http://schemas.microsoft.com/office/2006/metadata/properties" ma:root="true" ma:fieldsID="6232b37d8446a83b7cf1ff7943519956" ns1:_="" ns2:_="" ns3:_="">
    <xsd:import namespace="http://schemas.microsoft.com/sharepoint/v3"/>
    <xsd:import namespace="d2d5c05a-5e51-448a-98e1-da0800dd54a0"/>
    <xsd:import namespace="69f56e88-24ff-4113-92f9-ce5b411f53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5c05a-5e51-448a-98e1-da0800dd5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56e88-24ff-4113-92f9-ce5b411f53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2C85-FAE1-403C-B44B-8CD14E60DE0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E81FFF-24D8-49A6-9B0C-5494EEB58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5c05a-5e51-448a-98e1-da0800dd54a0"/>
    <ds:schemaRef ds:uri="69f56e88-24ff-4113-92f9-ce5b411f5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EC637-45EC-454F-92FA-B564BEDB06D3}">
  <ds:schemaRefs>
    <ds:schemaRef ds:uri="http://schemas.microsoft.com/sharepoint/v3/contenttype/forms"/>
  </ds:schemaRefs>
</ds:datastoreItem>
</file>

<file path=customXml/itemProps4.xml><?xml version="1.0" encoding="utf-8"?>
<ds:datastoreItem xmlns:ds="http://schemas.openxmlformats.org/officeDocument/2006/customXml" ds:itemID="{7AD53754-7758-F947-9C5F-72A358C8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3737</Words>
  <Characters>21305</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Dewan</dc:creator>
  <cp:keywords/>
  <dc:description/>
  <cp:lastModifiedBy>Derek Dewan</cp:lastModifiedBy>
  <cp:revision>2</cp:revision>
  <cp:lastPrinted>2023-05-12T20:41:00Z</cp:lastPrinted>
  <dcterms:created xsi:type="dcterms:W3CDTF">2023-05-13T15:01:00Z</dcterms:created>
  <dcterms:modified xsi:type="dcterms:W3CDTF">2023-05-13T15:01:00Z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0x01010061B758A807464B40B3BB11A0AFA5A57B</vt:lpwstr>
  </property>
</Properties>
</file>