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4F05B" w14:textId="12389EC9" w:rsidR="00A82A95" w:rsidRDefault="00A82A95" w:rsidP="0039372D">
      <w:pPr>
        <w:rPr>
          <w:rFonts w:asciiTheme="majorHAnsi" w:hAnsiTheme="majorHAnsi" w:cstheme="majorHAnsi"/>
          <w:b/>
          <w:bCs/>
          <w:sz w:val="22"/>
          <w:szCs w:val="22"/>
        </w:rPr>
      </w:pPr>
      <w:r>
        <w:rPr>
          <w:noProof/>
        </w:rPr>
        <w:drawing>
          <wp:anchor distT="0" distB="0" distL="114300" distR="114300" simplePos="0" relativeHeight="251659264" behindDoc="0" locked="0" layoutInCell="1" allowOverlap="1" wp14:anchorId="780BDB90" wp14:editId="5418E187">
            <wp:simplePos x="0" y="0"/>
            <wp:positionH relativeFrom="column">
              <wp:posOffset>3575050</wp:posOffset>
            </wp:positionH>
            <wp:positionV relativeFrom="paragraph">
              <wp:posOffset>0</wp:posOffset>
            </wp:positionV>
            <wp:extent cx="1971040" cy="855639"/>
            <wp:effectExtent l="0" t="0" r="0" b="0"/>
            <wp:wrapSquare wrapText="bothSides"/>
            <wp:docPr id="2" name="Picture 2" descr="Fandang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Fandango Logo"/>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971040" cy="855639"/>
                    </a:xfrm>
                    <a:prstGeom prst="rect">
                      <a:avLst/>
                    </a:prstGeom>
                    <a:noFill/>
                    <a:ln>
                      <a:noFill/>
                    </a:ln>
                  </pic:spPr>
                </pic:pic>
              </a:graphicData>
            </a:graphic>
            <wp14:sizeRelH relativeFrom="page">
              <wp14:pctWidth>0</wp14:pctWidth>
            </wp14:sizeRelH>
            <wp14:sizeRelV relativeFrom="page">
              <wp14:pctHeight>0</wp14:pctHeight>
            </wp14:sizeRelV>
          </wp:anchor>
        </w:drawing>
      </w:r>
      <w:r w:rsidR="001260A7" w:rsidRPr="00576CE6">
        <w:rPr>
          <w:rFonts w:asciiTheme="majorHAnsi" w:hAnsiTheme="majorHAnsi" w:cstheme="majorHAnsi"/>
          <w:b/>
          <w:bCs/>
          <w:noProof/>
          <w:sz w:val="22"/>
          <w:szCs w:val="22"/>
        </w:rPr>
        <w:drawing>
          <wp:inline distT="0" distB="0" distL="0" distR="0" wp14:anchorId="45EC39C7" wp14:editId="12716674">
            <wp:extent cx="2171458" cy="688085"/>
            <wp:effectExtent l="0" t="0" r="0" b="0"/>
            <wp:docPr id="1" name="Picture 1" descr="Logo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1" cstate="print"/>
                    <a:stretch>
                      <a:fillRect/>
                    </a:stretch>
                  </pic:blipFill>
                  <pic:spPr>
                    <a:xfrm>
                      <a:off x="0" y="0"/>
                      <a:ext cx="2171458" cy="688085"/>
                    </a:xfrm>
                    <a:prstGeom prst="rect">
                      <a:avLst/>
                    </a:prstGeom>
                  </pic:spPr>
                </pic:pic>
              </a:graphicData>
            </a:graphic>
          </wp:inline>
        </w:drawing>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p>
    <w:p w14:paraId="5047E514" w14:textId="77777777" w:rsidR="0039372D" w:rsidRDefault="0039372D" w:rsidP="0039372D">
      <w:pPr>
        <w:rPr>
          <w:rFonts w:asciiTheme="majorHAnsi" w:hAnsiTheme="majorHAnsi" w:cstheme="majorHAnsi"/>
          <w:b/>
          <w:bCs/>
          <w:sz w:val="22"/>
          <w:szCs w:val="22"/>
        </w:rPr>
      </w:pPr>
    </w:p>
    <w:p w14:paraId="0A2AC370" w14:textId="439FEE8E" w:rsidR="007C2C2C" w:rsidRDefault="007C2C2C" w:rsidP="0039372D">
      <w:pPr>
        <w:pStyle w:val="NormalWeb"/>
        <w:shd w:val="clear" w:color="auto" w:fill="FFFFFF"/>
        <w:jc w:val="center"/>
        <w:rPr>
          <w:rFonts w:asciiTheme="majorHAnsi" w:hAnsiTheme="majorHAnsi" w:cstheme="majorHAnsi"/>
          <w:b/>
          <w:bCs/>
          <w:sz w:val="22"/>
          <w:szCs w:val="22"/>
        </w:rPr>
      </w:pPr>
      <w:r w:rsidRPr="007C2C2C">
        <w:rPr>
          <w:rFonts w:asciiTheme="majorHAnsi" w:hAnsiTheme="majorHAnsi" w:cstheme="majorHAnsi"/>
          <w:b/>
          <w:bCs/>
          <w:sz w:val="22"/>
          <w:szCs w:val="22"/>
        </w:rPr>
        <w:t xml:space="preserve">Beyond Oil Provides Update on </w:t>
      </w:r>
      <w:r w:rsidR="00A82A95">
        <w:rPr>
          <w:rFonts w:asciiTheme="majorHAnsi" w:hAnsiTheme="majorHAnsi" w:cstheme="majorHAnsi"/>
          <w:b/>
          <w:bCs/>
          <w:sz w:val="22"/>
          <w:szCs w:val="22"/>
        </w:rPr>
        <w:t xml:space="preserve">Commercial </w:t>
      </w:r>
      <w:r w:rsidRPr="007C2C2C">
        <w:rPr>
          <w:rFonts w:asciiTheme="majorHAnsi" w:hAnsiTheme="majorHAnsi" w:cstheme="majorHAnsi"/>
          <w:b/>
          <w:bCs/>
          <w:sz w:val="22"/>
          <w:szCs w:val="22"/>
        </w:rPr>
        <w:t>Partnership with Fandango</w:t>
      </w:r>
      <w:r w:rsidR="00A82A95">
        <w:rPr>
          <w:rFonts w:asciiTheme="majorHAnsi" w:hAnsiTheme="majorHAnsi" w:cstheme="majorHAnsi"/>
          <w:b/>
          <w:bCs/>
          <w:sz w:val="22"/>
          <w:szCs w:val="22"/>
        </w:rPr>
        <w:t xml:space="preserve"> </w:t>
      </w:r>
      <w:r w:rsidRPr="007C2C2C">
        <w:rPr>
          <w:rFonts w:asciiTheme="majorHAnsi" w:hAnsiTheme="majorHAnsi" w:cstheme="majorHAnsi"/>
          <w:b/>
          <w:bCs/>
          <w:sz w:val="22"/>
          <w:szCs w:val="22"/>
        </w:rPr>
        <w:t>Collection &amp; Recycling Ltd.</w:t>
      </w:r>
    </w:p>
    <w:p w14:paraId="3582648E" w14:textId="411F3994" w:rsidR="00484446" w:rsidRPr="00484446" w:rsidRDefault="00484446" w:rsidP="007C2C2C">
      <w:pPr>
        <w:pStyle w:val="NormalWeb"/>
        <w:shd w:val="clear" w:color="auto" w:fill="FFFFFF"/>
        <w:jc w:val="center"/>
        <w:rPr>
          <w:rFonts w:asciiTheme="majorHAnsi" w:hAnsiTheme="majorHAnsi" w:cstheme="majorHAnsi"/>
          <w:i/>
          <w:iCs/>
          <w:sz w:val="22"/>
          <w:szCs w:val="22"/>
        </w:rPr>
      </w:pPr>
      <w:r>
        <w:rPr>
          <w:rFonts w:asciiTheme="majorHAnsi" w:hAnsiTheme="majorHAnsi" w:cstheme="majorHAnsi"/>
          <w:i/>
          <w:iCs/>
          <w:sz w:val="22"/>
          <w:szCs w:val="22"/>
        </w:rPr>
        <w:t>Exclusive</w:t>
      </w:r>
      <w:r w:rsidR="00A82A95">
        <w:rPr>
          <w:rFonts w:asciiTheme="majorHAnsi" w:hAnsiTheme="majorHAnsi" w:cstheme="majorHAnsi"/>
          <w:i/>
          <w:iCs/>
          <w:sz w:val="22"/>
          <w:szCs w:val="22"/>
        </w:rPr>
        <w:t xml:space="preserve"> Distributor in Israel Expanding its Outreach in the </w:t>
      </w:r>
      <w:r w:rsidR="00930635">
        <w:rPr>
          <w:rFonts w:asciiTheme="majorHAnsi" w:hAnsiTheme="majorHAnsi" w:cstheme="majorHAnsi"/>
          <w:i/>
          <w:iCs/>
          <w:sz w:val="22"/>
          <w:szCs w:val="22"/>
        </w:rPr>
        <w:t xml:space="preserve">Israeli </w:t>
      </w:r>
      <w:r w:rsidR="00A82A95">
        <w:rPr>
          <w:rFonts w:asciiTheme="majorHAnsi" w:hAnsiTheme="majorHAnsi" w:cstheme="majorHAnsi"/>
          <w:i/>
          <w:iCs/>
          <w:sz w:val="22"/>
          <w:szCs w:val="22"/>
        </w:rPr>
        <w:t>Food Service Industry</w:t>
      </w:r>
      <w:r>
        <w:rPr>
          <w:rFonts w:asciiTheme="majorHAnsi" w:hAnsiTheme="majorHAnsi" w:cstheme="majorHAnsi"/>
          <w:i/>
          <w:iCs/>
          <w:sz w:val="22"/>
          <w:szCs w:val="22"/>
        </w:rPr>
        <w:t xml:space="preserve"> </w:t>
      </w:r>
    </w:p>
    <w:p w14:paraId="081049C4" w14:textId="78F92A10" w:rsidR="00FB7708" w:rsidRDefault="0070774B" w:rsidP="00FB7708">
      <w:pPr>
        <w:pStyle w:val="NormalWeb"/>
        <w:shd w:val="clear" w:color="auto" w:fill="FFFFFF"/>
        <w:jc w:val="both"/>
        <w:rPr>
          <w:rFonts w:asciiTheme="majorHAnsi" w:hAnsiTheme="majorHAnsi" w:cstheme="majorHAnsi"/>
          <w:color w:val="333333"/>
          <w:sz w:val="22"/>
          <w:szCs w:val="22"/>
        </w:rPr>
      </w:pPr>
      <w:r w:rsidRPr="00576CE6">
        <w:rPr>
          <w:rFonts w:asciiTheme="majorHAnsi" w:hAnsiTheme="majorHAnsi" w:cstheme="majorHAnsi"/>
          <w:b/>
          <w:bCs/>
          <w:color w:val="333333"/>
          <w:sz w:val="22"/>
          <w:szCs w:val="22"/>
        </w:rPr>
        <w:t xml:space="preserve">VANCOUVER, B.C. and KIBBUTZ YIFAT, ISRAEL / ACCESSWIRE / </w:t>
      </w:r>
      <w:r w:rsidR="000578E6">
        <w:rPr>
          <w:rFonts w:asciiTheme="majorHAnsi" w:hAnsiTheme="majorHAnsi" w:cstheme="majorHAnsi"/>
          <w:b/>
          <w:bCs/>
          <w:color w:val="333333"/>
          <w:sz w:val="22"/>
          <w:szCs w:val="22"/>
        </w:rPr>
        <w:t>May</w:t>
      </w:r>
      <w:r w:rsidRPr="00576CE6">
        <w:rPr>
          <w:rFonts w:asciiTheme="majorHAnsi" w:hAnsiTheme="majorHAnsi" w:cstheme="majorHAnsi"/>
          <w:b/>
          <w:bCs/>
          <w:color w:val="333333"/>
          <w:sz w:val="22"/>
          <w:szCs w:val="22"/>
        </w:rPr>
        <w:t xml:space="preserve"> </w:t>
      </w:r>
      <w:r w:rsidR="0039372D">
        <w:rPr>
          <w:rFonts w:asciiTheme="majorHAnsi" w:hAnsiTheme="majorHAnsi" w:cstheme="majorHAnsi"/>
          <w:b/>
          <w:bCs/>
          <w:color w:val="333333"/>
          <w:sz w:val="22"/>
          <w:szCs w:val="22"/>
        </w:rPr>
        <w:t>16</w:t>
      </w:r>
      <w:r w:rsidRPr="00576CE6">
        <w:rPr>
          <w:rFonts w:asciiTheme="majorHAnsi" w:hAnsiTheme="majorHAnsi" w:cstheme="majorHAnsi"/>
          <w:b/>
          <w:bCs/>
          <w:color w:val="333333"/>
          <w:sz w:val="22"/>
          <w:szCs w:val="22"/>
        </w:rPr>
        <w:t>, 2023</w:t>
      </w:r>
      <w:r w:rsidRPr="00576CE6">
        <w:rPr>
          <w:rFonts w:asciiTheme="majorHAnsi" w:hAnsiTheme="majorHAnsi" w:cstheme="majorHAnsi"/>
          <w:color w:val="333333"/>
          <w:sz w:val="22"/>
          <w:szCs w:val="22"/>
        </w:rPr>
        <w:t xml:space="preserve"> – Beyond Oil Ltd. (</w:t>
      </w:r>
      <w:r w:rsidRPr="00576CE6">
        <w:rPr>
          <w:rFonts w:asciiTheme="majorHAnsi" w:hAnsiTheme="majorHAnsi" w:cstheme="majorHAnsi"/>
          <w:b/>
          <w:bCs/>
          <w:color w:val="333333"/>
          <w:sz w:val="22"/>
          <w:szCs w:val="22"/>
        </w:rPr>
        <w:t>CSE: BOIL</w:t>
      </w:r>
      <w:r w:rsidRPr="00576CE6">
        <w:rPr>
          <w:rFonts w:asciiTheme="majorHAnsi" w:hAnsiTheme="majorHAnsi" w:cstheme="majorHAnsi"/>
          <w:color w:val="333333"/>
          <w:sz w:val="22"/>
          <w:szCs w:val="22"/>
        </w:rPr>
        <w:t xml:space="preserve">) </w:t>
      </w:r>
      <w:r w:rsidR="004F7B80" w:rsidRPr="00576CE6">
        <w:rPr>
          <w:rFonts w:asciiTheme="majorHAnsi" w:hAnsiTheme="majorHAnsi" w:cstheme="majorHAnsi"/>
          <w:color w:val="333333"/>
          <w:sz w:val="22"/>
          <w:szCs w:val="22"/>
        </w:rPr>
        <w:t>(</w:t>
      </w:r>
      <w:r w:rsidR="004F7B80" w:rsidRPr="00576CE6">
        <w:rPr>
          <w:rFonts w:asciiTheme="majorHAnsi" w:hAnsiTheme="majorHAnsi" w:cstheme="majorHAnsi"/>
          <w:b/>
          <w:bCs/>
          <w:color w:val="333333"/>
          <w:sz w:val="22"/>
          <w:szCs w:val="22"/>
        </w:rPr>
        <w:t>OTC: BEOLF</w:t>
      </w:r>
      <w:r w:rsidR="004F7B80" w:rsidRPr="00576CE6">
        <w:rPr>
          <w:rFonts w:asciiTheme="majorHAnsi" w:hAnsiTheme="majorHAnsi" w:cstheme="majorHAnsi"/>
          <w:color w:val="333333"/>
          <w:sz w:val="22"/>
          <w:szCs w:val="22"/>
        </w:rPr>
        <w:t xml:space="preserve">) </w:t>
      </w:r>
      <w:r w:rsidRPr="00576CE6">
        <w:rPr>
          <w:rFonts w:asciiTheme="majorHAnsi" w:hAnsiTheme="majorHAnsi" w:cstheme="majorHAnsi"/>
          <w:color w:val="333333"/>
          <w:sz w:val="22"/>
          <w:szCs w:val="22"/>
        </w:rPr>
        <w:t>(“</w:t>
      </w:r>
      <w:r w:rsidRPr="00576CE6">
        <w:rPr>
          <w:rFonts w:asciiTheme="majorHAnsi" w:hAnsiTheme="majorHAnsi" w:cstheme="majorHAnsi"/>
          <w:b/>
          <w:bCs/>
          <w:color w:val="333333"/>
          <w:sz w:val="22"/>
          <w:szCs w:val="22"/>
        </w:rPr>
        <w:t>Beyond Oil</w:t>
      </w:r>
      <w:r w:rsidRPr="00576CE6">
        <w:rPr>
          <w:rFonts w:asciiTheme="majorHAnsi" w:hAnsiTheme="majorHAnsi" w:cstheme="majorHAnsi"/>
          <w:color w:val="333333"/>
          <w:sz w:val="22"/>
          <w:szCs w:val="22"/>
        </w:rPr>
        <w:t>” or the “</w:t>
      </w:r>
      <w:r w:rsidRPr="00576CE6">
        <w:rPr>
          <w:rFonts w:asciiTheme="majorHAnsi" w:hAnsiTheme="majorHAnsi" w:cstheme="majorHAnsi"/>
          <w:b/>
          <w:bCs/>
          <w:color w:val="333333"/>
          <w:sz w:val="22"/>
          <w:szCs w:val="22"/>
        </w:rPr>
        <w:t>Company</w:t>
      </w:r>
      <w:r w:rsidRPr="00576CE6">
        <w:rPr>
          <w:rFonts w:asciiTheme="majorHAnsi" w:hAnsiTheme="majorHAnsi" w:cstheme="majorHAnsi"/>
          <w:color w:val="333333"/>
          <w:sz w:val="22"/>
          <w:szCs w:val="22"/>
        </w:rPr>
        <w:t xml:space="preserve">”), </w:t>
      </w:r>
      <w:r w:rsidR="00A247BB" w:rsidRPr="00A247BB">
        <w:rPr>
          <w:rFonts w:asciiTheme="majorHAnsi" w:hAnsiTheme="majorHAnsi" w:cstheme="majorHAnsi"/>
          <w:color w:val="333333"/>
          <w:sz w:val="22"/>
          <w:szCs w:val="22"/>
        </w:rPr>
        <w:t xml:space="preserve">a food-tech innovation company extending the life of frying oil, reducing costs and waste, is pleased to </w:t>
      </w:r>
      <w:r w:rsidR="00A55CD9">
        <w:rPr>
          <w:rFonts w:asciiTheme="majorHAnsi" w:hAnsiTheme="majorHAnsi" w:cstheme="majorHAnsi"/>
          <w:color w:val="333333"/>
          <w:sz w:val="22"/>
          <w:szCs w:val="22"/>
        </w:rPr>
        <w:t>provide a</w:t>
      </w:r>
      <w:r w:rsidR="00A82A95">
        <w:rPr>
          <w:rFonts w:asciiTheme="majorHAnsi" w:hAnsiTheme="majorHAnsi" w:cstheme="majorHAnsi"/>
          <w:color w:val="333333"/>
          <w:sz w:val="22"/>
          <w:szCs w:val="22"/>
        </w:rPr>
        <w:t>n</w:t>
      </w:r>
      <w:r w:rsidR="00A55CD9">
        <w:rPr>
          <w:rFonts w:asciiTheme="majorHAnsi" w:hAnsiTheme="majorHAnsi" w:cstheme="majorHAnsi"/>
          <w:color w:val="333333"/>
          <w:sz w:val="22"/>
          <w:szCs w:val="22"/>
        </w:rPr>
        <w:t xml:space="preserve"> update on </w:t>
      </w:r>
      <w:r w:rsidR="00BF4A26">
        <w:rPr>
          <w:rFonts w:asciiTheme="majorHAnsi" w:hAnsiTheme="majorHAnsi" w:cstheme="majorHAnsi"/>
          <w:color w:val="333333"/>
          <w:sz w:val="22"/>
          <w:szCs w:val="22"/>
        </w:rPr>
        <w:t xml:space="preserve">the definitive agreement that was signed between </w:t>
      </w:r>
      <w:r w:rsidR="00A55CD9">
        <w:rPr>
          <w:rFonts w:asciiTheme="majorHAnsi" w:hAnsiTheme="majorHAnsi" w:cstheme="majorHAnsi"/>
          <w:color w:val="333333"/>
          <w:sz w:val="22"/>
          <w:szCs w:val="22"/>
        </w:rPr>
        <w:t xml:space="preserve">Beyond Oil and Fandango Collection &amp; Recycling </w:t>
      </w:r>
      <w:r w:rsidR="00BF4A26">
        <w:rPr>
          <w:rFonts w:asciiTheme="majorHAnsi" w:hAnsiTheme="majorHAnsi" w:cstheme="majorHAnsi"/>
          <w:color w:val="333333"/>
          <w:sz w:val="22"/>
          <w:szCs w:val="22"/>
        </w:rPr>
        <w:t>Ltd</w:t>
      </w:r>
      <w:r w:rsidR="00A82A95">
        <w:rPr>
          <w:rFonts w:asciiTheme="majorHAnsi" w:hAnsiTheme="majorHAnsi" w:cstheme="majorHAnsi"/>
          <w:color w:val="333333"/>
          <w:sz w:val="22"/>
          <w:szCs w:val="22"/>
        </w:rPr>
        <w:t>. (“</w:t>
      </w:r>
      <w:r w:rsidR="00A82A95" w:rsidRPr="00A82A95">
        <w:rPr>
          <w:rFonts w:asciiTheme="majorHAnsi" w:hAnsiTheme="majorHAnsi" w:cstheme="majorHAnsi"/>
          <w:b/>
          <w:bCs/>
          <w:color w:val="333333"/>
          <w:sz w:val="22"/>
          <w:szCs w:val="22"/>
        </w:rPr>
        <w:t>Fandango</w:t>
      </w:r>
      <w:r w:rsidR="00A82A95">
        <w:rPr>
          <w:rFonts w:asciiTheme="majorHAnsi" w:hAnsiTheme="majorHAnsi" w:cstheme="majorHAnsi"/>
          <w:color w:val="333333"/>
          <w:sz w:val="22"/>
          <w:szCs w:val="22"/>
        </w:rPr>
        <w:t>”)</w:t>
      </w:r>
      <w:r w:rsidR="00BF4A26">
        <w:rPr>
          <w:rFonts w:asciiTheme="majorHAnsi" w:hAnsiTheme="majorHAnsi" w:cstheme="majorHAnsi"/>
          <w:color w:val="333333"/>
          <w:sz w:val="22"/>
          <w:szCs w:val="22"/>
        </w:rPr>
        <w:t xml:space="preserve"> that was previously announced in a </w:t>
      </w:r>
      <w:hyperlink r:id="rId12" w:history="1">
        <w:r w:rsidR="00F848C6">
          <w:rPr>
            <w:rStyle w:val="Hyperlink"/>
            <w:rFonts w:asciiTheme="majorHAnsi" w:hAnsiTheme="majorHAnsi" w:cstheme="majorHAnsi"/>
            <w:sz w:val="22"/>
            <w:szCs w:val="22"/>
          </w:rPr>
          <w:t>new</w:t>
        </w:r>
        <w:r w:rsidR="00BF4A26" w:rsidRPr="00BF4A26">
          <w:rPr>
            <w:rStyle w:val="Hyperlink"/>
            <w:rFonts w:asciiTheme="majorHAnsi" w:hAnsiTheme="majorHAnsi" w:cstheme="majorHAnsi"/>
            <w:sz w:val="22"/>
            <w:szCs w:val="22"/>
          </w:rPr>
          <w:t>s release</w:t>
        </w:r>
      </w:hyperlink>
      <w:r w:rsidR="00BF4A26">
        <w:rPr>
          <w:rFonts w:asciiTheme="majorHAnsi" w:hAnsiTheme="majorHAnsi" w:cstheme="majorHAnsi"/>
          <w:color w:val="333333"/>
          <w:sz w:val="22"/>
          <w:szCs w:val="22"/>
        </w:rPr>
        <w:t xml:space="preserve"> dated February 15, 2023. </w:t>
      </w:r>
    </w:p>
    <w:p w14:paraId="3633D6D8" w14:textId="55B45434" w:rsidR="00A82A95" w:rsidRDefault="00A82A95" w:rsidP="00A55CD9">
      <w:pPr>
        <w:pStyle w:val="NormalWeb"/>
        <w:shd w:val="clear" w:color="auto" w:fill="FFFFFF"/>
        <w:jc w:val="both"/>
        <w:rPr>
          <w:rFonts w:asciiTheme="majorHAnsi" w:hAnsiTheme="majorHAnsi" w:cstheme="majorHAnsi"/>
          <w:i/>
          <w:iCs/>
          <w:color w:val="333333"/>
          <w:sz w:val="22"/>
          <w:szCs w:val="22"/>
        </w:rPr>
      </w:pPr>
      <w:r>
        <w:rPr>
          <w:rFonts w:asciiTheme="majorHAnsi" w:hAnsiTheme="majorHAnsi" w:cstheme="majorHAnsi"/>
          <w:i/>
          <w:iCs/>
          <w:color w:val="333333"/>
          <w:sz w:val="22"/>
          <w:szCs w:val="22"/>
        </w:rPr>
        <w:t xml:space="preserve">Customer </w:t>
      </w:r>
      <w:r w:rsidR="000504A3">
        <w:rPr>
          <w:rFonts w:asciiTheme="majorHAnsi" w:hAnsiTheme="majorHAnsi" w:cstheme="majorHAnsi"/>
          <w:i/>
          <w:iCs/>
          <w:color w:val="333333"/>
          <w:sz w:val="22"/>
          <w:szCs w:val="22"/>
        </w:rPr>
        <w:t>Product Demonstrations</w:t>
      </w:r>
    </w:p>
    <w:p w14:paraId="6DE4CA18" w14:textId="4C5C8697" w:rsidR="00A55CD9" w:rsidRPr="00BF4A26" w:rsidRDefault="00A82A95" w:rsidP="00A55CD9">
      <w:pPr>
        <w:pStyle w:val="NormalWeb"/>
        <w:shd w:val="clear" w:color="auto" w:fill="FFFFFF"/>
        <w:jc w:val="both"/>
        <w:rPr>
          <w:rFonts w:asciiTheme="majorHAnsi" w:hAnsiTheme="majorHAnsi" w:cstheme="majorHAnsi"/>
          <w:color w:val="212121"/>
          <w:sz w:val="22"/>
          <w:szCs w:val="22"/>
        </w:rPr>
      </w:pPr>
      <w:r>
        <w:rPr>
          <w:rFonts w:asciiTheme="majorHAnsi" w:hAnsiTheme="majorHAnsi" w:cstheme="majorHAnsi"/>
          <w:color w:val="212121"/>
          <w:sz w:val="22"/>
          <w:szCs w:val="22"/>
        </w:rPr>
        <w:t>Fandango has</w:t>
      </w:r>
      <w:r w:rsidR="00670AAB">
        <w:rPr>
          <w:rFonts w:asciiTheme="majorHAnsi" w:hAnsiTheme="majorHAnsi" w:cstheme="majorHAnsi"/>
          <w:color w:val="212121"/>
          <w:sz w:val="22"/>
          <w:szCs w:val="22"/>
        </w:rPr>
        <w:t xml:space="preserve"> launched a </w:t>
      </w:r>
      <w:r>
        <w:rPr>
          <w:rFonts w:asciiTheme="majorHAnsi" w:hAnsiTheme="majorHAnsi" w:cstheme="majorHAnsi"/>
          <w:color w:val="212121"/>
          <w:sz w:val="22"/>
          <w:szCs w:val="22"/>
        </w:rPr>
        <w:t xml:space="preserve">comprehensive </w:t>
      </w:r>
      <w:r w:rsidR="00670AAB">
        <w:rPr>
          <w:rFonts w:asciiTheme="majorHAnsi" w:hAnsiTheme="majorHAnsi" w:cstheme="majorHAnsi"/>
          <w:color w:val="212121"/>
          <w:sz w:val="22"/>
          <w:szCs w:val="22"/>
        </w:rPr>
        <w:t>product demo</w:t>
      </w:r>
      <w:r>
        <w:rPr>
          <w:rFonts w:asciiTheme="majorHAnsi" w:hAnsiTheme="majorHAnsi" w:cstheme="majorHAnsi"/>
          <w:color w:val="212121"/>
          <w:sz w:val="22"/>
          <w:szCs w:val="22"/>
        </w:rPr>
        <w:t>nstration</w:t>
      </w:r>
      <w:r w:rsidR="00670AAB">
        <w:rPr>
          <w:rFonts w:asciiTheme="majorHAnsi" w:hAnsiTheme="majorHAnsi" w:cstheme="majorHAnsi"/>
          <w:color w:val="212121"/>
          <w:sz w:val="22"/>
          <w:szCs w:val="22"/>
        </w:rPr>
        <w:t xml:space="preserve"> initiative across the </w:t>
      </w:r>
      <w:r>
        <w:rPr>
          <w:rFonts w:asciiTheme="majorHAnsi" w:hAnsiTheme="majorHAnsi" w:cstheme="majorHAnsi"/>
          <w:color w:val="212121"/>
          <w:sz w:val="22"/>
          <w:szCs w:val="22"/>
        </w:rPr>
        <w:t>S</w:t>
      </w:r>
      <w:r w:rsidR="00670AAB">
        <w:rPr>
          <w:rFonts w:asciiTheme="majorHAnsi" w:hAnsiTheme="majorHAnsi" w:cstheme="majorHAnsi"/>
          <w:color w:val="212121"/>
          <w:sz w:val="22"/>
          <w:szCs w:val="22"/>
        </w:rPr>
        <w:t xml:space="preserve">tate of Israel that divides the country into </w:t>
      </w:r>
      <w:r w:rsidR="004E6935">
        <w:rPr>
          <w:rFonts w:asciiTheme="majorHAnsi" w:hAnsiTheme="majorHAnsi" w:cstheme="majorHAnsi"/>
          <w:color w:val="212121"/>
          <w:sz w:val="22"/>
          <w:szCs w:val="22"/>
          <w:lang w:bidi="he-IL"/>
        </w:rPr>
        <w:t>several</w:t>
      </w:r>
      <w:r w:rsidR="00670AAB">
        <w:rPr>
          <w:rFonts w:asciiTheme="majorHAnsi" w:hAnsiTheme="majorHAnsi" w:cstheme="majorHAnsi"/>
          <w:color w:val="212121"/>
          <w:sz w:val="22"/>
          <w:szCs w:val="22"/>
        </w:rPr>
        <w:t xml:space="preserve"> geographical territories</w:t>
      </w:r>
      <w:r>
        <w:rPr>
          <w:rFonts w:asciiTheme="majorHAnsi" w:hAnsiTheme="majorHAnsi" w:cstheme="majorHAnsi"/>
          <w:color w:val="212121"/>
          <w:sz w:val="22"/>
          <w:szCs w:val="22"/>
        </w:rPr>
        <w:t>,</w:t>
      </w:r>
      <w:r w:rsidR="00670AAB">
        <w:rPr>
          <w:rFonts w:asciiTheme="majorHAnsi" w:hAnsiTheme="majorHAnsi" w:cstheme="majorHAnsi"/>
          <w:color w:val="212121"/>
          <w:sz w:val="22"/>
          <w:szCs w:val="22"/>
        </w:rPr>
        <w:t xml:space="preserve"> whereby each territory is managed by </w:t>
      </w:r>
      <w:r w:rsidR="00D458E2">
        <w:rPr>
          <w:rFonts w:asciiTheme="majorHAnsi" w:hAnsiTheme="majorHAnsi" w:cstheme="majorHAnsi"/>
          <w:color w:val="212121"/>
          <w:sz w:val="22"/>
          <w:szCs w:val="22"/>
          <w:lang w:bidi="he-IL"/>
        </w:rPr>
        <w:t>Fandango’s</w:t>
      </w:r>
      <w:r w:rsidR="00D458E2">
        <w:rPr>
          <w:rFonts w:asciiTheme="majorHAnsi" w:hAnsiTheme="majorHAnsi" w:cstheme="majorHAnsi"/>
          <w:color w:val="212121"/>
          <w:sz w:val="22"/>
          <w:szCs w:val="22"/>
        </w:rPr>
        <w:t xml:space="preserve"> </w:t>
      </w:r>
      <w:r w:rsidR="00670AAB">
        <w:rPr>
          <w:rFonts w:asciiTheme="majorHAnsi" w:hAnsiTheme="majorHAnsi" w:cstheme="majorHAnsi"/>
          <w:color w:val="212121"/>
          <w:sz w:val="22"/>
          <w:szCs w:val="22"/>
        </w:rPr>
        <w:t xml:space="preserve">regional </w:t>
      </w:r>
      <w:r w:rsidR="00356676">
        <w:rPr>
          <w:rFonts w:asciiTheme="majorHAnsi" w:hAnsiTheme="majorHAnsi" w:cstheme="majorHAnsi"/>
          <w:color w:val="212121"/>
          <w:sz w:val="22"/>
          <w:szCs w:val="22"/>
          <w:lang w:val="en-US" w:bidi="he-IL"/>
        </w:rPr>
        <w:t>managers</w:t>
      </w:r>
      <w:r w:rsidR="00D458E2">
        <w:rPr>
          <w:rFonts w:asciiTheme="majorHAnsi" w:hAnsiTheme="majorHAnsi" w:cstheme="majorHAnsi"/>
          <w:color w:val="212121"/>
          <w:sz w:val="22"/>
          <w:szCs w:val="22"/>
          <w:lang w:bidi="he-IL"/>
        </w:rPr>
        <w:t>,</w:t>
      </w:r>
      <w:r w:rsidR="00670AAB">
        <w:rPr>
          <w:rFonts w:asciiTheme="majorHAnsi" w:hAnsiTheme="majorHAnsi" w:cstheme="majorHAnsi"/>
          <w:color w:val="212121"/>
          <w:sz w:val="22"/>
          <w:szCs w:val="22"/>
        </w:rPr>
        <w:t xml:space="preserve"> who </w:t>
      </w:r>
      <w:r w:rsidR="00D458E2">
        <w:rPr>
          <w:rFonts w:asciiTheme="majorHAnsi" w:hAnsiTheme="majorHAnsi" w:cstheme="majorHAnsi"/>
          <w:color w:val="212121"/>
          <w:sz w:val="22"/>
          <w:szCs w:val="22"/>
        </w:rPr>
        <w:t>oversee</w:t>
      </w:r>
      <w:r w:rsidR="00670AAB">
        <w:rPr>
          <w:rFonts w:asciiTheme="majorHAnsi" w:hAnsiTheme="majorHAnsi" w:cstheme="majorHAnsi"/>
          <w:color w:val="212121"/>
          <w:sz w:val="22"/>
          <w:szCs w:val="22"/>
        </w:rPr>
        <w:t xml:space="preserve"> the relationship with a roster of existing customers who are testing the Beyond Oil product. </w:t>
      </w:r>
      <w:r w:rsidR="00A55CD9" w:rsidRPr="00BF4A26">
        <w:rPr>
          <w:rFonts w:asciiTheme="majorHAnsi" w:hAnsiTheme="majorHAnsi" w:cstheme="majorHAnsi"/>
          <w:color w:val="212121"/>
          <w:sz w:val="22"/>
          <w:szCs w:val="22"/>
        </w:rPr>
        <w:t>The results of the product demos have been very positive</w:t>
      </w:r>
      <w:r w:rsidR="00670AAB">
        <w:rPr>
          <w:rFonts w:asciiTheme="majorHAnsi" w:hAnsiTheme="majorHAnsi" w:cstheme="majorHAnsi"/>
          <w:color w:val="212121"/>
          <w:sz w:val="22"/>
          <w:szCs w:val="22"/>
        </w:rPr>
        <w:t xml:space="preserve"> thus far</w:t>
      </w:r>
      <w:r w:rsidR="00A55CD9" w:rsidRPr="00BF4A26">
        <w:rPr>
          <w:rFonts w:asciiTheme="majorHAnsi" w:hAnsiTheme="majorHAnsi" w:cstheme="majorHAnsi"/>
          <w:color w:val="212121"/>
          <w:sz w:val="22"/>
          <w:szCs w:val="22"/>
        </w:rPr>
        <w:t xml:space="preserve">, and the partnership has </w:t>
      </w:r>
      <w:r w:rsidR="00670AAB">
        <w:rPr>
          <w:rFonts w:asciiTheme="majorHAnsi" w:hAnsiTheme="majorHAnsi" w:cstheme="majorHAnsi"/>
          <w:color w:val="212121"/>
          <w:sz w:val="22"/>
          <w:szCs w:val="22"/>
        </w:rPr>
        <w:t xml:space="preserve">organically </w:t>
      </w:r>
      <w:r w:rsidR="00A55CD9" w:rsidRPr="00BF4A26">
        <w:rPr>
          <w:rFonts w:asciiTheme="majorHAnsi" w:hAnsiTheme="majorHAnsi" w:cstheme="majorHAnsi"/>
          <w:color w:val="212121"/>
          <w:sz w:val="22"/>
          <w:szCs w:val="22"/>
        </w:rPr>
        <w:t>resulted in new customer</w:t>
      </w:r>
      <w:r w:rsidR="00670AAB">
        <w:rPr>
          <w:rFonts w:asciiTheme="majorHAnsi" w:hAnsiTheme="majorHAnsi" w:cstheme="majorHAnsi"/>
          <w:color w:val="212121"/>
          <w:sz w:val="22"/>
          <w:szCs w:val="22"/>
        </w:rPr>
        <w:t xml:space="preserve"> relationships</w:t>
      </w:r>
      <w:r w:rsidR="00A55CD9" w:rsidRPr="00BF4A26">
        <w:rPr>
          <w:rFonts w:asciiTheme="majorHAnsi" w:hAnsiTheme="majorHAnsi" w:cstheme="majorHAnsi"/>
          <w:color w:val="212121"/>
          <w:sz w:val="22"/>
          <w:szCs w:val="22"/>
        </w:rPr>
        <w:t xml:space="preserve"> for Beyond Oil. </w:t>
      </w:r>
      <w:r>
        <w:rPr>
          <w:rFonts w:asciiTheme="majorHAnsi" w:hAnsiTheme="majorHAnsi" w:cstheme="majorHAnsi"/>
          <w:color w:val="212121"/>
          <w:sz w:val="22"/>
          <w:szCs w:val="22"/>
        </w:rPr>
        <w:t xml:space="preserve">As expected, each of the product demonstrations has confirmed the ability of Beyond Oil’s product to extend oil use life by many multiples. </w:t>
      </w:r>
    </w:p>
    <w:p w14:paraId="4F2FDA09" w14:textId="68A5ED1F" w:rsidR="00A55CD9" w:rsidRPr="00BF4A26" w:rsidRDefault="00A55CD9" w:rsidP="006D70B9">
      <w:pPr>
        <w:pStyle w:val="NormalWeb"/>
        <w:shd w:val="clear" w:color="auto" w:fill="FFFFFF"/>
        <w:jc w:val="both"/>
        <w:rPr>
          <w:rFonts w:asciiTheme="majorHAnsi" w:hAnsiTheme="majorHAnsi" w:cstheme="majorHAnsi"/>
          <w:color w:val="212121"/>
          <w:sz w:val="22"/>
          <w:szCs w:val="22"/>
        </w:rPr>
      </w:pPr>
      <w:r w:rsidRPr="00BF4A26">
        <w:rPr>
          <w:rFonts w:asciiTheme="majorHAnsi" w:hAnsiTheme="majorHAnsi" w:cstheme="majorHAnsi"/>
          <w:color w:val="212121"/>
          <w:sz w:val="22"/>
          <w:szCs w:val="22"/>
        </w:rPr>
        <w:t xml:space="preserve">“We are excited to distribute and market Beyond Oil’s product, which we believe will offer unparalleled benefits for the environment, business operations, and the </w:t>
      </w:r>
      <w:r w:rsidR="00670AAB">
        <w:rPr>
          <w:rFonts w:asciiTheme="majorHAnsi" w:hAnsiTheme="majorHAnsi" w:cstheme="majorHAnsi"/>
          <w:color w:val="212121"/>
          <w:sz w:val="22"/>
          <w:szCs w:val="22"/>
        </w:rPr>
        <w:t>health and safety of the customers</w:t>
      </w:r>
      <w:r w:rsidRPr="00BF4A26">
        <w:rPr>
          <w:rFonts w:asciiTheme="majorHAnsi" w:hAnsiTheme="majorHAnsi" w:cstheme="majorHAnsi"/>
          <w:color w:val="212121"/>
          <w:sz w:val="22"/>
          <w:szCs w:val="22"/>
        </w:rPr>
        <w:t xml:space="preserve">,” said Shai </w:t>
      </w:r>
      <w:proofErr w:type="spellStart"/>
      <w:r w:rsidRPr="00BF4A26">
        <w:rPr>
          <w:rFonts w:asciiTheme="majorHAnsi" w:hAnsiTheme="majorHAnsi" w:cstheme="majorHAnsi"/>
          <w:color w:val="212121"/>
          <w:sz w:val="22"/>
          <w:szCs w:val="22"/>
        </w:rPr>
        <w:t>Medioni</w:t>
      </w:r>
      <w:proofErr w:type="spellEnd"/>
      <w:r w:rsidRPr="00BF4A26">
        <w:rPr>
          <w:rFonts w:asciiTheme="majorHAnsi" w:hAnsiTheme="majorHAnsi" w:cstheme="majorHAnsi"/>
          <w:color w:val="212121"/>
          <w:sz w:val="22"/>
          <w:szCs w:val="22"/>
        </w:rPr>
        <w:t xml:space="preserve">, CEO of Fandango. </w:t>
      </w:r>
      <w:r w:rsidR="006C5BDB">
        <w:rPr>
          <w:rFonts w:asciiTheme="majorHAnsi" w:hAnsiTheme="majorHAnsi" w:cstheme="majorHAnsi"/>
          <w:color w:val="212121"/>
          <w:sz w:val="22"/>
          <w:szCs w:val="22"/>
        </w:rPr>
        <w:t xml:space="preserve">“Many of Fandango’s customers have been with us for decades, and they are very pleased with the ability of this product to extend oil life and produce a much healthier product for their own customers. We now have first-hand, independent confirmation that the Beyond Oil product achieves </w:t>
      </w:r>
      <w:proofErr w:type="gramStart"/>
      <w:r w:rsidR="006C5BDB">
        <w:rPr>
          <w:rFonts w:asciiTheme="majorHAnsi" w:hAnsiTheme="majorHAnsi" w:cstheme="majorHAnsi"/>
          <w:color w:val="212121"/>
          <w:sz w:val="22"/>
          <w:szCs w:val="22"/>
        </w:rPr>
        <w:t>all of</w:t>
      </w:r>
      <w:proofErr w:type="gramEnd"/>
      <w:r w:rsidR="006C5BDB">
        <w:rPr>
          <w:rFonts w:asciiTheme="majorHAnsi" w:hAnsiTheme="majorHAnsi" w:cstheme="majorHAnsi"/>
          <w:color w:val="212121"/>
          <w:sz w:val="22"/>
          <w:szCs w:val="22"/>
        </w:rPr>
        <w:t xml:space="preserve"> the outcomes that their team claimed it would when we beg</w:t>
      </w:r>
      <w:r w:rsidR="00F848C6">
        <w:rPr>
          <w:rFonts w:asciiTheme="majorHAnsi" w:hAnsiTheme="majorHAnsi" w:cstheme="majorHAnsi"/>
          <w:color w:val="212121"/>
          <w:sz w:val="22"/>
          <w:szCs w:val="22"/>
        </w:rPr>
        <w:t>a</w:t>
      </w:r>
      <w:r w:rsidR="006C5BDB">
        <w:rPr>
          <w:rFonts w:asciiTheme="majorHAnsi" w:hAnsiTheme="majorHAnsi" w:cstheme="majorHAnsi"/>
          <w:color w:val="212121"/>
          <w:sz w:val="22"/>
          <w:szCs w:val="22"/>
        </w:rPr>
        <w:t xml:space="preserve">n </w:t>
      </w:r>
      <w:r w:rsidR="000504A3">
        <w:rPr>
          <w:rFonts w:asciiTheme="majorHAnsi" w:hAnsiTheme="majorHAnsi" w:cstheme="majorHAnsi"/>
          <w:color w:val="212121"/>
          <w:sz w:val="22"/>
          <w:szCs w:val="22"/>
        </w:rPr>
        <w:t>investigation</w:t>
      </w:r>
      <w:r w:rsidR="006C5BDB">
        <w:rPr>
          <w:rFonts w:asciiTheme="majorHAnsi" w:hAnsiTheme="majorHAnsi" w:cstheme="majorHAnsi"/>
          <w:color w:val="212121"/>
          <w:sz w:val="22"/>
          <w:szCs w:val="22"/>
        </w:rPr>
        <w:t xml:space="preserve"> </w:t>
      </w:r>
      <w:r w:rsidR="00F848C6">
        <w:rPr>
          <w:rFonts w:asciiTheme="majorHAnsi" w:hAnsiTheme="majorHAnsi" w:cstheme="majorHAnsi"/>
          <w:color w:val="212121"/>
          <w:sz w:val="22"/>
          <w:szCs w:val="22"/>
        </w:rPr>
        <w:t xml:space="preserve">of </w:t>
      </w:r>
      <w:r w:rsidR="006C5BDB">
        <w:rPr>
          <w:rFonts w:asciiTheme="majorHAnsi" w:hAnsiTheme="majorHAnsi" w:cstheme="majorHAnsi"/>
          <w:color w:val="212121"/>
          <w:sz w:val="22"/>
          <w:szCs w:val="22"/>
        </w:rPr>
        <w:t>th</w:t>
      </w:r>
      <w:r w:rsidR="00F848C6">
        <w:rPr>
          <w:rFonts w:asciiTheme="majorHAnsi" w:hAnsiTheme="majorHAnsi" w:cstheme="majorHAnsi"/>
          <w:color w:val="212121"/>
          <w:sz w:val="22"/>
          <w:szCs w:val="22"/>
        </w:rPr>
        <w:t>e</w:t>
      </w:r>
      <w:r w:rsidR="006C5BDB">
        <w:rPr>
          <w:rFonts w:asciiTheme="majorHAnsi" w:hAnsiTheme="majorHAnsi" w:cstheme="majorHAnsi"/>
          <w:color w:val="212121"/>
          <w:sz w:val="22"/>
          <w:szCs w:val="22"/>
        </w:rPr>
        <w:t xml:space="preserve"> product earlier </w:t>
      </w:r>
      <w:r w:rsidR="000504A3">
        <w:rPr>
          <w:rFonts w:asciiTheme="majorHAnsi" w:hAnsiTheme="majorHAnsi" w:cstheme="majorHAnsi"/>
          <w:color w:val="212121"/>
          <w:sz w:val="22"/>
          <w:szCs w:val="22"/>
        </w:rPr>
        <w:t>this year</w:t>
      </w:r>
      <w:r w:rsidR="006C5BDB">
        <w:rPr>
          <w:rFonts w:asciiTheme="majorHAnsi" w:hAnsiTheme="majorHAnsi" w:cstheme="majorHAnsi"/>
          <w:color w:val="212121"/>
          <w:sz w:val="22"/>
          <w:szCs w:val="22"/>
        </w:rPr>
        <w:t>. Fandango is excited to be participating in what we believe is revolutionizing the food oil industry.”</w:t>
      </w:r>
    </w:p>
    <w:p w14:paraId="31653FBD" w14:textId="29A7B312" w:rsidR="00491567" w:rsidRDefault="00A55CD9" w:rsidP="006D70B9">
      <w:pPr>
        <w:pStyle w:val="NormalWeb"/>
        <w:shd w:val="clear" w:color="auto" w:fill="FFFFFF"/>
        <w:jc w:val="both"/>
        <w:rPr>
          <w:rFonts w:asciiTheme="majorHAnsi" w:hAnsiTheme="majorHAnsi" w:cstheme="majorHAnsi"/>
          <w:color w:val="212121"/>
          <w:sz w:val="22"/>
          <w:szCs w:val="22"/>
        </w:rPr>
      </w:pPr>
      <w:r w:rsidRPr="00BF4A26">
        <w:rPr>
          <w:rFonts w:asciiTheme="majorHAnsi" w:hAnsiTheme="majorHAnsi" w:cstheme="majorHAnsi"/>
          <w:color w:val="212121"/>
          <w:sz w:val="22"/>
          <w:szCs w:val="22"/>
        </w:rPr>
        <w:t>“We are</w:t>
      </w:r>
      <w:r w:rsidR="00670AAB">
        <w:rPr>
          <w:rFonts w:asciiTheme="majorHAnsi" w:hAnsiTheme="majorHAnsi" w:cstheme="majorHAnsi"/>
          <w:color w:val="212121"/>
          <w:sz w:val="22"/>
          <w:szCs w:val="22"/>
        </w:rPr>
        <w:t xml:space="preserve"> very pleased with the results thus far from our product demo</w:t>
      </w:r>
      <w:r w:rsidR="006C5BDB">
        <w:rPr>
          <w:rFonts w:asciiTheme="majorHAnsi" w:hAnsiTheme="majorHAnsi" w:cstheme="majorHAnsi"/>
          <w:color w:val="212121"/>
          <w:sz w:val="22"/>
          <w:szCs w:val="22"/>
        </w:rPr>
        <w:t>nstration</w:t>
      </w:r>
      <w:r w:rsidR="00670AAB">
        <w:rPr>
          <w:rFonts w:asciiTheme="majorHAnsi" w:hAnsiTheme="majorHAnsi" w:cstheme="majorHAnsi"/>
          <w:color w:val="212121"/>
          <w:sz w:val="22"/>
          <w:szCs w:val="22"/>
        </w:rPr>
        <w:t xml:space="preserve"> initiative</w:t>
      </w:r>
      <w:r w:rsidR="006C5BDB">
        <w:rPr>
          <w:rFonts w:asciiTheme="majorHAnsi" w:hAnsiTheme="majorHAnsi" w:cstheme="majorHAnsi"/>
          <w:color w:val="212121"/>
          <w:sz w:val="22"/>
          <w:szCs w:val="22"/>
        </w:rPr>
        <w:t xml:space="preserve"> in Israel</w:t>
      </w:r>
      <w:r w:rsidR="00D2716B">
        <w:rPr>
          <w:rFonts w:asciiTheme="majorHAnsi" w:hAnsiTheme="majorHAnsi" w:cstheme="majorHAnsi"/>
          <w:color w:val="212121"/>
          <w:sz w:val="22"/>
          <w:szCs w:val="22"/>
        </w:rPr>
        <w:t xml:space="preserve">,” said </w:t>
      </w:r>
      <w:r w:rsidR="006D70B9">
        <w:rPr>
          <w:rFonts w:asciiTheme="majorHAnsi" w:hAnsiTheme="majorHAnsi" w:cstheme="majorHAnsi"/>
          <w:color w:val="212121"/>
          <w:sz w:val="22"/>
          <w:szCs w:val="22"/>
        </w:rPr>
        <w:t>Jonathan Or</w:t>
      </w:r>
      <w:r w:rsidR="005F1961">
        <w:rPr>
          <w:rFonts w:asciiTheme="majorHAnsi" w:hAnsiTheme="majorHAnsi" w:cstheme="majorHAnsi"/>
          <w:color w:val="212121"/>
          <w:sz w:val="22"/>
          <w:szCs w:val="22"/>
        </w:rPr>
        <w:t xml:space="preserve">, CEO </w:t>
      </w:r>
      <w:r w:rsidR="009749EA">
        <w:rPr>
          <w:rFonts w:asciiTheme="majorHAnsi" w:hAnsiTheme="majorHAnsi" w:cstheme="majorHAnsi"/>
          <w:color w:val="212121"/>
          <w:sz w:val="22"/>
          <w:szCs w:val="22"/>
        </w:rPr>
        <w:t xml:space="preserve">and Co-Founder </w:t>
      </w:r>
      <w:r w:rsidR="005F1961">
        <w:rPr>
          <w:rFonts w:asciiTheme="majorHAnsi" w:hAnsiTheme="majorHAnsi" w:cstheme="majorHAnsi"/>
          <w:color w:val="212121"/>
          <w:sz w:val="22"/>
          <w:szCs w:val="22"/>
        </w:rPr>
        <w:t>of Beyond Oil</w:t>
      </w:r>
      <w:r w:rsidR="00D2716B">
        <w:rPr>
          <w:rFonts w:asciiTheme="majorHAnsi" w:hAnsiTheme="majorHAnsi" w:cstheme="majorHAnsi"/>
          <w:color w:val="212121"/>
          <w:sz w:val="22"/>
          <w:szCs w:val="22"/>
        </w:rPr>
        <w:t>.</w:t>
      </w:r>
      <w:r w:rsidR="00D2716B" w:rsidRPr="00BF4A26">
        <w:rPr>
          <w:rFonts w:asciiTheme="majorHAnsi" w:hAnsiTheme="majorHAnsi" w:cstheme="majorHAnsi"/>
          <w:color w:val="212121"/>
          <w:sz w:val="22"/>
          <w:szCs w:val="22"/>
        </w:rPr>
        <w:t xml:space="preserve"> </w:t>
      </w:r>
      <w:r w:rsidR="00D2716B">
        <w:rPr>
          <w:rFonts w:asciiTheme="majorHAnsi" w:hAnsiTheme="majorHAnsi" w:cstheme="majorHAnsi"/>
          <w:color w:val="212121"/>
          <w:sz w:val="22"/>
          <w:szCs w:val="22"/>
        </w:rPr>
        <w:t>“O</w:t>
      </w:r>
      <w:r w:rsidRPr="00BF4A26">
        <w:rPr>
          <w:rFonts w:asciiTheme="majorHAnsi" w:hAnsiTheme="majorHAnsi" w:cstheme="majorHAnsi"/>
          <w:color w:val="212121"/>
          <w:sz w:val="22"/>
          <w:szCs w:val="22"/>
        </w:rPr>
        <w:t xml:space="preserve">ur strategic partnership with Fandango marks a significant step forward for Beyond Oil. This partnership allows us to establish a solid foundation for our business in the local </w:t>
      </w:r>
      <w:r w:rsidR="006C5BDB">
        <w:rPr>
          <w:rFonts w:asciiTheme="majorHAnsi" w:hAnsiTheme="majorHAnsi" w:cstheme="majorHAnsi"/>
          <w:color w:val="212121"/>
          <w:sz w:val="22"/>
          <w:szCs w:val="22"/>
        </w:rPr>
        <w:t xml:space="preserve">Israeli </w:t>
      </w:r>
      <w:r w:rsidRPr="00BF4A26">
        <w:rPr>
          <w:rFonts w:asciiTheme="majorHAnsi" w:hAnsiTheme="majorHAnsi" w:cstheme="majorHAnsi"/>
          <w:color w:val="212121"/>
          <w:sz w:val="22"/>
          <w:szCs w:val="22"/>
        </w:rPr>
        <w:t>market, bringing us one step closer to achieving our mission of providing sustainable solutions for the food-service industry across the globe.</w:t>
      </w:r>
      <w:r w:rsidR="006C5BDB">
        <w:rPr>
          <w:rFonts w:asciiTheme="majorHAnsi" w:hAnsiTheme="majorHAnsi" w:cstheme="majorHAnsi"/>
          <w:color w:val="212121"/>
          <w:sz w:val="22"/>
          <w:szCs w:val="22"/>
        </w:rPr>
        <w:t xml:space="preserve"> We are looking forward to continuing </w:t>
      </w:r>
      <w:r w:rsidR="00F848C6">
        <w:rPr>
          <w:rFonts w:asciiTheme="majorHAnsi" w:hAnsiTheme="majorHAnsi" w:cstheme="majorHAnsi"/>
          <w:color w:val="212121"/>
          <w:sz w:val="22"/>
          <w:szCs w:val="22"/>
        </w:rPr>
        <w:t xml:space="preserve">our </w:t>
      </w:r>
      <w:r w:rsidR="006C5BDB">
        <w:rPr>
          <w:rFonts w:asciiTheme="majorHAnsi" w:hAnsiTheme="majorHAnsi" w:cstheme="majorHAnsi"/>
          <w:color w:val="212121"/>
          <w:sz w:val="22"/>
          <w:szCs w:val="22"/>
        </w:rPr>
        <w:t xml:space="preserve">work with Fandango </w:t>
      </w:r>
      <w:r w:rsidR="00F848C6">
        <w:rPr>
          <w:rFonts w:asciiTheme="majorHAnsi" w:hAnsiTheme="majorHAnsi" w:cstheme="majorHAnsi"/>
          <w:color w:val="212121"/>
          <w:sz w:val="22"/>
          <w:szCs w:val="22"/>
        </w:rPr>
        <w:t xml:space="preserve">and </w:t>
      </w:r>
      <w:r w:rsidR="006C5BDB">
        <w:rPr>
          <w:rFonts w:asciiTheme="majorHAnsi" w:hAnsiTheme="majorHAnsi" w:cstheme="majorHAnsi"/>
          <w:color w:val="212121"/>
          <w:sz w:val="22"/>
          <w:szCs w:val="22"/>
        </w:rPr>
        <w:t>accelerat</w:t>
      </w:r>
      <w:r w:rsidR="00F848C6">
        <w:rPr>
          <w:rFonts w:asciiTheme="majorHAnsi" w:hAnsiTheme="majorHAnsi" w:cstheme="majorHAnsi"/>
          <w:color w:val="212121"/>
          <w:sz w:val="22"/>
          <w:szCs w:val="22"/>
        </w:rPr>
        <w:t>ing</w:t>
      </w:r>
      <w:r w:rsidR="006C5BDB">
        <w:rPr>
          <w:rFonts w:asciiTheme="majorHAnsi" w:hAnsiTheme="majorHAnsi" w:cstheme="majorHAnsi"/>
          <w:color w:val="212121"/>
          <w:sz w:val="22"/>
          <w:szCs w:val="22"/>
        </w:rPr>
        <w:t xml:space="preserve"> our outreach in the weeks and months to come.”</w:t>
      </w:r>
    </w:p>
    <w:p w14:paraId="41F27465" w14:textId="712949D7" w:rsidR="0069124C" w:rsidRPr="0069124C" w:rsidRDefault="0069124C" w:rsidP="00A55CD9">
      <w:pPr>
        <w:pStyle w:val="NormalWeb"/>
        <w:shd w:val="clear" w:color="auto" w:fill="FFFFFF"/>
        <w:jc w:val="both"/>
        <w:rPr>
          <w:rFonts w:asciiTheme="majorHAnsi" w:hAnsiTheme="majorHAnsi" w:cstheme="majorHAnsi"/>
          <w:i/>
          <w:iCs/>
          <w:color w:val="212121"/>
          <w:sz w:val="22"/>
          <w:szCs w:val="22"/>
        </w:rPr>
      </w:pPr>
      <w:r w:rsidRPr="0069124C">
        <w:rPr>
          <w:rFonts w:asciiTheme="majorHAnsi" w:hAnsiTheme="majorHAnsi" w:cstheme="majorHAnsi"/>
          <w:i/>
          <w:iCs/>
          <w:color w:val="212121"/>
          <w:sz w:val="22"/>
          <w:szCs w:val="22"/>
        </w:rPr>
        <w:t>Update on 16 Ton Purchase Order</w:t>
      </w:r>
      <w:r>
        <w:rPr>
          <w:rFonts w:asciiTheme="majorHAnsi" w:hAnsiTheme="majorHAnsi" w:cstheme="majorHAnsi"/>
          <w:i/>
          <w:iCs/>
          <w:color w:val="212121"/>
          <w:sz w:val="22"/>
          <w:szCs w:val="22"/>
        </w:rPr>
        <w:t xml:space="preserve"> from Fandango</w:t>
      </w:r>
    </w:p>
    <w:p w14:paraId="2A4F7B53" w14:textId="2EEB965C" w:rsidR="005B77FD" w:rsidRDefault="0069124C" w:rsidP="00A55CD9">
      <w:pPr>
        <w:pStyle w:val="NormalWeb"/>
        <w:shd w:val="clear" w:color="auto" w:fill="FFFFFF"/>
        <w:jc w:val="both"/>
        <w:rPr>
          <w:rFonts w:asciiTheme="majorHAnsi" w:hAnsiTheme="majorHAnsi" w:cstheme="majorHAnsi"/>
          <w:color w:val="212121"/>
          <w:sz w:val="22"/>
          <w:szCs w:val="22"/>
        </w:rPr>
      </w:pPr>
      <w:r>
        <w:rPr>
          <w:rFonts w:asciiTheme="majorHAnsi" w:hAnsiTheme="majorHAnsi" w:cstheme="majorHAnsi"/>
          <w:color w:val="212121"/>
          <w:sz w:val="22"/>
          <w:szCs w:val="22"/>
        </w:rPr>
        <w:t xml:space="preserve">Further to the </w:t>
      </w:r>
      <w:hyperlink r:id="rId13" w:history="1">
        <w:r w:rsidR="00F848C6" w:rsidRPr="00F848C6">
          <w:rPr>
            <w:rStyle w:val="Hyperlink"/>
            <w:rFonts w:asciiTheme="majorHAnsi" w:hAnsiTheme="majorHAnsi" w:cstheme="majorHAnsi"/>
            <w:sz w:val="22"/>
            <w:szCs w:val="22"/>
          </w:rPr>
          <w:t xml:space="preserve">news </w:t>
        </w:r>
        <w:r w:rsidRPr="00F848C6">
          <w:rPr>
            <w:rStyle w:val="Hyperlink"/>
            <w:rFonts w:asciiTheme="majorHAnsi" w:hAnsiTheme="majorHAnsi" w:cstheme="majorHAnsi"/>
            <w:sz w:val="22"/>
            <w:szCs w:val="22"/>
          </w:rPr>
          <w:t>release</w:t>
        </w:r>
      </w:hyperlink>
      <w:r w:rsidR="00AF3ABA">
        <w:rPr>
          <w:rFonts w:asciiTheme="majorHAnsi" w:hAnsiTheme="majorHAnsi" w:cstheme="majorHAnsi"/>
          <w:color w:val="212121"/>
          <w:sz w:val="22"/>
          <w:szCs w:val="22"/>
        </w:rPr>
        <w:t xml:space="preserve"> </w:t>
      </w:r>
      <w:r>
        <w:rPr>
          <w:rFonts w:asciiTheme="majorHAnsi" w:hAnsiTheme="majorHAnsi" w:cstheme="majorHAnsi"/>
          <w:color w:val="212121"/>
          <w:sz w:val="22"/>
          <w:szCs w:val="22"/>
        </w:rPr>
        <w:t xml:space="preserve">dated February 23, 2023 which announced a </w:t>
      </w:r>
      <w:r w:rsidR="003A7021">
        <w:rPr>
          <w:rFonts w:asciiTheme="majorHAnsi" w:hAnsiTheme="majorHAnsi" w:cstheme="majorHAnsi"/>
          <w:color w:val="212121"/>
          <w:sz w:val="22"/>
          <w:szCs w:val="22"/>
        </w:rPr>
        <w:t>16-ton</w:t>
      </w:r>
      <w:r>
        <w:rPr>
          <w:rFonts w:asciiTheme="majorHAnsi" w:hAnsiTheme="majorHAnsi" w:cstheme="majorHAnsi"/>
          <w:color w:val="212121"/>
          <w:sz w:val="22"/>
          <w:szCs w:val="22"/>
        </w:rPr>
        <w:t xml:space="preserve"> purchase order of the Beyond Oil product from Fandango, Beyond Oil is pleased to announce that it has begun </w:t>
      </w:r>
      <w:r w:rsidR="00D03E91">
        <w:rPr>
          <w:rFonts w:asciiTheme="majorHAnsi" w:hAnsiTheme="majorHAnsi" w:cstheme="majorHAnsi"/>
          <w:color w:val="212121"/>
          <w:sz w:val="22"/>
          <w:szCs w:val="22"/>
        </w:rPr>
        <w:t xml:space="preserve">fulfilling this order with an initial </w:t>
      </w:r>
      <w:r w:rsidR="00F66401">
        <w:rPr>
          <w:rFonts w:asciiTheme="majorHAnsi" w:hAnsiTheme="majorHAnsi" w:cstheme="majorHAnsi"/>
          <w:color w:val="212121"/>
          <w:sz w:val="22"/>
          <w:szCs w:val="22"/>
        </w:rPr>
        <w:t>one-ton</w:t>
      </w:r>
      <w:r w:rsidR="00D03E91">
        <w:rPr>
          <w:rFonts w:asciiTheme="majorHAnsi" w:hAnsiTheme="majorHAnsi" w:cstheme="majorHAnsi"/>
          <w:color w:val="212121"/>
          <w:sz w:val="22"/>
          <w:szCs w:val="22"/>
        </w:rPr>
        <w:t xml:space="preserve"> shipment to Fandango on May </w:t>
      </w:r>
      <w:r w:rsidR="0039372D">
        <w:rPr>
          <w:rFonts w:asciiTheme="majorHAnsi" w:hAnsiTheme="majorHAnsi" w:cstheme="majorHAnsi"/>
          <w:color w:val="212121"/>
          <w:sz w:val="22"/>
          <w:szCs w:val="22"/>
        </w:rPr>
        <w:t>10</w:t>
      </w:r>
      <w:r w:rsidR="00D03E91">
        <w:rPr>
          <w:rFonts w:asciiTheme="majorHAnsi" w:hAnsiTheme="majorHAnsi" w:cstheme="majorHAnsi"/>
          <w:color w:val="212121"/>
          <w:sz w:val="22"/>
          <w:szCs w:val="22"/>
        </w:rPr>
        <w:t xml:space="preserve">, 2023. This initial shipment will be used to continue the expansion of the customer product demonstrations in Israel, and it is expected that these shipments will accelerate as the product demonstration initiative </w:t>
      </w:r>
      <w:r w:rsidR="00F848C6">
        <w:rPr>
          <w:rFonts w:asciiTheme="majorHAnsi" w:hAnsiTheme="majorHAnsi" w:cstheme="majorHAnsi"/>
          <w:color w:val="212121"/>
          <w:sz w:val="22"/>
          <w:szCs w:val="22"/>
        </w:rPr>
        <w:t xml:space="preserve">advances </w:t>
      </w:r>
      <w:r w:rsidR="00D03E91">
        <w:rPr>
          <w:rFonts w:asciiTheme="majorHAnsi" w:hAnsiTheme="majorHAnsi" w:cstheme="majorHAnsi"/>
          <w:color w:val="212121"/>
          <w:sz w:val="22"/>
          <w:szCs w:val="22"/>
        </w:rPr>
        <w:t>in speed and scope.</w:t>
      </w:r>
    </w:p>
    <w:p w14:paraId="0A1FD4D4" w14:textId="03C5282B" w:rsidR="00D03E91" w:rsidRPr="00D2716B" w:rsidRDefault="00D03E91" w:rsidP="00A55CD9">
      <w:pPr>
        <w:pStyle w:val="NormalWeb"/>
        <w:shd w:val="clear" w:color="auto" w:fill="FFFFFF"/>
        <w:jc w:val="both"/>
        <w:rPr>
          <w:rFonts w:asciiTheme="majorHAnsi" w:hAnsiTheme="majorHAnsi" w:cstheme="majorHAnsi"/>
          <w:color w:val="212121"/>
          <w:sz w:val="22"/>
          <w:szCs w:val="22"/>
        </w:rPr>
      </w:pPr>
      <w:r>
        <w:rPr>
          <w:rFonts w:asciiTheme="majorHAnsi" w:hAnsiTheme="majorHAnsi" w:cstheme="majorHAnsi"/>
          <w:color w:val="212121"/>
          <w:sz w:val="22"/>
          <w:szCs w:val="22"/>
        </w:rPr>
        <w:lastRenderedPageBreak/>
        <w:t xml:space="preserve">Further updates </w:t>
      </w:r>
      <w:r w:rsidR="00930635">
        <w:rPr>
          <w:rFonts w:asciiTheme="majorHAnsi" w:hAnsiTheme="majorHAnsi" w:cstheme="majorHAnsi"/>
          <w:color w:val="212121"/>
          <w:sz w:val="22"/>
          <w:szCs w:val="22"/>
        </w:rPr>
        <w:t xml:space="preserve">on the commercialization of this partnership will be provided </w:t>
      </w:r>
      <w:proofErr w:type="gramStart"/>
      <w:r w:rsidR="00930635">
        <w:rPr>
          <w:rFonts w:asciiTheme="majorHAnsi" w:hAnsiTheme="majorHAnsi" w:cstheme="majorHAnsi"/>
          <w:color w:val="212121"/>
          <w:sz w:val="22"/>
          <w:szCs w:val="22"/>
        </w:rPr>
        <w:t>in the near future</w:t>
      </w:r>
      <w:proofErr w:type="gramEnd"/>
      <w:r w:rsidR="00930635">
        <w:rPr>
          <w:rFonts w:asciiTheme="majorHAnsi" w:hAnsiTheme="majorHAnsi" w:cstheme="majorHAnsi"/>
          <w:color w:val="212121"/>
          <w:sz w:val="22"/>
          <w:szCs w:val="22"/>
        </w:rPr>
        <w:t>.</w:t>
      </w:r>
    </w:p>
    <w:p w14:paraId="0AF8E90E" w14:textId="0A3B16D4" w:rsidR="008E37C8" w:rsidRDefault="008E37C8" w:rsidP="002E723C">
      <w:pPr>
        <w:jc w:val="both"/>
        <w:rPr>
          <w:rFonts w:asciiTheme="majorHAnsi" w:hAnsiTheme="majorHAnsi" w:cstheme="majorHAnsi"/>
          <w:b/>
          <w:bCs/>
          <w:sz w:val="22"/>
          <w:szCs w:val="22"/>
        </w:rPr>
      </w:pPr>
      <w:r>
        <w:rPr>
          <w:rFonts w:asciiTheme="majorHAnsi" w:hAnsiTheme="majorHAnsi" w:cstheme="majorHAnsi"/>
          <w:b/>
          <w:bCs/>
          <w:sz w:val="22"/>
          <w:szCs w:val="22"/>
        </w:rPr>
        <w:t>Product Highlights</w:t>
      </w:r>
    </w:p>
    <w:p w14:paraId="27E1789E" w14:textId="77777777" w:rsidR="008E37C8" w:rsidRDefault="008E37C8" w:rsidP="002E723C">
      <w:pPr>
        <w:jc w:val="both"/>
        <w:rPr>
          <w:rFonts w:asciiTheme="majorHAnsi" w:hAnsiTheme="majorHAnsi" w:cstheme="majorHAnsi"/>
          <w:b/>
          <w:bCs/>
          <w:sz w:val="22"/>
          <w:szCs w:val="22"/>
        </w:rPr>
      </w:pPr>
    </w:p>
    <w:p w14:paraId="7F5DDA76" w14:textId="1008CD10" w:rsidR="008E37C8" w:rsidRDefault="008E37C8" w:rsidP="008E37C8">
      <w:pPr>
        <w:jc w:val="both"/>
        <w:rPr>
          <w:rFonts w:asciiTheme="majorHAnsi" w:hAnsiTheme="majorHAnsi" w:cstheme="majorHAnsi"/>
          <w:sz w:val="22"/>
          <w:szCs w:val="22"/>
        </w:rPr>
      </w:pPr>
      <w:r w:rsidRPr="008E37C8">
        <w:rPr>
          <w:rFonts w:asciiTheme="majorHAnsi" w:hAnsiTheme="majorHAnsi" w:cstheme="majorHAnsi"/>
          <w:sz w:val="22"/>
          <w:szCs w:val="22"/>
          <w:u w:val="single"/>
        </w:rPr>
        <w:t>Frying Oils Recovery</w:t>
      </w:r>
      <w:r w:rsidRPr="008E37C8">
        <w:rPr>
          <w:rFonts w:asciiTheme="majorHAnsi" w:hAnsiTheme="majorHAnsi" w:cstheme="majorHAnsi"/>
          <w:sz w:val="22"/>
          <w:szCs w:val="22"/>
        </w:rPr>
        <w:t xml:space="preserve">: Extensive testing indicates that </w:t>
      </w:r>
      <w:r>
        <w:rPr>
          <w:rFonts w:asciiTheme="majorHAnsi" w:hAnsiTheme="majorHAnsi" w:cstheme="majorHAnsi"/>
          <w:sz w:val="22"/>
          <w:szCs w:val="22"/>
        </w:rPr>
        <w:t xml:space="preserve">the </w:t>
      </w:r>
      <w:r w:rsidRPr="008E37C8">
        <w:rPr>
          <w:rFonts w:asciiTheme="majorHAnsi" w:hAnsiTheme="majorHAnsi" w:cstheme="majorHAnsi"/>
          <w:sz w:val="22"/>
          <w:szCs w:val="22"/>
        </w:rPr>
        <w:t xml:space="preserve">Beyond Oil </w:t>
      </w:r>
      <w:r w:rsidR="000F598B">
        <w:rPr>
          <w:rFonts w:asciiTheme="majorHAnsi" w:hAnsiTheme="majorHAnsi" w:cstheme="majorHAnsi"/>
          <w:sz w:val="22"/>
          <w:szCs w:val="22"/>
        </w:rPr>
        <w:t>P</w:t>
      </w:r>
      <w:r w:rsidRPr="008E37C8">
        <w:rPr>
          <w:rFonts w:asciiTheme="majorHAnsi" w:hAnsiTheme="majorHAnsi" w:cstheme="majorHAnsi"/>
          <w:sz w:val="22"/>
          <w:szCs w:val="22"/>
        </w:rPr>
        <w:t>roduct extends the usable life of frying oil, improves product quality, and reduces frying oil costs. As a preferential adsorbent, the product reduces soluble impurities formed during the frying process that cause damaging</w:t>
      </w:r>
      <w:r w:rsidR="009749EA">
        <w:rPr>
          <w:rFonts w:asciiTheme="majorHAnsi" w:hAnsiTheme="majorHAnsi" w:cstheme="majorHAnsi"/>
          <w:sz w:val="22"/>
          <w:szCs w:val="22"/>
        </w:rPr>
        <w:t xml:space="preserve"> </w:t>
      </w:r>
      <w:r w:rsidR="009749EA" w:rsidRPr="009749EA">
        <w:rPr>
          <w:rFonts w:asciiTheme="majorHAnsi" w:hAnsiTheme="majorHAnsi" w:cstheme="majorHAnsi"/>
          <w:sz w:val="22"/>
          <w:szCs w:val="22"/>
        </w:rPr>
        <w:t>free fatty acids</w:t>
      </w:r>
      <w:r w:rsidRPr="008E37C8">
        <w:rPr>
          <w:rFonts w:asciiTheme="majorHAnsi" w:hAnsiTheme="majorHAnsi" w:cstheme="majorHAnsi"/>
          <w:sz w:val="22"/>
          <w:szCs w:val="22"/>
        </w:rPr>
        <w:t xml:space="preserve"> </w:t>
      </w:r>
      <w:r w:rsidR="009749EA">
        <w:rPr>
          <w:rFonts w:asciiTheme="majorHAnsi" w:hAnsiTheme="majorHAnsi" w:cstheme="majorHAnsi"/>
          <w:sz w:val="22"/>
          <w:szCs w:val="22"/>
        </w:rPr>
        <w:t>(“</w:t>
      </w:r>
      <w:r w:rsidRPr="009749EA">
        <w:rPr>
          <w:rFonts w:asciiTheme="majorHAnsi" w:hAnsiTheme="majorHAnsi" w:cstheme="majorHAnsi"/>
          <w:b/>
          <w:bCs/>
          <w:sz w:val="22"/>
          <w:szCs w:val="22"/>
        </w:rPr>
        <w:t>FFA</w:t>
      </w:r>
      <w:r w:rsidR="009749EA">
        <w:rPr>
          <w:rFonts w:asciiTheme="majorHAnsi" w:hAnsiTheme="majorHAnsi" w:cstheme="majorHAnsi"/>
          <w:sz w:val="22"/>
          <w:szCs w:val="22"/>
        </w:rPr>
        <w:t>”)</w:t>
      </w:r>
      <w:r w:rsidRPr="008E37C8">
        <w:rPr>
          <w:rFonts w:asciiTheme="majorHAnsi" w:hAnsiTheme="majorHAnsi" w:cstheme="majorHAnsi"/>
          <w:sz w:val="22"/>
          <w:szCs w:val="22"/>
        </w:rPr>
        <w:t xml:space="preserve"> and </w:t>
      </w:r>
      <w:r w:rsidR="009749EA">
        <w:rPr>
          <w:rFonts w:asciiTheme="majorHAnsi" w:hAnsiTheme="majorHAnsi" w:cstheme="majorHAnsi"/>
          <w:sz w:val="22"/>
          <w:szCs w:val="22"/>
        </w:rPr>
        <w:t>total polar materials (“</w:t>
      </w:r>
      <w:r w:rsidRPr="009749EA">
        <w:rPr>
          <w:rFonts w:asciiTheme="majorHAnsi" w:hAnsiTheme="majorHAnsi" w:cstheme="majorHAnsi"/>
          <w:b/>
          <w:bCs/>
          <w:sz w:val="22"/>
          <w:szCs w:val="22"/>
        </w:rPr>
        <w:t>TPM</w:t>
      </w:r>
      <w:r w:rsidR="009749EA">
        <w:rPr>
          <w:rFonts w:asciiTheme="majorHAnsi" w:hAnsiTheme="majorHAnsi" w:cstheme="majorHAnsi"/>
          <w:sz w:val="22"/>
          <w:szCs w:val="22"/>
        </w:rPr>
        <w:t>”)</w:t>
      </w:r>
      <w:r w:rsidRPr="008E37C8">
        <w:rPr>
          <w:rFonts w:asciiTheme="majorHAnsi" w:hAnsiTheme="majorHAnsi" w:cstheme="majorHAnsi"/>
          <w:sz w:val="22"/>
          <w:szCs w:val="22"/>
        </w:rPr>
        <w:t xml:space="preserve">, undesirable odors, off-flavors, and off-colors. The product is simple to integrate into existing daily filtration processes. </w:t>
      </w:r>
    </w:p>
    <w:p w14:paraId="41431436" w14:textId="77777777" w:rsidR="008E37C8" w:rsidRPr="008E37C8" w:rsidRDefault="008E37C8" w:rsidP="008E37C8">
      <w:pPr>
        <w:jc w:val="both"/>
        <w:rPr>
          <w:rFonts w:asciiTheme="majorHAnsi" w:hAnsiTheme="majorHAnsi" w:cstheme="majorHAnsi"/>
          <w:sz w:val="22"/>
          <w:szCs w:val="22"/>
        </w:rPr>
      </w:pPr>
    </w:p>
    <w:p w14:paraId="4E92E976" w14:textId="7B406ECB" w:rsidR="008E37C8" w:rsidRDefault="008E37C8" w:rsidP="008E37C8">
      <w:pPr>
        <w:jc w:val="both"/>
        <w:rPr>
          <w:rFonts w:asciiTheme="majorHAnsi" w:hAnsiTheme="majorHAnsi" w:cstheme="majorHAnsi"/>
          <w:sz w:val="22"/>
          <w:szCs w:val="22"/>
        </w:rPr>
      </w:pPr>
      <w:r w:rsidRPr="008E37C8">
        <w:rPr>
          <w:rFonts w:asciiTheme="majorHAnsi" w:hAnsiTheme="majorHAnsi" w:cstheme="majorHAnsi"/>
          <w:sz w:val="22"/>
          <w:szCs w:val="22"/>
          <w:u w:val="single"/>
        </w:rPr>
        <w:t>One-of-a-Kind</w:t>
      </w:r>
      <w:r w:rsidRPr="008E37C8">
        <w:rPr>
          <w:rFonts w:asciiTheme="majorHAnsi" w:hAnsiTheme="majorHAnsi" w:cstheme="majorHAnsi"/>
          <w:sz w:val="22"/>
          <w:szCs w:val="22"/>
        </w:rPr>
        <w:t>: To the Company’s knowledge, Beyond Oil has developed a unique solution that can absorb the FFAs and TPMs generated in frying oil, together with other harmful components and undesired off</w:t>
      </w:r>
      <w:r w:rsidR="00D46065">
        <w:rPr>
          <w:rFonts w:asciiTheme="majorHAnsi" w:hAnsiTheme="majorHAnsi" w:cstheme="majorHAnsi"/>
          <w:sz w:val="22"/>
          <w:szCs w:val="22"/>
        </w:rPr>
        <w:t>-</w:t>
      </w:r>
      <w:r w:rsidRPr="008E37C8">
        <w:rPr>
          <w:rFonts w:asciiTheme="majorHAnsi" w:hAnsiTheme="majorHAnsi" w:cstheme="majorHAnsi"/>
          <w:sz w:val="22"/>
          <w:szCs w:val="22"/>
        </w:rPr>
        <w:t xml:space="preserve">flavors, colors, and odors. </w:t>
      </w:r>
    </w:p>
    <w:p w14:paraId="3ED46552" w14:textId="77777777" w:rsidR="008E37C8" w:rsidRPr="008E37C8" w:rsidRDefault="008E37C8" w:rsidP="008E37C8">
      <w:pPr>
        <w:jc w:val="both"/>
        <w:rPr>
          <w:rFonts w:asciiTheme="majorHAnsi" w:hAnsiTheme="majorHAnsi" w:cstheme="majorHAnsi"/>
          <w:sz w:val="22"/>
          <w:szCs w:val="22"/>
        </w:rPr>
      </w:pPr>
    </w:p>
    <w:p w14:paraId="751332CC" w14:textId="77777777" w:rsidR="008E37C8" w:rsidRDefault="008E37C8" w:rsidP="008E37C8">
      <w:pPr>
        <w:jc w:val="both"/>
        <w:rPr>
          <w:rFonts w:asciiTheme="majorHAnsi" w:hAnsiTheme="majorHAnsi" w:cstheme="majorHAnsi"/>
          <w:sz w:val="22"/>
          <w:szCs w:val="22"/>
        </w:rPr>
      </w:pPr>
      <w:r w:rsidRPr="008E37C8">
        <w:rPr>
          <w:rFonts w:asciiTheme="majorHAnsi" w:hAnsiTheme="majorHAnsi" w:cstheme="majorHAnsi"/>
          <w:sz w:val="22"/>
          <w:szCs w:val="22"/>
          <w:u w:val="single"/>
        </w:rPr>
        <w:t>Patent Protected</w:t>
      </w:r>
      <w:r w:rsidRPr="008E37C8">
        <w:rPr>
          <w:rFonts w:asciiTheme="majorHAnsi" w:hAnsiTheme="majorHAnsi" w:cstheme="majorHAnsi"/>
          <w:sz w:val="22"/>
          <w:szCs w:val="22"/>
        </w:rPr>
        <w:t xml:space="preserve">: The Company also has a portfolio of registered and patent-pending solutions that extend the shelf-life of produced and used vegetable oils. </w:t>
      </w:r>
    </w:p>
    <w:p w14:paraId="2BD8A128" w14:textId="77777777" w:rsidR="008E37C8" w:rsidRPr="008E37C8" w:rsidRDefault="008E37C8" w:rsidP="008E37C8">
      <w:pPr>
        <w:jc w:val="both"/>
        <w:rPr>
          <w:rFonts w:asciiTheme="majorHAnsi" w:hAnsiTheme="majorHAnsi" w:cstheme="majorHAnsi"/>
          <w:sz w:val="22"/>
          <w:szCs w:val="22"/>
        </w:rPr>
      </w:pPr>
    </w:p>
    <w:p w14:paraId="18A94113" w14:textId="6D0FA78C" w:rsidR="00951E19" w:rsidRDefault="008E37C8" w:rsidP="008E37C8">
      <w:pPr>
        <w:jc w:val="both"/>
        <w:rPr>
          <w:rFonts w:asciiTheme="majorHAnsi" w:hAnsiTheme="majorHAnsi" w:cstheme="majorHAnsi"/>
          <w:sz w:val="22"/>
          <w:szCs w:val="22"/>
        </w:rPr>
      </w:pPr>
      <w:r w:rsidRPr="008E37C8">
        <w:rPr>
          <w:rFonts w:asciiTheme="majorHAnsi" w:hAnsiTheme="majorHAnsi" w:cstheme="majorHAnsi"/>
          <w:sz w:val="22"/>
          <w:szCs w:val="22"/>
          <w:u w:val="single"/>
        </w:rPr>
        <w:t>Potential Cost-Savings</w:t>
      </w:r>
      <w:r w:rsidRPr="008E37C8">
        <w:rPr>
          <w:rFonts w:asciiTheme="majorHAnsi" w:hAnsiTheme="majorHAnsi" w:cstheme="majorHAnsi"/>
          <w:sz w:val="22"/>
          <w:szCs w:val="22"/>
        </w:rPr>
        <w:t xml:space="preserve">: One of Beyond Oil’s unique value propositions is that it </w:t>
      </w:r>
      <w:r>
        <w:rPr>
          <w:rFonts w:asciiTheme="majorHAnsi" w:hAnsiTheme="majorHAnsi" w:cstheme="majorHAnsi"/>
          <w:sz w:val="22"/>
          <w:szCs w:val="22"/>
        </w:rPr>
        <w:t>can</w:t>
      </w:r>
      <w:r w:rsidRPr="008E37C8">
        <w:rPr>
          <w:rFonts w:asciiTheme="majorHAnsi" w:hAnsiTheme="majorHAnsi" w:cstheme="majorHAnsi"/>
          <w:sz w:val="22"/>
          <w:szCs w:val="22"/>
        </w:rPr>
        <w:t xml:space="preserve"> dramatically lower costs for quick-service restaurants by significantly extending the useful life of the oil while meeting food quality and safety requirements. </w:t>
      </w:r>
      <w:r w:rsidR="00951E19">
        <w:rPr>
          <w:rFonts w:asciiTheme="majorHAnsi" w:hAnsiTheme="majorHAnsi" w:cstheme="majorHAnsi"/>
          <w:color w:val="333333"/>
          <w:sz w:val="22"/>
          <w:szCs w:val="22"/>
        </w:rPr>
        <w:t>For more information on how the Beyond Oil Product extends the life of frying oil, see the Company’s news release dated December 12, 2022.</w:t>
      </w:r>
    </w:p>
    <w:p w14:paraId="207C260F" w14:textId="77777777" w:rsidR="008E37C8" w:rsidRPr="008E37C8" w:rsidRDefault="008E37C8" w:rsidP="008E37C8">
      <w:pPr>
        <w:jc w:val="both"/>
        <w:rPr>
          <w:rFonts w:asciiTheme="majorHAnsi" w:hAnsiTheme="majorHAnsi" w:cstheme="majorHAnsi"/>
          <w:sz w:val="22"/>
          <w:szCs w:val="22"/>
        </w:rPr>
      </w:pPr>
    </w:p>
    <w:p w14:paraId="586131B3" w14:textId="2C4887CE" w:rsidR="008E37C8" w:rsidRPr="008E37C8" w:rsidRDefault="008E37C8" w:rsidP="008E37C8">
      <w:pPr>
        <w:jc w:val="both"/>
        <w:rPr>
          <w:rFonts w:asciiTheme="majorHAnsi" w:hAnsiTheme="majorHAnsi" w:cstheme="majorHAnsi"/>
          <w:sz w:val="22"/>
          <w:szCs w:val="22"/>
        </w:rPr>
      </w:pPr>
      <w:r w:rsidRPr="008E37C8">
        <w:rPr>
          <w:rFonts w:asciiTheme="majorHAnsi" w:hAnsiTheme="majorHAnsi" w:cstheme="majorHAnsi"/>
          <w:sz w:val="22"/>
          <w:szCs w:val="22"/>
          <w:u w:val="single"/>
        </w:rPr>
        <w:t>Distribution Ready</w:t>
      </w:r>
      <w:r w:rsidRPr="008E37C8">
        <w:rPr>
          <w:rFonts w:asciiTheme="majorHAnsi" w:hAnsiTheme="majorHAnsi" w:cstheme="majorHAnsi"/>
          <w:sz w:val="22"/>
          <w:szCs w:val="22"/>
        </w:rPr>
        <w:t>: The Company received a non-objection letter from the US Food &amp; Drug Administration (“</w:t>
      </w:r>
      <w:r w:rsidRPr="008E37C8">
        <w:rPr>
          <w:rFonts w:asciiTheme="majorHAnsi" w:hAnsiTheme="majorHAnsi" w:cstheme="majorHAnsi"/>
          <w:b/>
          <w:bCs/>
          <w:sz w:val="22"/>
          <w:szCs w:val="22"/>
        </w:rPr>
        <w:t>FDA</w:t>
      </w:r>
      <w:r w:rsidRPr="008E37C8">
        <w:rPr>
          <w:rFonts w:asciiTheme="majorHAnsi" w:hAnsiTheme="majorHAnsi" w:cstheme="majorHAnsi"/>
          <w:sz w:val="22"/>
          <w:szCs w:val="22"/>
        </w:rPr>
        <w:t xml:space="preserve">”) in March 2022, on the basis that all the Beyond Oil </w:t>
      </w:r>
      <w:r>
        <w:rPr>
          <w:rFonts w:asciiTheme="majorHAnsi" w:hAnsiTheme="majorHAnsi" w:cstheme="majorHAnsi"/>
          <w:sz w:val="22"/>
          <w:szCs w:val="22"/>
        </w:rPr>
        <w:t>P</w:t>
      </w:r>
      <w:r w:rsidRPr="008E37C8">
        <w:rPr>
          <w:rFonts w:asciiTheme="majorHAnsi" w:hAnsiTheme="majorHAnsi" w:cstheme="majorHAnsi"/>
          <w:sz w:val="22"/>
          <w:szCs w:val="22"/>
        </w:rPr>
        <w:t xml:space="preserve">roduct ingredients meet food-grade specifications of the FDA. In May 2022, Beyond Oil received a non-objection letter from Health Canada and </w:t>
      </w:r>
    </w:p>
    <w:p w14:paraId="14C95B37" w14:textId="2618070A" w:rsidR="008E37C8" w:rsidRDefault="008E37C8" w:rsidP="008E37C8">
      <w:pPr>
        <w:jc w:val="both"/>
        <w:rPr>
          <w:rFonts w:asciiTheme="majorHAnsi" w:hAnsiTheme="majorHAnsi" w:cstheme="majorHAnsi"/>
          <w:sz w:val="22"/>
          <w:szCs w:val="22"/>
        </w:rPr>
      </w:pPr>
      <w:r w:rsidRPr="008E37C8">
        <w:rPr>
          <w:rFonts w:asciiTheme="majorHAnsi" w:hAnsiTheme="majorHAnsi" w:cstheme="majorHAnsi"/>
          <w:sz w:val="22"/>
          <w:szCs w:val="22"/>
        </w:rPr>
        <w:t xml:space="preserve">a National Sanitation Foundation certification. Beyond Oil is legally permitted to sell its product into the Israeli market according to the processing-aid and filtering-aid regulations. </w:t>
      </w:r>
    </w:p>
    <w:p w14:paraId="6D775FF1" w14:textId="77777777" w:rsidR="008E37C8" w:rsidRPr="008E37C8" w:rsidRDefault="008E37C8" w:rsidP="008E37C8">
      <w:pPr>
        <w:jc w:val="both"/>
        <w:rPr>
          <w:rFonts w:asciiTheme="majorHAnsi" w:hAnsiTheme="majorHAnsi" w:cstheme="majorHAnsi"/>
          <w:sz w:val="22"/>
          <w:szCs w:val="22"/>
        </w:rPr>
      </w:pPr>
    </w:p>
    <w:p w14:paraId="0BBD0182" w14:textId="1F3016CF" w:rsidR="008E37C8" w:rsidRDefault="008E37C8" w:rsidP="008E37C8">
      <w:pPr>
        <w:jc w:val="both"/>
        <w:rPr>
          <w:rFonts w:asciiTheme="majorHAnsi" w:hAnsiTheme="majorHAnsi" w:cstheme="majorHAnsi"/>
          <w:b/>
          <w:bCs/>
          <w:sz w:val="22"/>
          <w:szCs w:val="22"/>
        </w:rPr>
      </w:pPr>
      <w:r w:rsidRPr="008E37C8">
        <w:rPr>
          <w:rFonts w:asciiTheme="majorHAnsi" w:hAnsiTheme="majorHAnsi" w:cstheme="majorHAnsi"/>
          <w:b/>
          <w:bCs/>
          <w:sz w:val="22"/>
          <w:szCs w:val="22"/>
        </w:rPr>
        <w:t xml:space="preserve">How </w:t>
      </w:r>
      <w:r>
        <w:rPr>
          <w:rFonts w:asciiTheme="majorHAnsi" w:hAnsiTheme="majorHAnsi" w:cstheme="majorHAnsi"/>
          <w:b/>
          <w:bCs/>
          <w:sz w:val="22"/>
          <w:szCs w:val="22"/>
        </w:rPr>
        <w:t>the Beyond Oil</w:t>
      </w:r>
      <w:r w:rsidRPr="008E37C8">
        <w:rPr>
          <w:rFonts w:asciiTheme="majorHAnsi" w:hAnsiTheme="majorHAnsi" w:cstheme="majorHAnsi"/>
          <w:b/>
          <w:bCs/>
          <w:sz w:val="22"/>
          <w:szCs w:val="22"/>
        </w:rPr>
        <w:t xml:space="preserve"> Product Works </w:t>
      </w:r>
    </w:p>
    <w:p w14:paraId="62DB6887" w14:textId="77777777" w:rsidR="008E37C8" w:rsidRPr="008E37C8" w:rsidRDefault="008E37C8" w:rsidP="008E37C8">
      <w:pPr>
        <w:jc w:val="both"/>
        <w:rPr>
          <w:rFonts w:asciiTheme="majorHAnsi" w:hAnsiTheme="majorHAnsi" w:cstheme="majorHAnsi"/>
          <w:b/>
          <w:bCs/>
          <w:sz w:val="22"/>
          <w:szCs w:val="22"/>
        </w:rPr>
      </w:pPr>
    </w:p>
    <w:p w14:paraId="2D5B22FE" w14:textId="16B23F46" w:rsidR="008E37C8" w:rsidRPr="008E37C8" w:rsidRDefault="008E37C8" w:rsidP="002E723C">
      <w:pPr>
        <w:jc w:val="both"/>
        <w:rPr>
          <w:rFonts w:asciiTheme="majorHAnsi" w:hAnsiTheme="majorHAnsi" w:cstheme="majorHAnsi"/>
          <w:sz w:val="22"/>
          <w:szCs w:val="22"/>
        </w:rPr>
      </w:pPr>
      <w:r w:rsidRPr="008E37C8">
        <w:rPr>
          <w:rFonts w:asciiTheme="majorHAnsi" w:hAnsiTheme="majorHAnsi" w:cstheme="majorHAnsi"/>
          <w:sz w:val="22"/>
          <w:szCs w:val="22"/>
        </w:rPr>
        <w:t xml:space="preserve">The Beyond Oil </w:t>
      </w:r>
      <w:r>
        <w:rPr>
          <w:rFonts w:asciiTheme="majorHAnsi" w:hAnsiTheme="majorHAnsi" w:cstheme="majorHAnsi"/>
          <w:sz w:val="22"/>
          <w:szCs w:val="22"/>
        </w:rPr>
        <w:t>P</w:t>
      </w:r>
      <w:r w:rsidRPr="008E37C8">
        <w:rPr>
          <w:rFonts w:asciiTheme="majorHAnsi" w:hAnsiTheme="majorHAnsi" w:cstheme="majorHAnsi"/>
          <w:sz w:val="22"/>
          <w:szCs w:val="22"/>
        </w:rPr>
        <w:t xml:space="preserve">roduct integrates with most passive filtration systems. The combination of active filtration by the powder and passive filtration by the filter media and filtration machine ensures the best results by removing other degradation particles. The powder remains on the filter media and creates an additional layer which provides the microfiltration benefit. </w:t>
      </w:r>
    </w:p>
    <w:p w14:paraId="4DFF5DB0" w14:textId="77777777" w:rsidR="008E37C8" w:rsidRDefault="008E37C8" w:rsidP="002E723C">
      <w:pPr>
        <w:jc w:val="both"/>
        <w:rPr>
          <w:rFonts w:asciiTheme="majorHAnsi" w:hAnsiTheme="majorHAnsi" w:cstheme="majorHAnsi"/>
          <w:b/>
          <w:bCs/>
          <w:sz w:val="22"/>
          <w:szCs w:val="22"/>
        </w:rPr>
      </w:pPr>
    </w:p>
    <w:p w14:paraId="30248FB3" w14:textId="3E1A1DE0" w:rsidR="002E723C" w:rsidRPr="00576CE6" w:rsidRDefault="002E723C" w:rsidP="002E723C">
      <w:pPr>
        <w:jc w:val="both"/>
        <w:rPr>
          <w:rFonts w:asciiTheme="majorHAnsi" w:hAnsiTheme="majorHAnsi" w:cstheme="majorHAnsi"/>
          <w:b/>
          <w:bCs/>
          <w:sz w:val="22"/>
          <w:szCs w:val="22"/>
        </w:rPr>
      </w:pPr>
      <w:r w:rsidRPr="00576CE6">
        <w:rPr>
          <w:rFonts w:asciiTheme="majorHAnsi" w:hAnsiTheme="majorHAnsi" w:cstheme="majorHAnsi"/>
          <w:b/>
          <w:bCs/>
          <w:sz w:val="22"/>
          <w:szCs w:val="22"/>
        </w:rPr>
        <w:t>About Beyond Oil Ltd.</w:t>
      </w:r>
    </w:p>
    <w:p w14:paraId="78896183" w14:textId="77777777" w:rsidR="002E723C" w:rsidRPr="00576CE6" w:rsidRDefault="002E723C" w:rsidP="002E723C">
      <w:pPr>
        <w:jc w:val="both"/>
        <w:rPr>
          <w:rFonts w:asciiTheme="majorHAnsi" w:hAnsiTheme="majorHAnsi" w:cstheme="majorHAnsi"/>
          <w:b/>
          <w:bCs/>
          <w:sz w:val="22"/>
          <w:szCs w:val="22"/>
          <w:rtl/>
          <w:lang w:bidi="he-IL"/>
        </w:rPr>
      </w:pPr>
    </w:p>
    <w:p w14:paraId="05A99B4D" w14:textId="77777777" w:rsidR="002E723C" w:rsidRDefault="002E723C" w:rsidP="002E723C">
      <w:pPr>
        <w:jc w:val="both"/>
        <w:rPr>
          <w:rFonts w:asciiTheme="majorHAnsi" w:hAnsiTheme="majorHAnsi" w:cstheme="majorHAnsi"/>
          <w:sz w:val="22"/>
          <w:szCs w:val="22"/>
          <w:lang w:bidi="he-IL"/>
        </w:rPr>
      </w:pPr>
      <w:r w:rsidRPr="00576CE6">
        <w:rPr>
          <w:rFonts w:asciiTheme="majorHAnsi" w:hAnsiTheme="majorHAnsi" w:cstheme="majorHAnsi"/>
          <w:sz w:val="22"/>
          <w:szCs w:val="22"/>
          <w:lang w:bidi="he-IL"/>
        </w:rPr>
        <w:t xml:space="preserve">Beyond Oil develops and manufactures an innovative, proprietary, and patented product designed to extend the life of frying oil while preserving the oil’s quality and nutritional value. The unique product integrates into the existing filtration systems of both commercial and industrial fryers, reducing oil costs, helping create healthier food, decreasing waste, and increasing sustainability. For more information visit: </w:t>
      </w:r>
      <w:hyperlink r:id="rId14" w:history="1">
        <w:r w:rsidRPr="00576CE6">
          <w:rPr>
            <w:rStyle w:val="Hyperlink"/>
            <w:rFonts w:asciiTheme="majorHAnsi" w:hAnsiTheme="majorHAnsi" w:cstheme="majorHAnsi"/>
            <w:sz w:val="22"/>
            <w:szCs w:val="22"/>
            <w:lang w:bidi="he-IL"/>
          </w:rPr>
          <w:t>www.beyondoil.co</w:t>
        </w:r>
      </w:hyperlink>
      <w:r w:rsidRPr="00576CE6">
        <w:rPr>
          <w:rFonts w:asciiTheme="majorHAnsi" w:hAnsiTheme="majorHAnsi" w:cstheme="majorHAnsi"/>
          <w:sz w:val="22"/>
          <w:szCs w:val="22"/>
          <w:lang w:bidi="he-IL"/>
        </w:rPr>
        <w:t>.</w:t>
      </w:r>
    </w:p>
    <w:p w14:paraId="19E09EB7" w14:textId="77777777" w:rsidR="006C5BDB" w:rsidRDefault="006C5BDB" w:rsidP="002E723C">
      <w:pPr>
        <w:jc w:val="both"/>
        <w:rPr>
          <w:rFonts w:asciiTheme="majorHAnsi" w:hAnsiTheme="majorHAnsi" w:cstheme="majorHAnsi"/>
          <w:sz w:val="22"/>
          <w:szCs w:val="22"/>
          <w:lang w:bidi="he-IL"/>
        </w:rPr>
      </w:pPr>
    </w:p>
    <w:p w14:paraId="56B413A6" w14:textId="709D4FAC" w:rsidR="006C5BDB" w:rsidRPr="006C5BDB" w:rsidRDefault="006C5BDB" w:rsidP="002E723C">
      <w:pPr>
        <w:jc w:val="both"/>
        <w:rPr>
          <w:rFonts w:asciiTheme="majorHAnsi" w:hAnsiTheme="majorHAnsi" w:cstheme="majorHAnsi"/>
          <w:b/>
          <w:bCs/>
          <w:sz w:val="22"/>
          <w:szCs w:val="22"/>
          <w:lang w:bidi="he-IL"/>
        </w:rPr>
      </w:pPr>
      <w:r w:rsidRPr="006C5BDB">
        <w:rPr>
          <w:rFonts w:asciiTheme="majorHAnsi" w:hAnsiTheme="majorHAnsi" w:cstheme="majorHAnsi"/>
          <w:b/>
          <w:bCs/>
          <w:sz w:val="22"/>
          <w:szCs w:val="22"/>
          <w:lang w:bidi="he-IL"/>
        </w:rPr>
        <w:t xml:space="preserve">About Fandango Collection &amp; Recycling Ltd. </w:t>
      </w:r>
    </w:p>
    <w:p w14:paraId="15C0EFB5" w14:textId="2C5DDF37" w:rsidR="00EE3A81" w:rsidRPr="006C5BDB" w:rsidRDefault="006C5BDB" w:rsidP="006C5BDB">
      <w:pPr>
        <w:pStyle w:val="NormalWeb"/>
        <w:shd w:val="clear" w:color="auto" w:fill="FFFFFF"/>
        <w:jc w:val="both"/>
        <w:rPr>
          <w:rFonts w:asciiTheme="majorHAnsi" w:hAnsiTheme="majorHAnsi" w:cstheme="majorHAnsi"/>
          <w:color w:val="212121"/>
          <w:sz w:val="22"/>
          <w:szCs w:val="22"/>
        </w:rPr>
      </w:pPr>
      <w:r w:rsidRPr="006C5BDB">
        <w:rPr>
          <w:rFonts w:asciiTheme="majorHAnsi" w:hAnsiTheme="majorHAnsi" w:cstheme="majorHAnsi"/>
          <w:color w:val="212121"/>
          <w:sz w:val="22"/>
          <w:szCs w:val="22"/>
        </w:rPr>
        <w:t xml:space="preserve">Fandango is a leading company in the Israeli hospitality industry, supplying over 8,000 commercial kitchens with a comprehensive range of products, including frying oil and specialized equipment for maintaining the optimal condition of frying oil. Fandango also collects used cooking oil from commercial kitchens and </w:t>
      </w:r>
      <w:r w:rsidRPr="006C5BDB">
        <w:rPr>
          <w:rFonts w:asciiTheme="majorHAnsi" w:hAnsiTheme="majorHAnsi" w:cstheme="majorHAnsi"/>
          <w:color w:val="212121"/>
          <w:sz w:val="22"/>
          <w:szCs w:val="22"/>
        </w:rPr>
        <w:lastRenderedPageBreak/>
        <w:t xml:space="preserve">provides a wide range of other essential products and supplies to the industry, including paper products, </w:t>
      </w:r>
      <w:proofErr w:type="gramStart"/>
      <w:r w:rsidRPr="006C5BDB">
        <w:rPr>
          <w:rFonts w:asciiTheme="majorHAnsi" w:hAnsiTheme="majorHAnsi" w:cstheme="majorHAnsi"/>
          <w:color w:val="212121"/>
          <w:sz w:val="22"/>
          <w:szCs w:val="22"/>
        </w:rPr>
        <w:t>detergents</w:t>
      </w:r>
      <w:proofErr w:type="gramEnd"/>
      <w:r w:rsidRPr="006C5BDB">
        <w:rPr>
          <w:rFonts w:asciiTheme="majorHAnsi" w:hAnsiTheme="majorHAnsi" w:cstheme="majorHAnsi"/>
          <w:color w:val="212121"/>
          <w:sz w:val="22"/>
          <w:szCs w:val="22"/>
        </w:rPr>
        <w:t xml:space="preserve"> and fast-food containers. </w:t>
      </w:r>
    </w:p>
    <w:p w14:paraId="724A0EB3" w14:textId="19275A53" w:rsidR="003C6D45" w:rsidRPr="00576CE6" w:rsidRDefault="003C6D45" w:rsidP="003C6D45">
      <w:pPr>
        <w:jc w:val="both"/>
        <w:rPr>
          <w:rFonts w:asciiTheme="majorHAnsi" w:hAnsiTheme="majorHAnsi" w:cstheme="majorHAnsi"/>
          <w:b/>
          <w:bCs/>
          <w:sz w:val="22"/>
          <w:szCs w:val="22"/>
        </w:rPr>
      </w:pPr>
      <w:r w:rsidRPr="00576CE6">
        <w:rPr>
          <w:rFonts w:asciiTheme="majorHAnsi" w:hAnsiTheme="majorHAnsi" w:cstheme="majorHAnsi"/>
          <w:b/>
          <w:bCs/>
          <w:sz w:val="22"/>
          <w:szCs w:val="22"/>
        </w:rPr>
        <w:t>Contacts</w:t>
      </w:r>
    </w:p>
    <w:p w14:paraId="1E22D467" w14:textId="77777777" w:rsidR="003C6D45" w:rsidRPr="00576CE6" w:rsidRDefault="003C6D45" w:rsidP="003C6D45">
      <w:pPr>
        <w:rPr>
          <w:rFonts w:asciiTheme="majorHAnsi" w:hAnsiTheme="majorHAnsi" w:cstheme="majorHAnsi"/>
          <w:sz w:val="22"/>
          <w:szCs w:val="22"/>
        </w:rPr>
      </w:pPr>
      <w:r w:rsidRPr="00576CE6">
        <w:rPr>
          <w:rFonts w:asciiTheme="majorHAnsi" w:hAnsiTheme="majorHAnsi" w:cstheme="majorHAnsi"/>
          <w:sz w:val="22"/>
          <w:szCs w:val="22"/>
        </w:rPr>
        <w:t>Jonathan Or</w:t>
      </w:r>
    </w:p>
    <w:p w14:paraId="393B3222" w14:textId="7EA3A39B" w:rsidR="003C6D45" w:rsidRPr="00576CE6" w:rsidRDefault="003C6D45" w:rsidP="003C6D45">
      <w:pPr>
        <w:rPr>
          <w:rFonts w:asciiTheme="majorHAnsi" w:hAnsiTheme="majorHAnsi" w:cstheme="majorHAnsi"/>
          <w:sz w:val="22"/>
          <w:szCs w:val="22"/>
        </w:rPr>
      </w:pPr>
      <w:r w:rsidRPr="00576CE6">
        <w:rPr>
          <w:rFonts w:asciiTheme="majorHAnsi" w:hAnsiTheme="majorHAnsi" w:cstheme="majorHAnsi"/>
          <w:sz w:val="22"/>
          <w:szCs w:val="22"/>
        </w:rPr>
        <w:t>CEO and Co-founder</w:t>
      </w:r>
      <w:r w:rsidR="00AF3ABA">
        <w:rPr>
          <w:rFonts w:asciiTheme="majorHAnsi" w:hAnsiTheme="majorHAnsi" w:cstheme="majorHAnsi"/>
          <w:sz w:val="22"/>
          <w:szCs w:val="22"/>
        </w:rPr>
        <w:t xml:space="preserve"> </w:t>
      </w:r>
      <w:r w:rsidR="009749EA">
        <w:rPr>
          <w:rFonts w:asciiTheme="majorHAnsi" w:hAnsiTheme="majorHAnsi" w:cstheme="majorHAnsi"/>
          <w:sz w:val="22"/>
          <w:szCs w:val="22"/>
        </w:rPr>
        <w:t xml:space="preserve">of </w:t>
      </w:r>
      <w:r w:rsidR="00AF3ABA">
        <w:rPr>
          <w:rFonts w:asciiTheme="majorHAnsi" w:hAnsiTheme="majorHAnsi" w:cstheme="majorHAnsi"/>
          <w:sz w:val="22"/>
          <w:szCs w:val="22"/>
        </w:rPr>
        <w:t>Beyond Oil</w:t>
      </w:r>
    </w:p>
    <w:p w14:paraId="2EFF1D77" w14:textId="77777777" w:rsidR="003C6D45" w:rsidRPr="00576CE6" w:rsidRDefault="003C6D45" w:rsidP="003C6D45">
      <w:pPr>
        <w:rPr>
          <w:rFonts w:asciiTheme="majorHAnsi" w:hAnsiTheme="majorHAnsi" w:cstheme="majorHAnsi"/>
          <w:sz w:val="22"/>
          <w:szCs w:val="22"/>
        </w:rPr>
      </w:pPr>
      <w:r w:rsidRPr="00576CE6">
        <w:rPr>
          <w:rFonts w:asciiTheme="majorHAnsi" w:hAnsiTheme="majorHAnsi" w:cstheme="majorHAnsi"/>
          <w:sz w:val="22"/>
          <w:szCs w:val="22"/>
        </w:rPr>
        <w:t>1-647-691-9801</w:t>
      </w:r>
    </w:p>
    <w:p w14:paraId="0C1A3347" w14:textId="77777777" w:rsidR="003C6D45" w:rsidRDefault="00000000" w:rsidP="003C6D45">
      <w:pPr>
        <w:rPr>
          <w:rStyle w:val="Hyperlink"/>
          <w:rFonts w:asciiTheme="majorHAnsi" w:hAnsiTheme="majorHAnsi" w:cstheme="majorHAnsi"/>
          <w:sz w:val="22"/>
          <w:szCs w:val="22"/>
        </w:rPr>
      </w:pPr>
      <w:hyperlink r:id="rId15" w:history="1">
        <w:r w:rsidR="003C6D45" w:rsidRPr="00576CE6">
          <w:rPr>
            <w:rStyle w:val="Hyperlink"/>
            <w:rFonts w:asciiTheme="majorHAnsi" w:hAnsiTheme="majorHAnsi" w:cstheme="majorHAnsi"/>
            <w:sz w:val="22"/>
            <w:szCs w:val="22"/>
          </w:rPr>
          <w:t>info@beyondoil.co</w:t>
        </w:r>
      </w:hyperlink>
    </w:p>
    <w:p w14:paraId="4339B856" w14:textId="77777777" w:rsidR="00AF3ABA" w:rsidRDefault="00AF3ABA" w:rsidP="003C6D45">
      <w:pPr>
        <w:rPr>
          <w:rStyle w:val="Hyperlink"/>
          <w:rFonts w:asciiTheme="majorHAnsi" w:hAnsiTheme="majorHAnsi" w:cstheme="majorHAnsi"/>
          <w:sz w:val="22"/>
          <w:szCs w:val="22"/>
        </w:rPr>
      </w:pPr>
    </w:p>
    <w:p w14:paraId="7447A549" w14:textId="0614DBD8" w:rsidR="00AF3ABA" w:rsidRPr="0039372D" w:rsidRDefault="00AF3ABA" w:rsidP="003C6D45">
      <w:pPr>
        <w:rPr>
          <w:rFonts w:asciiTheme="majorHAnsi" w:hAnsiTheme="majorHAnsi" w:cstheme="majorHAnsi"/>
          <w:sz w:val="22"/>
          <w:szCs w:val="22"/>
        </w:rPr>
      </w:pPr>
      <w:r w:rsidRPr="0039372D">
        <w:rPr>
          <w:rFonts w:asciiTheme="majorHAnsi" w:hAnsiTheme="majorHAnsi" w:cstheme="majorHAnsi"/>
          <w:sz w:val="22"/>
          <w:szCs w:val="22"/>
        </w:rPr>
        <w:t xml:space="preserve">Shai </w:t>
      </w:r>
      <w:proofErr w:type="spellStart"/>
      <w:r w:rsidRPr="0039372D">
        <w:rPr>
          <w:rFonts w:asciiTheme="majorHAnsi" w:hAnsiTheme="majorHAnsi" w:cstheme="majorHAnsi"/>
          <w:sz w:val="22"/>
          <w:szCs w:val="22"/>
        </w:rPr>
        <w:t>Medioni</w:t>
      </w:r>
      <w:proofErr w:type="spellEnd"/>
    </w:p>
    <w:p w14:paraId="0B4A69A5" w14:textId="4C41D49D" w:rsidR="00AF3ABA" w:rsidRPr="00AF3ABA" w:rsidRDefault="00AF3ABA" w:rsidP="003C6D45">
      <w:pPr>
        <w:rPr>
          <w:rFonts w:asciiTheme="majorHAnsi" w:hAnsiTheme="majorHAnsi" w:cstheme="majorHAnsi"/>
          <w:sz w:val="22"/>
          <w:szCs w:val="22"/>
        </w:rPr>
      </w:pPr>
      <w:r w:rsidRPr="0039372D">
        <w:rPr>
          <w:rFonts w:asciiTheme="majorHAnsi" w:hAnsiTheme="majorHAnsi" w:cstheme="majorHAnsi"/>
          <w:sz w:val="22"/>
          <w:szCs w:val="22"/>
        </w:rPr>
        <w:t>CEO of Fandango</w:t>
      </w:r>
      <w:r w:rsidRPr="0039372D">
        <w:rPr>
          <w:rFonts w:asciiTheme="majorHAnsi" w:hAnsiTheme="majorHAnsi" w:cstheme="majorHAnsi"/>
          <w:sz w:val="22"/>
          <w:szCs w:val="22"/>
        </w:rPr>
        <w:br/>
      </w:r>
      <w:hyperlink r:id="rId16" w:history="1">
        <w:r w:rsidRPr="0039372D">
          <w:rPr>
            <w:rStyle w:val="Hyperlink"/>
            <w:rFonts w:asciiTheme="majorHAnsi" w:hAnsiTheme="majorHAnsi" w:cstheme="majorHAnsi"/>
            <w:sz w:val="22"/>
            <w:szCs w:val="22"/>
          </w:rPr>
          <w:t>shai@fandango.co.il</w:t>
        </w:r>
      </w:hyperlink>
      <w:r>
        <w:rPr>
          <w:rFonts w:asciiTheme="majorHAnsi" w:hAnsiTheme="majorHAnsi" w:cstheme="majorHAnsi"/>
          <w:sz w:val="22"/>
          <w:szCs w:val="22"/>
        </w:rPr>
        <w:t xml:space="preserve"> </w:t>
      </w:r>
    </w:p>
    <w:p w14:paraId="642DE47C" w14:textId="77777777" w:rsidR="003C6D45" w:rsidRPr="00576CE6" w:rsidRDefault="003C6D45" w:rsidP="003C6D45">
      <w:pPr>
        <w:rPr>
          <w:rFonts w:asciiTheme="majorHAnsi" w:hAnsiTheme="majorHAnsi" w:cstheme="majorHAnsi"/>
          <w:sz w:val="22"/>
          <w:szCs w:val="22"/>
        </w:rPr>
      </w:pPr>
    </w:p>
    <w:p w14:paraId="4FA36401" w14:textId="77777777" w:rsidR="003C6D45" w:rsidRPr="00576CE6" w:rsidRDefault="003C6D45" w:rsidP="003C6D45">
      <w:pPr>
        <w:rPr>
          <w:rFonts w:asciiTheme="majorHAnsi" w:hAnsiTheme="majorHAnsi" w:cstheme="majorHAnsi"/>
          <w:sz w:val="22"/>
          <w:szCs w:val="22"/>
        </w:rPr>
      </w:pPr>
      <w:r w:rsidRPr="00576CE6">
        <w:rPr>
          <w:rFonts w:asciiTheme="majorHAnsi" w:hAnsiTheme="majorHAnsi" w:cstheme="majorHAnsi"/>
          <w:sz w:val="22"/>
          <w:szCs w:val="22"/>
        </w:rPr>
        <w:t>Caroline Sawamoto</w:t>
      </w:r>
    </w:p>
    <w:p w14:paraId="4A4056F9" w14:textId="77777777" w:rsidR="003C6D45" w:rsidRPr="00576CE6" w:rsidRDefault="003C6D45" w:rsidP="003C6D45">
      <w:pPr>
        <w:rPr>
          <w:rFonts w:asciiTheme="majorHAnsi" w:hAnsiTheme="majorHAnsi" w:cstheme="majorHAnsi"/>
          <w:sz w:val="22"/>
          <w:szCs w:val="22"/>
        </w:rPr>
      </w:pPr>
      <w:r w:rsidRPr="00576CE6">
        <w:rPr>
          <w:rFonts w:asciiTheme="majorHAnsi" w:hAnsiTheme="majorHAnsi" w:cstheme="majorHAnsi"/>
          <w:sz w:val="22"/>
          <w:szCs w:val="22"/>
        </w:rPr>
        <w:t>Investor Relations</w:t>
      </w:r>
    </w:p>
    <w:p w14:paraId="21557BC8" w14:textId="77777777" w:rsidR="003C6D45" w:rsidRPr="00576CE6" w:rsidRDefault="003C6D45" w:rsidP="003C6D45">
      <w:pPr>
        <w:rPr>
          <w:rFonts w:asciiTheme="majorHAnsi" w:hAnsiTheme="majorHAnsi" w:cstheme="majorHAnsi"/>
          <w:sz w:val="22"/>
          <w:szCs w:val="22"/>
        </w:rPr>
      </w:pPr>
      <w:r w:rsidRPr="00576CE6">
        <w:rPr>
          <w:rFonts w:asciiTheme="majorHAnsi" w:hAnsiTheme="majorHAnsi" w:cstheme="majorHAnsi"/>
          <w:sz w:val="22"/>
          <w:szCs w:val="22"/>
        </w:rPr>
        <w:t>1-647-691-9801</w:t>
      </w:r>
    </w:p>
    <w:p w14:paraId="68D8DACF" w14:textId="624F3441" w:rsidR="00AF3ABA" w:rsidRPr="00576CE6" w:rsidRDefault="00000000" w:rsidP="003C6D45">
      <w:pPr>
        <w:rPr>
          <w:rStyle w:val="Hyperlink"/>
          <w:rFonts w:asciiTheme="majorHAnsi" w:hAnsiTheme="majorHAnsi" w:cstheme="majorHAnsi"/>
          <w:sz w:val="22"/>
          <w:szCs w:val="22"/>
        </w:rPr>
      </w:pPr>
      <w:hyperlink r:id="rId17" w:history="1">
        <w:r w:rsidR="003C6D45" w:rsidRPr="00576CE6">
          <w:rPr>
            <w:rStyle w:val="Hyperlink"/>
            <w:rFonts w:asciiTheme="majorHAnsi" w:hAnsiTheme="majorHAnsi" w:cstheme="majorHAnsi"/>
            <w:sz w:val="22"/>
            <w:szCs w:val="22"/>
          </w:rPr>
          <w:t>ir@beyondoil.co</w:t>
        </w:r>
      </w:hyperlink>
    </w:p>
    <w:p w14:paraId="2989470A" w14:textId="77777777" w:rsidR="003C6D45" w:rsidRPr="00576CE6" w:rsidRDefault="003C6D45" w:rsidP="003C6D45">
      <w:pPr>
        <w:rPr>
          <w:rFonts w:asciiTheme="majorHAnsi" w:hAnsiTheme="majorHAnsi" w:cstheme="majorHAnsi"/>
          <w:sz w:val="22"/>
          <w:szCs w:val="22"/>
        </w:rPr>
      </w:pPr>
    </w:p>
    <w:p w14:paraId="12771FD4" w14:textId="77777777" w:rsidR="003C6D45" w:rsidRPr="00576CE6" w:rsidRDefault="003C6D45" w:rsidP="003C6D45">
      <w:pPr>
        <w:rPr>
          <w:rFonts w:asciiTheme="majorHAnsi" w:hAnsiTheme="majorHAnsi" w:cstheme="majorHAnsi"/>
          <w:b/>
          <w:bCs/>
          <w:sz w:val="22"/>
          <w:szCs w:val="22"/>
        </w:rPr>
      </w:pPr>
      <w:r w:rsidRPr="00576CE6">
        <w:rPr>
          <w:rFonts w:asciiTheme="majorHAnsi" w:hAnsiTheme="majorHAnsi" w:cstheme="majorHAnsi"/>
          <w:b/>
          <w:bCs/>
          <w:sz w:val="22"/>
          <w:szCs w:val="22"/>
        </w:rPr>
        <w:t>Forward Looking Statement and Information</w:t>
      </w:r>
    </w:p>
    <w:p w14:paraId="7B3BA500" w14:textId="77777777" w:rsidR="00951E19" w:rsidRDefault="00951E19" w:rsidP="00951E19">
      <w:pPr>
        <w:jc w:val="both"/>
        <w:rPr>
          <w:rFonts w:ascii="Calibri Light" w:hAnsi="Calibri Light" w:cs="Calibri Light"/>
          <w:b/>
          <w:bCs/>
          <w:color w:val="212121"/>
          <w:sz w:val="22"/>
          <w:szCs w:val="22"/>
        </w:rPr>
      </w:pPr>
    </w:p>
    <w:p w14:paraId="1FBB371B" w14:textId="375DBC9B" w:rsidR="007C2C2C" w:rsidRPr="00356676" w:rsidRDefault="00951E19" w:rsidP="00356676">
      <w:pPr>
        <w:jc w:val="both"/>
        <w:rPr>
          <w:rFonts w:ascii="Calibri" w:hAnsi="Calibri" w:cs="Calibri"/>
          <w:color w:val="212121"/>
        </w:rPr>
      </w:pPr>
      <w:r>
        <w:rPr>
          <w:rFonts w:ascii="Calibri Light" w:hAnsi="Calibri Light" w:cs="Calibri Light"/>
          <w:color w:val="212121"/>
          <w:sz w:val="22"/>
          <w:szCs w:val="22"/>
        </w:rPr>
        <w:t xml:space="preserve">The Canadian Securities Exchange has in no way passed upon the merits of the Company and has neither approved nor disapproved the contents of this press release. Neither the Canadian Securities Exchange nor the Market Regulator (as that term is defined in the policies of the Canadian Securities Exchange) accepts responsibility for the adequacy or accuracy of this release. This press release contains “forward-looking statements” within the meaning of the securities laws. Words such as “expects,” “anticipates,” “intends,” “plans,” “believes,” “seeks,” “estimates” and similar expressions or variations of such words are intended to identify forward-looking statements. Forward-looking statements are not historical facts, and are based upon management’s current expectations, </w:t>
      </w:r>
      <w:proofErr w:type="gramStart"/>
      <w:r>
        <w:rPr>
          <w:rFonts w:ascii="Calibri Light" w:hAnsi="Calibri Light" w:cs="Calibri Light"/>
          <w:color w:val="212121"/>
          <w:sz w:val="22"/>
          <w:szCs w:val="22"/>
        </w:rPr>
        <w:t>beliefs</w:t>
      </w:r>
      <w:proofErr w:type="gramEnd"/>
      <w:r>
        <w:rPr>
          <w:rFonts w:ascii="Calibri Light" w:hAnsi="Calibri Light" w:cs="Calibri Light"/>
          <w:color w:val="212121"/>
          <w:sz w:val="22"/>
          <w:szCs w:val="22"/>
        </w:rPr>
        <w:t xml:space="preserve"> and projections, many of which, by their nature, are inherently uncertain. Such expectations, beliefs and projections are expressed in good faith. However, there can be no assurance that management’s expectations, </w:t>
      </w:r>
      <w:proofErr w:type="gramStart"/>
      <w:r>
        <w:rPr>
          <w:rFonts w:ascii="Calibri Light" w:hAnsi="Calibri Light" w:cs="Calibri Light"/>
          <w:color w:val="212121"/>
          <w:sz w:val="22"/>
          <w:szCs w:val="22"/>
        </w:rPr>
        <w:t>beliefs</w:t>
      </w:r>
      <w:proofErr w:type="gramEnd"/>
      <w:r>
        <w:rPr>
          <w:rFonts w:ascii="Calibri Light" w:hAnsi="Calibri Light" w:cs="Calibri Light"/>
          <w:color w:val="212121"/>
          <w:sz w:val="22"/>
          <w:szCs w:val="22"/>
        </w:rPr>
        <w:t xml:space="preserve"> and projections will be achieved, and actual results may differ materially from what is expressed in or indicated by the forward-looking statements. In addition, we cannot assure that any patent will </w:t>
      </w:r>
      <w:proofErr w:type="gramStart"/>
      <w:r>
        <w:rPr>
          <w:rFonts w:ascii="Calibri Light" w:hAnsi="Calibri Light" w:cs="Calibri Light"/>
          <w:color w:val="212121"/>
          <w:sz w:val="22"/>
          <w:szCs w:val="22"/>
        </w:rPr>
        <w:t>issued</w:t>
      </w:r>
      <w:proofErr w:type="gramEnd"/>
      <w:r>
        <w:rPr>
          <w:rFonts w:ascii="Calibri Light" w:hAnsi="Calibri Light" w:cs="Calibri Light"/>
          <w:color w:val="212121"/>
          <w:sz w:val="22"/>
          <w:szCs w:val="22"/>
        </w:rPr>
        <w:t xml:space="preserve"> as a result of a pending patent application or, if issued, whether it will issue in a form that will be advantageous to us. Forward-looking statements are subject to risks and uncertainties that could cause actual performance or results to differ materially from those expressed in the forward-looking statements. For a more detailed description of the risks and uncertainties affecting the Company, reference is made to the Company’s reports filed from time to time at</w:t>
      </w:r>
      <w:r>
        <w:rPr>
          <w:rStyle w:val="apple-converted-space"/>
          <w:rFonts w:ascii="Calibri Light" w:hAnsi="Calibri Light" w:cs="Calibri Light"/>
          <w:color w:val="212121"/>
          <w:sz w:val="22"/>
          <w:szCs w:val="22"/>
        </w:rPr>
        <w:t> </w:t>
      </w:r>
      <w:hyperlink r:id="rId18" w:tooltip="http://www.sedar.com" w:history="1">
        <w:r w:rsidRPr="00D46065">
          <w:rPr>
            <w:rStyle w:val="Hyperlink"/>
            <w:rFonts w:ascii="Calibri Light" w:hAnsi="Calibri Light" w:cs="Calibri Light"/>
            <w:i/>
            <w:iCs/>
            <w:sz w:val="22"/>
            <w:szCs w:val="22"/>
          </w:rPr>
          <w:t>www.sedar.com</w:t>
        </w:r>
      </w:hyperlink>
      <w:r w:rsidRPr="00D46065">
        <w:rPr>
          <w:rFonts w:ascii="Calibri Light" w:hAnsi="Calibri Light" w:cs="Calibri Light"/>
          <w:i/>
          <w:iCs/>
          <w:color w:val="212121"/>
          <w:sz w:val="22"/>
          <w:szCs w:val="22"/>
        </w:rPr>
        <w:t>.</w:t>
      </w:r>
      <w:r>
        <w:rPr>
          <w:rFonts w:ascii="Calibri Light" w:hAnsi="Calibri Light" w:cs="Calibri Light"/>
          <w:color w:val="212121"/>
          <w:sz w:val="22"/>
          <w:szCs w:val="22"/>
        </w:rPr>
        <w:t xml:space="preserve"> Forward-looking statements speak only as of the date the statements are made. The Company assumes no obligation to update forward-looking statements to reflect actual results, subsequent events or circumstances, changes in assumptions or changes in other factors affecting forward-looking information except to the extent required by applicable securities laws. If the Company does update one or more forward-looking statements, no inference should be drawn that the Company will make additional updates with respect thereto or with respect to other forward-looking statements. References and links to websites have been provided as a convenience, and the information contained on such websites is not incorporated by reference into this press release. The Company is not responsible for the contents of third-party websites.</w:t>
      </w:r>
    </w:p>
    <w:p w14:paraId="1025D7FF" w14:textId="77777777" w:rsidR="007C2C2C" w:rsidRPr="00576CE6" w:rsidRDefault="007C2C2C">
      <w:pPr>
        <w:rPr>
          <w:rFonts w:asciiTheme="majorHAnsi" w:hAnsiTheme="majorHAnsi" w:cstheme="majorHAnsi"/>
          <w:sz w:val="22"/>
          <w:szCs w:val="22"/>
        </w:rPr>
      </w:pPr>
    </w:p>
    <w:sectPr w:rsidR="007C2C2C" w:rsidRPr="00576CE6" w:rsidSect="0039372D">
      <w:pgSz w:w="12240" w:h="15840"/>
      <w:pgMar w:top="97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51D0" w14:textId="77777777" w:rsidR="006143B0" w:rsidRDefault="006143B0" w:rsidP="006E0AEC">
      <w:r>
        <w:separator/>
      </w:r>
    </w:p>
  </w:endnote>
  <w:endnote w:type="continuationSeparator" w:id="0">
    <w:p w14:paraId="49234799" w14:textId="77777777" w:rsidR="006143B0" w:rsidRDefault="006143B0" w:rsidP="006E0AEC">
      <w:r>
        <w:continuationSeparator/>
      </w:r>
    </w:p>
  </w:endnote>
  <w:endnote w:type="continuationNotice" w:id="1">
    <w:p w14:paraId="384844F5" w14:textId="77777777" w:rsidR="006143B0" w:rsidRDefault="00614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59B17" w14:textId="77777777" w:rsidR="006143B0" w:rsidRDefault="006143B0" w:rsidP="006E0AEC">
      <w:r>
        <w:separator/>
      </w:r>
    </w:p>
  </w:footnote>
  <w:footnote w:type="continuationSeparator" w:id="0">
    <w:p w14:paraId="5C560448" w14:textId="77777777" w:rsidR="006143B0" w:rsidRDefault="006143B0" w:rsidP="006E0AEC">
      <w:r>
        <w:continuationSeparator/>
      </w:r>
    </w:p>
  </w:footnote>
  <w:footnote w:type="continuationNotice" w:id="1">
    <w:p w14:paraId="755AF68F" w14:textId="77777777" w:rsidR="006143B0" w:rsidRDefault="006143B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4B"/>
    <w:rsid w:val="000007CC"/>
    <w:rsid w:val="000244CE"/>
    <w:rsid w:val="00027ABB"/>
    <w:rsid w:val="00035169"/>
    <w:rsid w:val="00040B80"/>
    <w:rsid w:val="00046D35"/>
    <w:rsid w:val="000504A3"/>
    <w:rsid w:val="00052C2B"/>
    <w:rsid w:val="000578E6"/>
    <w:rsid w:val="00075BD4"/>
    <w:rsid w:val="000819CF"/>
    <w:rsid w:val="0008760F"/>
    <w:rsid w:val="000A549B"/>
    <w:rsid w:val="000B0A4C"/>
    <w:rsid w:val="000F598B"/>
    <w:rsid w:val="00121C1F"/>
    <w:rsid w:val="00121E85"/>
    <w:rsid w:val="00123A63"/>
    <w:rsid w:val="001260A7"/>
    <w:rsid w:val="00134B4B"/>
    <w:rsid w:val="00146696"/>
    <w:rsid w:val="00166833"/>
    <w:rsid w:val="001D23BD"/>
    <w:rsid w:val="001D5A6A"/>
    <w:rsid w:val="001F493B"/>
    <w:rsid w:val="00203687"/>
    <w:rsid w:val="00205B70"/>
    <w:rsid w:val="002318DF"/>
    <w:rsid w:val="00251A44"/>
    <w:rsid w:val="00266A19"/>
    <w:rsid w:val="00275518"/>
    <w:rsid w:val="00284237"/>
    <w:rsid w:val="002978B1"/>
    <w:rsid w:val="002B1CE3"/>
    <w:rsid w:val="002C1A4F"/>
    <w:rsid w:val="002D0A24"/>
    <w:rsid w:val="002E723C"/>
    <w:rsid w:val="002F206C"/>
    <w:rsid w:val="002F3532"/>
    <w:rsid w:val="003053BC"/>
    <w:rsid w:val="00305946"/>
    <w:rsid w:val="003143C8"/>
    <w:rsid w:val="00317D61"/>
    <w:rsid w:val="00317F7D"/>
    <w:rsid w:val="00324A04"/>
    <w:rsid w:val="003441AB"/>
    <w:rsid w:val="00347868"/>
    <w:rsid w:val="0035271D"/>
    <w:rsid w:val="00356676"/>
    <w:rsid w:val="003622F1"/>
    <w:rsid w:val="003767C5"/>
    <w:rsid w:val="003935F6"/>
    <w:rsid w:val="0039372D"/>
    <w:rsid w:val="003A3F71"/>
    <w:rsid w:val="003A7021"/>
    <w:rsid w:val="003A7E8D"/>
    <w:rsid w:val="003B144F"/>
    <w:rsid w:val="003B2E16"/>
    <w:rsid w:val="003B2E27"/>
    <w:rsid w:val="003C111D"/>
    <w:rsid w:val="003C4003"/>
    <w:rsid w:val="003C6D45"/>
    <w:rsid w:val="003D093E"/>
    <w:rsid w:val="003E69E7"/>
    <w:rsid w:val="003F6150"/>
    <w:rsid w:val="00400708"/>
    <w:rsid w:val="004050A5"/>
    <w:rsid w:val="00414473"/>
    <w:rsid w:val="004201DD"/>
    <w:rsid w:val="004458AD"/>
    <w:rsid w:val="00447A75"/>
    <w:rsid w:val="00454C95"/>
    <w:rsid w:val="004769B1"/>
    <w:rsid w:val="00483E78"/>
    <w:rsid w:val="00484446"/>
    <w:rsid w:val="00491567"/>
    <w:rsid w:val="004C736C"/>
    <w:rsid w:val="004E1D50"/>
    <w:rsid w:val="004E6935"/>
    <w:rsid w:val="004F7B80"/>
    <w:rsid w:val="00513F59"/>
    <w:rsid w:val="00527E79"/>
    <w:rsid w:val="00535B63"/>
    <w:rsid w:val="00537468"/>
    <w:rsid w:val="0054087F"/>
    <w:rsid w:val="00551C1F"/>
    <w:rsid w:val="00552FEC"/>
    <w:rsid w:val="00574965"/>
    <w:rsid w:val="0057516B"/>
    <w:rsid w:val="00576CE6"/>
    <w:rsid w:val="005821D1"/>
    <w:rsid w:val="00591F1B"/>
    <w:rsid w:val="005B2FF5"/>
    <w:rsid w:val="005B77FD"/>
    <w:rsid w:val="005E70C1"/>
    <w:rsid w:val="005F1961"/>
    <w:rsid w:val="006031C9"/>
    <w:rsid w:val="00605CF5"/>
    <w:rsid w:val="006143B0"/>
    <w:rsid w:val="0061563B"/>
    <w:rsid w:val="00626BBF"/>
    <w:rsid w:val="00644319"/>
    <w:rsid w:val="006529C1"/>
    <w:rsid w:val="00653919"/>
    <w:rsid w:val="0065663A"/>
    <w:rsid w:val="00670AAB"/>
    <w:rsid w:val="00675F3B"/>
    <w:rsid w:val="0069124C"/>
    <w:rsid w:val="006A4EF5"/>
    <w:rsid w:val="006C5BDB"/>
    <w:rsid w:val="006D2072"/>
    <w:rsid w:val="006D70B9"/>
    <w:rsid w:val="006E0AEC"/>
    <w:rsid w:val="006E1337"/>
    <w:rsid w:val="007007CD"/>
    <w:rsid w:val="0070774B"/>
    <w:rsid w:val="00716E44"/>
    <w:rsid w:val="00722A79"/>
    <w:rsid w:val="007329BD"/>
    <w:rsid w:val="00746423"/>
    <w:rsid w:val="00747D9E"/>
    <w:rsid w:val="007519FB"/>
    <w:rsid w:val="00754BB3"/>
    <w:rsid w:val="007B1CB5"/>
    <w:rsid w:val="007C2C2C"/>
    <w:rsid w:val="007D6C6D"/>
    <w:rsid w:val="007F3D8A"/>
    <w:rsid w:val="008063AE"/>
    <w:rsid w:val="0083737F"/>
    <w:rsid w:val="008443B7"/>
    <w:rsid w:val="0085326F"/>
    <w:rsid w:val="00854B42"/>
    <w:rsid w:val="008748FB"/>
    <w:rsid w:val="008B7C51"/>
    <w:rsid w:val="008D4C65"/>
    <w:rsid w:val="008E37C8"/>
    <w:rsid w:val="008F1572"/>
    <w:rsid w:val="00912BE0"/>
    <w:rsid w:val="00914A90"/>
    <w:rsid w:val="0091510E"/>
    <w:rsid w:val="00930635"/>
    <w:rsid w:val="00951E19"/>
    <w:rsid w:val="00965D7F"/>
    <w:rsid w:val="009749EA"/>
    <w:rsid w:val="009875B9"/>
    <w:rsid w:val="009A3F7D"/>
    <w:rsid w:val="009C3BC7"/>
    <w:rsid w:val="009C5043"/>
    <w:rsid w:val="009C6E54"/>
    <w:rsid w:val="009F03CC"/>
    <w:rsid w:val="009F3322"/>
    <w:rsid w:val="00A048B7"/>
    <w:rsid w:val="00A0524B"/>
    <w:rsid w:val="00A11BB0"/>
    <w:rsid w:val="00A247BB"/>
    <w:rsid w:val="00A27920"/>
    <w:rsid w:val="00A306EA"/>
    <w:rsid w:val="00A33626"/>
    <w:rsid w:val="00A54DBC"/>
    <w:rsid w:val="00A55CD9"/>
    <w:rsid w:val="00A63BF4"/>
    <w:rsid w:val="00A664A6"/>
    <w:rsid w:val="00A809B3"/>
    <w:rsid w:val="00A80F2A"/>
    <w:rsid w:val="00A82A95"/>
    <w:rsid w:val="00A83579"/>
    <w:rsid w:val="00A92926"/>
    <w:rsid w:val="00A95BCD"/>
    <w:rsid w:val="00AA0332"/>
    <w:rsid w:val="00AC768C"/>
    <w:rsid w:val="00AD1175"/>
    <w:rsid w:val="00AE7A05"/>
    <w:rsid w:val="00AF3ABA"/>
    <w:rsid w:val="00B0445C"/>
    <w:rsid w:val="00B216C7"/>
    <w:rsid w:val="00B35E56"/>
    <w:rsid w:val="00B41BDB"/>
    <w:rsid w:val="00B65A10"/>
    <w:rsid w:val="00B65A52"/>
    <w:rsid w:val="00B77EB0"/>
    <w:rsid w:val="00B804FC"/>
    <w:rsid w:val="00B85A4D"/>
    <w:rsid w:val="00B87D14"/>
    <w:rsid w:val="00B87D88"/>
    <w:rsid w:val="00BA0049"/>
    <w:rsid w:val="00BF4A26"/>
    <w:rsid w:val="00BF7585"/>
    <w:rsid w:val="00C35FA9"/>
    <w:rsid w:val="00C42EB9"/>
    <w:rsid w:val="00C469C5"/>
    <w:rsid w:val="00C63F13"/>
    <w:rsid w:val="00C64D76"/>
    <w:rsid w:val="00C66807"/>
    <w:rsid w:val="00C745A3"/>
    <w:rsid w:val="00C97F4B"/>
    <w:rsid w:val="00CA18D0"/>
    <w:rsid w:val="00CB2904"/>
    <w:rsid w:val="00CC296B"/>
    <w:rsid w:val="00CC73A0"/>
    <w:rsid w:val="00CD604C"/>
    <w:rsid w:val="00CF206D"/>
    <w:rsid w:val="00CF40F9"/>
    <w:rsid w:val="00CF5B0D"/>
    <w:rsid w:val="00D03E91"/>
    <w:rsid w:val="00D0514F"/>
    <w:rsid w:val="00D1740B"/>
    <w:rsid w:val="00D24179"/>
    <w:rsid w:val="00D2716B"/>
    <w:rsid w:val="00D458E2"/>
    <w:rsid w:val="00D46065"/>
    <w:rsid w:val="00D9146E"/>
    <w:rsid w:val="00D92560"/>
    <w:rsid w:val="00D97DDC"/>
    <w:rsid w:val="00DA07DA"/>
    <w:rsid w:val="00DA08E1"/>
    <w:rsid w:val="00DA29B1"/>
    <w:rsid w:val="00DC0D71"/>
    <w:rsid w:val="00DD6B4A"/>
    <w:rsid w:val="00DE7347"/>
    <w:rsid w:val="00DF7E9C"/>
    <w:rsid w:val="00E060BF"/>
    <w:rsid w:val="00E279FC"/>
    <w:rsid w:val="00E320C0"/>
    <w:rsid w:val="00E61CAD"/>
    <w:rsid w:val="00E6261C"/>
    <w:rsid w:val="00EA2D4C"/>
    <w:rsid w:val="00EC0125"/>
    <w:rsid w:val="00EC36F5"/>
    <w:rsid w:val="00EE125E"/>
    <w:rsid w:val="00EE3A81"/>
    <w:rsid w:val="00F017A2"/>
    <w:rsid w:val="00F2748E"/>
    <w:rsid w:val="00F27F29"/>
    <w:rsid w:val="00F43CB7"/>
    <w:rsid w:val="00F60BD2"/>
    <w:rsid w:val="00F66401"/>
    <w:rsid w:val="00F7762D"/>
    <w:rsid w:val="00F81026"/>
    <w:rsid w:val="00F848C6"/>
    <w:rsid w:val="00F852BF"/>
    <w:rsid w:val="00FA6BC9"/>
    <w:rsid w:val="00FB7708"/>
    <w:rsid w:val="00FC7662"/>
    <w:rsid w:val="00FE3DE1"/>
    <w:rsid w:val="00FF1A88"/>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FF75"/>
  <w15:chartTrackingRefBased/>
  <w15:docId w15:val="{F24C0B92-BC78-44F6-8829-1FBAA37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0774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74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0774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0774B"/>
    <w:rPr>
      <w:color w:val="0000FF"/>
      <w:u w:val="single"/>
    </w:rPr>
  </w:style>
  <w:style w:type="character" w:styleId="FollowedHyperlink">
    <w:name w:val="FollowedHyperlink"/>
    <w:basedOn w:val="DefaultParagraphFont"/>
    <w:uiPriority w:val="99"/>
    <w:semiHidden/>
    <w:unhideWhenUsed/>
    <w:rsid w:val="00027ABB"/>
    <w:rPr>
      <w:color w:val="954F72" w:themeColor="followedHyperlink"/>
      <w:u w:val="single"/>
    </w:rPr>
  </w:style>
  <w:style w:type="character" w:styleId="UnresolvedMention">
    <w:name w:val="Unresolved Mention"/>
    <w:basedOn w:val="DefaultParagraphFont"/>
    <w:uiPriority w:val="99"/>
    <w:semiHidden/>
    <w:unhideWhenUsed/>
    <w:rsid w:val="00027ABB"/>
    <w:rPr>
      <w:color w:val="605E5C"/>
      <w:shd w:val="clear" w:color="auto" w:fill="E1DFDD"/>
    </w:rPr>
  </w:style>
  <w:style w:type="paragraph" w:styleId="Revision">
    <w:name w:val="Revision"/>
    <w:hidden/>
    <w:uiPriority w:val="99"/>
    <w:semiHidden/>
    <w:rsid w:val="00E279FC"/>
  </w:style>
  <w:style w:type="character" w:styleId="CommentReference">
    <w:name w:val="annotation reference"/>
    <w:basedOn w:val="DefaultParagraphFont"/>
    <w:uiPriority w:val="99"/>
    <w:semiHidden/>
    <w:unhideWhenUsed/>
    <w:rsid w:val="00EE3A81"/>
    <w:rPr>
      <w:sz w:val="16"/>
      <w:szCs w:val="16"/>
    </w:rPr>
  </w:style>
  <w:style w:type="paragraph" w:styleId="CommentText">
    <w:name w:val="annotation text"/>
    <w:basedOn w:val="Normal"/>
    <w:link w:val="CommentTextChar"/>
    <w:uiPriority w:val="99"/>
    <w:unhideWhenUsed/>
    <w:rsid w:val="00EE3A81"/>
    <w:rPr>
      <w:sz w:val="20"/>
      <w:szCs w:val="20"/>
    </w:rPr>
  </w:style>
  <w:style w:type="character" w:customStyle="1" w:styleId="CommentTextChar">
    <w:name w:val="Comment Text Char"/>
    <w:basedOn w:val="DefaultParagraphFont"/>
    <w:link w:val="CommentText"/>
    <w:uiPriority w:val="99"/>
    <w:rsid w:val="00EE3A81"/>
    <w:rPr>
      <w:sz w:val="20"/>
      <w:szCs w:val="20"/>
    </w:rPr>
  </w:style>
  <w:style w:type="paragraph" w:styleId="CommentSubject">
    <w:name w:val="annotation subject"/>
    <w:basedOn w:val="CommentText"/>
    <w:next w:val="CommentText"/>
    <w:link w:val="CommentSubjectChar"/>
    <w:uiPriority w:val="99"/>
    <w:semiHidden/>
    <w:unhideWhenUsed/>
    <w:rsid w:val="00EE3A81"/>
    <w:rPr>
      <w:b/>
      <w:bCs/>
    </w:rPr>
  </w:style>
  <w:style w:type="character" w:customStyle="1" w:styleId="CommentSubjectChar">
    <w:name w:val="Comment Subject Char"/>
    <w:basedOn w:val="CommentTextChar"/>
    <w:link w:val="CommentSubject"/>
    <w:uiPriority w:val="99"/>
    <w:semiHidden/>
    <w:rsid w:val="00EE3A81"/>
    <w:rPr>
      <w:b/>
      <w:bCs/>
      <w:sz w:val="20"/>
      <w:szCs w:val="20"/>
    </w:rPr>
  </w:style>
  <w:style w:type="paragraph" w:styleId="FootnoteText">
    <w:name w:val="footnote text"/>
    <w:basedOn w:val="Normal"/>
    <w:link w:val="FootnoteTextChar"/>
    <w:uiPriority w:val="99"/>
    <w:semiHidden/>
    <w:unhideWhenUsed/>
    <w:rsid w:val="006E0AEC"/>
    <w:rPr>
      <w:sz w:val="20"/>
      <w:szCs w:val="20"/>
    </w:rPr>
  </w:style>
  <w:style w:type="character" w:customStyle="1" w:styleId="FootnoteTextChar">
    <w:name w:val="Footnote Text Char"/>
    <w:basedOn w:val="DefaultParagraphFont"/>
    <w:link w:val="FootnoteText"/>
    <w:uiPriority w:val="99"/>
    <w:semiHidden/>
    <w:rsid w:val="006E0AEC"/>
    <w:rPr>
      <w:sz w:val="20"/>
      <w:szCs w:val="20"/>
    </w:rPr>
  </w:style>
  <w:style w:type="character" w:styleId="FootnoteReference">
    <w:name w:val="footnote reference"/>
    <w:basedOn w:val="DefaultParagraphFont"/>
    <w:uiPriority w:val="99"/>
    <w:semiHidden/>
    <w:unhideWhenUsed/>
    <w:rsid w:val="006E0AEC"/>
    <w:rPr>
      <w:vertAlign w:val="superscript"/>
    </w:rPr>
  </w:style>
  <w:style w:type="character" w:customStyle="1" w:styleId="apple-converted-space">
    <w:name w:val="apple-converted-space"/>
    <w:basedOn w:val="DefaultParagraphFont"/>
    <w:rsid w:val="00951E19"/>
  </w:style>
  <w:style w:type="paragraph" w:styleId="Header">
    <w:name w:val="header"/>
    <w:basedOn w:val="Normal"/>
    <w:link w:val="HeaderChar"/>
    <w:uiPriority w:val="99"/>
    <w:semiHidden/>
    <w:unhideWhenUsed/>
    <w:rsid w:val="00F2748E"/>
    <w:pPr>
      <w:tabs>
        <w:tab w:val="center" w:pos="4680"/>
        <w:tab w:val="right" w:pos="9360"/>
      </w:tabs>
    </w:pPr>
  </w:style>
  <w:style w:type="character" w:customStyle="1" w:styleId="HeaderChar">
    <w:name w:val="Header Char"/>
    <w:basedOn w:val="DefaultParagraphFont"/>
    <w:link w:val="Header"/>
    <w:uiPriority w:val="99"/>
    <w:semiHidden/>
    <w:rsid w:val="00F2748E"/>
  </w:style>
  <w:style w:type="paragraph" w:styleId="Footer">
    <w:name w:val="footer"/>
    <w:basedOn w:val="Normal"/>
    <w:link w:val="FooterChar"/>
    <w:uiPriority w:val="99"/>
    <w:semiHidden/>
    <w:unhideWhenUsed/>
    <w:rsid w:val="00F2748E"/>
    <w:pPr>
      <w:tabs>
        <w:tab w:val="center" w:pos="4680"/>
        <w:tab w:val="right" w:pos="9360"/>
      </w:tabs>
    </w:pPr>
  </w:style>
  <w:style w:type="character" w:customStyle="1" w:styleId="FooterChar">
    <w:name w:val="Footer Char"/>
    <w:basedOn w:val="DefaultParagraphFont"/>
    <w:link w:val="Footer"/>
    <w:uiPriority w:val="99"/>
    <w:semiHidden/>
    <w:rsid w:val="00F27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9251">
      <w:bodyDiv w:val="1"/>
      <w:marLeft w:val="0"/>
      <w:marRight w:val="0"/>
      <w:marTop w:val="0"/>
      <w:marBottom w:val="0"/>
      <w:divBdr>
        <w:top w:val="none" w:sz="0" w:space="0" w:color="auto"/>
        <w:left w:val="none" w:sz="0" w:space="0" w:color="auto"/>
        <w:bottom w:val="none" w:sz="0" w:space="0" w:color="auto"/>
        <w:right w:val="none" w:sz="0" w:space="0" w:color="auto"/>
      </w:divBdr>
    </w:div>
    <w:div w:id="172647573">
      <w:bodyDiv w:val="1"/>
      <w:marLeft w:val="0"/>
      <w:marRight w:val="0"/>
      <w:marTop w:val="0"/>
      <w:marBottom w:val="0"/>
      <w:divBdr>
        <w:top w:val="none" w:sz="0" w:space="0" w:color="auto"/>
        <w:left w:val="none" w:sz="0" w:space="0" w:color="auto"/>
        <w:bottom w:val="none" w:sz="0" w:space="0" w:color="auto"/>
        <w:right w:val="none" w:sz="0" w:space="0" w:color="auto"/>
      </w:divBdr>
      <w:divsChild>
        <w:div w:id="1329749229">
          <w:marLeft w:val="0"/>
          <w:marRight w:val="0"/>
          <w:marTop w:val="0"/>
          <w:marBottom w:val="0"/>
          <w:divBdr>
            <w:top w:val="none" w:sz="0" w:space="0" w:color="auto"/>
            <w:left w:val="none" w:sz="0" w:space="0" w:color="auto"/>
            <w:bottom w:val="none" w:sz="0" w:space="0" w:color="auto"/>
            <w:right w:val="none" w:sz="0" w:space="0" w:color="auto"/>
          </w:divBdr>
          <w:divsChild>
            <w:div w:id="1245338552">
              <w:marLeft w:val="0"/>
              <w:marRight w:val="0"/>
              <w:marTop w:val="0"/>
              <w:marBottom w:val="0"/>
              <w:divBdr>
                <w:top w:val="none" w:sz="0" w:space="0" w:color="auto"/>
                <w:left w:val="none" w:sz="0" w:space="0" w:color="auto"/>
                <w:bottom w:val="none" w:sz="0" w:space="0" w:color="auto"/>
                <w:right w:val="none" w:sz="0" w:space="0" w:color="auto"/>
              </w:divBdr>
              <w:divsChild>
                <w:div w:id="1146898542">
                  <w:marLeft w:val="0"/>
                  <w:marRight w:val="0"/>
                  <w:marTop w:val="0"/>
                  <w:marBottom w:val="0"/>
                  <w:divBdr>
                    <w:top w:val="none" w:sz="0" w:space="0" w:color="auto"/>
                    <w:left w:val="none" w:sz="0" w:space="0" w:color="auto"/>
                    <w:bottom w:val="none" w:sz="0" w:space="0" w:color="auto"/>
                    <w:right w:val="none" w:sz="0" w:space="0" w:color="auto"/>
                  </w:divBdr>
                </w:div>
              </w:divsChild>
            </w:div>
            <w:div w:id="1885483006">
              <w:marLeft w:val="0"/>
              <w:marRight w:val="0"/>
              <w:marTop w:val="0"/>
              <w:marBottom w:val="0"/>
              <w:divBdr>
                <w:top w:val="none" w:sz="0" w:space="0" w:color="auto"/>
                <w:left w:val="none" w:sz="0" w:space="0" w:color="auto"/>
                <w:bottom w:val="none" w:sz="0" w:space="0" w:color="auto"/>
                <w:right w:val="none" w:sz="0" w:space="0" w:color="auto"/>
              </w:divBdr>
              <w:divsChild>
                <w:div w:id="8620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96594">
          <w:marLeft w:val="0"/>
          <w:marRight w:val="0"/>
          <w:marTop w:val="0"/>
          <w:marBottom w:val="0"/>
          <w:divBdr>
            <w:top w:val="none" w:sz="0" w:space="0" w:color="auto"/>
            <w:left w:val="none" w:sz="0" w:space="0" w:color="auto"/>
            <w:bottom w:val="none" w:sz="0" w:space="0" w:color="auto"/>
            <w:right w:val="none" w:sz="0" w:space="0" w:color="auto"/>
          </w:divBdr>
          <w:divsChild>
            <w:div w:id="1990359678">
              <w:marLeft w:val="0"/>
              <w:marRight w:val="0"/>
              <w:marTop w:val="0"/>
              <w:marBottom w:val="0"/>
              <w:divBdr>
                <w:top w:val="none" w:sz="0" w:space="0" w:color="auto"/>
                <w:left w:val="none" w:sz="0" w:space="0" w:color="auto"/>
                <w:bottom w:val="none" w:sz="0" w:space="0" w:color="auto"/>
                <w:right w:val="none" w:sz="0" w:space="0" w:color="auto"/>
              </w:divBdr>
              <w:divsChild>
                <w:div w:id="4472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902565">
      <w:bodyDiv w:val="1"/>
      <w:marLeft w:val="0"/>
      <w:marRight w:val="0"/>
      <w:marTop w:val="0"/>
      <w:marBottom w:val="0"/>
      <w:divBdr>
        <w:top w:val="none" w:sz="0" w:space="0" w:color="auto"/>
        <w:left w:val="none" w:sz="0" w:space="0" w:color="auto"/>
        <w:bottom w:val="none" w:sz="0" w:space="0" w:color="auto"/>
        <w:right w:val="none" w:sz="0" w:space="0" w:color="auto"/>
      </w:divBdr>
    </w:div>
    <w:div w:id="966619652">
      <w:bodyDiv w:val="1"/>
      <w:marLeft w:val="0"/>
      <w:marRight w:val="0"/>
      <w:marTop w:val="0"/>
      <w:marBottom w:val="0"/>
      <w:divBdr>
        <w:top w:val="none" w:sz="0" w:space="0" w:color="auto"/>
        <w:left w:val="none" w:sz="0" w:space="0" w:color="auto"/>
        <w:bottom w:val="none" w:sz="0" w:space="0" w:color="auto"/>
        <w:right w:val="none" w:sz="0" w:space="0" w:color="auto"/>
      </w:divBdr>
    </w:div>
    <w:div w:id="1434714912">
      <w:bodyDiv w:val="1"/>
      <w:marLeft w:val="0"/>
      <w:marRight w:val="0"/>
      <w:marTop w:val="0"/>
      <w:marBottom w:val="0"/>
      <w:divBdr>
        <w:top w:val="none" w:sz="0" w:space="0" w:color="auto"/>
        <w:left w:val="none" w:sz="0" w:space="0" w:color="auto"/>
        <w:bottom w:val="none" w:sz="0" w:space="0" w:color="auto"/>
        <w:right w:val="none" w:sz="0" w:space="0" w:color="auto"/>
      </w:divBdr>
    </w:div>
    <w:div w:id="1472136948">
      <w:bodyDiv w:val="1"/>
      <w:marLeft w:val="0"/>
      <w:marRight w:val="0"/>
      <w:marTop w:val="0"/>
      <w:marBottom w:val="0"/>
      <w:divBdr>
        <w:top w:val="none" w:sz="0" w:space="0" w:color="auto"/>
        <w:left w:val="none" w:sz="0" w:space="0" w:color="auto"/>
        <w:bottom w:val="none" w:sz="0" w:space="0" w:color="auto"/>
        <w:right w:val="none" w:sz="0" w:space="0" w:color="auto"/>
      </w:divBdr>
      <w:divsChild>
        <w:div w:id="1510220101">
          <w:marLeft w:val="0"/>
          <w:marRight w:val="0"/>
          <w:marTop w:val="0"/>
          <w:marBottom w:val="0"/>
          <w:divBdr>
            <w:top w:val="none" w:sz="0" w:space="0" w:color="auto"/>
            <w:left w:val="none" w:sz="0" w:space="0" w:color="auto"/>
            <w:bottom w:val="none" w:sz="0" w:space="0" w:color="auto"/>
            <w:right w:val="none" w:sz="0" w:space="0" w:color="auto"/>
          </w:divBdr>
          <w:divsChild>
            <w:div w:id="1293290973">
              <w:marLeft w:val="0"/>
              <w:marRight w:val="0"/>
              <w:marTop w:val="0"/>
              <w:marBottom w:val="0"/>
              <w:divBdr>
                <w:top w:val="none" w:sz="0" w:space="0" w:color="auto"/>
                <w:left w:val="none" w:sz="0" w:space="0" w:color="auto"/>
                <w:bottom w:val="none" w:sz="0" w:space="0" w:color="auto"/>
                <w:right w:val="none" w:sz="0" w:space="0" w:color="auto"/>
              </w:divBdr>
              <w:divsChild>
                <w:div w:id="171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44092">
      <w:bodyDiv w:val="1"/>
      <w:marLeft w:val="0"/>
      <w:marRight w:val="0"/>
      <w:marTop w:val="0"/>
      <w:marBottom w:val="0"/>
      <w:divBdr>
        <w:top w:val="none" w:sz="0" w:space="0" w:color="auto"/>
        <w:left w:val="none" w:sz="0" w:space="0" w:color="auto"/>
        <w:bottom w:val="none" w:sz="0" w:space="0" w:color="auto"/>
        <w:right w:val="none" w:sz="0" w:space="0" w:color="auto"/>
      </w:divBdr>
    </w:div>
    <w:div w:id="1633635851">
      <w:bodyDiv w:val="1"/>
      <w:marLeft w:val="0"/>
      <w:marRight w:val="0"/>
      <w:marTop w:val="0"/>
      <w:marBottom w:val="0"/>
      <w:divBdr>
        <w:top w:val="none" w:sz="0" w:space="0" w:color="auto"/>
        <w:left w:val="none" w:sz="0" w:space="0" w:color="auto"/>
        <w:bottom w:val="none" w:sz="0" w:space="0" w:color="auto"/>
        <w:right w:val="none" w:sz="0" w:space="0" w:color="auto"/>
      </w:divBdr>
    </w:div>
    <w:div w:id="1701969955">
      <w:bodyDiv w:val="1"/>
      <w:marLeft w:val="0"/>
      <w:marRight w:val="0"/>
      <w:marTop w:val="0"/>
      <w:marBottom w:val="0"/>
      <w:divBdr>
        <w:top w:val="none" w:sz="0" w:space="0" w:color="auto"/>
        <w:left w:val="none" w:sz="0" w:space="0" w:color="auto"/>
        <w:bottom w:val="none" w:sz="0" w:space="0" w:color="auto"/>
        <w:right w:val="none" w:sz="0" w:space="0" w:color="auto"/>
      </w:divBdr>
      <w:divsChild>
        <w:div w:id="1339313567">
          <w:marLeft w:val="0"/>
          <w:marRight w:val="0"/>
          <w:marTop w:val="0"/>
          <w:marBottom w:val="0"/>
          <w:divBdr>
            <w:top w:val="none" w:sz="0" w:space="0" w:color="auto"/>
            <w:left w:val="none" w:sz="0" w:space="0" w:color="auto"/>
            <w:bottom w:val="none" w:sz="0" w:space="0" w:color="auto"/>
            <w:right w:val="none" w:sz="0" w:space="0" w:color="auto"/>
          </w:divBdr>
        </w:div>
      </w:divsChild>
    </w:div>
    <w:div w:id="208680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lobal-uploads.webflow.com/616d443e2dad3ada04efdb30/63f7577c7742f558a2efe211_02xx23%20BOIL%20Fandango%20Distrib.pdf" TargetMode="External"/><Relationship Id="rId18" Type="http://schemas.openxmlformats.org/officeDocument/2006/relationships/hyperlink" Target="http://www.sedar.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lobal-uploads.webflow.com/616d443e2dad3ada04efdb30/63ecd09a75f8e230a7bef977_02xx23%20BOIL%20Signs%20Def%20Agreement%20with%20Fandango.pdf" TargetMode="External"/><Relationship Id="rId17" Type="http://schemas.openxmlformats.org/officeDocument/2006/relationships/hyperlink" Target="mailto:ir@beyondoil.co" TargetMode="External"/><Relationship Id="rId2" Type="http://schemas.openxmlformats.org/officeDocument/2006/relationships/customXml" Target="../customXml/item2.xml"/><Relationship Id="rId16" Type="http://schemas.openxmlformats.org/officeDocument/2006/relationships/hyperlink" Target="mailto:shai@fandango.co.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info@beyondoil.co"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beyondoil.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319E8D47A9B847A00BAA811D66DB3A" ma:contentTypeVersion="16" ma:contentTypeDescription="Create a new document." ma:contentTypeScope="" ma:versionID="2485bc493cdb615c6825b61950144bd4">
  <xsd:schema xmlns:xsd="http://www.w3.org/2001/XMLSchema" xmlns:xs="http://www.w3.org/2001/XMLSchema" xmlns:p="http://schemas.microsoft.com/office/2006/metadata/properties" xmlns:ns2="10743c7d-fee6-4998-ac2e-6e1c78008383" xmlns:ns3="a2bcf970-f99f-4261-84f1-9dd249438a0e" targetNamespace="http://schemas.microsoft.com/office/2006/metadata/properties" ma:root="true" ma:fieldsID="41f79a117211dc0ba9052c32ce639036" ns2:_="" ns3:_="">
    <xsd:import namespace="10743c7d-fee6-4998-ac2e-6e1c78008383"/>
    <xsd:import namespace="a2bcf970-f99f-4261-84f1-9dd249438a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3c7d-fee6-4998-ac2e-6e1c78008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fb7910-80c3-4f43-a144-3c52bd2084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bcf970-f99f-4261-84f1-9dd249438a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467baf-5512-4176-9074-4faa4140a075}" ma:internalName="TaxCatchAll" ma:showField="CatchAllData" ma:web="a2bcf970-f99f-4261-84f1-9dd249438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2bcf970-f99f-4261-84f1-9dd249438a0e" xsi:nil="true"/>
    <lcf76f155ced4ddcb4097134ff3c332f xmlns="10743c7d-fee6-4998-ac2e-6e1c78008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CDAD94-2D89-45FD-8DEF-77FC1CF66EFF}">
  <ds:schemaRefs>
    <ds:schemaRef ds:uri="http://schemas.openxmlformats.org/officeDocument/2006/bibliography"/>
  </ds:schemaRefs>
</ds:datastoreItem>
</file>

<file path=customXml/itemProps2.xml><?xml version="1.0" encoding="utf-8"?>
<ds:datastoreItem xmlns:ds="http://schemas.openxmlformats.org/officeDocument/2006/customXml" ds:itemID="{7597515A-F5B5-4019-A02F-A50B4FF5525F}">
  <ds:schemaRefs>
    <ds:schemaRef ds:uri="http://schemas.microsoft.com/sharepoint/v3/contenttype/forms"/>
  </ds:schemaRefs>
</ds:datastoreItem>
</file>

<file path=customXml/itemProps3.xml><?xml version="1.0" encoding="utf-8"?>
<ds:datastoreItem xmlns:ds="http://schemas.openxmlformats.org/officeDocument/2006/customXml" ds:itemID="{674EBBC1-5011-48BA-A672-5C3BBDF3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3c7d-fee6-4998-ac2e-6e1c78008383"/>
    <ds:schemaRef ds:uri="a2bcf970-f99f-4261-84f1-9dd249438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E40AB5-7717-4ACD-971B-836AC3A40FEA}">
  <ds:schemaRefs>
    <ds:schemaRef ds:uri="http://schemas.microsoft.com/office/2006/metadata/properties"/>
    <ds:schemaRef ds:uri="http://schemas.microsoft.com/office/infopath/2007/PartnerControls"/>
    <ds:schemaRef ds:uri="a2bcf970-f99f-4261-84f1-9dd249438a0e"/>
    <ds:schemaRef ds:uri="10743c7d-fee6-4998-ac2e-6e1c78008383"/>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Links>
    <vt:vector size="36" baseType="variant">
      <vt:variant>
        <vt:i4>4194325</vt:i4>
      </vt:variant>
      <vt:variant>
        <vt:i4>15</vt:i4>
      </vt:variant>
      <vt:variant>
        <vt:i4>0</vt:i4>
      </vt:variant>
      <vt:variant>
        <vt:i4>5</vt:i4>
      </vt:variant>
      <vt:variant>
        <vt:lpwstr>http://www.sedar.com/</vt:lpwstr>
      </vt:variant>
      <vt:variant>
        <vt:lpwstr/>
      </vt:variant>
      <vt:variant>
        <vt:i4>852013</vt:i4>
      </vt:variant>
      <vt:variant>
        <vt:i4>12</vt:i4>
      </vt:variant>
      <vt:variant>
        <vt:i4>0</vt:i4>
      </vt:variant>
      <vt:variant>
        <vt:i4>5</vt:i4>
      </vt:variant>
      <vt:variant>
        <vt:lpwstr>mailto:ir@beyondoil.co</vt:lpwstr>
      </vt:variant>
      <vt:variant>
        <vt:lpwstr/>
      </vt:variant>
      <vt:variant>
        <vt:i4>7012446</vt:i4>
      </vt:variant>
      <vt:variant>
        <vt:i4>9</vt:i4>
      </vt:variant>
      <vt:variant>
        <vt:i4>0</vt:i4>
      </vt:variant>
      <vt:variant>
        <vt:i4>5</vt:i4>
      </vt:variant>
      <vt:variant>
        <vt:lpwstr>mailto:info@beyondoil.co</vt:lpwstr>
      </vt:variant>
      <vt:variant>
        <vt:lpwstr/>
      </vt:variant>
      <vt:variant>
        <vt:i4>1114134</vt:i4>
      </vt:variant>
      <vt:variant>
        <vt:i4>6</vt:i4>
      </vt:variant>
      <vt:variant>
        <vt:i4>0</vt:i4>
      </vt:variant>
      <vt:variant>
        <vt:i4>5</vt:i4>
      </vt:variant>
      <vt:variant>
        <vt:lpwstr>http://www.beyondoil.co/</vt:lpwstr>
      </vt:variant>
      <vt:variant>
        <vt:lpwstr/>
      </vt:variant>
      <vt:variant>
        <vt:i4>1114134</vt:i4>
      </vt:variant>
      <vt:variant>
        <vt:i4>3</vt:i4>
      </vt:variant>
      <vt:variant>
        <vt:i4>0</vt:i4>
      </vt:variant>
      <vt:variant>
        <vt:i4>5</vt:i4>
      </vt:variant>
      <vt:variant>
        <vt:lpwstr>http://www.beyondoil.co/</vt:lpwstr>
      </vt:variant>
      <vt:variant>
        <vt:lpwstr/>
      </vt:variant>
      <vt:variant>
        <vt:i4>786501</vt:i4>
      </vt:variant>
      <vt:variant>
        <vt:i4>0</vt:i4>
      </vt:variant>
      <vt:variant>
        <vt:i4>0</vt:i4>
      </vt:variant>
      <vt:variant>
        <vt:i4>5</vt:i4>
      </vt:variant>
      <vt:variant>
        <vt:lpwstr>https://www.beyondoil.co/researches/health-report-on-frying-oil-risks-professor-nissim-garti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Frawley</dc:creator>
  <cp:keywords/>
  <dc:description/>
  <cp:lastModifiedBy>Joyce Lee</cp:lastModifiedBy>
  <cp:revision>10</cp:revision>
  <dcterms:created xsi:type="dcterms:W3CDTF">2023-05-15T12:47:00Z</dcterms:created>
  <dcterms:modified xsi:type="dcterms:W3CDTF">2023-05-15T22:47:00Z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0x010100C5E64A028A546748BBE109E8D4A2330A</vt:lpwstr>
  </property>
  <property fmtid="{D5CDD505-2E9C-101B-9397-08002B2CF9AE}" pid="3" name="MediaServiceImageTags">
    <vt:lpwstr/>
  </property>
</Properties>
</file>