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3485" w14:textId="24D14009" w:rsidR="0010481A" w:rsidRPr="007E5E2E" w:rsidRDefault="001C55F3" w:rsidP="001C55F3">
      <w:pPr>
        <w:pStyle w:val="NormalWeb"/>
        <w:jc w:val="center"/>
        <w:rPr>
          <w:rFonts w:asciiTheme="minorHAnsi" w:eastAsia="Calibri" w:hAnsiTheme="minorHAnsi" w:cstheme="minorHAnsi"/>
          <w:b/>
          <w:bCs/>
          <w:color w:val="0A85C7"/>
          <w:sz w:val="32"/>
          <w:szCs w:val="32"/>
        </w:rPr>
      </w:pPr>
      <w:r w:rsidRPr="007E5E2E">
        <w:rPr>
          <w:rFonts w:asciiTheme="minorHAnsi" w:eastAsia="Calibri" w:hAnsiTheme="minorHAnsi" w:cstheme="minorHAnsi"/>
          <w:b/>
          <w:bCs/>
          <w:color w:val="0A85C7"/>
          <w:sz w:val="32"/>
          <w:szCs w:val="32"/>
        </w:rPr>
        <w:t xml:space="preserve">CLOUGH GLOBAL OPPORTUNITIES FUND SECTION 19(a) NOTICE </w:t>
      </w:r>
      <w:r w:rsidRPr="007E5E2E">
        <w:rPr>
          <w:rFonts w:asciiTheme="minorHAnsi" w:eastAsia="Calibri" w:hAnsiTheme="minorHAnsi" w:cstheme="minorHAnsi"/>
          <w:b/>
          <w:bCs/>
          <w:color w:val="0A85C7"/>
          <w:sz w:val="28"/>
          <w:szCs w:val="28"/>
        </w:rPr>
        <w:t>Statement Pursuant to Section 19(a) of the Investment Company Act of 1940</w:t>
      </w:r>
    </w:p>
    <w:p w14:paraId="5384F903" w14:textId="77777777" w:rsidR="00986485" w:rsidRPr="007E5E2E" w:rsidRDefault="00986485" w:rsidP="00986485">
      <w:pPr>
        <w:autoSpaceDE w:val="0"/>
        <w:autoSpaceDN w:val="0"/>
        <w:adjustRightInd w:val="0"/>
        <w:rPr>
          <w:rFonts w:asciiTheme="minorHAnsi" w:eastAsia="Calibri" w:hAnsiTheme="minorHAnsi" w:cstheme="minorHAnsi"/>
          <w:b/>
          <w:bCs/>
          <w:sz w:val="20"/>
          <w:szCs w:val="20"/>
        </w:rPr>
      </w:pPr>
    </w:p>
    <w:p w14:paraId="0669D49D" w14:textId="12DBE7D0" w:rsidR="001C55F3" w:rsidRPr="007E5E2E" w:rsidRDefault="00925204" w:rsidP="001C55F3">
      <w:pPr>
        <w:pStyle w:val="Body-Calibri"/>
        <w:rPr>
          <w:rFonts w:asciiTheme="minorHAnsi" w:hAnsiTheme="minorHAnsi" w:cstheme="minorHAnsi"/>
        </w:rPr>
      </w:pPr>
      <w:r w:rsidRPr="009E10A2">
        <w:rPr>
          <w:rFonts w:ascii="Calibri Light" w:hAnsi="Calibri Light" w:cs="Calibri Light"/>
          <w:b/>
          <w:bCs/>
        </w:rPr>
        <w:t>Denver, CO/ACCESSWIRE/</w:t>
      </w:r>
      <w:r>
        <w:rPr>
          <w:rFonts w:ascii="Calibri Light" w:hAnsi="Calibri Light" w:cs="Calibri Light"/>
          <w:b/>
          <w:bCs/>
        </w:rPr>
        <w:t>May</w:t>
      </w:r>
      <w:r w:rsidRPr="009E10A2">
        <w:rPr>
          <w:rFonts w:ascii="Calibri Light" w:hAnsi="Calibri Light" w:cs="Calibri Light"/>
          <w:b/>
          <w:bCs/>
        </w:rPr>
        <w:t xml:space="preserve"> </w:t>
      </w:r>
      <w:r>
        <w:rPr>
          <w:rFonts w:ascii="Calibri Light" w:hAnsi="Calibri Light" w:cs="Calibri Light"/>
          <w:b/>
          <w:bCs/>
        </w:rPr>
        <w:t>31</w:t>
      </w:r>
      <w:r w:rsidRPr="009E10A2">
        <w:rPr>
          <w:rFonts w:ascii="Calibri Light" w:hAnsi="Calibri Light" w:cs="Calibri Light"/>
          <w:b/>
          <w:bCs/>
        </w:rPr>
        <w:t>, 2023</w:t>
      </w:r>
      <w:r>
        <w:rPr>
          <w:rFonts w:ascii="Calibri Light" w:hAnsi="Calibri Light" w:cs="Calibri Light"/>
          <w:b/>
          <w:bCs/>
        </w:rPr>
        <w:t xml:space="preserve"> - </w:t>
      </w:r>
      <w:r w:rsidR="00496F02" w:rsidRPr="00496F02">
        <w:rPr>
          <w:rFonts w:asciiTheme="minorHAnsi" w:hAnsiTheme="minorHAnsi" w:cstheme="minorHAnsi"/>
          <w:bCs/>
        </w:rPr>
        <w:t>On</w:t>
      </w:r>
      <w:r w:rsidR="001C55F3" w:rsidRPr="00496F02">
        <w:rPr>
          <w:rFonts w:asciiTheme="minorHAnsi" w:hAnsiTheme="minorHAnsi" w:cstheme="minorHAnsi"/>
          <w:bCs/>
        </w:rPr>
        <w:t xml:space="preserve"> </w:t>
      </w:r>
      <w:r w:rsidR="0029099B" w:rsidRPr="00496F02">
        <w:rPr>
          <w:rFonts w:asciiTheme="minorHAnsi" w:hAnsiTheme="minorHAnsi" w:cstheme="minorHAnsi"/>
          <w:bCs/>
        </w:rPr>
        <w:t>May</w:t>
      </w:r>
      <w:r w:rsidR="00E6715D" w:rsidRPr="00496F02">
        <w:rPr>
          <w:rFonts w:asciiTheme="minorHAnsi" w:hAnsiTheme="minorHAnsi" w:cstheme="minorHAnsi"/>
          <w:bCs/>
        </w:rPr>
        <w:t xml:space="preserve"> </w:t>
      </w:r>
      <w:r w:rsidR="0029099B" w:rsidRPr="00496F02">
        <w:rPr>
          <w:rFonts w:asciiTheme="minorHAnsi" w:hAnsiTheme="minorHAnsi" w:cstheme="minorHAnsi"/>
          <w:bCs/>
        </w:rPr>
        <w:t>31</w:t>
      </w:r>
      <w:r w:rsidR="003E6F85" w:rsidRPr="00496F02">
        <w:rPr>
          <w:rFonts w:asciiTheme="minorHAnsi" w:hAnsiTheme="minorHAnsi" w:cstheme="minorHAnsi"/>
          <w:bCs/>
        </w:rPr>
        <w:t>, 202</w:t>
      </w:r>
      <w:r w:rsidR="00871BD5" w:rsidRPr="00496F02">
        <w:rPr>
          <w:rFonts w:asciiTheme="minorHAnsi" w:hAnsiTheme="minorHAnsi" w:cstheme="minorHAnsi"/>
          <w:bCs/>
        </w:rPr>
        <w:t>3</w:t>
      </w:r>
      <w:r w:rsidR="003E6F85" w:rsidRPr="00496F02">
        <w:rPr>
          <w:rFonts w:asciiTheme="minorHAnsi" w:hAnsiTheme="minorHAnsi" w:cstheme="minorHAnsi"/>
          <w:bCs/>
        </w:rPr>
        <w:t>,</w:t>
      </w:r>
      <w:r w:rsidR="003E6F85" w:rsidRPr="007E5E2E">
        <w:rPr>
          <w:rFonts w:asciiTheme="minorHAnsi" w:hAnsiTheme="minorHAnsi" w:cstheme="minorHAnsi"/>
        </w:rPr>
        <w:t xml:space="preserve"> the Clough Global Opportunities Fund (NYSE </w:t>
      </w:r>
      <w:r w:rsidR="009F749A">
        <w:rPr>
          <w:rFonts w:asciiTheme="minorHAnsi" w:hAnsiTheme="minorHAnsi" w:cstheme="minorHAnsi"/>
        </w:rPr>
        <w:t>American</w:t>
      </w:r>
      <w:r w:rsidR="003E6F85" w:rsidRPr="007E5E2E">
        <w:rPr>
          <w:rFonts w:asciiTheme="minorHAnsi" w:hAnsiTheme="minorHAnsi" w:cstheme="minorHAnsi"/>
        </w:rPr>
        <w:t>: GLO) (the “Fund”), a closed-end fund, paid a monthly distribution on its common stock of $0.</w:t>
      </w:r>
      <w:r w:rsidR="00871BD5" w:rsidRPr="007E5E2E">
        <w:rPr>
          <w:rFonts w:asciiTheme="minorHAnsi" w:hAnsiTheme="minorHAnsi" w:cstheme="minorHAnsi"/>
        </w:rPr>
        <w:t>0483</w:t>
      </w:r>
      <w:r w:rsidR="003E6F85" w:rsidRPr="007E5E2E">
        <w:rPr>
          <w:rFonts w:asciiTheme="minorHAnsi" w:hAnsiTheme="minorHAnsi" w:cstheme="minorHAnsi"/>
        </w:rPr>
        <w:t xml:space="preserve"> per share to shareholders of record at the close of business on </w:t>
      </w:r>
      <w:r w:rsidR="0029099B">
        <w:rPr>
          <w:rFonts w:asciiTheme="minorHAnsi" w:hAnsiTheme="minorHAnsi" w:cstheme="minorHAnsi"/>
        </w:rPr>
        <w:t>May</w:t>
      </w:r>
      <w:r w:rsidR="00C82ADA" w:rsidRPr="007E5E2E">
        <w:rPr>
          <w:rFonts w:asciiTheme="minorHAnsi" w:hAnsiTheme="minorHAnsi" w:cstheme="minorHAnsi"/>
        </w:rPr>
        <w:t xml:space="preserve"> </w:t>
      </w:r>
      <w:r w:rsidR="0029099B">
        <w:rPr>
          <w:rFonts w:asciiTheme="minorHAnsi" w:hAnsiTheme="minorHAnsi" w:cstheme="minorHAnsi"/>
        </w:rPr>
        <w:t>19</w:t>
      </w:r>
      <w:r w:rsidR="003E6F85" w:rsidRPr="007E5E2E">
        <w:rPr>
          <w:rFonts w:asciiTheme="minorHAnsi" w:hAnsiTheme="minorHAnsi" w:cstheme="minorHAnsi"/>
        </w:rPr>
        <w:t>, 202</w:t>
      </w:r>
      <w:r w:rsidR="00871BD5" w:rsidRPr="007E5E2E">
        <w:rPr>
          <w:rFonts w:asciiTheme="minorHAnsi" w:hAnsiTheme="minorHAnsi" w:cstheme="minorHAnsi"/>
        </w:rPr>
        <w:t>3</w:t>
      </w:r>
      <w:r w:rsidR="003E6F85" w:rsidRPr="007E5E2E">
        <w:rPr>
          <w:rFonts w:asciiTheme="minorHAnsi" w:hAnsiTheme="minorHAnsi" w:cstheme="minorHAnsi"/>
        </w:rPr>
        <w:t>.</w:t>
      </w:r>
    </w:p>
    <w:p w14:paraId="5BECF93F" w14:textId="0A0F35A8" w:rsidR="001C55F3" w:rsidRPr="007E5E2E" w:rsidRDefault="001C55F3" w:rsidP="001C55F3">
      <w:pPr>
        <w:pStyle w:val="NormalWeb"/>
        <w:jc w:val="both"/>
        <w:rPr>
          <w:rFonts w:asciiTheme="minorHAnsi" w:eastAsia="Calibri" w:hAnsiTheme="minorHAnsi" w:cstheme="minorHAnsi"/>
          <w:sz w:val="20"/>
          <w:szCs w:val="20"/>
        </w:rPr>
      </w:pPr>
      <w:r w:rsidRPr="007E5E2E">
        <w:rPr>
          <w:rFonts w:asciiTheme="minorHAnsi" w:eastAsia="Calibri" w:hAnsiTheme="minorHAnsi" w:cstheme="minorHAnsi"/>
          <w:sz w:val="20"/>
          <w:szCs w:val="20"/>
        </w:rPr>
        <w:t>The following table sets forth the estimated amount of the sources of distribution for purposes of Section 19 of the Investment Company Act of 1940, as amended, and the related rules adopted thereunder.  The Fund estimates the following percentages, of the total distribution amount per share, attributable to (i) current and prior fiscal year net investment income, (ii) net realized short-term capital gain, (iii) net realized long-term capital gain and (iv) return of capital or other capital source as a percentage of the total distribution amount.  These percentages are disclosed for the current distribution as well as the fiscal year-to-date cumulative distribution amount per share for the Fund.</w:t>
      </w:r>
    </w:p>
    <w:tbl>
      <w:tblPr>
        <w:tblW w:w="8508" w:type="dxa"/>
        <w:tblInd w:w="93" w:type="dxa"/>
        <w:tblLook w:val="0000" w:firstRow="0" w:lastRow="0" w:firstColumn="0" w:lastColumn="0" w:noHBand="0" w:noVBand="0"/>
      </w:tblPr>
      <w:tblGrid>
        <w:gridCol w:w="5112"/>
        <w:gridCol w:w="1698"/>
        <w:gridCol w:w="1698"/>
      </w:tblGrid>
      <w:tr w:rsidR="0055296A" w:rsidRPr="007E5E2E" w14:paraId="77EC1F5B" w14:textId="77777777" w:rsidTr="00EA2018">
        <w:trPr>
          <w:trHeight w:val="265"/>
        </w:trPr>
        <w:tc>
          <w:tcPr>
            <w:tcW w:w="5112" w:type="dxa"/>
            <w:shd w:val="clear" w:color="auto" w:fill="auto"/>
            <w:noWrap/>
            <w:vAlign w:val="bottom"/>
          </w:tcPr>
          <w:p w14:paraId="0B49C6FB" w14:textId="77777777" w:rsidR="0055296A" w:rsidRPr="007E5E2E" w:rsidRDefault="0055296A" w:rsidP="00EA2018">
            <w:pPr>
              <w:pStyle w:val="Header"/>
              <w:rPr>
                <w:rFonts w:asciiTheme="minorHAnsi" w:hAnsiTheme="minorHAnsi" w:cstheme="minorHAnsi"/>
                <w:b/>
              </w:rPr>
            </w:pPr>
            <w:r w:rsidRPr="007E5E2E">
              <w:rPr>
                <w:rFonts w:asciiTheme="minorHAnsi" w:hAnsiTheme="minorHAnsi" w:cstheme="minorHAnsi"/>
                <w:b/>
                <w:color w:val="0A85C7"/>
                <w:sz w:val="20"/>
                <w:szCs w:val="20"/>
              </w:rPr>
              <w:t>Current Distribution from:</w:t>
            </w:r>
            <w:r w:rsidRPr="007E5E2E">
              <w:rPr>
                <w:rFonts w:asciiTheme="minorHAnsi" w:hAnsiTheme="minorHAnsi" w:cstheme="minorHAnsi"/>
                <w:b/>
              </w:rPr>
              <w:t xml:space="preserve"> </w:t>
            </w:r>
          </w:p>
        </w:tc>
        <w:tc>
          <w:tcPr>
            <w:tcW w:w="1698" w:type="dxa"/>
          </w:tcPr>
          <w:p w14:paraId="286335E5" w14:textId="77777777" w:rsidR="0055296A" w:rsidRPr="007E5E2E" w:rsidRDefault="0055296A" w:rsidP="00EA2018">
            <w:pPr>
              <w:pStyle w:val="Body-Calibri"/>
              <w:rPr>
                <w:rFonts w:asciiTheme="minorHAnsi" w:hAnsiTheme="minorHAnsi" w:cstheme="minorHAnsi"/>
              </w:rPr>
            </w:pPr>
          </w:p>
        </w:tc>
        <w:tc>
          <w:tcPr>
            <w:tcW w:w="1698" w:type="dxa"/>
            <w:shd w:val="clear" w:color="auto" w:fill="auto"/>
            <w:noWrap/>
            <w:vAlign w:val="bottom"/>
          </w:tcPr>
          <w:p w14:paraId="01175A34"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 </w:t>
            </w:r>
          </w:p>
        </w:tc>
      </w:tr>
      <w:tr w:rsidR="0055296A" w:rsidRPr="007E5E2E" w14:paraId="7E60C1BB" w14:textId="77777777" w:rsidTr="00EA2018">
        <w:trPr>
          <w:trHeight w:val="265"/>
        </w:trPr>
        <w:tc>
          <w:tcPr>
            <w:tcW w:w="5112" w:type="dxa"/>
            <w:shd w:val="clear" w:color="auto" w:fill="auto"/>
            <w:noWrap/>
            <w:vAlign w:val="bottom"/>
          </w:tcPr>
          <w:p w14:paraId="387BD52E"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 </w:t>
            </w:r>
          </w:p>
        </w:tc>
        <w:tc>
          <w:tcPr>
            <w:tcW w:w="1698" w:type="dxa"/>
            <w:tcBorders>
              <w:bottom w:val="single" w:sz="4" w:space="0" w:color="auto"/>
            </w:tcBorders>
          </w:tcPr>
          <w:p w14:paraId="01AE131E" w14:textId="77777777" w:rsidR="0055296A" w:rsidRPr="007E5E2E" w:rsidRDefault="0055296A" w:rsidP="00EA2018">
            <w:pPr>
              <w:pStyle w:val="Body-Calibri"/>
              <w:jc w:val="right"/>
              <w:rPr>
                <w:rFonts w:asciiTheme="minorHAnsi" w:hAnsiTheme="minorHAnsi" w:cstheme="minorHAnsi"/>
                <w:b/>
              </w:rPr>
            </w:pPr>
            <w:r w:rsidRPr="007E5E2E">
              <w:rPr>
                <w:rFonts w:asciiTheme="minorHAnsi" w:hAnsiTheme="minorHAnsi" w:cstheme="minorHAnsi"/>
                <w:b/>
              </w:rPr>
              <w:t>Per Share ($)</w:t>
            </w:r>
          </w:p>
        </w:tc>
        <w:tc>
          <w:tcPr>
            <w:tcW w:w="1698" w:type="dxa"/>
            <w:tcBorders>
              <w:bottom w:val="single" w:sz="4" w:space="0" w:color="auto"/>
            </w:tcBorders>
            <w:shd w:val="clear" w:color="auto" w:fill="auto"/>
            <w:noWrap/>
            <w:vAlign w:val="bottom"/>
          </w:tcPr>
          <w:p w14:paraId="0E200B5E" w14:textId="77777777" w:rsidR="0055296A" w:rsidRPr="007E5E2E" w:rsidRDefault="0055296A" w:rsidP="00EA2018">
            <w:pPr>
              <w:pStyle w:val="Body-Calibri"/>
              <w:jc w:val="right"/>
              <w:rPr>
                <w:rFonts w:asciiTheme="minorHAnsi" w:hAnsiTheme="minorHAnsi" w:cstheme="minorHAnsi"/>
                <w:b/>
              </w:rPr>
            </w:pPr>
            <w:r w:rsidRPr="007E5E2E">
              <w:rPr>
                <w:rFonts w:asciiTheme="minorHAnsi" w:hAnsiTheme="minorHAnsi" w:cstheme="minorHAnsi"/>
                <w:b/>
              </w:rPr>
              <w:t>%</w:t>
            </w:r>
          </w:p>
        </w:tc>
      </w:tr>
      <w:tr w:rsidR="0055296A" w:rsidRPr="007E5E2E" w14:paraId="230DAB84" w14:textId="77777777" w:rsidTr="00EA2018">
        <w:trPr>
          <w:trHeight w:val="265"/>
        </w:trPr>
        <w:tc>
          <w:tcPr>
            <w:tcW w:w="5112" w:type="dxa"/>
            <w:shd w:val="clear" w:color="auto" w:fill="auto"/>
            <w:noWrap/>
            <w:vAlign w:val="bottom"/>
          </w:tcPr>
          <w:p w14:paraId="60F516B2"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Net Investment Income</w:t>
            </w:r>
          </w:p>
        </w:tc>
        <w:tc>
          <w:tcPr>
            <w:tcW w:w="1698" w:type="dxa"/>
            <w:tcBorders>
              <w:top w:val="single" w:sz="4" w:space="0" w:color="auto"/>
            </w:tcBorders>
          </w:tcPr>
          <w:p w14:paraId="35749CEE" w14:textId="572CE42B"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0.</w:t>
            </w:r>
            <w:r w:rsidR="00E6715D" w:rsidRPr="007E5E2E">
              <w:rPr>
                <w:rFonts w:asciiTheme="minorHAnsi" w:hAnsiTheme="minorHAnsi" w:cstheme="minorHAnsi"/>
              </w:rPr>
              <w:t>00</w:t>
            </w:r>
            <w:r w:rsidR="00E718D2" w:rsidRPr="007E5E2E">
              <w:rPr>
                <w:rFonts w:asciiTheme="minorHAnsi" w:hAnsiTheme="minorHAnsi" w:cstheme="minorHAnsi"/>
              </w:rPr>
              <w:t>0</w:t>
            </w:r>
            <w:r w:rsidR="00E6715D" w:rsidRPr="007E5E2E">
              <w:rPr>
                <w:rFonts w:asciiTheme="minorHAnsi" w:hAnsiTheme="minorHAnsi" w:cstheme="minorHAnsi"/>
              </w:rPr>
              <w:t>00</w:t>
            </w:r>
          </w:p>
        </w:tc>
        <w:tc>
          <w:tcPr>
            <w:tcW w:w="1698" w:type="dxa"/>
            <w:tcBorders>
              <w:top w:val="single" w:sz="4" w:space="0" w:color="auto"/>
            </w:tcBorders>
            <w:shd w:val="clear" w:color="auto" w:fill="auto"/>
            <w:noWrap/>
            <w:vAlign w:val="bottom"/>
          </w:tcPr>
          <w:p w14:paraId="55B53060" w14:textId="46AF2926" w:rsidR="0055296A" w:rsidRPr="007E5E2E" w:rsidRDefault="00E6715D" w:rsidP="00EA2018">
            <w:pPr>
              <w:pStyle w:val="Body-Calibri"/>
              <w:jc w:val="right"/>
              <w:rPr>
                <w:rFonts w:asciiTheme="minorHAnsi" w:hAnsiTheme="minorHAnsi" w:cstheme="minorHAnsi"/>
              </w:rPr>
            </w:pPr>
            <w:r w:rsidRPr="007E5E2E">
              <w:rPr>
                <w:rFonts w:asciiTheme="minorHAnsi" w:hAnsiTheme="minorHAnsi" w:cstheme="minorHAnsi"/>
              </w:rPr>
              <w:t>0</w:t>
            </w:r>
            <w:r w:rsidR="0055296A" w:rsidRPr="007E5E2E">
              <w:rPr>
                <w:rFonts w:asciiTheme="minorHAnsi" w:hAnsiTheme="minorHAnsi" w:cstheme="minorHAnsi"/>
              </w:rPr>
              <w:t>.00%</w:t>
            </w:r>
          </w:p>
        </w:tc>
      </w:tr>
      <w:tr w:rsidR="0055296A" w:rsidRPr="007E5E2E" w14:paraId="6F4E7B32" w14:textId="77777777" w:rsidTr="00EA2018">
        <w:trPr>
          <w:trHeight w:val="265"/>
        </w:trPr>
        <w:tc>
          <w:tcPr>
            <w:tcW w:w="5112" w:type="dxa"/>
            <w:shd w:val="clear" w:color="auto" w:fill="auto"/>
            <w:noWrap/>
            <w:vAlign w:val="bottom"/>
          </w:tcPr>
          <w:p w14:paraId="5E79BC38"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Net Realized Short-Term Capital Gain</w:t>
            </w:r>
          </w:p>
        </w:tc>
        <w:tc>
          <w:tcPr>
            <w:tcW w:w="1698" w:type="dxa"/>
          </w:tcPr>
          <w:p w14:paraId="7F36A54E" w14:textId="703A2F31"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0.00</w:t>
            </w:r>
            <w:r w:rsidR="00E718D2" w:rsidRPr="007E5E2E">
              <w:rPr>
                <w:rFonts w:asciiTheme="minorHAnsi" w:hAnsiTheme="minorHAnsi" w:cstheme="minorHAnsi"/>
              </w:rPr>
              <w:t>0</w:t>
            </w:r>
            <w:r w:rsidRPr="007E5E2E">
              <w:rPr>
                <w:rFonts w:asciiTheme="minorHAnsi" w:hAnsiTheme="minorHAnsi" w:cstheme="minorHAnsi"/>
              </w:rPr>
              <w:t>00</w:t>
            </w:r>
          </w:p>
        </w:tc>
        <w:tc>
          <w:tcPr>
            <w:tcW w:w="1698" w:type="dxa"/>
            <w:shd w:val="clear" w:color="auto" w:fill="auto"/>
            <w:noWrap/>
            <w:vAlign w:val="bottom"/>
          </w:tcPr>
          <w:p w14:paraId="6E708FED" w14:textId="77777777"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0.00%</w:t>
            </w:r>
          </w:p>
        </w:tc>
      </w:tr>
      <w:tr w:rsidR="0055296A" w:rsidRPr="007E5E2E" w14:paraId="23C228D8" w14:textId="77777777" w:rsidTr="00EA2018">
        <w:trPr>
          <w:trHeight w:val="265"/>
        </w:trPr>
        <w:tc>
          <w:tcPr>
            <w:tcW w:w="5112" w:type="dxa"/>
            <w:shd w:val="clear" w:color="auto" w:fill="auto"/>
            <w:noWrap/>
            <w:vAlign w:val="bottom"/>
          </w:tcPr>
          <w:p w14:paraId="30D90FFF"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Net Realized Long-Term Capital Gain</w:t>
            </w:r>
          </w:p>
        </w:tc>
        <w:tc>
          <w:tcPr>
            <w:tcW w:w="1698" w:type="dxa"/>
          </w:tcPr>
          <w:p w14:paraId="12477398" w14:textId="03316862"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0.00</w:t>
            </w:r>
            <w:r w:rsidR="00E718D2" w:rsidRPr="007E5E2E">
              <w:rPr>
                <w:rFonts w:asciiTheme="minorHAnsi" w:hAnsiTheme="minorHAnsi" w:cstheme="minorHAnsi"/>
              </w:rPr>
              <w:t>0</w:t>
            </w:r>
            <w:r w:rsidRPr="007E5E2E">
              <w:rPr>
                <w:rFonts w:asciiTheme="minorHAnsi" w:hAnsiTheme="minorHAnsi" w:cstheme="minorHAnsi"/>
              </w:rPr>
              <w:t>00</w:t>
            </w:r>
          </w:p>
        </w:tc>
        <w:tc>
          <w:tcPr>
            <w:tcW w:w="1698" w:type="dxa"/>
            <w:shd w:val="clear" w:color="auto" w:fill="auto"/>
            <w:noWrap/>
            <w:vAlign w:val="bottom"/>
          </w:tcPr>
          <w:p w14:paraId="5A2A4C68" w14:textId="77777777"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0.00%</w:t>
            </w:r>
          </w:p>
        </w:tc>
      </w:tr>
      <w:tr w:rsidR="0055296A" w:rsidRPr="007E5E2E" w14:paraId="28D4DE91" w14:textId="77777777" w:rsidTr="00EA2018">
        <w:trPr>
          <w:trHeight w:val="265"/>
        </w:trPr>
        <w:tc>
          <w:tcPr>
            <w:tcW w:w="5112" w:type="dxa"/>
            <w:shd w:val="clear" w:color="auto" w:fill="auto"/>
            <w:noWrap/>
            <w:vAlign w:val="bottom"/>
          </w:tcPr>
          <w:p w14:paraId="6AA5B1FF"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 xml:space="preserve">Return of Capital or </w:t>
            </w:r>
            <w:proofErr w:type="gramStart"/>
            <w:r w:rsidRPr="007E5E2E">
              <w:rPr>
                <w:rFonts w:asciiTheme="minorHAnsi" w:hAnsiTheme="minorHAnsi" w:cstheme="minorHAnsi"/>
              </w:rPr>
              <w:t>other</w:t>
            </w:r>
            <w:proofErr w:type="gramEnd"/>
            <w:r w:rsidRPr="007E5E2E">
              <w:rPr>
                <w:rFonts w:asciiTheme="minorHAnsi" w:hAnsiTheme="minorHAnsi" w:cstheme="minorHAnsi"/>
              </w:rPr>
              <w:t xml:space="preserve"> Capital Source</w:t>
            </w:r>
          </w:p>
        </w:tc>
        <w:tc>
          <w:tcPr>
            <w:tcW w:w="1698" w:type="dxa"/>
            <w:tcBorders>
              <w:bottom w:val="single" w:sz="4" w:space="0" w:color="auto"/>
            </w:tcBorders>
          </w:tcPr>
          <w:p w14:paraId="71AA6112" w14:textId="6C167906"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0.</w:t>
            </w:r>
            <w:r w:rsidR="00017C57">
              <w:rPr>
                <w:rFonts w:asciiTheme="minorHAnsi" w:hAnsiTheme="minorHAnsi" w:cstheme="minorHAnsi"/>
              </w:rPr>
              <w:t>04830</w:t>
            </w:r>
          </w:p>
        </w:tc>
        <w:tc>
          <w:tcPr>
            <w:tcW w:w="1698" w:type="dxa"/>
            <w:tcBorders>
              <w:bottom w:val="single" w:sz="4" w:space="0" w:color="auto"/>
            </w:tcBorders>
            <w:shd w:val="clear" w:color="auto" w:fill="auto"/>
            <w:noWrap/>
            <w:vAlign w:val="bottom"/>
          </w:tcPr>
          <w:p w14:paraId="305ADCC9" w14:textId="2767898E" w:rsidR="0055296A" w:rsidRPr="007E5E2E" w:rsidRDefault="00E6715D" w:rsidP="00EA2018">
            <w:pPr>
              <w:pStyle w:val="Body-Calibri"/>
              <w:jc w:val="right"/>
              <w:rPr>
                <w:rFonts w:asciiTheme="minorHAnsi" w:hAnsiTheme="minorHAnsi" w:cstheme="minorHAnsi"/>
              </w:rPr>
            </w:pPr>
            <w:r w:rsidRPr="007E5E2E">
              <w:rPr>
                <w:rFonts w:asciiTheme="minorHAnsi" w:hAnsiTheme="minorHAnsi" w:cstheme="minorHAnsi"/>
              </w:rPr>
              <w:t>100</w:t>
            </w:r>
            <w:r w:rsidR="0055296A" w:rsidRPr="007E5E2E">
              <w:rPr>
                <w:rFonts w:asciiTheme="minorHAnsi" w:hAnsiTheme="minorHAnsi" w:cstheme="minorHAnsi"/>
              </w:rPr>
              <w:t>.00%</w:t>
            </w:r>
          </w:p>
        </w:tc>
      </w:tr>
      <w:tr w:rsidR="0055296A" w:rsidRPr="007E5E2E" w14:paraId="1AF0FF50" w14:textId="77777777" w:rsidTr="00EA2018">
        <w:trPr>
          <w:trHeight w:val="280"/>
        </w:trPr>
        <w:tc>
          <w:tcPr>
            <w:tcW w:w="5112" w:type="dxa"/>
            <w:shd w:val="clear" w:color="auto" w:fill="auto"/>
            <w:noWrap/>
            <w:vAlign w:val="bottom"/>
          </w:tcPr>
          <w:p w14:paraId="096B2876"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Total (per common share)</w:t>
            </w:r>
          </w:p>
        </w:tc>
        <w:tc>
          <w:tcPr>
            <w:tcW w:w="1698" w:type="dxa"/>
            <w:tcBorders>
              <w:top w:val="single" w:sz="4" w:space="0" w:color="auto"/>
            </w:tcBorders>
          </w:tcPr>
          <w:p w14:paraId="6EFBEACA" w14:textId="1ABFD37E"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0.</w:t>
            </w:r>
            <w:r w:rsidR="00E6715D" w:rsidRPr="007E5E2E">
              <w:rPr>
                <w:rFonts w:asciiTheme="minorHAnsi" w:hAnsiTheme="minorHAnsi" w:cstheme="minorHAnsi"/>
              </w:rPr>
              <w:t>0483</w:t>
            </w:r>
            <w:r w:rsidR="00E718D2" w:rsidRPr="007E5E2E">
              <w:rPr>
                <w:rFonts w:asciiTheme="minorHAnsi" w:hAnsiTheme="minorHAnsi" w:cstheme="minorHAnsi"/>
              </w:rPr>
              <w:t>0</w:t>
            </w:r>
          </w:p>
        </w:tc>
        <w:tc>
          <w:tcPr>
            <w:tcW w:w="1698" w:type="dxa"/>
            <w:tcBorders>
              <w:top w:val="single" w:sz="4" w:space="0" w:color="auto"/>
            </w:tcBorders>
            <w:shd w:val="clear" w:color="auto" w:fill="auto"/>
            <w:noWrap/>
            <w:vAlign w:val="bottom"/>
          </w:tcPr>
          <w:p w14:paraId="516B42DD" w14:textId="77777777"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100.00%</w:t>
            </w:r>
          </w:p>
        </w:tc>
      </w:tr>
      <w:tr w:rsidR="0055296A" w:rsidRPr="007E5E2E" w14:paraId="7308EBC3" w14:textId="77777777" w:rsidTr="00EA2018">
        <w:trPr>
          <w:trHeight w:val="280"/>
        </w:trPr>
        <w:tc>
          <w:tcPr>
            <w:tcW w:w="5112" w:type="dxa"/>
            <w:vMerge w:val="restart"/>
            <w:shd w:val="clear" w:color="auto" w:fill="auto"/>
            <w:noWrap/>
            <w:vAlign w:val="bottom"/>
          </w:tcPr>
          <w:p w14:paraId="2A7F708A" w14:textId="77777777" w:rsidR="0055296A" w:rsidRPr="007E5E2E" w:rsidRDefault="0055296A" w:rsidP="00EA2018">
            <w:pPr>
              <w:pStyle w:val="Header"/>
              <w:rPr>
                <w:rFonts w:asciiTheme="minorHAnsi" w:hAnsiTheme="minorHAnsi" w:cstheme="minorHAnsi"/>
                <w:b/>
              </w:rPr>
            </w:pPr>
            <w:r w:rsidRPr="007E5E2E">
              <w:rPr>
                <w:rFonts w:asciiTheme="minorHAnsi" w:hAnsiTheme="minorHAnsi" w:cstheme="minorHAnsi"/>
                <w:b/>
                <w:color w:val="0A85C7"/>
                <w:sz w:val="20"/>
                <w:szCs w:val="20"/>
              </w:rPr>
              <w:t>Fiscal Year-to-Date Cumulative Distributions from:</w:t>
            </w:r>
            <w:r w:rsidRPr="007E5E2E">
              <w:rPr>
                <w:rFonts w:asciiTheme="minorHAnsi" w:hAnsiTheme="minorHAnsi" w:cstheme="minorHAnsi"/>
                <w:b/>
              </w:rPr>
              <w:t xml:space="preserve"> </w:t>
            </w:r>
          </w:p>
        </w:tc>
        <w:tc>
          <w:tcPr>
            <w:tcW w:w="1698" w:type="dxa"/>
          </w:tcPr>
          <w:p w14:paraId="760D14C1" w14:textId="77777777" w:rsidR="0055296A" w:rsidRPr="007E5E2E" w:rsidRDefault="0055296A" w:rsidP="00EA2018">
            <w:pPr>
              <w:pStyle w:val="Body-Calibri"/>
              <w:rPr>
                <w:rFonts w:asciiTheme="minorHAnsi" w:hAnsiTheme="minorHAnsi" w:cstheme="minorHAnsi"/>
              </w:rPr>
            </w:pPr>
          </w:p>
        </w:tc>
        <w:tc>
          <w:tcPr>
            <w:tcW w:w="1698" w:type="dxa"/>
            <w:shd w:val="clear" w:color="auto" w:fill="auto"/>
            <w:noWrap/>
            <w:vAlign w:val="bottom"/>
          </w:tcPr>
          <w:p w14:paraId="6EE219E9"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 </w:t>
            </w:r>
          </w:p>
        </w:tc>
      </w:tr>
      <w:tr w:rsidR="0055296A" w:rsidRPr="007E5E2E" w14:paraId="6A6EC135" w14:textId="77777777" w:rsidTr="00EA2018">
        <w:trPr>
          <w:trHeight w:val="280"/>
        </w:trPr>
        <w:tc>
          <w:tcPr>
            <w:tcW w:w="5112" w:type="dxa"/>
            <w:vMerge/>
            <w:shd w:val="clear" w:color="auto" w:fill="auto"/>
            <w:noWrap/>
            <w:vAlign w:val="bottom"/>
          </w:tcPr>
          <w:p w14:paraId="38499C3D" w14:textId="77777777" w:rsidR="0055296A" w:rsidRPr="007E5E2E" w:rsidRDefault="0055296A" w:rsidP="00EA2018">
            <w:pPr>
              <w:pStyle w:val="Body-Calibri"/>
              <w:rPr>
                <w:rFonts w:asciiTheme="minorHAnsi" w:hAnsiTheme="minorHAnsi" w:cstheme="minorHAnsi"/>
                <w:b/>
              </w:rPr>
            </w:pPr>
          </w:p>
        </w:tc>
        <w:tc>
          <w:tcPr>
            <w:tcW w:w="1698" w:type="dxa"/>
          </w:tcPr>
          <w:p w14:paraId="7AFBA87F" w14:textId="77777777" w:rsidR="0055296A" w:rsidRPr="007E5E2E" w:rsidRDefault="0055296A" w:rsidP="00EA2018">
            <w:pPr>
              <w:pStyle w:val="Body-Calibri"/>
              <w:rPr>
                <w:rFonts w:asciiTheme="minorHAnsi" w:hAnsiTheme="minorHAnsi" w:cstheme="minorHAnsi"/>
              </w:rPr>
            </w:pPr>
          </w:p>
        </w:tc>
        <w:tc>
          <w:tcPr>
            <w:tcW w:w="1698" w:type="dxa"/>
            <w:shd w:val="clear" w:color="auto" w:fill="auto"/>
            <w:noWrap/>
            <w:vAlign w:val="bottom"/>
          </w:tcPr>
          <w:p w14:paraId="237C1643"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 </w:t>
            </w:r>
          </w:p>
        </w:tc>
      </w:tr>
      <w:tr w:rsidR="0055296A" w:rsidRPr="007E5E2E" w14:paraId="6A294DE4" w14:textId="77777777" w:rsidTr="00EA2018">
        <w:trPr>
          <w:trHeight w:val="280"/>
        </w:trPr>
        <w:tc>
          <w:tcPr>
            <w:tcW w:w="5112" w:type="dxa"/>
            <w:shd w:val="clear" w:color="auto" w:fill="auto"/>
            <w:noWrap/>
            <w:vAlign w:val="bottom"/>
          </w:tcPr>
          <w:p w14:paraId="35F70949"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 </w:t>
            </w:r>
          </w:p>
        </w:tc>
        <w:tc>
          <w:tcPr>
            <w:tcW w:w="1698" w:type="dxa"/>
            <w:tcBorders>
              <w:bottom w:val="single" w:sz="4" w:space="0" w:color="auto"/>
            </w:tcBorders>
          </w:tcPr>
          <w:p w14:paraId="612C1919" w14:textId="77777777" w:rsidR="0055296A" w:rsidRPr="007E5E2E" w:rsidRDefault="0055296A" w:rsidP="00EA2018">
            <w:pPr>
              <w:pStyle w:val="Body-Calibri"/>
              <w:jc w:val="right"/>
              <w:rPr>
                <w:rFonts w:asciiTheme="minorHAnsi" w:hAnsiTheme="minorHAnsi" w:cstheme="minorHAnsi"/>
                <w:b/>
              </w:rPr>
            </w:pPr>
            <w:r w:rsidRPr="007E5E2E">
              <w:rPr>
                <w:rFonts w:asciiTheme="minorHAnsi" w:hAnsiTheme="minorHAnsi" w:cstheme="minorHAnsi"/>
                <w:b/>
              </w:rPr>
              <w:t>Per Share ($)</w:t>
            </w:r>
          </w:p>
        </w:tc>
        <w:tc>
          <w:tcPr>
            <w:tcW w:w="1698" w:type="dxa"/>
            <w:tcBorders>
              <w:bottom w:val="single" w:sz="4" w:space="0" w:color="auto"/>
            </w:tcBorders>
            <w:shd w:val="clear" w:color="auto" w:fill="auto"/>
            <w:noWrap/>
            <w:vAlign w:val="bottom"/>
          </w:tcPr>
          <w:p w14:paraId="73CBBD47" w14:textId="77777777" w:rsidR="0055296A" w:rsidRPr="007E5E2E" w:rsidRDefault="0055296A" w:rsidP="00EA2018">
            <w:pPr>
              <w:pStyle w:val="Body-Calibri"/>
              <w:jc w:val="right"/>
              <w:rPr>
                <w:rFonts w:asciiTheme="minorHAnsi" w:hAnsiTheme="minorHAnsi" w:cstheme="minorHAnsi"/>
                <w:b/>
              </w:rPr>
            </w:pPr>
            <w:r w:rsidRPr="007E5E2E">
              <w:rPr>
                <w:rFonts w:asciiTheme="minorHAnsi" w:hAnsiTheme="minorHAnsi" w:cstheme="minorHAnsi"/>
                <w:b/>
              </w:rPr>
              <w:t>%</w:t>
            </w:r>
          </w:p>
        </w:tc>
      </w:tr>
      <w:tr w:rsidR="0055296A" w:rsidRPr="007E5E2E" w14:paraId="443D2C83" w14:textId="77777777" w:rsidTr="00EA2018">
        <w:trPr>
          <w:trHeight w:val="280"/>
        </w:trPr>
        <w:tc>
          <w:tcPr>
            <w:tcW w:w="5112" w:type="dxa"/>
            <w:shd w:val="clear" w:color="auto" w:fill="auto"/>
            <w:noWrap/>
            <w:vAlign w:val="bottom"/>
          </w:tcPr>
          <w:p w14:paraId="4D9E22D5"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Net Investment Income</w:t>
            </w:r>
          </w:p>
        </w:tc>
        <w:tc>
          <w:tcPr>
            <w:tcW w:w="1698" w:type="dxa"/>
            <w:tcBorders>
              <w:top w:val="single" w:sz="4" w:space="0" w:color="auto"/>
            </w:tcBorders>
          </w:tcPr>
          <w:p w14:paraId="46AB1AA6" w14:textId="4C213A87"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0.</w:t>
            </w:r>
            <w:r w:rsidR="00E6715D" w:rsidRPr="007E5E2E">
              <w:rPr>
                <w:rFonts w:asciiTheme="minorHAnsi" w:hAnsiTheme="minorHAnsi" w:cstheme="minorHAnsi"/>
              </w:rPr>
              <w:t>000</w:t>
            </w:r>
            <w:r w:rsidR="00E718D2" w:rsidRPr="007E5E2E">
              <w:rPr>
                <w:rFonts w:asciiTheme="minorHAnsi" w:hAnsiTheme="minorHAnsi" w:cstheme="minorHAnsi"/>
              </w:rPr>
              <w:t>0</w:t>
            </w:r>
            <w:r w:rsidR="00E6715D" w:rsidRPr="007E5E2E">
              <w:rPr>
                <w:rFonts w:asciiTheme="minorHAnsi" w:hAnsiTheme="minorHAnsi" w:cstheme="minorHAnsi"/>
              </w:rPr>
              <w:t>0</w:t>
            </w:r>
          </w:p>
        </w:tc>
        <w:tc>
          <w:tcPr>
            <w:tcW w:w="1698" w:type="dxa"/>
            <w:tcBorders>
              <w:top w:val="single" w:sz="4" w:space="0" w:color="auto"/>
            </w:tcBorders>
            <w:shd w:val="clear" w:color="auto" w:fill="auto"/>
            <w:noWrap/>
            <w:vAlign w:val="bottom"/>
          </w:tcPr>
          <w:p w14:paraId="2D2A20E8" w14:textId="0D57ED1E" w:rsidR="0055296A" w:rsidRPr="007E5E2E" w:rsidRDefault="00E6715D" w:rsidP="00EA2018">
            <w:pPr>
              <w:pStyle w:val="Body-Calibri"/>
              <w:jc w:val="right"/>
              <w:rPr>
                <w:rFonts w:asciiTheme="minorHAnsi" w:hAnsiTheme="minorHAnsi" w:cstheme="minorHAnsi"/>
              </w:rPr>
            </w:pPr>
            <w:r w:rsidRPr="007E5E2E">
              <w:rPr>
                <w:rFonts w:asciiTheme="minorHAnsi" w:hAnsiTheme="minorHAnsi" w:cstheme="minorHAnsi"/>
              </w:rPr>
              <w:t>0.0</w:t>
            </w:r>
            <w:r w:rsidR="0055296A" w:rsidRPr="007E5E2E">
              <w:rPr>
                <w:rFonts w:asciiTheme="minorHAnsi" w:hAnsiTheme="minorHAnsi" w:cstheme="minorHAnsi"/>
              </w:rPr>
              <w:t>0%</w:t>
            </w:r>
          </w:p>
        </w:tc>
      </w:tr>
      <w:tr w:rsidR="0055296A" w:rsidRPr="007E5E2E" w14:paraId="20128B09" w14:textId="77777777" w:rsidTr="00EA2018">
        <w:trPr>
          <w:trHeight w:val="280"/>
        </w:trPr>
        <w:tc>
          <w:tcPr>
            <w:tcW w:w="5112" w:type="dxa"/>
            <w:shd w:val="clear" w:color="auto" w:fill="auto"/>
            <w:noWrap/>
            <w:vAlign w:val="bottom"/>
          </w:tcPr>
          <w:p w14:paraId="79E17B52"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Net Realized Short-Term Capital Gain</w:t>
            </w:r>
          </w:p>
        </w:tc>
        <w:tc>
          <w:tcPr>
            <w:tcW w:w="1698" w:type="dxa"/>
          </w:tcPr>
          <w:p w14:paraId="5A4501E8" w14:textId="31CF17E6" w:rsidR="0055296A" w:rsidRPr="007E5E2E" w:rsidRDefault="0055296A" w:rsidP="00C37341">
            <w:pPr>
              <w:pStyle w:val="Body-Calibri"/>
              <w:jc w:val="right"/>
              <w:rPr>
                <w:rFonts w:asciiTheme="minorHAnsi" w:hAnsiTheme="minorHAnsi" w:cstheme="minorHAnsi"/>
              </w:rPr>
            </w:pPr>
            <w:r w:rsidRPr="007E5E2E">
              <w:rPr>
                <w:rFonts w:asciiTheme="minorHAnsi" w:hAnsiTheme="minorHAnsi" w:cstheme="minorHAnsi"/>
              </w:rPr>
              <w:t>0.</w:t>
            </w:r>
            <w:r w:rsidR="00C37341" w:rsidRPr="007E5E2E">
              <w:rPr>
                <w:rFonts w:asciiTheme="minorHAnsi" w:hAnsiTheme="minorHAnsi" w:cstheme="minorHAnsi"/>
              </w:rPr>
              <w:t>000</w:t>
            </w:r>
            <w:r w:rsidR="00E718D2" w:rsidRPr="007E5E2E">
              <w:rPr>
                <w:rFonts w:asciiTheme="minorHAnsi" w:hAnsiTheme="minorHAnsi" w:cstheme="minorHAnsi"/>
              </w:rPr>
              <w:t>0</w:t>
            </w:r>
            <w:r w:rsidR="00C37341" w:rsidRPr="007E5E2E">
              <w:rPr>
                <w:rFonts w:asciiTheme="minorHAnsi" w:hAnsiTheme="minorHAnsi" w:cstheme="minorHAnsi"/>
              </w:rPr>
              <w:t>0</w:t>
            </w:r>
          </w:p>
        </w:tc>
        <w:tc>
          <w:tcPr>
            <w:tcW w:w="1698" w:type="dxa"/>
            <w:shd w:val="clear" w:color="auto" w:fill="auto"/>
            <w:noWrap/>
            <w:vAlign w:val="bottom"/>
          </w:tcPr>
          <w:p w14:paraId="24670AB5" w14:textId="30D092D9" w:rsidR="0055296A" w:rsidRPr="007E5E2E" w:rsidRDefault="00C37341" w:rsidP="00EA2018">
            <w:pPr>
              <w:pStyle w:val="Body-Calibri"/>
              <w:jc w:val="right"/>
              <w:rPr>
                <w:rFonts w:asciiTheme="minorHAnsi" w:hAnsiTheme="minorHAnsi" w:cstheme="minorHAnsi"/>
              </w:rPr>
            </w:pPr>
            <w:r w:rsidRPr="007E5E2E">
              <w:rPr>
                <w:rFonts w:asciiTheme="minorHAnsi" w:hAnsiTheme="minorHAnsi" w:cstheme="minorHAnsi"/>
              </w:rPr>
              <w:t>0.00</w:t>
            </w:r>
            <w:r w:rsidR="0055296A" w:rsidRPr="007E5E2E">
              <w:rPr>
                <w:rFonts w:asciiTheme="minorHAnsi" w:hAnsiTheme="minorHAnsi" w:cstheme="minorHAnsi"/>
              </w:rPr>
              <w:t>%</w:t>
            </w:r>
          </w:p>
        </w:tc>
      </w:tr>
      <w:tr w:rsidR="0055296A" w:rsidRPr="007E5E2E" w14:paraId="1245A840" w14:textId="77777777" w:rsidTr="00EA2018">
        <w:trPr>
          <w:trHeight w:val="280"/>
        </w:trPr>
        <w:tc>
          <w:tcPr>
            <w:tcW w:w="5112" w:type="dxa"/>
            <w:shd w:val="clear" w:color="auto" w:fill="auto"/>
            <w:noWrap/>
            <w:vAlign w:val="bottom"/>
          </w:tcPr>
          <w:p w14:paraId="026CA47A"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Net Realized Long-Term Capital Gain</w:t>
            </w:r>
          </w:p>
        </w:tc>
        <w:tc>
          <w:tcPr>
            <w:tcW w:w="1698" w:type="dxa"/>
          </w:tcPr>
          <w:p w14:paraId="1CEE8562" w14:textId="70D497A3" w:rsidR="0055296A" w:rsidRPr="007E5E2E" w:rsidRDefault="0055296A" w:rsidP="00C37341">
            <w:pPr>
              <w:pStyle w:val="Body-Calibri"/>
              <w:jc w:val="right"/>
              <w:rPr>
                <w:rFonts w:asciiTheme="minorHAnsi" w:hAnsiTheme="minorHAnsi" w:cstheme="minorHAnsi"/>
              </w:rPr>
            </w:pPr>
            <w:r w:rsidRPr="007E5E2E">
              <w:rPr>
                <w:rFonts w:asciiTheme="minorHAnsi" w:hAnsiTheme="minorHAnsi" w:cstheme="minorHAnsi"/>
              </w:rPr>
              <w:t>0.</w:t>
            </w:r>
            <w:r w:rsidR="00C37341" w:rsidRPr="007E5E2E">
              <w:rPr>
                <w:rFonts w:asciiTheme="minorHAnsi" w:hAnsiTheme="minorHAnsi" w:cstheme="minorHAnsi"/>
              </w:rPr>
              <w:t>000</w:t>
            </w:r>
            <w:r w:rsidR="00E718D2" w:rsidRPr="007E5E2E">
              <w:rPr>
                <w:rFonts w:asciiTheme="minorHAnsi" w:hAnsiTheme="minorHAnsi" w:cstheme="minorHAnsi"/>
              </w:rPr>
              <w:t>0</w:t>
            </w:r>
            <w:r w:rsidR="00C37341" w:rsidRPr="007E5E2E">
              <w:rPr>
                <w:rFonts w:asciiTheme="minorHAnsi" w:hAnsiTheme="minorHAnsi" w:cstheme="minorHAnsi"/>
              </w:rPr>
              <w:t>0</w:t>
            </w:r>
          </w:p>
        </w:tc>
        <w:tc>
          <w:tcPr>
            <w:tcW w:w="1698" w:type="dxa"/>
            <w:shd w:val="clear" w:color="auto" w:fill="auto"/>
            <w:noWrap/>
            <w:vAlign w:val="bottom"/>
          </w:tcPr>
          <w:p w14:paraId="057FC8C4" w14:textId="7C0C72E3" w:rsidR="0055296A" w:rsidRPr="007E5E2E" w:rsidRDefault="00C37341" w:rsidP="00EA2018">
            <w:pPr>
              <w:pStyle w:val="Body-Calibri"/>
              <w:jc w:val="right"/>
              <w:rPr>
                <w:rFonts w:asciiTheme="minorHAnsi" w:hAnsiTheme="minorHAnsi" w:cstheme="minorHAnsi"/>
              </w:rPr>
            </w:pPr>
            <w:r w:rsidRPr="007E5E2E">
              <w:rPr>
                <w:rFonts w:asciiTheme="minorHAnsi" w:hAnsiTheme="minorHAnsi" w:cstheme="minorHAnsi"/>
              </w:rPr>
              <w:t>0.00</w:t>
            </w:r>
            <w:r w:rsidR="0055296A" w:rsidRPr="007E5E2E">
              <w:rPr>
                <w:rFonts w:asciiTheme="minorHAnsi" w:hAnsiTheme="minorHAnsi" w:cstheme="minorHAnsi"/>
              </w:rPr>
              <w:t>%</w:t>
            </w:r>
          </w:p>
        </w:tc>
      </w:tr>
      <w:tr w:rsidR="0055296A" w:rsidRPr="007E5E2E" w14:paraId="378EC3FB" w14:textId="77777777" w:rsidTr="00EA2018">
        <w:trPr>
          <w:trHeight w:val="280"/>
        </w:trPr>
        <w:tc>
          <w:tcPr>
            <w:tcW w:w="5112" w:type="dxa"/>
            <w:shd w:val="clear" w:color="auto" w:fill="auto"/>
            <w:noWrap/>
            <w:vAlign w:val="bottom"/>
          </w:tcPr>
          <w:p w14:paraId="155456B3"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 xml:space="preserve">Return of Capital or </w:t>
            </w:r>
            <w:proofErr w:type="gramStart"/>
            <w:r w:rsidRPr="007E5E2E">
              <w:rPr>
                <w:rFonts w:asciiTheme="minorHAnsi" w:hAnsiTheme="minorHAnsi" w:cstheme="minorHAnsi"/>
              </w:rPr>
              <w:t>other</w:t>
            </w:r>
            <w:proofErr w:type="gramEnd"/>
            <w:r w:rsidRPr="007E5E2E">
              <w:rPr>
                <w:rFonts w:asciiTheme="minorHAnsi" w:hAnsiTheme="minorHAnsi" w:cstheme="minorHAnsi"/>
              </w:rPr>
              <w:t xml:space="preserve"> Capital Source</w:t>
            </w:r>
          </w:p>
        </w:tc>
        <w:tc>
          <w:tcPr>
            <w:tcW w:w="1698" w:type="dxa"/>
            <w:tcBorders>
              <w:bottom w:val="single" w:sz="4" w:space="0" w:color="auto"/>
            </w:tcBorders>
          </w:tcPr>
          <w:p w14:paraId="5F8ED463" w14:textId="2F73FC49" w:rsidR="0055296A" w:rsidRPr="007E5E2E" w:rsidRDefault="0055296A" w:rsidP="00C26053">
            <w:pPr>
              <w:pStyle w:val="Body-Calibri"/>
              <w:jc w:val="right"/>
              <w:rPr>
                <w:rFonts w:asciiTheme="minorHAnsi" w:hAnsiTheme="minorHAnsi" w:cstheme="minorHAnsi"/>
              </w:rPr>
            </w:pPr>
            <w:r w:rsidRPr="007E5E2E">
              <w:rPr>
                <w:rFonts w:asciiTheme="minorHAnsi" w:hAnsiTheme="minorHAnsi" w:cstheme="minorHAnsi"/>
              </w:rPr>
              <w:t>0.</w:t>
            </w:r>
            <w:r w:rsidR="00512D1B">
              <w:rPr>
                <w:rFonts w:asciiTheme="minorHAnsi" w:hAnsiTheme="minorHAnsi" w:cstheme="minorHAnsi"/>
              </w:rPr>
              <w:t>43010</w:t>
            </w:r>
          </w:p>
        </w:tc>
        <w:tc>
          <w:tcPr>
            <w:tcW w:w="1698" w:type="dxa"/>
            <w:tcBorders>
              <w:bottom w:val="single" w:sz="4" w:space="0" w:color="auto"/>
            </w:tcBorders>
            <w:shd w:val="clear" w:color="auto" w:fill="auto"/>
            <w:noWrap/>
            <w:vAlign w:val="bottom"/>
          </w:tcPr>
          <w:p w14:paraId="0576BF1F" w14:textId="72E1D17E" w:rsidR="0055296A" w:rsidRPr="007E5E2E" w:rsidRDefault="00E6715D" w:rsidP="00420684">
            <w:pPr>
              <w:pStyle w:val="Body-Calibri"/>
              <w:jc w:val="right"/>
              <w:rPr>
                <w:rFonts w:asciiTheme="minorHAnsi" w:hAnsiTheme="minorHAnsi" w:cstheme="minorHAnsi"/>
              </w:rPr>
            </w:pPr>
            <w:r w:rsidRPr="007E5E2E">
              <w:rPr>
                <w:rFonts w:asciiTheme="minorHAnsi" w:hAnsiTheme="minorHAnsi" w:cstheme="minorHAnsi"/>
              </w:rPr>
              <w:t>100.0</w:t>
            </w:r>
            <w:r w:rsidR="00C37341" w:rsidRPr="007E5E2E">
              <w:rPr>
                <w:rFonts w:asciiTheme="minorHAnsi" w:hAnsiTheme="minorHAnsi" w:cstheme="minorHAnsi"/>
              </w:rPr>
              <w:t>0</w:t>
            </w:r>
            <w:r w:rsidR="0055296A" w:rsidRPr="007E5E2E">
              <w:rPr>
                <w:rFonts w:asciiTheme="minorHAnsi" w:hAnsiTheme="minorHAnsi" w:cstheme="minorHAnsi"/>
              </w:rPr>
              <w:t>%</w:t>
            </w:r>
          </w:p>
        </w:tc>
      </w:tr>
      <w:tr w:rsidR="0055296A" w:rsidRPr="007E5E2E" w14:paraId="50A40988" w14:textId="77777777" w:rsidTr="00EA2018">
        <w:trPr>
          <w:trHeight w:val="280"/>
        </w:trPr>
        <w:tc>
          <w:tcPr>
            <w:tcW w:w="5112" w:type="dxa"/>
            <w:shd w:val="clear" w:color="auto" w:fill="auto"/>
            <w:noWrap/>
            <w:vAlign w:val="bottom"/>
          </w:tcPr>
          <w:p w14:paraId="7B01451A" w14:textId="77777777" w:rsidR="0055296A" w:rsidRPr="007E5E2E" w:rsidRDefault="0055296A" w:rsidP="00EA2018">
            <w:pPr>
              <w:pStyle w:val="Body-Calibri"/>
              <w:rPr>
                <w:rFonts w:asciiTheme="minorHAnsi" w:hAnsiTheme="minorHAnsi" w:cstheme="minorHAnsi"/>
              </w:rPr>
            </w:pPr>
            <w:r w:rsidRPr="007E5E2E">
              <w:rPr>
                <w:rFonts w:asciiTheme="minorHAnsi" w:hAnsiTheme="minorHAnsi" w:cstheme="minorHAnsi"/>
              </w:rPr>
              <w:t>Total (per common share)</w:t>
            </w:r>
          </w:p>
        </w:tc>
        <w:tc>
          <w:tcPr>
            <w:tcW w:w="1698" w:type="dxa"/>
            <w:tcBorders>
              <w:top w:val="single" w:sz="4" w:space="0" w:color="auto"/>
            </w:tcBorders>
          </w:tcPr>
          <w:p w14:paraId="7AC4FD3D" w14:textId="252A7361" w:rsidR="0055296A" w:rsidRPr="007E5E2E" w:rsidRDefault="00C37341" w:rsidP="00C26053">
            <w:pPr>
              <w:pStyle w:val="Body-Calibri"/>
              <w:jc w:val="right"/>
              <w:rPr>
                <w:rFonts w:asciiTheme="minorHAnsi" w:hAnsiTheme="minorHAnsi" w:cstheme="minorHAnsi"/>
              </w:rPr>
            </w:pPr>
            <w:r w:rsidRPr="007E5E2E">
              <w:rPr>
                <w:rFonts w:asciiTheme="minorHAnsi" w:hAnsiTheme="minorHAnsi" w:cstheme="minorHAnsi"/>
              </w:rPr>
              <w:t>0.</w:t>
            </w:r>
            <w:r w:rsidR="00512D1B">
              <w:rPr>
                <w:rFonts w:asciiTheme="minorHAnsi" w:hAnsiTheme="minorHAnsi" w:cstheme="minorHAnsi"/>
              </w:rPr>
              <w:t>43010</w:t>
            </w:r>
          </w:p>
        </w:tc>
        <w:tc>
          <w:tcPr>
            <w:tcW w:w="1698" w:type="dxa"/>
            <w:tcBorders>
              <w:top w:val="single" w:sz="4" w:space="0" w:color="auto"/>
            </w:tcBorders>
            <w:shd w:val="clear" w:color="auto" w:fill="auto"/>
            <w:noWrap/>
            <w:vAlign w:val="bottom"/>
          </w:tcPr>
          <w:p w14:paraId="723404AB" w14:textId="77777777" w:rsidR="0055296A" w:rsidRPr="007E5E2E" w:rsidRDefault="0055296A" w:rsidP="00EA2018">
            <w:pPr>
              <w:pStyle w:val="Body-Calibri"/>
              <w:jc w:val="right"/>
              <w:rPr>
                <w:rFonts w:asciiTheme="minorHAnsi" w:hAnsiTheme="minorHAnsi" w:cstheme="minorHAnsi"/>
              </w:rPr>
            </w:pPr>
            <w:r w:rsidRPr="007E5E2E">
              <w:rPr>
                <w:rFonts w:asciiTheme="minorHAnsi" w:hAnsiTheme="minorHAnsi" w:cstheme="minorHAnsi"/>
              </w:rPr>
              <w:t>100.00%</w:t>
            </w:r>
          </w:p>
        </w:tc>
      </w:tr>
    </w:tbl>
    <w:p w14:paraId="6FA03945" w14:textId="77777777" w:rsidR="00651EEC" w:rsidRPr="007E5E2E" w:rsidRDefault="00651EEC" w:rsidP="00651EEC">
      <w:pPr>
        <w:pStyle w:val="Disclosurebolditalic"/>
        <w:rPr>
          <w:rFonts w:asciiTheme="minorHAnsi" w:hAnsiTheme="minorHAnsi" w:cstheme="minorHAnsi"/>
        </w:rPr>
      </w:pPr>
    </w:p>
    <w:p w14:paraId="5F4685D9" w14:textId="77777777" w:rsidR="00651EEC" w:rsidRPr="007E5E2E" w:rsidRDefault="00651EEC" w:rsidP="00651EEC">
      <w:pPr>
        <w:pStyle w:val="Disclosurebolditalic"/>
        <w:rPr>
          <w:rFonts w:asciiTheme="minorHAnsi" w:hAnsiTheme="minorHAnsi" w:cstheme="minorHAnsi"/>
        </w:rPr>
      </w:pPr>
    </w:p>
    <w:p w14:paraId="1F161458" w14:textId="77777777" w:rsidR="00CB1F4A" w:rsidRPr="007E5E2E" w:rsidRDefault="001C55F3" w:rsidP="00CB1F4A">
      <w:pPr>
        <w:pStyle w:val="Disclosurebolditalic"/>
        <w:rPr>
          <w:rFonts w:asciiTheme="minorHAnsi" w:hAnsiTheme="minorHAnsi" w:cstheme="minorHAnsi"/>
        </w:rPr>
      </w:pPr>
      <w:r w:rsidRPr="007E5E2E">
        <w:rPr>
          <w:rFonts w:asciiTheme="minorHAnsi" w:hAnsiTheme="minorHAnsi" w:cstheme="minorHAnsi"/>
        </w:rPr>
        <w:t xml:space="preserve">The amounts and sources of distributions reported in this 19(a) Notice are only estimates and not for tax reporting purposes.  The actual amounts and sources of the amounts for tax reporting purposes will depend upon the Fund’s investment experience during the remainder of its fiscal year and may be subject to changes based on tax regulations. The Fund will send you a Form 1099-DIV for the calendar year that will tell you how to report these distributions for federal income tax purposes. </w:t>
      </w:r>
      <w:r w:rsidR="00CB1F4A" w:rsidRPr="007E5E2E">
        <w:rPr>
          <w:rFonts w:asciiTheme="minorHAnsi" w:hAnsiTheme="minorHAnsi" w:cstheme="minorHAnsi"/>
        </w:rPr>
        <w:t xml:space="preserve">The Fund estimates that it has distributed more than its income and net realized capital gains; therefore, a portion of your distribution may be a return of capital. A return of capital may occur for example, when some or </w:t>
      </w:r>
      <w:proofErr w:type="gramStart"/>
      <w:r w:rsidR="00CB1F4A" w:rsidRPr="007E5E2E">
        <w:rPr>
          <w:rFonts w:asciiTheme="minorHAnsi" w:hAnsiTheme="minorHAnsi" w:cstheme="minorHAnsi"/>
        </w:rPr>
        <w:t>all of</w:t>
      </w:r>
      <w:proofErr w:type="gramEnd"/>
      <w:r w:rsidR="00CB1F4A" w:rsidRPr="007E5E2E">
        <w:rPr>
          <w:rFonts w:asciiTheme="minorHAnsi" w:hAnsiTheme="minorHAnsi" w:cstheme="minorHAnsi"/>
        </w:rPr>
        <w:t xml:space="preserve"> the money that you invested in the Fund is paid back to you. A return of capital distribution does not necessarily reflect the Fund’s investment performance and should not be confused with ‘yield’ or ‘income.’</w:t>
      </w:r>
    </w:p>
    <w:p w14:paraId="3F495FEE" w14:textId="77777777" w:rsidR="001C55F3" w:rsidRPr="007E5E2E" w:rsidRDefault="001C55F3" w:rsidP="00651EEC">
      <w:pPr>
        <w:pStyle w:val="Disclosurebolditalic"/>
        <w:rPr>
          <w:rFonts w:asciiTheme="minorHAnsi" w:hAnsiTheme="minorHAnsi" w:cstheme="minorHAnsi"/>
        </w:rPr>
      </w:pPr>
    </w:p>
    <w:p w14:paraId="722A97A8" w14:textId="77777777" w:rsidR="00AD65E6" w:rsidRPr="007E5E2E" w:rsidRDefault="00AD65E6" w:rsidP="00651EEC">
      <w:pPr>
        <w:pStyle w:val="Body-Calibri"/>
        <w:rPr>
          <w:rFonts w:asciiTheme="minorHAnsi" w:eastAsia="Times New Roman" w:hAnsiTheme="minorHAnsi" w:cstheme="minorHAnsi"/>
          <w:b/>
          <w:sz w:val="22"/>
          <w:szCs w:val="22"/>
        </w:rPr>
      </w:pPr>
    </w:p>
    <w:p w14:paraId="614E4EF4" w14:textId="77777777" w:rsidR="00AD65E6" w:rsidRPr="007E5E2E" w:rsidRDefault="00AD65E6" w:rsidP="00651EEC">
      <w:pPr>
        <w:pStyle w:val="Body-Calibri"/>
        <w:rPr>
          <w:rFonts w:asciiTheme="minorHAnsi" w:eastAsia="Times New Roman" w:hAnsiTheme="minorHAnsi" w:cstheme="minorHAnsi"/>
          <w:b/>
          <w:sz w:val="22"/>
          <w:szCs w:val="22"/>
        </w:rPr>
      </w:pPr>
    </w:p>
    <w:p w14:paraId="3AC31624" w14:textId="77777777" w:rsidR="00AD65E6" w:rsidRPr="007E5E2E" w:rsidRDefault="00AD65E6" w:rsidP="00651EEC">
      <w:pPr>
        <w:pStyle w:val="Body-Calibri"/>
        <w:rPr>
          <w:rFonts w:asciiTheme="minorHAnsi" w:eastAsia="Times New Roman" w:hAnsiTheme="minorHAnsi" w:cstheme="minorHAnsi"/>
          <w:b/>
          <w:sz w:val="22"/>
          <w:szCs w:val="22"/>
        </w:rPr>
      </w:pPr>
    </w:p>
    <w:p w14:paraId="3791D606" w14:textId="77777777" w:rsidR="00AD65E6" w:rsidRPr="007E5E2E" w:rsidRDefault="00AD65E6" w:rsidP="00651EEC">
      <w:pPr>
        <w:pStyle w:val="Body-Calibri"/>
        <w:rPr>
          <w:rFonts w:asciiTheme="minorHAnsi" w:eastAsia="Times New Roman" w:hAnsiTheme="minorHAnsi" w:cstheme="minorHAnsi"/>
          <w:b/>
          <w:sz w:val="22"/>
          <w:szCs w:val="22"/>
        </w:rPr>
      </w:pPr>
    </w:p>
    <w:p w14:paraId="6C7C207B" w14:textId="77777777" w:rsidR="00AD65E6" w:rsidRPr="007E5E2E" w:rsidRDefault="00AD65E6" w:rsidP="00651EEC">
      <w:pPr>
        <w:pStyle w:val="Body-Calibri"/>
        <w:rPr>
          <w:rFonts w:asciiTheme="minorHAnsi" w:eastAsia="Times New Roman" w:hAnsiTheme="minorHAnsi" w:cstheme="minorHAnsi"/>
          <w:b/>
          <w:sz w:val="22"/>
          <w:szCs w:val="22"/>
        </w:rPr>
      </w:pPr>
    </w:p>
    <w:p w14:paraId="5142295E" w14:textId="77777777" w:rsidR="00AD65E6" w:rsidRPr="007E5E2E" w:rsidRDefault="00AD65E6" w:rsidP="00651EEC">
      <w:pPr>
        <w:pStyle w:val="Body-Calibri"/>
        <w:rPr>
          <w:rFonts w:asciiTheme="minorHAnsi" w:eastAsia="Times New Roman" w:hAnsiTheme="minorHAnsi" w:cstheme="minorHAnsi"/>
          <w:b/>
          <w:sz w:val="22"/>
          <w:szCs w:val="22"/>
        </w:rPr>
      </w:pPr>
    </w:p>
    <w:p w14:paraId="2E930C42" w14:textId="77777777" w:rsidR="00AD65E6" w:rsidRPr="007E5E2E" w:rsidRDefault="00AD65E6" w:rsidP="00651EEC">
      <w:pPr>
        <w:pStyle w:val="Body-Calibri"/>
        <w:rPr>
          <w:rFonts w:asciiTheme="minorHAnsi" w:eastAsia="Times New Roman" w:hAnsiTheme="minorHAnsi" w:cstheme="minorHAnsi"/>
          <w:b/>
          <w:sz w:val="22"/>
          <w:szCs w:val="22"/>
        </w:rPr>
      </w:pPr>
    </w:p>
    <w:p w14:paraId="650458AB" w14:textId="77777777" w:rsidR="00AD65E6" w:rsidRPr="007E5E2E" w:rsidRDefault="00AD65E6" w:rsidP="00651EEC">
      <w:pPr>
        <w:pStyle w:val="Body-Calibri"/>
        <w:rPr>
          <w:rFonts w:asciiTheme="minorHAnsi" w:eastAsia="Times New Roman" w:hAnsiTheme="minorHAnsi" w:cstheme="minorHAnsi"/>
          <w:b/>
          <w:sz w:val="22"/>
          <w:szCs w:val="22"/>
        </w:rPr>
      </w:pPr>
    </w:p>
    <w:p w14:paraId="5F205265" w14:textId="77777777" w:rsidR="00AD65E6" w:rsidRPr="007E5E2E" w:rsidRDefault="00AD65E6" w:rsidP="00651EEC">
      <w:pPr>
        <w:pStyle w:val="Body-Calibri"/>
        <w:rPr>
          <w:rFonts w:asciiTheme="minorHAnsi" w:eastAsia="Times New Roman" w:hAnsiTheme="minorHAnsi" w:cstheme="minorHAnsi"/>
          <w:b/>
          <w:sz w:val="22"/>
          <w:szCs w:val="22"/>
        </w:rPr>
      </w:pPr>
    </w:p>
    <w:p w14:paraId="58E886B2" w14:textId="77777777" w:rsidR="00AD65E6" w:rsidRPr="007E5E2E" w:rsidRDefault="00AD65E6" w:rsidP="00651EEC">
      <w:pPr>
        <w:pStyle w:val="Body-Calibri"/>
        <w:rPr>
          <w:rFonts w:asciiTheme="minorHAnsi" w:eastAsia="Times New Roman" w:hAnsiTheme="minorHAnsi" w:cstheme="minorHAnsi"/>
          <w:b/>
          <w:sz w:val="22"/>
          <w:szCs w:val="22"/>
        </w:rPr>
      </w:pPr>
    </w:p>
    <w:p w14:paraId="39DBD44F" w14:textId="7605D5D0" w:rsidR="001C55F3" w:rsidRPr="007E5E2E" w:rsidRDefault="001C55F3" w:rsidP="00651EEC">
      <w:pPr>
        <w:pStyle w:val="Body-Calibri"/>
        <w:rPr>
          <w:rFonts w:asciiTheme="minorHAnsi" w:hAnsiTheme="minorHAnsi" w:cstheme="minorHAnsi"/>
        </w:rPr>
      </w:pPr>
      <w:r w:rsidRPr="007E5E2E">
        <w:rPr>
          <w:rFonts w:asciiTheme="minorHAnsi" w:hAnsiTheme="minorHAnsi" w:cstheme="minorHAnsi"/>
        </w:rPr>
        <w:t>Presented below are return figures, based on the change in the Fund’s Net Asset Value per share (“NAV”), compared to the annualized distribution rate for this current distribution as a percentage of the NAV on the last business day of the month prior to distribution record date.</w:t>
      </w:r>
    </w:p>
    <w:p w14:paraId="70C20BAB" w14:textId="77777777" w:rsidR="00651EEC" w:rsidRPr="007E5E2E" w:rsidRDefault="00651EEC" w:rsidP="00651EEC">
      <w:pPr>
        <w:pStyle w:val="Body-Calibri"/>
        <w:rPr>
          <w:rFonts w:asciiTheme="minorHAnsi" w:hAnsiTheme="minorHAnsi" w:cstheme="minorHAnsi"/>
          <w:b/>
        </w:rPr>
      </w:pPr>
    </w:p>
    <w:p w14:paraId="416CAD45" w14:textId="77777777" w:rsidR="001C55F3" w:rsidRPr="007E5E2E" w:rsidRDefault="001C55F3" w:rsidP="00FF3272">
      <w:pPr>
        <w:pStyle w:val="Header"/>
        <w:rPr>
          <w:rFonts w:asciiTheme="minorHAnsi" w:hAnsiTheme="minorHAnsi" w:cstheme="minorHAnsi"/>
          <w:b/>
        </w:rPr>
      </w:pPr>
      <w:r w:rsidRPr="007E5E2E">
        <w:rPr>
          <w:rFonts w:asciiTheme="minorHAnsi" w:hAnsiTheme="minorHAnsi" w:cstheme="minorHAnsi"/>
          <w:b/>
          <w:color w:val="0A85C7"/>
          <w:sz w:val="20"/>
          <w:szCs w:val="20"/>
        </w:rPr>
        <w:t>Fund Performance &amp; Distribution Information</w:t>
      </w:r>
    </w:p>
    <w:p w14:paraId="0140105A" w14:textId="77777777" w:rsidR="001C55F3" w:rsidRPr="007E5E2E" w:rsidRDefault="001C55F3" w:rsidP="001C55F3">
      <w:pPr>
        <w:pStyle w:val="NormalWeb"/>
        <w:spacing w:before="0" w:beforeAutospacing="0" w:after="0" w:afterAutospacing="0"/>
        <w:jc w:val="both"/>
        <w:rPr>
          <w:rFonts w:asciiTheme="minorHAnsi" w:hAnsiTheme="minorHAnsi" w:cstheme="minorHAnsi"/>
          <w:sz w:val="22"/>
          <w:szCs w:val="22"/>
        </w:rPr>
      </w:pPr>
    </w:p>
    <w:tbl>
      <w:tblPr>
        <w:tblW w:w="7569" w:type="dxa"/>
        <w:tblLook w:val="04A0" w:firstRow="1" w:lastRow="0" w:firstColumn="1" w:lastColumn="0" w:noHBand="0" w:noVBand="1"/>
      </w:tblPr>
      <w:tblGrid>
        <w:gridCol w:w="593"/>
        <w:gridCol w:w="4309"/>
        <w:gridCol w:w="593"/>
        <w:gridCol w:w="1036"/>
        <w:gridCol w:w="1038"/>
      </w:tblGrid>
      <w:tr w:rsidR="003E6F85" w:rsidRPr="007E5E2E" w14:paraId="2D3C2C12" w14:textId="77777777" w:rsidTr="00A01FBC">
        <w:trPr>
          <w:trHeight w:val="269"/>
        </w:trPr>
        <w:tc>
          <w:tcPr>
            <w:tcW w:w="7569" w:type="dxa"/>
            <w:gridSpan w:val="5"/>
            <w:shd w:val="clear" w:color="auto" w:fill="auto"/>
          </w:tcPr>
          <w:p w14:paraId="7553DC6D" w14:textId="2EB23C58" w:rsidR="003E6F85" w:rsidRPr="007E5E2E" w:rsidRDefault="003E6F85" w:rsidP="00C26053">
            <w:pPr>
              <w:pStyle w:val="Body-Calibri"/>
              <w:rPr>
                <w:rFonts w:asciiTheme="minorHAnsi" w:hAnsiTheme="minorHAnsi" w:cstheme="minorHAnsi"/>
                <w:b/>
              </w:rPr>
            </w:pPr>
            <w:r w:rsidRPr="007E5E2E">
              <w:rPr>
                <w:rFonts w:asciiTheme="minorHAnsi" w:hAnsiTheme="minorHAnsi" w:cstheme="minorHAnsi"/>
                <w:b/>
              </w:rPr>
              <w:t>Fiscal Year to Date (11/01/</w:t>
            </w:r>
            <w:r w:rsidR="00C26053" w:rsidRPr="007E5E2E">
              <w:rPr>
                <w:rFonts w:asciiTheme="minorHAnsi" w:hAnsiTheme="minorHAnsi" w:cstheme="minorHAnsi"/>
                <w:b/>
              </w:rPr>
              <w:t>2022</w:t>
            </w:r>
            <w:r w:rsidRPr="007E5E2E">
              <w:rPr>
                <w:rFonts w:asciiTheme="minorHAnsi" w:hAnsiTheme="minorHAnsi" w:cstheme="minorHAnsi"/>
                <w:b/>
              </w:rPr>
              <w:t xml:space="preserve"> through</w:t>
            </w:r>
            <w:r w:rsidR="00E6715D" w:rsidRPr="007E5E2E">
              <w:rPr>
                <w:rFonts w:asciiTheme="minorHAnsi" w:hAnsiTheme="minorHAnsi" w:cstheme="minorHAnsi"/>
                <w:b/>
              </w:rPr>
              <w:t xml:space="preserve"> </w:t>
            </w:r>
            <w:r w:rsidR="007B0CE9">
              <w:rPr>
                <w:rFonts w:asciiTheme="minorHAnsi" w:hAnsiTheme="minorHAnsi" w:cstheme="minorHAnsi"/>
                <w:b/>
              </w:rPr>
              <w:t>4</w:t>
            </w:r>
            <w:r w:rsidR="00E718D2" w:rsidRPr="007E5E2E">
              <w:rPr>
                <w:rFonts w:asciiTheme="minorHAnsi" w:hAnsiTheme="minorHAnsi" w:cstheme="minorHAnsi"/>
                <w:b/>
              </w:rPr>
              <w:t>/3</w:t>
            </w:r>
            <w:r w:rsidR="007B0CE9">
              <w:rPr>
                <w:rFonts w:asciiTheme="minorHAnsi" w:hAnsiTheme="minorHAnsi" w:cstheme="minorHAnsi"/>
                <w:b/>
              </w:rPr>
              <w:t>0</w:t>
            </w:r>
            <w:r w:rsidR="00C82ADA" w:rsidRPr="007E5E2E">
              <w:rPr>
                <w:rFonts w:asciiTheme="minorHAnsi" w:hAnsiTheme="minorHAnsi" w:cstheme="minorHAnsi"/>
                <w:b/>
              </w:rPr>
              <w:t>/2023</w:t>
            </w:r>
            <w:r w:rsidRPr="007E5E2E">
              <w:rPr>
                <w:rFonts w:asciiTheme="minorHAnsi" w:hAnsiTheme="minorHAnsi" w:cstheme="minorHAnsi"/>
                <w:b/>
              </w:rPr>
              <w:t>)</w:t>
            </w:r>
          </w:p>
        </w:tc>
      </w:tr>
      <w:tr w:rsidR="003E6F85" w:rsidRPr="007E5E2E" w14:paraId="558D3BB1" w14:textId="77777777" w:rsidTr="00A01FBC">
        <w:trPr>
          <w:gridBefore w:val="1"/>
          <w:gridAfter w:val="1"/>
          <w:wBefore w:w="593" w:type="dxa"/>
          <w:wAfter w:w="1038" w:type="dxa"/>
          <w:trHeight w:val="225"/>
        </w:trPr>
        <w:tc>
          <w:tcPr>
            <w:tcW w:w="4902" w:type="dxa"/>
            <w:gridSpan w:val="2"/>
            <w:shd w:val="clear" w:color="auto" w:fill="auto"/>
          </w:tcPr>
          <w:p w14:paraId="78738CB9" w14:textId="77777777" w:rsidR="003E6F85" w:rsidRPr="007E5E2E" w:rsidRDefault="003E6F85" w:rsidP="00A01FBC">
            <w:pPr>
              <w:pStyle w:val="Body-Calibri"/>
              <w:rPr>
                <w:rFonts w:asciiTheme="minorHAnsi" w:hAnsiTheme="minorHAnsi" w:cstheme="minorHAnsi"/>
              </w:rPr>
            </w:pPr>
            <w:r w:rsidRPr="007E5E2E">
              <w:rPr>
                <w:rFonts w:asciiTheme="minorHAnsi" w:hAnsiTheme="minorHAnsi" w:cstheme="minorHAnsi"/>
              </w:rPr>
              <w:t>Annualized Distribution Rate as a Percentage of NAV^</w:t>
            </w:r>
          </w:p>
        </w:tc>
        <w:tc>
          <w:tcPr>
            <w:tcW w:w="1036" w:type="dxa"/>
            <w:shd w:val="clear" w:color="auto" w:fill="auto"/>
          </w:tcPr>
          <w:p w14:paraId="03EA7B6A" w14:textId="78F830E2" w:rsidR="003E6F85" w:rsidRPr="007E5E2E" w:rsidRDefault="007B0CE9" w:rsidP="00506F8E">
            <w:pPr>
              <w:pStyle w:val="Body-Calibri"/>
              <w:jc w:val="right"/>
              <w:rPr>
                <w:rFonts w:asciiTheme="minorHAnsi" w:hAnsiTheme="minorHAnsi" w:cstheme="minorHAnsi"/>
              </w:rPr>
            </w:pPr>
            <w:r>
              <w:rPr>
                <w:rFonts w:asciiTheme="minorHAnsi" w:hAnsiTheme="minorHAnsi" w:cstheme="minorHAnsi"/>
              </w:rPr>
              <w:t>9.98</w:t>
            </w:r>
            <w:r w:rsidR="003E6F85" w:rsidRPr="007E5E2E">
              <w:rPr>
                <w:rFonts w:asciiTheme="minorHAnsi" w:hAnsiTheme="minorHAnsi" w:cstheme="minorHAnsi"/>
              </w:rPr>
              <w:t>%</w:t>
            </w:r>
          </w:p>
        </w:tc>
      </w:tr>
      <w:tr w:rsidR="003E6F85" w:rsidRPr="007E5E2E" w14:paraId="72919B60" w14:textId="77777777" w:rsidTr="00A01FBC">
        <w:trPr>
          <w:gridBefore w:val="1"/>
          <w:gridAfter w:val="1"/>
          <w:wBefore w:w="593" w:type="dxa"/>
          <w:wAfter w:w="1038" w:type="dxa"/>
          <w:trHeight w:val="225"/>
        </w:trPr>
        <w:tc>
          <w:tcPr>
            <w:tcW w:w="4902" w:type="dxa"/>
            <w:gridSpan w:val="2"/>
            <w:shd w:val="clear" w:color="auto" w:fill="auto"/>
          </w:tcPr>
          <w:p w14:paraId="2637D942" w14:textId="77777777" w:rsidR="003E6F85" w:rsidRPr="007E5E2E" w:rsidRDefault="003E6F85" w:rsidP="00A01FBC">
            <w:pPr>
              <w:pStyle w:val="Body-Calibri"/>
              <w:rPr>
                <w:rFonts w:asciiTheme="minorHAnsi" w:hAnsiTheme="minorHAnsi" w:cstheme="minorHAnsi"/>
              </w:rPr>
            </w:pPr>
            <w:r w:rsidRPr="007E5E2E">
              <w:rPr>
                <w:rFonts w:asciiTheme="minorHAnsi" w:hAnsiTheme="minorHAnsi" w:cstheme="minorHAnsi"/>
              </w:rPr>
              <w:t>Cumulative Distribution Rate on NAV^</w:t>
            </w:r>
            <w:r w:rsidRPr="007E5E2E">
              <w:rPr>
                <w:rFonts w:asciiTheme="minorHAnsi" w:hAnsiTheme="minorHAnsi" w:cstheme="minorHAnsi"/>
                <w:vertAlign w:val="superscript"/>
              </w:rPr>
              <w:t>+</w:t>
            </w:r>
          </w:p>
        </w:tc>
        <w:tc>
          <w:tcPr>
            <w:tcW w:w="1036" w:type="dxa"/>
            <w:shd w:val="clear" w:color="auto" w:fill="auto"/>
          </w:tcPr>
          <w:p w14:paraId="4796784A" w14:textId="03D1E21D" w:rsidR="003E6F85" w:rsidRPr="007E5E2E" w:rsidRDefault="007B0CE9" w:rsidP="00A01FBC">
            <w:pPr>
              <w:pStyle w:val="Body-Calibri"/>
              <w:jc w:val="right"/>
              <w:rPr>
                <w:rFonts w:asciiTheme="minorHAnsi" w:hAnsiTheme="minorHAnsi" w:cstheme="minorHAnsi"/>
              </w:rPr>
            </w:pPr>
            <w:r>
              <w:rPr>
                <w:rFonts w:asciiTheme="minorHAnsi" w:hAnsiTheme="minorHAnsi" w:cstheme="minorHAnsi"/>
              </w:rPr>
              <w:t>7.40</w:t>
            </w:r>
            <w:r w:rsidR="003E6F85" w:rsidRPr="007E5E2E">
              <w:rPr>
                <w:rFonts w:asciiTheme="minorHAnsi" w:hAnsiTheme="minorHAnsi" w:cstheme="minorHAnsi"/>
              </w:rPr>
              <w:t>%</w:t>
            </w:r>
          </w:p>
        </w:tc>
      </w:tr>
      <w:tr w:rsidR="003E6F85" w:rsidRPr="007E5E2E" w14:paraId="578D5192" w14:textId="77777777" w:rsidTr="00A01FBC">
        <w:trPr>
          <w:gridBefore w:val="1"/>
          <w:gridAfter w:val="1"/>
          <w:wBefore w:w="593" w:type="dxa"/>
          <w:wAfter w:w="1038" w:type="dxa"/>
          <w:trHeight w:val="225"/>
        </w:trPr>
        <w:tc>
          <w:tcPr>
            <w:tcW w:w="4902" w:type="dxa"/>
            <w:gridSpan w:val="2"/>
            <w:shd w:val="clear" w:color="auto" w:fill="auto"/>
          </w:tcPr>
          <w:p w14:paraId="5702B2AD" w14:textId="77777777" w:rsidR="003E6F85" w:rsidRPr="007E5E2E" w:rsidRDefault="003E6F85" w:rsidP="00A01FBC">
            <w:pPr>
              <w:pStyle w:val="Body-Calibri"/>
              <w:rPr>
                <w:rFonts w:asciiTheme="minorHAnsi" w:hAnsiTheme="minorHAnsi" w:cstheme="minorHAnsi"/>
              </w:rPr>
            </w:pPr>
            <w:r w:rsidRPr="007E5E2E">
              <w:rPr>
                <w:rFonts w:asciiTheme="minorHAnsi" w:hAnsiTheme="minorHAnsi" w:cstheme="minorHAnsi"/>
              </w:rPr>
              <w:t>Cumulative Total Return on NAV*</w:t>
            </w:r>
          </w:p>
        </w:tc>
        <w:tc>
          <w:tcPr>
            <w:tcW w:w="1036" w:type="dxa"/>
            <w:shd w:val="clear" w:color="auto" w:fill="auto"/>
          </w:tcPr>
          <w:p w14:paraId="1D8D79FB" w14:textId="5C918F6C" w:rsidR="003E6F85" w:rsidRPr="007E5E2E" w:rsidRDefault="00F906A8" w:rsidP="00C37341">
            <w:pPr>
              <w:pStyle w:val="Body-Calibri"/>
              <w:jc w:val="right"/>
              <w:rPr>
                <w:rFonts w:asciiTheme="minorHAnsi" w:hAnsiTheme="minorHAnsi" w:cstheme="minorHAnsi"/>
              </w:rPr>
            </w:pPr>
            <w:r>
              <w:rPr>
                <w:rFonts w:asciiTheme="minorHAnsi" w:hAnsiTheme="minorHAnsi" w:cstheme="minorHAnsi"/>
              </w:rPr>
              <w:t>0.63</w:t>
            </w:r>
            <w:r w:rsidR="003E6F85" w:rsidRPr="007E5E2E">
              <w:rPr>
                <w:rFonts w:asciiTheme="minorHAnsi" w:hAnsiTheme="minorHAnsi" w:cstheme="minorHAnsi"/>
              </w:rPr>
              <w:t>%</w:t>
            </w:r>
          </w:p>
        </w:tc>
      </w:tr>
      <w:tr w:rsidR="003E6F85" w:rsidRPr="007E5E2E" w14:paraId="4D0C7024" w14:textId="77777777" w:rsidTr="00A01FBC">
        <w:trPr>
          <w:trHeight w:val="237"/>
        </w:trPr>
        <w:tc>
          <w:tcPr>
            <w:tcW w:w="4902" w:type="dxa"/>
            <w:gridSpan w:val="2"/>
            <w:shd w:val="clear" w:color="auto" w:fill="auto"/>
          </w:tcPr>
          <w:p w14:paraId="637F4180" w14:textId="77777777" w:rsidR="003E6F85" w:rsidRPr="007E5E2E" w:rsidRDefault="003E6F85" w:rsidP="00A01FBC">
            <w:pPr>
              <w:pStyle w:val="Body-Calibri"/>
              <w:rPr>
                <w:rFonts w:asciiTheme="minorHAnsi" w:hAnsiTheme="minorHAnsi" w:cstheme="minorHAnsi"/>
              </w:rPr>
            </w:pPr>
          </w:p>
        </w:tc>
        <w:tc>
          <w:tcPr>
            <w:tcW w:w="2666" w:type="dxa"/>
            <w:gridSpan w:val="3"/>
            <w:shd w:val="clear" w:color="auto" w:fill="auto"/>
          </w:tcPr>
          <w:p w14:paraId="2400C82F" w14:textId="77777777" w:rsidR="003E6F85" w:rsidRPr="007E5E2E" w:rsidRDefault="003E6F85" w:rsidP="00A01FBC">
            <w:pPr>
              <w:pStyle w:val="Body-Calibri"/>
              <w:rPr>
                <w:rFonts w:asciiTheme="minorHAnsi" w:hAnsiTheme="minorHAnsi" w:cstheme="minorHAnsi"/>
              </w:rPr>
            </w:pPr>
          </w:p>
        </w:tc>
      </w:tr>
      <w:tr w:rsidR="003E6F85" w:rsidRPr="007E5E2E" w14:paraId="4FE87E62" w14:textId="77777777" w:rsidTr="00A01FBC">
        <w:trPr>
          <w:trHeight w:val="451"/>
        </w:trPr>
        <w:tc>
          <w:tcPr>
            <w:tcW w:w="4902" w:type="dxa"/>
            <w:gridSpan w:val="2"/>
            <w:shd w:val="clear" w:color="auto" w:fill="auto"/>
          </w:tcPr>
          <w:p w14:paraId="7136F057" w14:textId="159622A8" w:rsidR="003E6F85" w:rsidRPr="007E5E2E" w:rsidRDefault="003E6F85" w:rsidP="00C26053">
            <w:pPr>
              <w:pStyle w:val="Body-Calibri"/>
              <w:rPr>
                <w:rFonts w:asciiTheme="minorHAnsi" w:hAnsiTheme="minorHAnsi" w:cstheme="minorHAnsi"/>
                <w:b/>
              </w:rPr>
            </w:pPr>
            <w:r w:rsidRPr="007E5E2E">
              <w:rPr>
                <w:rFonts w:asciiTheme="minorHAnsi" w:hAnsiTheme="minorHAnsi" w:cstheme="minorHAnsi"/>
                <w:b/>
              </w:rPr>
              <w:t xml:space="preserve">Average Annual Total Return on NAV for the 5 Year Period Ending </w:t>
            </w:r>
            <w:r w:rsidR="007B0CE9">
              <w:rPr>
                <w:rFonts w:asciiTheme="minorHAnsi" w:hAnsiTheme="minorHAnsi" w:cstheme="minorHAnsi"/>
                <w:b/>
              </w:rPr>
              <w:t>4</w:t>
            </w:r>
            <w:r w:rsidR="00E718D2" w:rsidRPr="007E5E2E">
              <w:rPr>
                <w:rFonts w:asciiTheme="minorHAnsi" w:hAnsiTheme="minorHAnsi" w:cstheme="minorHAnsi"/>
                <w:b/>
              </w:rPr>
              <w:t>/3</w:t>
            </w:r>
            <w:r w:rsidR="007B0CE9">
              <w:rPr>
                <w:rFonts w:asciiTheme="minorHAnsi" w:hAnsiTheme="minorHAnsi" w:cstheme="minorHAnsi"/>
                <w:b/>
              </w:rPr>
              <w:t>0</w:t>
            </w:r>
            <w:r w:rsidR="00C82ADA" w:rsidRPr="007E5E2E">
              <w:rPr>
                <w:rFonts w:asciiTheme="minorHAnsi" w:hAnsiTheme="minorHAnsi" w:cstheme="minorHAnsi"/>
                <w:b/>
              </w:rPr>
              <w:t>/2023</w:t>
            </w:r>
            <w:r w:rsidRPr="007E5E2E">
              <w:rPr>
                <w:rFonts w:asciiTheme="minorHAnsi" w:hAnsiTheme="minorHAnsi" w:cstheme="minorHAnsi"/>
                <w:b/>
              </w:rPr>
              <w:t>**</w:t>
            </w:r>
          </w:p>
        </w:tc>
        <w:tc>
          <w:tcPr>
            <w:tcW w:w="2666" w:type="dxa"/>
            <w:gridSpan w:val="3"/>
            <w:shd w:val="clear" w:color="auto" w:fill="auto"/>
            <w:vAlign w:val="bottom"/>
          </w:tcPr>
          <w:p w14:paraId="63AF1C95" w14:textId="03FA9450" w:rsidR="003E6F85" w:rsidRPr="007E5E2E" w:rsidRDefault="003E6F85" w:rsidP="00C26053">
            <w:pPr>
              <w:pStyle w:val="Body-Calibri"/>
              <w:tabs>
                <w:tab w:val="right" w:pos="1393"/>
              </w:tabs>
              <w:rPr>
                <w:rFonts w:asciiTheme="minorHAnsi" w:hAnsiTheme="minorHAnsi" w:cstheme="minorHAnsi"/>
              </w:rPr>
            </w:pPr>
            <w:r w:rsidRPr="007E5E2E">
              <w:rPr>
                <w:rFonts w:asciiTheme="minorHAnsi" w:hAnsiTheme="minorHAnsi" w:cstheme="minorHAnsi"/>
              </w:rPr>
              <w:tab/>
            </w:r>
            <w:r w:rsidR="00E6715D" w:rsidRPr="007E5E2E">
              <w:rPr>
                <w:rFonts w:asciiTheme="minorHAnsi" w:hAnsiTheme="minorHAnsi" w:cstheme="minorHAnsi"/>
              </w:rPr>
              <w:t>-</w:t>
            </w:r>
            <w:r w:rsidR="00F906A8">
              <w:rPr>
                <w:rFonts w:asciiTheme="minorHAnsi" w:hAnsiTheme="minorHAnsi" w:cstheme="minorHAnsi"/>
              </w:rPr>
              <w:t>1.42</w:t>
            </w:r>
            <w:r w:rsidRPr="007E5E2E">
              <w:rPr>
                <w:rFonts w:asciiTheme="minorHAnsi" w:hAnsiTheme="minorHAnsi" w:cstheme="minorHAnsi"/>
              </w:rPr>
              <w:t>%</w:t>
            </w:r>
          </w:p>
        </w:tc>
      </w:tr>
      <w:tr w:rsidR="003E6F85" w:rsidRPr="007E5E2E" w14:paraId="7648FFFC" w14:textId="77777777" w:rsidTr="00A01FBC">
        <w:trPr>
          <w:trHeight w:val="237"/>
        </w:trPr>
        <w:tc>
          <w:tcPr>
            <w:tcW w:w="4902" w:type="dxa"/>
            <w:gridSpan w:val="2"/>
            <w:shd w:val="clear" w:color="auto" w:fill="auto"/>
          </w:tcPr>
          <w:p w14:paraId="254551EA" w14:textId="77777777" w:rsidR="003E6F85" w:rsidRPr="007E5E2E" w:rsidRDefault="003E6F85" w:rsidP="00A01FBC">
            <w:pPr>
              <w:pStyle w:val="Body-Calibri"/>
              <w:rPr>
                <w:rFonts w:asciiTheme="minorHAnsi" w:hAnsiTheme="minorHAnsi" w:cstheme="minorHAnsi"/>
              </w:rPr>
            </w:pPr>
          </w:p>
        </w:tc>
        <w:tc>
          <w:tcPr>
            <w:tcW w:w="2666" w:type="dxa"/>
            <w:gridSpan w:val="3"/>
            <w:shd w:val="clear" w:color="auto" w:fill="auto"/>
          </w:tcPr>
          <w:p w14:paraId="6F644F74" w14:textId="77777777" w:rsidR="003E6F85" w:rsidRPr="007E5E2E" w:rsidRDefault="003E6F85" w:rsidP="00A01FBC">
            <w:pPr>
              <w:pStyle w:val="Body-Calibri"/>
              <w:rPr>
                <w:rFonts w:asciiTheme="minorHAnsi" w:hAnsiTheme="minorHAnsi" w:cstheme="minorHAnsi"/>
              </w:rPr>
            </w:pPr>
          </w:p>
        </w:tc>
      </w:tr>
    </w:tbl>
    <w:p w14:paraId="23D2C11C" w14:textId="4950A837" w:rsidR="001C55F3" w:rsidRPr="007E5E2E" w:rsidRDefault="001C55F3" w:rsidP="00651EEC">
      <w:pPr>
        <w:pStyle w:val="Disclosurebolditalic"/>
        <w:rPr>
          <w:rFonts w:asciiTheme="minorHAnsi" w:hAnsiTheme="minorHAnsi" w:cstheme="minorHAnsi"/>
          <w:noProof/>
        </w:rPr>
      </w:pPr>
      <w:r w:rsidRPr="007E5E2E">
        <w:rPr>
          <w:rFonts w:asciiTheme="minorHAnsi" w:hAnsiTheme="minorHAnsi" w:cstheme="minorHAnsi"/>
          <w:noProof/>
        </w:rPr>
        <w:t>Past performance is not indicative of future results.</w:t>
      </w:r>
    </w:p>
    <w:p w14:paraId="35A28871" w14:textId="77777777" w:rsidR="00651EEC" w:rsidRPr="007E5E2E" w:rsidRDefault="00651EEC" w:rsidP="00651EEC">
      <w:pPr>
        <w:pStyle w:val="Disclosure-italic"/>
        <w:rPr>
          <w:rFonts w:asciiTheme="minorHAnsi" w:hAnsiTheme="minorHAnsi" w:cstheme="minorHAnsi"/>
        </w:rPr>
      </w:pPr>
    </w:p>
    <w:p w14:paraId="62590F00" w14:textId="65708D61" w:rsidR="003E6F85" w:rsidRPr="007E5E2E" w:rsidRDefault="003E6F85" w:rsidP="003E6F85">
      <w:pPr>
        <w:pStyle w:val="Disclosure-italic"/>
        <w:rPr>
          <w:rFonts w:asciiTheme="minorHAnsi" w:hAnsiTheme="minorHAnsi" w:cstheme="minorHAnsi"/>
        </w:rPr>
      </w:pPr>
      <w:r w:rsidRPr="007E5E2E">
        <w:rPr>
          <w:rFonts w:asciiTheme="minorHAnsi" w:hAnsiTheme="minorHAnsi" w:cstheme="minorHAnsi"/>
        </w:rPr>
        <w:t xml:space="preserve">^ Based on the Fund’s NAV as of </w:t>
      </w:r>
      <w:r w:rsidR="007B0CE9">
        <w:rPr>
          <w:rFonts w:asciiTheme="minorHAnsi" w:hAnsiTheme="minorHAnsi" w:cstheme="minorHAnsi"/>
        </w:rPr>
        <w:t>April</w:t>
      </w:r>
      <w:r w:rsidR="00E6715D" w:rsidRPr="007E5E2E">
        <w:rPr>
          <w:rFonts w:asciiTheme="minorHAnsi" w:hAnsiTheme="minorHAnsi" w:cstheme="minorHAnsi"/>
        </w:rPr>
        <w:t xml:space="preserve"> </w:t>
      </w:r>
      <w:r w:rsidR="00E718D2" w:rsidRPr="007E5E2E">
        <w:rPr>
          <w:rFonts w:asciiTheme="minorHAnsi" w:hAnsiTheme="minorHAnsi" w:cstheme="minorHAnsi"/>
        </w:rPr>
        <w:t>3</w:t>
      </w:r>
      <w:r w:rsidR="007B0CE9">
        <w:rPr>
          <w:rFonts w:asciiTheme="minorHAnsi" w:hAnsiTheme="minorHAnsi" w:cstheme="minorHAnsi"/>
        </w:rPr>
        <w:t>0</w:t>
      </w:r>
      <w:r w:rsidR="00C82ADA" w:rsidRPr="007E5E2E">
        <w:rPr>
          <w:rFonts w:asciiTheme="minorHAnsi" w:hAnsiTheme="minorHAnsi" w:cstheme="minorHAnsi"/>
        </w:rPr>
        <w:t>, 2023</w:t>
      </w:r>
      <w:r w:rsidRPr="007E5E2E">
        <w:rPr>
          <w:rFonts w:asciiTheme="minorHAnsi" w:hAnsiTheme="minorHAnsi" w:cstheme="minorHAnsi"/>
        </w:rPr>
        <w:t xml:space="preserve">. </w:t>
      </w:r>
    </w:p>
    <w:p w14:paraId="0DA155C2" w14:textId="77777777" w:rsidR="003E6F85" w:rsidRPr="007E5E2E" w:rsidRDefault="003E6F85" w:rsidP="003E6F85">
      <w:pPr>
        <w:pStyle w:val="Disclosure-italic"/>
        <w:rPr>
          <w:rFonts w:asciiTheme="minorHAnsi" w:hAnsiTheme="minorHAnsi" w:cstheme="minorHAnsi"/>
        </w:rPr>
      </w:pPr>
    </w:p>
    <w:p w14:paraId="0163B664" w14:textId="7F9A493E" w:rsidR="003E6F85" w:rsidRPr="007E5E2E" w:rsidRDefault="003E6F85" w:rsidP="003E6F85">
      <w:pPr>
        <w:pStyle w:val="Disclosure-italic"/>
        <w:rPr>
          <w:rFonts w:asciiTheme="minorHAnsi" w:hAnsiTheme="minorHAnsi" w:cstheme="minorHAnsi"/>
        </w:rPr>
      </w:pPr>
      <w:r w:rsidRPr="007E5E2E">
        <w:rPr>
          <w:rFonts w:asciiTheme="minorHAnsi" w:hAnsiTheme="minorHAnsi" w:cstheme="minorHAnsi"/>
          <w:vertAlign w:val="superscript"/>
        </w:rPr>
        <w:t>+</w:t>
      </w:r>
      <w:r w:rsidRPr="007E5E2E">
        <w:rPr>
          <w:rFonts w:asciiTheme="minorHAnsi" w:hAnsiTheme="minorHAnsi" w:cstheme="minorHAnsi"/>
        </w:rPr>
        <w:t>Cumulative distribution rate is based on distributions paid to date for the period November 1, 202</w:t>
      </w:r>
      <w:r w:rsidR="00C37341" w:rsidRPr="007E5E2E">
        <w:rPr>
          <w:rFonts w:asciiTheme="minorHAnsi" w:hAnsiTheme="minorHAnsi" w:cstheme="minorHAnsi"/>
        </w:rPr>
        <w:t>2</w:t>
      </w:r>
      <w:r w:rsidRPr="007E5E2E">
        <w:rPr>
          <w:rFonts w:asciiTheme="minorHAnsi" w:hAnsiTheme="minorHAnsi" w:cstheme="minorHAnsi"/>
        </w:rPr>
        <w:t xml:space="preserve"> through </w:t>
      </w:r>
      <w:r w:rsidR="007B0CE9">
        <w:rPr>
          <w:rFonts w:asciiTheme="minorHAnsi" w:hAnsiTheme="minorHAnsi" w:cstheme="minorHAnsi"/>
        </w:rPr>
        <w:t>May</w:t>
      </w:r>
      <w:r w:rsidR="00E6715D" w:rsidRPr="007E5E2E">
        <w:rPr>
          <w:rFonts w:asciiTheme="minorHAnsi" w:hAnsiTheme="minorHAnsi" w:cstheme="minorHAnsi"/>
        </w:rPr>
        <w:t xml:space="preserve"> 3</w:t>
      </w:r>
      <w:r w:rsidR="007B0CE9">
        <w:rPr>
          <w:rFonts w:asciiTheme="minorHAnsi" w:hAnsiTheme="minorHAnsi" w:cstheme="minorHAnsi"/>
        </w:rPr>
        <w:t>1</w:t>
      </w:r>
      <w:r w:rsidRPr="007E5E2E">
        <w:rPr>
          <w:rFonts w:asciiTheme="minorHAnsi" w:hAnsiTheme="minorHAnsi" w:cstheme="minorHAnsi"/>
        </w:rPr>
        <w:t>, 20</w:t>
      </w:r>
      <w:r w:rsidR="00871BD5" w:rsidRPr="007E5E2E">
        <w:rPr>
          <w:rFonts w:asciiTheme="minorHAnsi" w:hAnsiTheme="minorHAnsi" w:cstheme="minorHAnsi"/>
        </w:rPr>
        <w:t>23</w:t>
      </w:r>
      <w:r w:rsidRPr="007E5E2E">
        <w:rPr>
          <w:rFonts w:asciiTheme="minorHAnsi" w:hAnsiTheme="minorHAnsi" w:cstheme="minorHAnsi"/>
        </w:rPr>
        <w:t>.</w:t>
      </w:r>
    </w:p>
    <w:p w14:paraId="6958D5AB" w14:textId="77777777" w:rsidR="003E6F85" w:rsidRPr="007E5E2E" w:rsidRDefault="003E6F85" w:rsidP="003E6F85">
      <w:pPr>
        <w:pStyle w:val="Disclosure-italic"/>
        <w:rPr>
          <w:rFonts w:asciiTheme="minorHAnsi" w:hAnsiTheme="minorHAnsi" w:cstheme="minorHAnsi"/>
        </w:rPr>
      </w:pPr>
    </w:p>
    <w:p w14:paraId="1009FBEF" w14:textId="4C61C718" w:rsidR="003E6F85" w:rsidRPr="007E5E2E" w:rsidRDefault="003E6F85" w:rsidP="003E6F85">
      <w:pPr>
        <w:pStyle w:val="Disclosure-italic"/>
        <w:rPr>
          <w:rFonts w:asciiTheme="minorHAnsi" w:hAnsiTheme="minorHAnsi" w:cstheme="minorHAnsi"/>
        </w:rPr>
      </w:pPr>
      <w:r w:rsidRPr="007E5E2E">
        <w:rPr>
          <w:rFonts w:asciiTheme="minorHAnsi" w:hAnsiTheme="minorHAnsi" w:cstheme="minorHAnsi"/>
        </w:rPr>
        <w:t xml:space="preserve">*Cumulative fiscal year-to-date return is based on the change in NAV including distributions paid and assuming reinvestment of these distributions and that all rights in the Fund’s rights offering were exercised,  for the period November 1, </w:t>
      </w:r>
      <w:r w:rsidR="00C26053" w:rsidRPr="007E5E2E">
        <w:rPr>
          <w:rFonts w:asciiTheme="minorHAnsi" w:hAnsiTheme="minorHAnsi" w:cstheme="minorHAnsi"/>
        </w:rPr>
        <w:t>2022</w:t>
      </w:r>
      <w:r w:rsidRPr="007E5E2E">
        <w:rPr>
          <w:rFonts w:asciiTheme="minorHAnsi" w:hAnsiTheme="minorHAnsi" w:cstheme="minorHAnsi"/>
        </w:rPr>
        <w:t xml:space="preserve"> through</w:t>
      </w:r>
      <w:r w:rsidR="00E6715D" w:rsidRPr="007E5E2E">
        <w:rPr>
          <w:rFonts w:asciiTheme="minorHAnsi" w:hAnsiTheme="minorHAnsi" w:cstheme="minorHAnsi"/>
        </w:rPr>
        <w:t xml:space="preserve"> </w:t>
      </w:r>
      <w:r w:rsidR="007B0CE9">
        <w:rPr>
          <w:rFonts w:asciiTheme="minorHAnsi" w:hAnsiTheme="minorHAnsi" w:cstheme="minorHAnsi"/>
        </w:rPr>
        <w:t>April</w:t>
      </w:r>
      <w:r w:rsidR="00E6715D" w:rsidRPr="007E5E2E">
        <w:rPr>
          <w:rFonts w:asciiTheme="minorHAnsi" w:hAnsiTheme="minorHAnsi" w:cstheme="minorHAnsi"/>
        </w:rPr>
        <w:t xml:space="preserve"> </w:t>
      </w:r>
      <w:r w:rsidR="00E718D2" w:rsidRPr="007E5E2E">
        <w:rPr>
          <w:rFonts w:asciiTheme="minorHAnsi" w:hAnsiTheme="minorHAnsi" w:cstheme="minorHAnsi"/>
        </w:rPr>
        <w:t>3</w:t>
      </w:r>
      <w:r w:rsidR="007B0CE9">
        <w:rPr>
          <w:rFonts w:asciiTheme="minorHAnsi" w:hAnsiTheme="minorHAnsi" w:cstheme="minorHAnsi"/>
        </w:rPr>
        <w:t>0</w:t>
      </w:r>
      <w:r w:rsidR="00C82ADA" w:rsidRPr="007E5E2E">
        <w:rPr>
          <w:rFonts w:asciiTheme="minorHAnsi" w:hAnsiTheme="minorHAnsi" w:cstheme="minorHAnsi"/>
        </w:rPr>
        <w:t>, 2023</w:t>
      </w:r>
      <w:r w:rsidRPr="007E5E2E">
        <w:rPr>
          <w:rFonts w:asciiTheme="minorHAnsi" w:hAnsiTheme="minorHAnsi" w:cstheme="minorHAnsi"/>
        </w:rPr>
        <w:t xml:space="preserve">. </w:t>
      </w:r>
    </w:p>
    <w:p w14:paraId="45A37EBB" w14:textId="77777777" w:rsidR="00651EEC" w:rsidRPr="007E5E2E" w:rsidRDefault="00651EEC" w:rsidP="00651EEC">
      <w:pPr>
        <w:pStyle w:val="Disclosure-italic"/>
        <w:rPr>
          <w:rFonts w:asciiTheme="minorHAnsi" w:hAnsiTheme="minorHAnsi" w:cstheme="minorHAnsi"/>
        </w:rPr>
      </w:pPr>
    </w:p>
    <w:p w14:paraId="37F3DE35" w14:textId="0404F854" w:rsidR="001C55F3" w:rsidRPr="007E5E2E" w:rsidRDefault="001C55F3" w:rsidP="00651EEC">
      <w:pPr>
        <w:pStyle w:val="Disclosure-italic"/>
        <w:rPr>
          <w:rFonts w:asciiTheme="minorHAnsi" w:hAnsiTheme="minorHAnsi" w:cstheme="minorHAnsi"/>
          <w:sz w:val="22"/>
          <w:szCs w:val="22"/>
        </w:rPr>
      </w:pPr>
      <w:r w:rsidRPr="007E5E2E">
        <w:rPr>
          <w:rFonts w:asciiTheme="minorHAnsi" w:hAnsiTheme="minorHAnsi" w:cstheme="minorHAnsi"/>
        </w:rPr>
        <w:t>**The 5 year average annual total return is based on change in NAV including distributions paid and assuming reinvestment of these distributions</w:t>
      </w:r>
      <w:r w:rsidR="00703765" w:rsidRPr="007E5E2E">
        <w:rPr>
          <w:rFonts w:asciiTheme="minorHAnsi" w:hAnsiTheme="minorHAnsi" w:cstheme="minorHAnsi"/>
        </w:rPr>
        <w:t xml:space="preserve"> and that all rights in the Fund’s rights offering were exercised, as of</w:t>
      </w:r>
      <w:r w:rsidRPr="007E5E2E">
        <w:rPr>
          <w:rFonts w:asciiTheme="minorHAnsi" w:hAnsiTheme="minorHAnsi" w:cstheme="minorHAnsi"/>
        </w:rPr>
        <w:t xml:space="preserve"> the last business day of the month prior to the month of the current distribution record date.</w:t>
      </w:r>
    </w:p>
    <w:p w14:paraId="2C41A579" w14:textId="77777777" w:rsidR="00651EEC" w:rsidRPr="007E5E2E" w:rsidRDefault="00651EEC" w:rsidP="00651EEC">
      <w:pPr>
        <w:pStyle w:val="Disclosure-italic"/>
        <w:rPr>
          <w:rFonts w:asciiTheme="minorHAnsi" w:hAnsiTheme="minorHAnsi" w:cstheme="minorHAnsi"/>
        </w:rPr>
      </w:pPr>
    </w:p>
    <w:p w14:paraId="244D6B13" w14:textId="77777777" w:rsidR="00230CD4" w:rsidRPr="007E5E2E" w:rsidRDefault="001C55F3" w:rsidP="00651EEC">
      <w:pPr>
        <w:pStyle w:val="Disclosure-italic"/>
        <w:rPr>
          <w:rFonts w:asciiTheme="minorHAnsi" w:hAnsiTheme="minorHAnsi" w:cstheme="minorHAnsi"/>
        </w:rPr>
      </w:pPr>
      <w:r w:rsidRPr="007E5E2E">
        <w:rPr>
          <w:rFonts w:asciiTheme="minorHAnsi" w:hAnsiTheme="minorHAnsi" w:cstheme="minorHAnsi"/>
        </w:rPr>
        <w:t xml:space="preserve">While the NAV performance may be indicative of the Fund’s investment performance, it does not measure the value of a shareholder’s investment in the Fund.  The value of a shareholder’s investment in the Fund is determined by the Fund’s market price, which is based on the supply and demand for the Fund’s shares in the open market. </w:t>
      </w:r>
    </w:p>
    <w:p w14:paraId="3F4817C5" w14:textId="77777777" w:rsidR="00230CD4" w:rsidRPr="007E5E2E" w:rsidRDefault="00230CD4" w:rsidP="00651EEC">
      <w:pPr>
        <w:pStyle w:val="Disclosure-italic"/>
        <w:rPr>
          <w:rFonts w:asciiTheme="minorHAnsi" w:hAnsiTheme="minorHAnsi" w:cstheme="minorHAnsi"/>
        </w:rPr>
      </w:pPr>
    </w:p>
    <w:p w14:paraId="21A070A5" w14:textId="49117F29" w:rsidR="001C55F3" w:rsidRPr="007E5E2E" w:rsidRDefault="001C55F3" w:rsidP="00651EEC">
      <w:pPr>
        <w:pStyle w:val="Disclosure-italic"/>
        <w:rPr>
          <w:rFonts w:asciiTheme="minorHAnsi" w:hAnsiTheme="minorHAnsi" w:cstheme="minorHAnsi"/>
        </w:rPr>
      </w:pPr>
      <w:r w:rsidRPr="007E5E2E">
        <w:rPr>
          <w:rFonts w:asciiTheme="minorHAnsi" w:hAnsiTheme="minorHAnsi" w:cstheme="minorHAnsi"/>
          <w:b/>
        </w:rPr>
        <w:t>Shareholders should not draw any conclusions about the Fund’s investment performance from the amount of this distribution or from the terms of the Fund’s Managed Distribution Plan.</w:t>
      </w:r>
    </w:p>
    <w:p w14:paraId="3A41649C" w14:textId="77777777" w:rsidR="00651EEC" w:rsidRPr="007E5E2E" w:rsidRDefault="00651EEC" w:rsidP="00651EEC">
      <w:pPr>
        <w:pStyle w:val="Body-Calibri"/>
        <w:rPr>
          <w:rFonts w:asciiTheme="minorHAnsi" w:hAnsiTheme="minorHAnsi" w:cstheme="minorHAnsi"/>
        </w:rPr>
      </w:pPr>
    </w:p>
    <w:p w14:paraId="230E382B" w14:textId="77777777" w:rsidR="001C55F3" w:rsidRPr="007E5E2E" w:rsidRDefault="001C55F3" w:rsidP="00651EEC">
      <w:pPr>
        <w:pStyle w:val="Disclosure-italic"/>
        <w:rPr>
          <w:rFonts w:asciiTheme="minorHAnsi" w:hAnsiTheme="minorHAnsi" w:cstheme="minorHAnsi"/>
        </w:rPr>
      </w:pPr>
      <w:r w:rsidRPr="007E5E2E">
        <w:rPr>
          <w:rFonts w:asciiTheme="minorHAnsi" w:hAnsiTheme="minorHAnsi" w:cstheme="minorHAnsi"/>
        </w:rPr>
        <w:t>Furthermore, the Board of Trustees reviews the amount of any potential distribution and the income, capital gain or capital available.  The Board of Trustees will continue to monitor the Fund’s distribution level, taking into consideration the Fund’s net asset value and the financial market environment.  The Fund’s distribution policy is subject to modification by the Board of Trustees at any time.  The distribution rate should not be considered the dividend yield or total return on an investment in the Fund.</w:t>
      </w:r>
    </w:p>
    <w:p w14:paraId="4840B89A" w14:textId="77777777" w:rsidR="0061614C" w:rsidRPr="007E5E2E" w:rsidRDefault="0061614C" w:rsidP="0061614C">
      <w:pPr>
        <w:pStyle w:val="Disclosure-italic"/>
        <w:rPr>
          <w:rFonts w:asciiTheme="minorHAnsi" w:hAnsiTheme="minorHAnsi" w:cstheme="minorHAnsi"/>
        </w:rPr>
      </w:pPr>
    </w:p>
    <w:p w14:paraId="75F6C52F" w14:textId="77777777" w:rsidR="0061614C" w:rsidRDefault="0061614C" w:rsidP="0061614C">
      <w:pPr>
        <w:autoSpaceDE w:val="0"/>
        <w:autoSpaceDN w:val="0"/>
        <w:adjustRightInd w:val="0"/>
        <w:rPr>
          <w:rFonts w:ascii="Calibri" w:hAnsi="Calibri"/>
          <w:sz w:val="20"/>
          <w:szCs w:val="20"/>
        </w:rPr>
      </w:pPr>
    </w:p>
    <w:p w14:paraId="16F782BB" w14:textId="77777777" w:rsidR="0061614C" w:rsidRDefault="0061614C" w:rsidP="0061614C">
      <w:pPr>
        <w:autoSpaceDE w:val="0"/>
        <w:autoSpaceDN w:val="0"/>
        <w:adjustRightInd w:val="0"/>
        <w:rPr>
          <w:rFonts w:ascii="Calibri" w:hAnsi="Calibri"/>
          <w:b/>
          <w:bCs/>
          <w:sz w:val="20"/>
          <w:szCs w:val="20"/>
        </w:rPr>
      </w:pPr>
      <w:r w:rsidRPr="00F0384D">
        <w:rPr>
          <w:rFonts w:ascii="Calibri" w:hAnsi="Calibri"/>
          <w:b/>
          <w:bCs/>
          <w:sz w:val="20"/>
          <w:szCs w:val="20"/>
        </w:rPr>
        <w:t>Contact Info:</w:t>
      </w:r>
    </w:p>
    <w:p w14:paraId="305EEDB7" w14:textId="77777777" w:rsidR="0061614C" w:rsidRDefault="0061614C" w:rsidP="0061614C">
      <w:pPr>
        <w:autoSpaceDE w:val="0"/>
        <w:autoSpaceDN w:val="0"/>
        <w:adjustRightInd w:val="0"/>
        <w:rPr>
          <w:rFonts w:ascii="Calibri" w:hAnsi="Calibri"/>
          <w:sz w:val="20"/>
          <w:szCs w:val="20"/>
        </w:rPr>
      </w:pPr>
    </w:p>
    <w:p w14:paraId="44D25EA5" w14:textId="77777777" w:rsidR="0061614C" w:rsidRDefault="0061614C" w:rsidP="0061614C">
      <w:pPr>
        <w:autoSpaceDE w:val="0"/>
        <w:autoSpaceDN w:val="0"/>
        <w:adjustRightInd w:val="0"/>
        <w:rPr>
          <w:rFonts w:ascii="Calibri" w:hAnsi="Calibri"/>
          <w:sz w:val="20"/>
          <w:szCs w:val="20"/>
        </w:rPr>
      </w:pPr>
      <w:r>
        <w:rPr>
          <w:rFonts w:ascii="Calibri" w:hAnsi="Calibri"/>
          <w:sz w:val="20"/>
          <w:szCs w:val="20"/>
        </w:rPr>
        <w:t xml:space="preserve">Website: </w:t>
      </w:r>
      <w:hyperlink r:id="rId10" w:history="1">
        <w:r w:rsidRPr="00F0384D">
          <w:rPr>
            <w:rStyle w:val="Hyperlink"/>
            <w:rFonts w:ascii="Calibri" w:hAnsi="Calibri"/>
            <w:sz w:val="20"/>
            <w:szCs w:val="20"/>
          </w:rPr>
          <w:t>https://www.cloughglobal.com/</w:t>
        </w:r>
      </w:hyperlink>
    </w:p>
    <w:p w14:paraId="5585BFA0" w14:textId="77777777" w:rsidR="0061614C" w:rsidRDefault="0061614C" w:rsidP="0061614C">
      <w:pPr>
        <w:autoSpaceDE w:val="0"/>
        <w:autoSpaceDN w:val="0"/>
        <w:adjustRightInd w:val="0"/>
        <w:rPr>
          <w:rFonts w:ascii="Calibri" w:hAnsi="Calibri"/>
          <w:sz w:val="20"/>
          <w:szCs w:val="20"/>
        </w:rPr>
      </w:pPr>
    </w:p>
    <w:p w14:paraId="0715353F" w14:textId="77777777" w:rsidR="0061614C" w:rsidRPr="00F0384D" w:rsidRDefault="0061614C" w:rsidP="0061614C">
      <w:pPr>
        <w:autoSpaceDE w:val="0"/>
        <w:autoSpaceDN w:val="0"/>
        <w:adjustRightInd w:val="0"/>
        <w:rPr>
          <w:rFonts w:ascii="Calibri" w:hAnsi="Calibri"/>
          <w:sz w:val="20"/>
          <w:szCs w:val="20"/>
        </w:rPr>
      </w:pPr>
      <w:r>
        <w:rPr>
          <w:rFonts w:ascii="Calibri" w:hAnsi="Calibri"/>
          <w:sz w:val="20"/>
          <w:szCs w:val="20"/>
        </w:rPr>
        <w:t xml:space="preserve">Email: </w:t>
      </w:r>
      <w:hyperlink r:id="rId11" w:history="1">
        <w:r w:rsidRPr="00F0384D">
          <w:rPr>
            <w:rStyle w:val="Hyperlink"/>
            <w:rFonts w:ascii="Calibri" w:hAnsi="Calibri"/>
            <w:sz w:val="20"/>
            <w:szCs w:val="20"/>
          </w:rPr>
          <w:t>cloughclientinquiries@paralel.com</w:t>
        </w:r>
      </w:hyperlink>
    </w:p>
    <w:p w14:paraId="2856C4E2" w14:textId="77777777" w:rsidR="0049019C" w:rsidRPr="007E5E2E" w:rsidRDefault="0049019C" w:rsidP="00651EEC">
      <w:pPr>
        <w:pStyle w:val="Disclosure-italic"/>
        <w:rPr>
          <w:rFonts w:asciiTheme="minorHAnsi" w:hAnsiTheme="minorHAnsi" w:cstheme="minorHAnsi"/>
        </w:rPr>
      </w:pPr>
    </w:p>
    <w:p w14:paraId="79DEE614" w14:textId="77777777" w:rsidR="00496193" w:rsidRPr="00496193" w:rsidRDefault="00496193" w:rsidP="00496193">
      <w:pPr>
        <w:autoSpaceDE w:val="0"/>
        <w:autoSpaceDN w:val="0"/>
        <w:adjustRightInd w:val="0"/>
        <w:rPr>
          <w:rFonts w:ascii="Calibri" w:hAnsi="Calibri"/>
          <w:sz w:val="20"/>
          <w:szCs w:val="20"/>
        </w:rPr>
      </w:pPr>
    </w:p>
    <w:sectPr w:rsidR="00496193" w:rsidRPr="00496193" w:rsidSect="006014E5">
      <w:headerReference w:type="first" r:id="rId12"/>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E8BE" w14:textId="77777777" w:rsidR="004318A7" w:rsidRDefault="004318A7" w:rsidP="006014E5">
      <w:r>
        <w:separator/>
      </w:r>
    </w:p>
  </w:endnote>
  <w:endnote w:type="continuationSeparator" w:id="0">
    <w:p w14:paraId="73446BD9" w14:textId="77777777" w:rsidR="004318A7" w:rsidRDefault="004318A7" w:rsidP="006014E5">
      <w:r>
        <w:continuationSeparator/>
      </w:r>
    </w:p>
  </w:endnote>
  <w:endnote w:type="continuationNotice" w:id="1">
    <w:p w14:paraId="5F820847" w14:textId="77777777" w:rsidR="008F16B7" w:rsidRDefault="008F1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4121" w14:textId="77777777" w:rsidR="004318A7" w:rsidRDefault="004318A7" w:rsidP="006014E5">
      <w:r>
        <w:separator/>
      </w:r>
    </w:p>
  </w:footnote>
  <w:footnote w:type="continuationSeparator" w:id="0">
    <w:p w14:paraId="777FE683" w14:textId="77777777" w:rsidR="004318A7" w:rsidRDefault="004318A7" w:rsidP="006014E5">
      <w:r>
        <w:continuationSeparator/>
      </w:r>
    </w:p>
  </w:footnote>
  <w:footnote w:type="continuationNotice" w:id="1">
    <w:p w14:paraId="167E80C8" w14:textId="77777777" w:rsidR="008F16B7" w:rsidRDefault="008F1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3B94" w14:textId="61F6E35C" w:rsidR="00496193" w:rsidRDefault="00496193" w:rsidP="006014E5">
    <w:pPr>
      <w:pStyle w:val="Header"/>
      <w:jc w:val="right"/>
      <w:rPr>
        <w:rFonts w:asciiTheme="minorHAnsi" w:hAnsiTheme="minorHAnsi"/>
        <w:color w:val="0A85C7"/>
        <w:sz w:val="36"/>
        <w:szCs w:val="36"/>
      </w:rPr>
    </w:pPr>
  </w:p>
  <w:p w14:paraId="107839CB" w14:textId="2C277F45" w:rsidR="006014E5" w:rsidRPr="00496193" w:rsidRDefault="006014E5" w:rsidP="00AD65E6">
    <w:pPr>
      <w:pStyle w:val="Header"/>
      <w:rPr>
        <w:rFonts w:asciiTheme="minorHAnsi" w:hAnsiTheme="minorHAnsi"/>
        <w:color w:val="0A85C7"/>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D"/>
    <w:rsid w:val="00005FC4"/>
    <w:rsid w:val="00006551"/>
    <w:rsid w:val="00012DA7"/>
    <w:rsid w:val="00013341"/>
    <w:rsid w:val="00017C57"/>
    <w:rsid w:val="00030FED"/>
    <w:rsid w:val="00033623"/>
    <w:rsid w:val="000519E6"/>
    <w:rsid w:val="0007773D"/>
    <w:rsid w:val="0008431D"/>
    <w:rsid w:val="00096A3B"/>
    <w:rsid w:val="00097340"/>
    <w:rsid w:val="000A7A2C"/>
    <w:rsid w:val="000B04E5"/>
    <w:rsid w:val="000D07BB"/>
    <w:rsid w:val="000D1DCE"/>
    <w:rsid w:val="000D52FE"/>
    <w:rsid w:val="000F27A8"/>
    <w:rsid w:val="00100322"/>
    <w:rsid w:val="0010481A"/>
    <w:rsid w:val="00104B7C"/>
    <w:rsid w:val="0010534D"/>
    <w:rsid w:val="00110965"/>
    <w:rsid w:val="00110D7D"/>
    <w:rsid w:val="001128AF"/>
    <w:rsid w:val="00114EDF"/>
    <w:rsid w:val="001174BB"/>
    <w:rsid w:val="00117605"/>
    <w:rsid w:val="00124D54"/>
    <w:rsid w:val="00126969"/>
    <w:rsid w:val="0013748E"/>
    <w:rsid w:val="00142DF4"/>
    <w:rsid w:val="0015561C"/>
    <w:rsid w:val="001729B1"/>
    <w:rsid w:val="00174F21"/>
    <w:rsid w:val="001758CA"/>
    <w:rsid w:val="0019506F"/>
    <w:rsid w:val="00196021"/>
    <w:rsid w:val="0019655B"/>
    <w:rsid w:val="001A459C"/>
    <w:rsid w:val="001B0B46"/>
    <w:rsid w:val="001C2632"/>
    <w:rsid w:val="001C2AD8"/>
    <w:rsid w:val="001C4885"/>
    <w:rsid w:val="001C55F3"/>
    <w:rsid w:val="001D2B0A"/>
    <w:rsid w:val="001D6709"/>
    <w:rsid w:val="001F0325"/>
    <w:rsid w:val="001F2045"/>
    <w:rsid w:val="00214654"/>
    <w:rsid w:val="00221BD5"/>
    <w:rsid w:val="00230CD4"/>
    <w:rsid w:val="002355C0"/>
    <w:rsid w:val="00245F89"/>
    <w:rsid w:val="002468F7"/>
    <w:rsid w:val="00246C1B"/>
    <w:rsid w:val="00247044"/>
    <w:rsid w:val="002471BB"/>
    <w:rsid w:val="00247563"/>
    <w:rsid w:val="00251C68"/>
    <w:rsid w:val="002569F8"/>
    <w:rsid w:val="002603CD"/>
    <w:rsid w:val="00263F98"/>
    <w:rsid w:val="00271D5F"/>
    <w:rsid w:val="00272C76"/>
    <w:rsid w:val="0027392B"/>
    <w:rsid w:val="00287549"/>
    <w:rsid w:val="0029099B"/>
    <w:rsid w:val="00291768"/>
    <w:rsid w:val="002935F8"/>
    <w:rsid w:val="002A090A"/>
    <w:rsid w:val="002A17F8"/>
    <w:rsid w:val="002A3791"/>
    <w:rsid w:val="002B356B"/>
    <w:rsid w:val="002B697A"/>
    <w:rsid w:val="002C50C3"/>
    <w:rsid w:val="002D3CA0"/>
    <w:rsid w:val="002D49D9"/>
    <w:rsid w:val="002D4BA1"/>
    <w:rsid w:val="002D7A07"/>
    <w:rsid w:val="002E292B"/>
    <w:rsid w:val="002F18E6"/>
    <w:rsid w:val="002F1A53"/>
    <w:rsid w:val="002F3E65"/>
    <w:rsid w:val="00307A4B"/>
    <w:rsid w:val="00307B88"/>
    <w:rsid w:val="003161E1"/>
    <w:rsid w:val="00321FCF"/>
    <w:rsid w:val="00335C9B"/>
    <w:rsid w:val="00352543"/>
    <w:rsid w:val="00353786"/>
    <w:rsid w:val="00354809"/>
    <w:rsid w:val="00361738"/>
    <w:rsid w:val="003774EF"/>
    <w:rsid w:val="00382F49"/>
    <w:rsid w:val="00390218"/>
    <w:rsid w:val="0039099E"/>
    <w:rsid w:val="003B032E"/>
    <w:rsid w:val="003B2860"/>
    <w:rsid w:val="003C49D7"/>
    <w:rsid w:val="003D0F68"/>
    <w:rsid w:val="003D2A3A"/>
    <w:rsid w:val="003E0156"/>
    <w:rsid w:val="003E58F2"/>
    <w:rsid w:val="003E6F85"/>
    <w:rsid w:val="003E75B3"/>
    <w:rsid w:val="004069EE"/>
    <w:rsid w:val="004077CF"/>
    <w:rsid w:val="00407D94"/>
    <w:rsid w:val="00412619"/>
    <w:rsid w:val="00415781"/>
    <w:rsid w:val="00420684"/>
    <w:rsid w:val="00427ADA"/>
    <w:rsid w:val="004318A7"/>
    <w:rsid w:val="004335A8"/>
    <w:rsid w:val="00445718"/>
    <w:rsid w:val="00445C1B"/>
    <w:rsid w:val="0045272C"/>
    <w:rsid w:val="0045377C"/>
    <w:rsid w:val="00461340"/>
    <w:rsid w:val="00461925"/>
    <w:rsid w:val="00461AE3"/>
    <w:rsid w:val="0047505F"/>
    <w:rsid w:val="00484C56"/>
    <w:rsid w:val="0049019C"/>
    <w:rsid w:val="00490861"/>
    <w:rsid w:val="00492E6A"/>
    <w:rsid w:val="00496193"/>
    <w:rsid w:val="00496F02"/>
    <w:rsid w:val="004A0531"/>
    <w:rsid w:val="004A1824"/>
    <w:rsid w:val="004A293F"/>
    <w:rsid w:val="004A2FDC"/>
    <w:rsid w:val="004B0EE6"/>
    <w:rsid w:val="004B4388"/>
    <w:rsid w:val="004B4B41"/>
    <w:rsid w:val="004D6B94"/>
    <w:rsid w:val="004F60F8"/>
    <w:rsid w:val="00500F3D"/>
    <w:rsid w:val="00506F8E"/>
    <w:rsid w:val="00512D1B"/>
    <w:rsid w:val="005165BB"/>
    <w:rsid w:val="00520AF0"/>
    <w:rsid w:val="00523FA4"/>
    <w:rsid w:val="00525D94"/>
    <w:rsid w:val="00531A42"/>
    <w:rsid w:val="00532FB5"/>
    <w:rsid w:val="00540463"/>
    <w:rsid w:val="005407B1"/>
    <w:rsid w:val="005436F7"/>
    <w:rsid w:val="00545CA4"/>
    <w:rsid w:val="005472B5"/>
    <w:rsid w:val="005518DB"/>
    <w:rsid w:val="0055230D"/>
    <w:rsid w:val="0055296A"/>
    <w:rsid w:val="00554523"/>
    <w:rsid w:val="0055704C"/>
    <w:rsid w:val="0056150F"/>
    <w:rsid w:val="00561775"/>
    <w:rsid w:val="00564EAF"/>
    <w:rsid w:val="00570A74"/>
    <w:rsid w:val="00574A09"/>
    <w:rsid w:val="00592AA4"/>
    <w:rsid w:val="005A78B3"/>
    <w:rsid w:val="005B0977"/>
    <w:rsid w:val="005C56F2"/>
    <w:rsid w:val="005C59F5"/>
    <w:rsid w:val="005D5AC6"/>
    <w:rsid w:val="005E0208"/>
    <w:rsid w:val="005E7A01"/>
    <w:rsid w:val="005F1ECA"/>
    <w:rsid w:val="006014E5"/>
    <w:rsid w:val="00610D53"/>
    <w:rsid w:val="0061322B"/>
    <w:rsid w:val="0061614C"/>
    <w:rsid w:val="006329DE"/>
    <w:rsid w:val="006334C5"/>
    <w:rsid w:val="006435CD"/>
    <w:rsid w:val="00651EEC"/>
    <w:rsid w:val="00657F4A"/>
    <w:rsid w:val="006606AB"/>
    <w:rsid w:val="00663DE9"/>
    <w:rsid w:val="0066533C"/>
    <w:rsid w:val="00681335"/>
    <w:rsid w:val="006925CF"/>
    <w:rsid w:val="006929B8"/>
    <w:rsid w:val="006A24EF"/>
    <w:rsid w:val="006A3D44"/>
    <w:rsid w:val="006B0AFB"/>
    <w:rsid w:val="006B126B"/>
    <w:rsid w:val="006B1BAA"/>
    <w:rsid w:val="006B20A1"/>
    <w:rsid w:val="006C10F8"/>
    <w:rsid w:val="006C6BB0"/>
    <w:rsid w:val="006D03E8"/>
    <w:rsid w:val="006D2F13"/>
    <w:rsid w:val="006D5E2F"/>
    <w:rsid w:val="006D688A"/>
    <w:rsid w:val="006D6A28"/>
    <w:rsid w:val="006D7C40"/>
    <w:rsid w:val="006E00E1"/>
    <w:rsid w:val="006E3326"/>
    <w:rsid w:val="006E46FA"/>
    <w:rsid w:val="006E773C"/>
    <w:rsid w:val="006E7F4A"/>
    <w:rsid w:val="006F108D"/>
    <w:rsid w:val="006F1748"/>
    <w:rsid w:val="00703765"/>
    <w:rsid w:val="0070744B"/>
    <w:rsid w:val="00711E2D"/>
    <w:rsid w:val="00716860"/>
    <w:rsid w:val="00717509"/>
    <w:rsid w:val="00721070"/>
    <w:rsid w:val="00730F29"/>
    <w:rsid w:val="007344AA"/>
    <w:rsid w:val="007675ED"/>
    <w:rsid w:val="00771026"/>
    <w:rsid w:val="00771ED0"/>
    <w:rsid w:val="00772FD1"/>
    <w:rsid w:val="00776005"/>
    <w:rsid w:val="00776121"/>
    <w:rsid w:val="00784284"/>
    <w:rsid w:val="007A0C26"/>
    <w:rsid w:val="007A0D63"/>
    <w:rsid w:val="007B01CB"/>
    <w:rsid w:val="007B0446"/>
    <w:rsid w:val="007B0CE9"/>
    <w:rsid w:val="007C3594"/>
    <w:rsid w:val="007C493B"/>
    <w:rsid w:val="007C54EE"/>
    <w:rsid w:val="007C7E7D"/>
    <w:rsid w:val="007D0F87"/>
    <w:rsid w:val="007D23BD"/>
    <w:rsid w:val="007D72F4"/>
    <w:rsid w:val="007E4E46"/>
    <w:rsid w:val="007E5E2E"/>
    <w:rsid w:val="007F0F8A"/>
    <w:rsid w:val="007F3CD5"/>
    <w:rsid w:val="007F46F3"/>
    <w:rsid w:val="00802982"/>
    <w:rsid w:val="00805EB6"/>
    <w:rsid w:val="008066E0"/>
    <w:rsid w:val="00807063"/>
    <w:rsid w:val="008079B0"/>
    <w:rsid w:val="0081064B"/>
    <w:rsid w:val="0081769A"/>
    <w:rsid w:val="00825077"/>
    <w:rsid w:val="008316CD"/>
    <w:rsid w:val="00834923"/>
    <w:rsid w:val="008431A6"/>
    <w:rsid w:val="00851CCB"/>
    <w:rsid w:val="00851D4F"/>
    <w:rsid w:val="0085313D"/>
    <w:rsid w:val="00862A21"/>
    <w:rsid w:val="008640EF"/>
    <w:rsid w:val="00871BD5"/>
    <w:rsid w:val="008729DA"/>
    <w:rsid w:val="00890DD3"/>
    <w:rsid w:val="00893974"/>
    <w:rsid w:val="008940FF"/>
    <w:rsid w:val="008A35AB"/>
    <w:rsid w:val="008A6128"/>
    <w:rsid w:val="008A6867"/>
    <w:rsid w:val="008A764B"/>
    <w:rsid w:val="008C3CCE"/>
    <w:rsid w:val="008C5630"/>
    <w:rsid w:val="008E3668"/>
    <w:rsid w:val="008E53C7"/>
    <w:rsid w:val="008F16B7"/>
    <w:rsid w:val="00901180"/>
    <w:rsid w:val="00902433"/>
    <w:rsid w:val="00902FDD"/>
    <w:rsid w:val="00903CDB"/>
    <w:rsid w:val="00905C8E"/>
    <w:rsid w:val="00907B88"/>
    <w:rsid w:val="00917636"/>
    <w:rsid w:val="0092321A"/>
    <w:rsid w:val="009245B5"/>
    <w:rsid w:val="00925204"/>
    <w:rsid w:val="00931FFE"/>
    <w:rsid w:val="0093554B"/>
    <w:rsid w:val="009369DB"/>
    <w:rsid w:val="0094006D"/>
    <w:rsid w:val="0094298D"/>
    <w:rsid w:val="00943ED3"/>
    <w:rsid w:val="009551F7"/>
    <w:rsid w:val="00973818"/>
    <w:rsid w:val="00986485"/>
    <w:rsid w:val="00995CB0"/>
    <w:rsid w:val="009B3084"/>
    <w:rsid w:val="009C0DFA"/>
    <w:rsid w:val="009C1C80"/>
    <w:rsid w:val="009C5F5C"/>
    <w:rsid w:val="009D5C4E"/>
    <w:rsid w:val="009D777B"/>
    <w:rsid w:val="009E0076"/>
    <w:rsid w:val="009E0994"/>
    <w:rsid w:val="009E1869"/>
    <w:rsid w:val="009E6364"/>
    <w:rsid w:val="009F6530"/>
    <w:rsid w:val="009F749A"/>
    <w:rsid w:val="00A02796"/>
    <w:rsid w:val="00A02BD3"/>
    <w:rsid w:val="00A0411D"/>
    <w:rsid w:val="00A05B73"/>
    <w:rsid w:val="00A066B3"/>
    <w:rsid w:val="00A06885"/>
    <w:rsid w:val="00A225F0"/>
    <w:rsid w:val="00A42423"/>
    <w:rsid w:val="00A44EF1"/>
    <w:rsid w:val="00A50AF6"/>
    <w:rsid w:val="00A521F0"/>
    <w:rsid w:val="00A526BD"/>
    <w:rsid w:val="00A560E1"/>
    <w:rsid w:val="00A63370"/>
    <w:rsid w:val="00A64B08"/>
    <w:rsid w:val="00A72EB0"/>
    <w:rsid w:val="00A75CD3"/>
    <w:rsid w:val="00A77D4C"/>
    <w:rsid w:val="00A81433"/>
    <w:rsid w:val="00A81642"/>
    <w:rsid w:val="00A86F22"/>
    <w:rsid w:val="00AA0A47"/>
    <w:rsid w:val="00AA13E3"/>
    <w:rsid w:val="00AA7625"/>
    <w:rsid w:val="00AB2E44"/>
    <w:rsid w:val="00AB31A4"/>
    <w:rsid w:val="00AC4B15"/>
    <w:rsid w:val="00AC6698"/>
    <w:rsid w:val="00AD1096"/>
    <w:rsid w:val="00AD65E6"/>
    <w:rsid w:val="00AE2DF2"/>
    <w:rsid w:val="00AF375D"/>
    <w:rsid w:val="00AF475A"/>
    <w:rsid w:val="00B000F9"/>
    <w:rsid w:val="00B00DBE"/>
    <w:rsid w:val="00B04867"/>
    <w:rsid w:val="00B05AC1"/>
    <w:rsid w:val="00B1777B"/>
    <w:rsid w:val="00B20320"/>
    <w:rsid w:val="00B21EC9"/>
    <w:rsid w:val="00B35A1C"/>
    <w:rsid w:val="00B40D91"/>
    <w:rsid w:val="00B41E43"/>
    <w:rsid w:val="00B428EC"/>
    <w:rsid w:val="00B43847"/>
    <w:rsid w:val="00B53B97"/>
    <w:rsid w:val="00B54C23"/>
    <w:rsid w:val="00B6040A"/>
    <w:rsid w:val="00B612EC"/>
    <w:rsid w:val="00B630C6"/>
    <w:rsid w:val="00B63395"/>
    <w:rsid w:val="00B65A71"/>
    <w:rsid w:val="00B66677"/>
    <w:rsid w:val="00B702A5"/>
    <w:rsid w:val="00B92B04"/>
    <w:rsid w:val="00B94CBA"/>
    <w:rsid w:val="00BA679D"/>
    <w:rsid w:val="00BB661A"/>
    <w:rsid w:val="00BC1DA3"/>
    <w:rsid w:val="00BD5203"/>
    <w:rsid w:val="00BD7D2E"/>
    <w:rsid w:val="00BE1FF5"/>
    <w:rsid w:val="00BE4BD1"/>
    <w:rsid w:val="00BF0C14"/>
    <w:rsid w:val="00C04458"/>
    <w:rsid w:val="00C06376"/>
    <w:rsid w:val="00C1368B"/>
    <w:rsid w:val="00C2468E"/>
    <w:rsid w:val="00C26053"/>
    <w:rsid w:val="00C3181A"/>
    <w:rsid w:val="00C33479"/>
    <w:rsid w:val="00C342FC"/>
    <w:rsid w:val="00C37341"/>
    <w:rsid w:val="00C46862"/>
    <w:rsid w:val="00C54DC8"/>
    <w:rsid w:val="00C601C3"/>
    <w:rsid w:val="00C62A92"/>
    <w:rsid w:val="00C67F7E"/>
    <w:rsid w:val="00C80F73"/>
    <w:rsid w:val="00C82ADA"/>
    <w:rsid w:val="00C93789"/>
    <w:rsid w:val="00C954D3"/>
    <w:rsid w:val="00CA1047"/>
    <w:rsid w:val="00CB1F4A"/>
    <w:rsid w:val="00CB4E65"/>
    <w:rsid w:val="00CB625E"/>
    <w:rsid w:val="00CC03F4"/>
    <w:rsid w:val="00CC5289"/>
    <w:rsid w:val="00CC56E8"/>
    <w:rsid w:val="00CD64FC"/>
    <w:rsid w:val="00CE4B5D"/>
    <w:rsid w:val="00CF478C"/>
    <w:rsid w:val="00CF78AE"/>
    <w:rsid w:val="00D03BCE"/>
    <w:rsid w:val="00D165BF"/>
    <w:rsid w:val="00D16A26"/>
    <w:rsid w:val="00D22B3E"/>
    <w:rsid w:val="00D279C2"/>
    <w:rsid w:val="00D3229D"/>
    <w:rsid w:val="00D33ECA"/>
    <w:rsid w:val="00D340CD"/>
    <w:rsid w:val="00D6777D"/>
    <w:rsid w:val="00D71B29"/>
    <w:rsid w:val="00D777DA"/>
    <w:rsid w:val="00D876C2"/>
    <w:rsid w:val="00D87B72"/>
    <w:rsid w:val="00D9645F"/>
    <w:rsid w:val="00D973F3"/>
    <w:rsid w:val="00DA318A"/>
    <w:rsid w:val="00DA6E7C"/>
    <w:rsid w:val="00DB2A55"/>
    <w:rsid w:val="00DB728B"/>
    <w:rsid w:val="00DD302E"/>
    <w:rsid w:val="00DD36B0"/>
    <w:rsid w:val="00DD4153"/>
    <w:rsid w:val="00DD774D"/>
    <w:rsid w:val="00DE697A"/>
    <w:rsid w:val="00E04453"/>
    <w:rsid w:val="00E0461B"/>
    <w:rsid w:val="00E072D4"/>
    <w:rsid w:val="00E10428"/>
    <w:rsid w:val="00E15707"/>
    <w:rsid w:val="00E16B79"/>
    <w:rsid w:val="00E26353"/>
    <w:rsid w:val="00E3526E"/>
    <w:rsid w:val="00E35B35"/>
    <w:rsid w:val="00E3699A"/>
    <w:rsid w:val="00E51658"/>
    <w:rsid w:val="00E6376C"/>
    <w:rsid w:val="00E64E5F"/>
    <w:rsid w:val="00E6715D"/>
    <w:rsid w:val="00E718D2"/>
    <w:rsid w:val="00E86618"/>
    <w:rsid w:val="00E90B5D"/>
    <w:rsid w:val="00E96404"/>
    <w:rsid w:val="00EA67D5"/>
    <w:rsid w:val="00EB34B8"/>
    <w:rsid w:val="00EB54C4"/>
    <w:rsid w:val="00EB7FA6"/>
    <w:rsid w:val="00EC718F"/>
    <w:rsid w:val="00ED0ACE"/>
    <w:rsid w:val="00ED22B2"/>
    <w:rsid w:val="00ED3E77"/>
    <w:rsid w:val="00ED412B"/>
    <w:rsid w:val="00ED72CB"/>
    <w:rsid w:val="00ED7A7A"/>
    <w:rsid w:val="00EF22A8"/>
    <w:rsid w:val="00EF2640"/>
    <w:rsid w:val="00EF27A8"/>
    <w:rsid w:val="00EF2D07"/>
    <w:rsid w:val="00EF2F65"/>
    <w:rsid w:val="00EF4E88"/>
    <w:rsid w:val="00EF5FA0"/>
    <w:rsid w:val="00F07C17"/>
    <w:rsid w:val="00F1136D"/>
    <w:rsid w:val="00F14E06"/>
    <w:rsid w:val="00F166B8"/>
    <w:rsid w:val="00F2597E"/>
    <w:rsid w:val="00F331E6"/>
    <w:rsid w:val="00F335A4"/>
    <w:rsid w:val="00F33624"/>
    <w:rsid w:val="00F35D4F"/>
    <w:rsid w:val="00F400E0"/>
    <w:rsid w:val="00F418A0"/>
    <w:rsid w:val="00F446D4"/>
    <w:rsid w:val="00F5111C"/>
    <w:rsid w:val="00F515FF"/>
    <w:rsid w:val="00F51BAD"/>
    <w:rsid w:val="00F53501"/>
    <w:rsid w:val="00F57F5C"/>
    <w:rsid w:val="00F6158D"/>
    <w:rsid w:val="00F66A79"/>
    <w:rsid w:val="00F70795"/>
    <w:rsid w:val="00F7089E"/>
    <w:rsid w:val="00F75172"/>
    <w:rsid w:val="00F75983"/>
    <w:rsid w:val="00F7759C"/>
    <w:rsid w:val="00F827E1"/>
    <w:rsid w:val="00F86F75"/>
    <w:rsid w:val="00F8701A"/>
    <w:rsid w:val="00F906A8"/>
    <w:rsid w:val="00F912BA"/>
    <w:rsid w:val="00F91C01"/>
    <w:rsid w:val="00F9522C"/>
    <w:rsid w:val="00FA0BFE"/>
    <w:rsid w:val="00FA1977"/>
    <w:rsid w:val="00FA1A42"/>
    <w:rsid w:val="00FA4A40"/>
    <w:rsid w:val="00FB6B0C"/>
    <w:rsid w:val="00FB7BB8"/>
    <w:rsid w:val="00FB7F93"/>
    <w:rsid w:val="00FC20B0"/>
    <w:rsid w:val="00FC6CCC"/>
    <w:rsid w:val="00FD07AB"/>
    <w:rsid w:val="00FE3485"/>
    <w:rsid w:val="00FE46E7"/>
    <w:rsid w:val="00FF3272"/>
    <w:rsid w:val="00FF4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43277B78"/>
  <w15:docId w15:val="{B83381F8-F479-40C8-B77A-DF018CA3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1B29"/>
    <w:rPr>
      <w:rFonts w:cs="Times New Roman"/>
      <w:color w:val="0000FF"/>
      <w:u w:val="single"/>
    </w:rPr>
  </w:style>
  <w:style w:type="paragraph" w:styleId="BalloonText">
    <w:name w:val="Balloon Text"/>
    <w:basedOn w:val="Normal"/>
    <w:link w:val="BalloonTextChar"/>
    <w:uiPriority w:val="99"/>
    <w:semiHidden/>
    <w:rsid w:val="00D71B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2619"/>
    <w:rPr>
      <w:rFonts w:cs="Times New Roman"/>
      <w:sz w:val="2"/>
    </w:rPr>
  </w:style>
  <w:style w:type="character" w:styleId="CommentReference">
    <w:name w:val="annotation reference"/>
    <w:basedOn w:val="DefaultParagraphFont"/>
    <w:uiPriority w:val="99"/>
    <w:semiHidden/>
    <w:unhideWhenUsed/>
    <w:rsid w:val="00E35B35"/>
    <w:rPr>
      <w:sz w:val="16"/>
      <w:szCs w:val="16"/>
    </w:rPr>
  </w:style>
  <w:style w:type="paragraph" w:styleId="CommentText">
    <w:name w:val="annotation text"/>
    <w:basedOn w:val="Normal"/>
    <w:link w:val="CommentTextChar"/>
    <w:uiPriority w:val="99"/>
    <w:semiHidden/>
    <w:unhideWhenUsed/>
    <w:rsid w:val="00E35B35"/>
    <w:rPr>
      <w:sz w:val="20"/>
      <w:szCs w:val="20"/>
    </w:rPr>
  </w:style>
  <w:style w:type="character" w:customStyle="1" w:styleId="CommentTextChar">
    <w:name w:val="Comment Text Char"/>
    <w:basedOn w:val="DefaultParagraphFont"/>
    <w:link w:val="CommentText"/>
    <w:uiPriority w:val="99"/>
    <w:semiHidden/>
    <w:rsid w:val="00E35B35"/>
    <w:rPr>
      <w:sz w:val="20"/>
      <w:szCs w:val="20"/>
    </w:rPr>
  </w:style>
  <w:style w:type="paragraph" w:styleId="CommentSubject">
    <w:name w:val="annotation subject"/>
    <w:basedOn w:val="CommentText"/>
    <w:next w:val="CommentText"/>
    <w:link w:val="CommentSubjectChar"/>
    <w:uiPriority w:val="99"/>
    <w:semiHidden/>
    <w:unhideWhenUsed/>
    <w:rsid w:val="00E35B35"/>
    <w:rPr>
      <w:b/>
      <w:bCs/>
    </w:rPr>
  </w:style>
  <w:style w:type="character" w:customStyle="1" w:styleId="CommentSubjectChar">
    <w:name w:val="Comment Subject Char"/>
    <w:basedOn w:val="CommentTextChar"/>
    <w:link w:val="CommentSubject"/>
    <w:uiPriority w:val="99"/>
    <w:semiHidden/>
    <w:rsid w:val="00E35B35"/>
    <w:rPr>
      <w:b/>
      <w:bCs/>
      <w:sz w:val="20"/>
      <w:szCs w:val="20"/>
    </w:rPr>
  </w:style>
  <w:style w:type="character" w:styleId="FollowedHyperlink">
    <w:name w:val="FollowedHyperlink"/>
    <w:basedOn w:val="DefaultParagraphFont"/>
    <w:uiPriority w:val="99"/>
    <w:semiHidden/>
    <w:unhideWhenUsed/>
    <w:rsid w:val="00FD07AB"/>
    <w:rPr>
      <w:color w:val="800080" w:themeColor="followedHyperlink"/>
      <w:u w:val="single"/>
    </w:rPr>
  </w:style>
  <w:style w:type="paragraph" w:styleId="Header">
    <w:name w:val="header"/>
    <w:basedOn w:val="Normal"/>
    <w:link w:val="HeaderChar"/>
    <w:uiPriority w:val="99"/>
    <w:unhideWhenUsed/>
    <w:rsid w:val="006014E5"/>
    <w:pPr>
      <w:tabs>
        <w:tab w:val="center" w:pos="4680"/>
        <w:tab w:val="right" w:pos="9360"/>
      </w:tabs>
    </w:pPr>
  </w:style>
  <w:style w:type="character" w:customStyle="1" w:styleId="HeaderChar">
    <w:name w:val="Header Char"/>
    <w:basedOn w:val="DefaultParagraphFont"/>
    <w:link w:val="Header"/>
    <w:uiPriority w:val="99"/>
    <w:rsid w:val="006014E5"/>
    <w:rPr>
      <w:sz w:val="24"/>
      <w:szCs w:val="24"/>
    </w:rPr>
  </w:style>
  <w:style w:type="paragraph" w:styleId="Footer">
    <w:name w:val="footer"/>
    <w:basedOn w:val="Normal"/>
    <w:link w:val="FooterChar"/>
    <w:uiPriority w:val="99"/>
    <w:unhideWhenUsed/>
    <w:rsid w:val="006014E5"/>
    <w:pPr>
      <w:tabs>
        <w:tab w:val="center" w:pos="4680"/>
        <w:tab w:val="right" w:pos="9360"/>
      </w:tabs>
    </w:pPr>
  </w:style>
  <w:style w:type="character" w:customStyle="1" w:styleId="FooterChar">
    <w:name w:val="Footer Char"/>
    <w:basedOn w:val="DefaultParagraphFont"/>
    <w:link w:val="Footer"/>
    <w:uiPriority w:val="99"/>
    <w:rsid w:val="006014E5"/>
    <w:rPr>
      <w:sz w:val="24"/>
      <w:szCs w:val="24"/>
    </w:rPr>
  </w:style>
  <w:style w:type="paragraph" w:styleId="NormalWeb">
    <w:name w:val="Normal (Web)"/>
    <w:basedOn w:val="Normal"/>
    <w:rsid w:val="001C55F3"/>
    <w:pPr>
      <w:spacing w:before="100" w:beforeAutospacing="1" w:after="100" w:afterAutospacing="1"/>
    </w:pPr>
  </w:style>
  <w:style w:type="paragraph" w:customStyle="1" w:styleId="Body-Calibri">
    <w:name w:val="Body - Calibri"/>
    <w:basedOn w:val="Normal"/>
    <w:qFormat/>
    <w:rsid w:val="001C55F3"/>
    <w:pPr>
      <w:autoSpaceDE w:val="0"/>
      <w:autoSpaceDN w:val="0"/>
      <w:adjustRightInd w:val="0"/>
    </w:pPr>
    <w:rPr>
      <w:rFonts w:ascii="Calibri" w:eastAsia="Calibri" w:hAnsi="Calibri"/>
      <w:sz w:val="20"/>
      <w:szCs w:val="20"/>
    </w:rPr>
  </w:style>
  <w:style w:type="paragraph" w:customStyle="1" w:styleId="Disclosurebolditalic">
    <w:name w:val="Disclosure bold italic"/>
    <w:basedOn w:val="Body-Calibri"/>
    <w:qFormat/>
    <w:rsid w:val="00651EEC"/>
    <w:rPr>
      <w:b/>
      <w:i/>
    </w:rPr>
  </w:style>
  <w:style w:type="paragraph" w:customStyle="1" w:styleId="Disclosure-italic">
    <w:name w:val="Disclosure - italic"/>
    <w:basedOn w:val="Body-Calibri"/>
    <w:qFormat/>
    <w:rsid w:val="00651EEC"/>
    <w:rPr>
      <w: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140">
      <w:bodyDiv w:val="1"/>
      <w:marLeft w:val="0"/>
      <w:marRight w:val="0"/>
      <w:marTop w:val="0"/>
      <w:marBottom w:val="0"/>
      <w:divBdr>
        <w:top w:val="none" w:sz="0" w:space="0" w:color="auto"/>
        <w:left w:val="none" w:sz="0" w:space="0" w:color="auto"/>
        <w:bottom w:val="none" w:sz="0" w:space="0" w:color="auto"/>
        <w:right w:val="none" w:sz="0" w:space="0" w:color="auto"/>
      </w:divBdr>
    </w:div>
    <w:div w:id="44725209">
      <w:bodyDiv w:val="1"/>
      <w:marLeft w:val="0"/>
      <w:marRight w:val="0"/>
      <w:marTop w:val="0"/>
      <w:marBottom w:val="0"/>
      <w:divBdr>
        <w:top w:val="none" w:sz="0" w:space="0" w:color="auto"/>
        <w:left w:val="none" w:sz="0" w:space="0" w:color="auto"/>
        <w:bottom w:val="none" w:sz="0" w:space="0" w:color="auto"/>
        <w:right w:val="none" w:sz="0" w:space="0" w:color="auto"/>
      </w:divBdr>
    </w:div>
    <w:div w:id="47993772">
      <w:bodyDiv w:val="1"/>
      <w:marLeft w:val="0"/>
      <w:marRight w:val="0"/>
      <w:marTop w:val="0"/>
      <w:marBottom w:val="0"/>
      <w:divBdr>
        <w:top w:val="none" w:sz="0" w:space="0" w:color="auto"/>
        <w:left w:val="none" w:sz="0" w:space="0" w:color="auto"/>
        <w:bottom w:val="none" w:sz="0" w:space="0" w:color="auto"/>
        <w:right w:val="none" w:sz="0" w:space="0" w:color="auto"/>
      </w:divBdr>
    </w:div>
    <w:div w:id="58331880">
      <w:bodyDiv w:val="1"/>
      <w:marLeft w:val="0"/>
      <w:marRight w:val="0"/>
      <w:marTop w:val="0"/>
      <w:marBottom w:val="0"/>
      <w:divBdr>
        <w:top w:val="none" w:sz="0" w:space="0" w:color="auto"/>
        <w:left w:val="none" w:sz="0" w:space="0" w:color="auto"/>
        <w:bottom w:val="none" w:sz="0" w:space="0" w:color="auto"/>
        <w:right w:val="none" w:sz="0" w:space="0" w:color="auto"/>
      </w:divBdr>
    </w:div>
    <w:div w:id="124658796">
      <w:bodyDiv w:val="1"/>
      <w:marLeft w:val="0"/>
      <w:marRight w:val="0"/>
      <w:marTop w:val="0"/>
      <w:marBottom w:val="0"/>
      <w:divBdr>
        <w:top w:val="none" w:sz="0" w:space="0" w:color="auto"/>
        <w:left w:val="none" w:sz="0" w:space="0" w:color="auto"/>
        <w:bottom w:val="none" w:sz="0" w:space="0" w:color="auto"/>
        <w:right w:val="none" w:sz="0" w:space="0" w:color="auto"/>
      </w:divBdr>
    </w:div>
    <w:div w:id="130949218">
      <w:bodyDiv w:val="1"/>
      <w:marLeft w:val="0"/>
      <w:marRight w:val="0"/>
      <w:marTop w:val="0"/>
      <w:marBottom w:val="0"/>
      <w:divBdr>
        <w:top w:val="none" w:sz="0" w:space="0" w:color="auto"/>
        <w:left w:val="none" w:sz="0" w:space="0" w:color="auto"/>
        <w:bottom w:val="none" w:sz="0" w:space="0" w:color="auto"/>
        <w:right w:val="none" w:sz="0" w:space="0" w:color="auto"/>
      </w:divBdr>
    </w:div>
    <w:div w:id="200364590">
      <w:bodyDiv w:val="1"/>
      <w:marLeft w:val="0"/>
      <w:marRight w:val="0"/>
      <w:marTop w:val="0"/>
      <w:marBottom w:val="0"/>
      <w:divBdr>
        <w:top w:val="none" w:sz="0" w:space="0" w:color="auto"/>
        <w:left w:val="none" w:sz="0" w:space="0" w:color="auto"/>
        <w:bottom w:val="none" w:sz="0" w:space="0" w:color="auto"/>
        <w:right w:val="none" w:sz="0" w:space="0" w:color="auto"/>
      </w:divBdr>
    </w:div>
    <w:div w:id="313605135">
      <w:bodyDiv w:val="1"/>
      <w:marLeft w:val="0"/>
      <w:marRight w:val="0"/>
      <w:marTop w:val="0"/>
      <w:marBottom w:val="0"/>
      <w:divBdr>
        <w:top w:val="none" w:sz="0" w:space="0" w:color="auto"/>
        <w:left w:val="none" w:sz="0" w:space="0" w:color="auto"/>
        <w:bottom w:val="none" w:sz="0" w:space="0" w:color="auto"/>
        <w:right w:val="none" w:sz="0" w:space="0" w:color="auto"/>
      </w:divBdr>
    </w:div>
    <w:div w:id="906648118">
      <w:bodyDiv w:val="1"/>
      <w:marLeft w:val="0"/>
      <w:marRight w:val="0"/>
      <w:marTop w:val="0"/>
      <w:marBottom w:val="0"/>
      <w:divBdr>
        <w:top w:val="none" w:sz="0" w:space="0" w:color="auto"/>
        <w:left w:val="none" w:sz="0" w:space="0" w:color="auto"/>
        <w:bottom w:val="none" w:sz="0" w:space="0" w:color="auto"/>
        <w:right w:val="none" w:sz="0" w:space="0" w:color="auto"/>
      </w:divBdr>
    </w:div>
    <w:div w:id="909198740">
      <w:bodyDiv w:val="1"/>
      <w:marLeft w:val="0"/>
      <w:marRight w:val="0"/>
      <w:marTop w:val="0"/>
      <w:marBottom w:val="0"/>
      <w:divBdr>
        <w:top w:val="none" w:sz="0" w:space="0" w:color="auto"/>
        <w:left w:val="none" w:sz="0" w:space="0" w:color="auto"/>
        <w:bottom w:val="none" w:sz="0" w:space="0" w:color="auto"/>
        <w:right w:val="none" w:sz="0" w:space="0" w:color="auto"/>
      </w:divBdr>
    </w:div>
    <w:div w:id="990331471">
      <w:bodyDiv w:val="1"/>
      <w:marLeft w:val="0"/>
      <w:marRight w:val="0"/>
      <w:marTop w:val="0"/>
      <w:marBottom w:val="0"/>
      <w:divBdr>
        <w:top w:val="none" w:sz="0" w:space="0" w:color="auto"/>
        <w:left w:val="none" w:sz="0" w:space="0" w:color="auto"/>
        <w:bottom w:val="none" w:sz="0" w:space="0" w:color="auto"/>
        <w:right w:val="none" w:sz="0" w:space="0" w:color="auto"/>
      </w:divBdr>
    </w:div>
    <w:div w:id="1049304777">
      <w:bodyDiv w:val="1"/>
      <w:marLeft w:val="0"/>
      <w:marRight w:val="0"/>
      <w:marTop w:val="0"/>
      <w:marBottom w:val="0"/>
      <w:divBdr>
        <w:top w:val="none" w:sz="0" w:space="0" w:color="auto"/>
        <w:left w:val="none" w:sz="0" w:space="0" w:color="auto"/>
        <w:bottom w:val="none" w:sz="0" w:space="0" w:color="auto"/>
        <w:right w:val="none" w:sz="0" w:space="0" w:color="auto"/>
      </w:divBdr>
    </w:div>
    <w:div w:id="1180855956">
      <w:bodyDiv w:val="1"/>
      <w:marLeft w:val="0"/>
      <w:marRight w:val="0"/>
      <w:marTop w:val="0"/>
      <w:marBottom w:val="0"/>
      <w:divBdr>
        <w:top w:val="none" w:sz="0" w:space="0" w:color="auto"/>
        <w:left w:val="none" w:sz="0" w:space="0" w:color="auto"/>
        <w:bottom w:val="none" w:sz="0" w:space="0" w:color="auto"/>
        <w:right w:val="none" w:sz="0" w:space="0" w:color="auto"/>
      </w:divBdr>
    </w:div>
    <w:div w:id="1195078819">
      <w:bodyDiv w:val="1"/>
      <w:marLeft w:val="0"/>
      <w:marRight w:val="0"/>
      <w:marTop w:val="0"/>
      <w:marBottom w:val="0"/>
      <w:divBdr>
        <w:top w:val="none" w:sz="0" w:space="0" w:color="auto"/>
        <w:left w:val="none" w:sz="0" w:space="0" w:color="auto"/>
        <w:bottom w:val="none" w:sz="0" w:space="0" w:color="auto"/>
        <w:right w:val="none" w:sz="0" w:space="0" w:color="auto"/>
      </w:divBdr>
    </w:div>
    <w:div w:id="1208639376">
      <w:bodyDiv w:val="1"/>
      <w:marLeft w:val="0"/>
      <w:marRight w:val="0"/>
      <w:marTop w:val="0"/>
      <w:marBottom w:val="0"/>
      <w:divBdr>
        <w:top w:val="none" w:sz="0" w:space="0" w:color="auto"/>
        <w:left w:val="none" w:sz="0" w:space="0" w:color="auto"/>
        <w:bottom w:val="none" w:sz="0" w:space="0" w:color="auto"/>
        <w:right w:val="none" w:sz="0" w:space="0" w:color="auto"/>
      </w:divBdr>
    </w:div>
    <w:div w:id="1389958297">
      <w:bodyDiv w:val="1"/>
      <w:marLeft w:val="0"/>
      <w:marRight w:val="0"/>
      <w:marTop w:val="0"/>
      <w:marBottom w:val="0"/>
      <w:divBdr>
        <w:top w:val="none" w:sz="0" w:space="0" w:color="auto"/>
        <w:left w:val="none" w:sz="0" w:space="0" w:color="auto"/>
        <w:bottom w:val="none" w:sz="0" w:space="0" w:color="auto"/>
        <w:right w:val="none" w:sz="0" w:space="0" w:color="auto"/>
      </w:divBdr>
    </w:div>
    <w:div w:id="1443459483">
      <w:bodyDiv w:val="1"/>
      <w:marLeft w:val="0"/>
      <w:marRight w:val="0"/>
      <w:marTop w:val="0"/>
      <w:marBottom w:val="0"/>
      <w:divBdr>
        <w:top w:val="none" w:sz="0" w:space="0" w:color="auto"/>
        <w:left w:val="none" w:sz="0" w:space="0" w:color="auto"/>
        <w:bottom w:val="none" w:sz="0" w:space="0" w:color="auto"/>
        <w:right w:val="none" w:sz="0" w:space="0" w:color="auto"/>
      </w:divBdr>
    </w:div>
    <w:div w:id="1472795306">
      <w:bodyDiv w:val="1"/>
      <w:marLeft w:val="0"/>
      <w:marRight w:val="0"/>
      <w:marTop w:val="0"/>
      <w:marBottom w:val="0"/>
      <w:divBdr>
        <w:top w:val="none" w:sz="0" w:space="0" w:color="auto"/>
        <w:left w:val="none" w:sz="0" w:space="0" w:color="auto"/>
        <w:bottom w:val="none" w:sz="0" w:space="0" w:color="auto"/>
        <w:right w:val="none" w:sz="0" w:space="0" w:color="auto"/>
      </w:divBdr>
    </w:div>
    <w:div w:id="1514029136">
      <w:bodyDiv w:val="1"/>
      <w:marLeft w:val="0"/>
      <w:marRight w:val="0"/>
      <w:marTop w:val="0"/>
      <w:marBottom w:val="0"/>
      <w:divBdr>
        <w:top w:val="none" w:sz="0" w:space="0" w:color="auto"/>
        <w:left w:val="none" w:sz="0" w:space="0" w:color="auto"/>
        <w:bottom w:val="none" w:sz="0" w:space="0" w:color="auto"/>
        <w:right w:val="none" w:sz="0" w:space="0" w:color="auto"/>
      </w:divBdr>
    </w:div>
    <w:div w:id="1517304078">
      <w:bodyDiv w:val="1"/>
      <w:marLeft w:val="0"/>
      <w:marRight w:val="0"/>
      <w:marTop w:val="0"/>
      <w:marBottom w:val="0"/>
      <w:divBdr>
        <w:top w:val="none" w:sz="0" w:space="0" w:color="auto"/>
        <w:left w:val="none" w:sz="0" w:space="0" w:color="auto"/>
        <w:bottom w:val="none" w:sz="0" w:space="0" w:color="auto"/>
        <w:right w:val="none" w:sz="0" w:space="0" w:color="auto"/>
      </w:divBdr>
    </w:div>
    <w:div w:id="1533569840">
      <w:bodyDiv w:val="1"/>
      <w:marLeft w:val="0"/>
      <w:marRight w:val="0"/>
      <w:marTop w:val="0"/>
      <w:marBottom w:val="0"/>
      <w:divBdr>
        <w:top w:val="none" w:sz="0" w:space="0" w:color="auto"/>
        <w:left w:val="none" w:sz="0" w:space="0" w:color="auto"/>
        <w:bottom w:val="none" w:sz="0" w:space="0" w:color="auto"/>
        <w:right w:val="none" w:sz="0" w:space="0" w:color="auto"/>
      </w:divBdr>
    </w:div>
    <w:div w:id="1567186644">
      <w:bodyDiv w:val="1"/>
      <w:marLeft w:val="0"/>
      <w:marRight w:val="0"/>
      <w:marTop w:val="0"/>
      <w:marBottom w:val="0"/>
      <w:divBdr>
        <w:top w:val="none" w:sz="0" w:space="0" w:color="auto"/>
        <w:left w:val="none" w:sz="0" w:space="0" w:color="auto"/>
        <w:bottom w:val="none" w:sz="0" w:space="0" w:color="auto"/>
        <w:right w:val="none" w:sz="0" w:space="0" w:color="auto"/>
      </w:divBdr>
    </w:div>
    <w:div w:id="1578897921">
      <w:bodyDiv w:val="1"/>
      <w:marLeft w:val="0"/>
      <w:marRight w:val="0"/>
      <w:marTop w:val="0"/>
      <w:marBottom w:val="0"/>
      <w:divBdr>
        <w:top w:val="none" w:sz="0" w:space="0" w:color="auto"/>
        <w:left w:val="none" w:sz="0" w:space="0" w:color="auto"/>
        <w:bottom w:val="none" w:sz="0" w:space="0" w:color="auto"/>
        <w:right w:val="none" w:sz="0" w:space="0" w:color="auto"/>
      </w:divBdr>
    </w:div>
    <w:div w:id="1802109427">
      <w:bodyDiv w:val="1"/>
      <w:marLeft w:val="0"/>
      <w:marRight w:val="0"/>
      <w:marTop w:val="0"/>
      <w:marBottom w:val="0"/>
      <w:divBdr>
        <w:top w:val="none" w:sz="0" w:space="0" w:color="auto"/>
        <w:left w:val="none" w:sz="0" w:space="0" w:color="auto"/>
        <w:bottom w:val="none" w:sz="0" w:space="0" w:color="auto"/>
        <w:right w:val="none" w:sz="0" w:space="0" w:color="auto"/>
      </w:divBdr>
    </w:div>
    <w:div w:id="1968972379">
      <w:bodyDiv w:val="1"/>
      <w:marLeft w:val="0"/>
      <w:marRight w:val="0"/>
      <w:marTop w:val="0"/>
      <w:marBottom w:val="0"/>
      <w:divBdr>
        <w:top w:val="none" w:sz="0" w:space="0" w:color="auto"/>
        <w:left w:val="none" w:sz="0" w:space="0" w:color="auto"/>
        <w:bottom w:val="none" w:sz="0" w:space="0" w:color="auto"/>
        <w:right w:val="none" w:sz="0" w:space="0" w:color="auto"/>
      </w:divBdr>
    </w:div>
    <w:div w:id="19903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aleltechnologies.sharepoint.com/sites/ParalelPrivate/Operations/Fund%20Admin/Clough/Distributions/2023/04.2023/19(a)/cloughclientinquiries@paralel.com" TargetMode="External"/><Relationship Id="rId5" Type="http://schemas.openxmlformats.org/officeDocument/2006/relationships/styles" Target="styles.xml"/><Relationship Id="rId10" Type="http://schemas.openxmlformats.org/officeDocument/2006/relationships/hyperlink" Target="https://www.cloughgloba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991D2E8126F45B437FC467CCA2116" ma:contentTypeVersion="15" ma:contentTypeDescription="Create a new document." ma:contentTypeScope="" ma:versionID="f48f64af551bbb59f9b02ae5577edc1d">
  <xsd:schema xmlns:xsd="http://www.w3.org/2001/XMLSchema" xmlns:xs="http://www.w3.org/2001/XMLSchema" xmlns:p="http://schemas.microsoft.com/office/2006/metadata/properties" xmlns:ns2="353273f4-1e23-424e-a499-a2bb6d403a00" xmlns:ns3="ab32231b-95a2-464b-911e-9c0ad632e4f4" targetNamespace="http://schemas.microsoft.com/office/2006/metadata/properties" ma:root="true" ma:fieldsID="9c66d03c8722854ee4c8f11b7483bf95" ns2:_="" ns3:_="">
    <xsd:import namespace="353273f4-1e23-424e-a499-a2bb6d403a00"/>
    <xsd:import namespace="ab32231b-95a2-464b-911e-9c0ad632e4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273f4-1e23-424e-a499-a2bb6d403a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aafe5bcd-d28a-490b-8416-464ce7e3edf1}" ma:internalName="TaxCatchAll" ma:showField="CatchAllData" ma:web="353273f4-1e23-424e-a499-a2bb6d403a0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32231b-95a2-464b-911e-9c0ad632e4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16704-8b9a-42ec-a2a6-bb0c3148621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3273f4-1e23-424e-a499-a2bb6d403a00">FUTREJPAK64J-1126569227-258940</_dlc_DocId>
    <_dlc_DocIdUrl xmlns="353273f4-1e23-424e-a499-a2bb6d403a00">
      <Url>https://paraleltechnologies.sharepoint.com/sites/ParalelPrivate/_layouts/15/DocIdRedir.aspx?ID=FUTREJPAK64J-1126569227-258940</Url>
      <Description>FUTREJPAK64J-1126569227-258940</Description>
    </_dlc_DocIdUrl>
    <lcf76f155ced4ddcb4097134ff3c332f xmlns="ab32231b-95a2-464b-911e-9c0ad632e4f4">
      <Terms xmlns="http://schemas.microsoft.com/office/infopath/2007/PartnerControls"/>
    </lcf76f155ced4ddcb4097134ff3c332f>
    <TaxCatchAll xmlns="353273f4-1e23-424e-a499-a2bb6d403a00" xsi:nil="true"/>
  </documentManagement>
</p:properties>
</file>

<file path=customXml/itemProps1.xml><?xml version="1.0" encoding="utf-8"?>
<ds:datastoreItem xmlns:ds="http://schemas.openxmlformats.org/officeDocument/2006/customXml" ds:itemID="{0D2D6007-39D9-43C7-8F98-681D1D264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273f4-1e23-424e-a499-a2bb6d403a00"/>
    <ds:schemaRef ds:uri="ab32231b-95a2-464b-911e-9c0ad632e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9D507-220F-4630-BFF5-4062FCC65871}">
  <ds:schemaRefs>
    <ds:schemaRef ds:uri="http://schemas.microsoft.com/sharepoint/events"/>
  </ds:schemaRefs>
</ds:datastoreItem>
</file>

<file path=customXml/itemProps3.xml><?xml version="1.0" encoding="utf-8"?>
<ds:datastoreItem xmlns:ds="http://schemas.openxmlformats.org/officeDocument/2006/customXml" ds:itemID="{8E4C483A-7869-45F8-8EEA-FB1C15288A83}">
  <ds:schemaRefs>
    <ds:schemaRef ds:uri="http://schemas.microsoft.com/sharepoint/v3/contenttype/forms"/>
  </ds:schemaRefs>
</ds:datastoreItem>
</file>

<file path=customXml/itemProps4.xml><?xml version="1.0" encoding="utf-8"?>
<ds:datastoreItem xmlns:ds="http://schemas.openxmlformats.org/officeDocument/2006/customXml" ds:itemID="{39E0B114-D0B9-4AEA-BC4D-9200B86D967A}">
  <ds:schemaRefs>
    <ds:schemaRef ds:uri="http://schemas.microsoft.com/office/2006/metadata/properties"/>
    <ds:schemaRef ds:uri="http://schemas.microsoft.com/office/infopath/2007/PartnerControls"/>
    <ds:schemaRef ds:uri="353273f4-1e23-424e-a499-a2bb6d403a00"/>
    <ds:schemaRef ds:uri="ab32231b-95a2-464b-911e-9c0ad632e4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Clough Global Allocation Fund (AMEX: GLV)</vt:lpstr>
    </vt:vector>
  </TitlesOfParts>
  <Company>ALPS Financial Services</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Clough Global Allocation Fund (AMEX: GLV)</dc:title>
  <dc:creator>Mike Hecklinger</dc:creator>
  <cp:lastModifiedBy>Rachel  Llewellyn</cp:lastModifiedBy>
  <cp:revision>2</cp:revision>
  <cp:lastPrinted>2014-12-08T20:55:00Z</cp:lastPrinted>
  <dcterms:created xsi:type="dcterms:W3CDTF">2023-05-22T20:45:00Z</dcterms:created>
  <dcterms:modified xsi:type="dcterms:W3CDTF">2023-05-22T20:45:00Z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0x010100526991D2E8126F45B437FC467CCA2116</vt:lpwstr>
  </property>
  <property fmtid="{D5CDD505-2E9C-101B-9397-08002B2CF9AE}" pid="3" name="_dlc_DocIdItemGuid">
    <vt:lpwstr>ae36fc98-def8-43ae-8b3d-e6ca3b04e652</vt:lpwstr>
  </property>
  <property fmtid="{D5CDD505-2E9C-101B-9397-08002B2CF9AE}" pid="4" name="MediaServiceImageTags">
    <vt:lpwstr/>
  </property>
</Properties>
</file>