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0416BA" w14:textId="5F9423C9" w:rsidR="00AD6CF5" w:rsidRDefault="00134C4B" w:rsidP="00832127">
      <w:pPr>
        <w:spacing w:before="240"/>
        <w:jc w:val="both"/>
        <w:rPr>
          <w:b/>
        </w:rPr>
      </w:pPr>
      <w:r>
        <w:rPr>
          <w:b/>
        </w:rPr>
        <w:t>X</w:t>
      </w:r>
      <w:r w:rsidR="00E32A56">
        <w:rPr>
          <w:b/>
        </w:rPr>
        <w:t xml:space="preserve"> </w:t>
      </w:r>
      <w:r w:rsidR="009A31DF">
        <w:rPr>
          <w:b/>
        </w:rPr>
        <w:t xml:space="preserve">Investigation Alert:  Kessler Topaz Meltzer &amp; Check, LLP </w:t>
      </w:r>
      <w:r w:rsidR="004B766B">
        <w:rPr>
          <w:b/>
        </w:rPr>
        <w:t>Encourages</w:t>
      </w:r>
      <w:r w:rsidR="0001744A">
        <w:rPr>
          <w:b/>
        </w:rPr>
        <w:t xml:space="preserve"> </w:t>
      </w:r>
      <w:r>
        <w:rPr>
          <w:b/>
        </w:rPr>
        <w:t>United States Steel Corporation</w:t>
      </w:r>
      <w:r w:rsidR="004B766B">
        <w:rPr>
          <w:b/>
        </w:rPr>
        <w:t xml:space="preserve"> (N</w:t>
      </w:r>
      <w:r>
        <w:rPr>
          <w:b/>
        </w:rPr>
        <w:t>YSE</w:t>
      </w:r>
      <w:r w:rsidR="004B766B">
        <w:rPr>
          <w:b/>
        </w:rPr>
        <w:t xml:space="preserve">: </w:t>
      </w:r>
      <w:r>
        <w:rPr>
          <w:b/>
        </w:rPr>
        <w:t>X</w:t>
      </w:r>
      <w:r w:rsidR="004B766B">
        <w:rPr>
          <w:b/>
        </w:rPr>
        <w:t>)</w:t>
      </w:r>
      <w:r w:rsidR="004B766B" w:rsidRPr="00407027">
        <w:rPr>
          <w:b/>
        </w:rPr>
        <w:t xml:space="preserve"> </w:t>
      </w:r>
      <w:r w:rsidR="004B766B">
        <w:rPr>
          <w:b/>
        </w:rPr>
        <w:t xml:space="preserve">Investors with Losses to Contact the Firm </w:t>
      </w:r>
    </w:p>
    <w:p w14:paraId="7CD0A705" w14:textId="6984F6DB" w:rsidR="009623C5" w:rsidRDefault="009A31DF" w:rsidP="009623C5">
      <w:pPr>
        <w:spacing w:before="240"/>
        <w:jc w:val="both"/>
        <w:rPr>
          <w:rFonts w:eastAsia="Times New Roman"/>
          <w:szCs w:val="21"/>
        </w:rPr>
      </w:pPr>
      <w:r w:rsidRPr="00F70547">
        <w:rPr>
          <w:rFonts w:eastAsia="Times New Roman"/>
          <w:szCs w:val="21"/>
        </w:rPr>
        <w:t>RADNOR, PA,</w:t>
      </w:r>
      <w:r w:rsidR="001936FE">
        <w:rPr>
          <w:rFonts w:eastAsia="Times New Roman"/>
          <w:szCs w:val="21"/>
        </w:rPr>
        <w:t xml:space="preserve"> </w:t>
      </w:r>
      <w:r w:rsidR="00134C4B">
        <w:rPr>
          <w:rFonts w:eastAsia="Times New Roman"/>
          <w:szCs w:val="21"/>
        </w:rPr>
        <w:t>June</w:t>
      </w:r>
      <w:r w:rsidR="00C72CC9">
        <w:rPr>
          <w:rFonts w:eastAsia="Times New Roman"/>
          <w:szCs w:val="21"/>
        </w:rPr>
        <w:t xml:space="preserve"> </w:t>
      </w:r>
      <w:r w:rsidR="00E9587B">
        <w:rPr>
          <w:rFonts w:eastAsia="Times New Roman"/>
          <w:szCs w:val="21"/>
        </w:rPr>
        <w:t>10</w:t>
      </w:r>
      <w:r w:rsidR="000975B4">
        <w:rPr>
          <w:rFonts w:eastAsia="Times New Roman"/>
          <w:szCs w:val="21"/>
        </w:rPr>
        <w:t>, 202</w:t>
      </w:r>
      <w:r w:rsidR="000C542B">
        <w:rPr>
          <w:rFonts w:eastAsia="Times New Roman"/>
          <w:szCs w:val="21"/>
        </w:rPr>
        <w:t>4</w:t>
      </w:r>
      <w:r w:rsidR="00B917FC">
        <w:rPr>
          <w:rFonts w:eastAsia="Times New Roman"/>
          <w:szCs w:val="21"/>
        </w:rPr>
        <w:t xml:space="preserve"> </w:t>
      </w:r>
      <w:r w:rsidRPr="00F70547">
        <w:rPr>
          <w:rFonts w:eastAsia="Times New Roman"/>
          <w:szCs w:val="21"/>
        </w:rPr>
        <w:t>– The law firm of Kessler Topaz Meltzer &amp; Check, LLP</w:t>
      </w:r>
      <w:r w:rsidR="00596591">
        <w:rPr>
          <w:rFonts w:eastAsia="Times New Roman"/>
          <w:szCs w:val="21"/>
        </w:rPr>
        <w:t xml:space="preserve"> (</w:t>
      </w:r>
      <w:hyperlink r:id="rId6" w:history="1">
        <w:r w:rsidR="00596591" w:rsidRPr="00596591">
          <w:rPr>
            <w:rStyle w:val="Hyperlink"/>
            <w:rFonts w:eastAsia="Times New Roman"/>
            <w:color w:val="0000FF"/>
            <w:szCs w:val="21"/>
          </w:rPr>
          <w:t>www.ktmc.com</w:t>
        </w:r>
      </w:hyperlink>
      <w:r w:rsidR="00596591">
        <w:rPr>
          <w:rFonts w:eastAsia="Times New Roman"/>
          <w:szCs w:val="21"/>
        </w:rPr>
        <w:t xml:space="preserve">) </w:t>
      </w:r>
      <w:r>
        <w:rPr>
          <w:rFonts w:eastAsia="Times New Roman"/>
          <w:szCs w:val="21"/>
        </w:rPr>
        <w:t xml:space="preserve">is currently investigating potential violations of the federal securities laws </w:t>
      </w:r>
      <w:r w:rsidRPr="003A49B6">
        <w:rPr>
          <w:rFonts w:eastAsia="Times New Roman"/>
          <w:szCs w:val="21"/>
        </w:rPr>
        <w:t xml:space="preserve">on behalf of </w:t>
      </w:r>
      <w:r w:rsidR="00F54DA9">
        <w:rPr>
          <w:rFonts w:eastAsia="Times New Roman"/>
          <w:szCs w:val="21"/>
        </w:rPr>
        <w:t>investors</w:t>
      </w:r>
      <w:r w:rsidR="00DC3A38">
        <w:rPr>
          <w:rFonts w:eastAsia="Times New Roman"/>
          <w:szCs w:val="21"/>
        </w:rPr>
        <w:t xml:space="preserve"> o</w:t>
      </w:r>
      <w:r w:rsidR="001936FE">
        <w:rPr>
          <w:rFonts w:eastAsia="Times New Roman"/>
          <w:szCs w:val="21"/>
        </w:rPr>
        <w:t xml:space="preserve">f </w:t>
      </w:r>
      <w:r w:rsidR="00134C4B">
        <w:rPr>
          <w:rFonts w:eastAsia="Times New Roman"/>
          <w:szCs w:val="21"/>
        </w:rPr>
        <w:t>United States Steel Corporation</w:t>
      </w:r>
      <w:r w:rsidR="001936FE">
        <w:rPr>
          <w:rFonts w:eastAsia="Times New Roman"/>
          <w:szCs w:val="21"/>
        </w:rPr>
        <w:t xml:space="preserve"> (</w:t>
      </w:r>
      <w:hyperlink r:id="rId7" w:history="1">
        <w:r w:rsidR="00FF2571" w:rsidRPr="001117A4">
          <w:rPr>
            <w:rStyle w:val="Hyperlink"/>
            <w:rFonts w:eastAsia="Times New Roman"/>
            <w:szCs w:val="21"/>
          </w:rPr>
          <w:t>N</w:t>
        </w:r>
        <w:r w:rsidR="00134C4B" w:rsidRPr="001117A4">
          <w:rPr>
            <w:rStyle w:val="Hyperlink"/>
            <w:rFonts w:eastAsia="Times New Roman"/>
            <w:szCs w:val="21"/>
          </w:rPr>
          <w:t>YSE</w:t>
        </w:r>
        <w:r w:rsidR="00FF2571" w:rsidRPr="001117A4">
          <w:rPr>
            <w:rStyle w:val="Hyperlink"/>
            <w:rFonts w:eastAsia="Times New Roman"/>
            <w:szCs w:val="21"/>
          </w:rPr>
          <w:t xml:space="preserve">: </w:t>
        </w:r>
        <w:r w:rsidR="00134C4B" w:rsidRPr="001117A4">
          <w:rPr>
            <w:rStyle w:val="Hyperlink"/>
            <w:rFonts w:eastAsia="Times New Roman"/>
            <w:szCs w:val="21"/>
          </w:rPr>
          <w:t>X</w:t>
        </w:r>
      </w:hyperlink>
      <w:r w:rsidR="00E153A5">
        <w:rPr>
          <w:rFonts w:eastAsia="Times New Roman"/>
          <w:szCs w:val="21"/>
        </w:rPr>
        <w:t>)</w:t>
      </w:r>
      <w:r w:rsidR="0085763F">
        <w:rPr>
          <w:rFonts w:eastAsia="Times New Roman"/>
          <w:szCs w:val="21"/>
        </w:rPr>
        <w:t xml:space="preserve"> (“</w:t>
      </w:r>
      <w:r w:rsidR="00134C4B">
        <w:rPr>
          <w:rFonts w:eastAsia="Times New Roman"/>
          <w:szCs w:val="21"/>
        </w:rPr>
        <w:t>US Steel</w:t>
      </w:r>
      <w:r w:rsidR="00267CAC">
        <w:rPr>
          <w:rFonts w:eastAsia="Times New Roman"/>
          <w:szCs w:val="21"/>
        </w:rPr>
        <w:t>”</w:t>
      </w:r>
      <w:r w:rsidR="00BF66AD">
        <w:rPr>
          <w:rFonts w:eastAsia="Times New Roman"/>
          <w:szCs w:val="21"/>
        </w:rPr>
        <w:t>)</w:t>
      </w:r>
      <w:r w:rsidRPr="00F70547">
        <w:rPr>
          <w:rFonts w:eastAsia="Times New Roman"/>
          <w:szCs w:val="21"/>
        </w:rPr>
        <w:t>.</w:t>
      </w:r>
      <w:r w:rsidR="00C3403B">
        <w:rPr>
          <w:rFonts w:eastAsia="Times New Roman"/>
          <w:szCs w:val="21"/>
        </w:rPr>
        <w:t xml:space="preserve"> </w:t>
      </w:r>
    </w:p>
    <w:p w14:paraId="07BD1991" w14:textId="167A3F0B" w:rsidR="00134C4B" w:rsidRPr="00134C4B" w:rsidRDefault="00134C4B" w:rsidP="00134C4B">
      <w:pPr>
        <w:spacing w:before="240"/>
        <w:jc w:val="both"/>
        <w:rPr>
          <w:rFonts w:eastAsia="Times New Roman"/>
          <w:bCs/>
          <w:iCs/>
          <w:szCs w:val="21"/>
        </w:rPr>
      </w:pPr>
      <w:r w:rsidRPr="00134C4B">
        <w:rPr>
          <w:rFonts w:eastAsia="Times New Roman"/>
          <w:bCs/>
          <w:iCs/>
          <w:szCs w:val="21"/>
        </w:rPr>
        <w:t xml:space="preserve">On December 18, 2023, US Steel disclosed that it had entered into an agreement to be acquired by Nippon Steel Corporation (“Nippon”) in an all-cash transaction at $55.00 per share, subject to “customary” approvals and conditions. </w:t>
      </w:r>
      <w:r w:rsidR="00CE6B28">
        <w:rPr>
          <w:rFonts w:eastAsia="Times New Roman"/>
          <w:bCs/>
          <w:iCs/>
          <w:szCs w:val="21"/>
        </w:rPr>
        <w:t xml:space="preserve">  </w:t>
      </w:r>
      <w:r>
        <w:rPr>
          <w:rFonts w:eastAsia="Times New Roman"/>
          <w:bCs/>
          <w:iCs/>
          <w:szCs w:val="21"/>
        </w:rPr>
        <w:t>O</w:t>
      </w:r>
      <w:r w:rsidRPr="00134C4B">
        <w:rPr>
          <w:rFonts w:eastAsia="Times New Roman"/>
          <w:bCs/>
          <w:iCs/>
          <w:szCs w:val="21"/>
        </w:rPr>
        <w:t>n March 13, 2024, reports emerged that the deal between US Steel and Nippon was subject to more than “customary” conditions, including National Security conditions</w:t>
      </w:r>
      <w:r>
        <w:rPr>
          <w:rFonts w:eastAsia="Times New Roman"/>
          <w:bCs/>
          <w:iCs/>
          <w:szCs w:val="21"/>
        </w:rPr>
        <w:t xml:space="preserve">. </w:t>
      </w:r>
      <w:r w:rsidRPr="00134C4B">
        <w:rPr>
          <w:rFonts w:eastAsia="Times New Roman"/>
          <w:bCs/>
          <w:iCs/>
          <w:szCs w:val="21"/>
        </w:rPr>
        <w:t>On this news, US Steel’s stock price fell $5.98, or 12.8%, to close at $40.86 per share on March 13, 2024</w:t>
      </w:r>
      <w:r>
        <w:rPr>
          <w:rFonts w:eastAsia="Times New Roman"/>
          <w:bCs/>
          <w:iCs/>
          <w:szCs w:val="21"/>
        </w:rPr>
        <w:t>.</w:t>
      </w:r>
    </w:p>
    <w:p w14:paraId="51B1056A" w14:textId="41A7EA83" w:rsidR="00134C4B" w:rsidRPr="00134C4B" w:rsidRDefault="00134C4B" w:rsidP="00134C4B">
      <w:pPr>
        <w:spacing w:before="240"/>
        <w:jc w:val="both"/>
        <w:rPr>
          <w:rFonts w:eastAsia="Times New Roman"/>
          <w:bCs/>
          <w:iCs/>
          <w:szCs w:val="21"/>
        </w:rPr>
      </w:pPr>
      <w:r>
        <w:rPr>
          <w:rFonts w:eastAsia="Times New Roman"/>
          <w:bCs/>
          <w:iCs/>
          <w:szCs w:val="21"/>
        </w:rPr>
        <w:t>Then, o</w:t>
      </w:r>
      <w:r w:rsidRPr="00134C4B">
        <w:rPr>
          <w:rFonts w:eastAsia="Times New Roman"/>
          <w:bCs/>
          <w:iCs/>
          <w:szCs w:val="21"/>
        </w:rPr>
        <w:t>n May 21, 2024, US Steel disclosed that the deal with Nippon is, indeed, subject to National Security conditions and not merely “customary.”</w:t>
      </w:r>
    </w:p>
    <w:p w14:paraId="4D550DDD" w14:textId="351C7684" w:rsidR="00802D1F" w:rsidRPr="00297A64" w:rsidRDefault="00F54DA9" w:rsidP="00FA7085">
      <w:pPr>
        <w:spacing w:before="240"/>
        <w:jc w:val="both"/>
        <w:rPr>
          <w:color w:val="0000FF"/>
        </w:rPr>
      </w:pPr>
      <w:r>
        <w:rPr>
          <w:rFonts w:eastAsia="Times New Roman"/>
          <w:b/>
          <w:i/>
          <w:szCs w:val="21"/>
        </w:rPr>
        <w:t xml:space="preserve">If you </w:t>
      </w:r>
      <w:r w:rsidR="00802CEA">
        <w:rPr>
          <w:rFonts w:eastAsia="Times New Roman"/>
          <w:b/>
          <w:i/>
          <w:szCs w:val="21"/>
        </w:rPr>
        <w:t>a</w:t>
      </w:r>
      <w:r w:rsidR="000C182D">
        <w:rPr>
          <w:rFonts w:eastAsia="Times New Roman"/>
          <w:b/>
          <w:i/>
          <w:szCs w:val="21"/>
        </w:rPr>
        <w:t>r</w:t>
      </w:r>
      <w:r w:rsidR="00521CC6">
        <w:rPr>
          <w:rFonts w:eastAsia="Times New Roman"/>
          <w:b/>
          <w:i/>
          <w:szCs w:val="21"/>
        </w:rPr>
        <w:t>e a</w:t>
      </w:r>
      <w:r w:rsidR="00405298">
        <w:rPr>
          <w:rFonts w:eastAsia="Times New Roman"/>
          <w:b/>
          <w:i/>
          <w:szCs w:val="21"/>
        </w:rPr>
        <w:t xml:space="preserve"> </w:t>
      </w:r>
      <w:r w:rsidR="00134C4B">
        <w:rPr>
          <w:rFonts w:eastAsia="Times New Roman"/>
          <w:b/>
          <w:i/>
          <w:szCs w:val="21"/>
        </w:rPr>
        <w:t>US Steel</w:t>
      </w:r>
      <w:r w:rsidR="005332E1">
        <w:rPr>
          <w:rFonts w:eastAsia="Times New Roman"/>
          <w:b/>
          <w:i/>
          <w:szCs w:val="21"/>
        </w:rPr>
        <w:t xml:space="preserve"> investor </w:t>
      </w:r>
      <w:r w:rsidR="009A31DF" w:rsidRPr="006B725E">
        <w:rPr>
          <w:rFonts w:eastAsia="Times New Roman"/>
          <w:b/>
          <w:i/>
          <w:szCs w:val="21"/>
        </w:rPr>
        <w:t xml:space="preserve">and would like to learn more about our investigation, please </w:t>
      </w:r>
      <w:hyperlink r:id="rId8" w:history="1">
        <w:r w:rsidR="007B2CDD" w:rsidRPr="00FA7085">
          <w:rPr>
            <w:rStyle w:val="Hyperlink"/>
            <w:rFonts w:eastAsia="Times New Roman"/>
            <w:b/>
            <w:i/>
            <w:szCs w:val="21"/>
          </w:rPr>
          <w:t>CLICK HERE</w:t>
        </w:r>
      </w:hyperlink>
      <w:r w:rsidR="007B2CDD">
        <w:rPr>
          <w:rFonts w:eastAsia="Times New Roman"/>
          <w:b/>
          <w:i/>
          <w:szCs w:val="21"/>
        </w:rPr>
        <w:t xml:space="preserve"> to fill out our online form or </w:t>
      </w:r>
      <w:r w:rsidR="009A31DF" w:rsidRPr="006B725E">
        <w:rPr>
          <w:rFonts w:eastAsia="Times New Roman"/>
          <w:b/>
          <w:i/>
          <w:szCs w:val="21"/>
        </w:rPr>
        <w:t xml:space="preserve">contact </w:t>
      </w:r>
      <w:r w:rsidR="009A31DF" w:rsidRPr="000A6E42">
        <w:rPr>
          <w:b/>
          <w:i/>
        </w:rPr>
        <w:t>Kessler Topaz Meltzer &amp; Check, LLP:  J</w:t>
      </w:r>
      <w:r w:rsidR="00BF66AD">
        <w:rPr>
          <w:b/>
          <w:i/>
        </w:rPr>
        <w:t>onathan Naji</w:t>
      </w:r>
      <w:r w:rsidR="00EC725E">
        <w:rPr>
          <w:b/>
          <w:i/>
        </w:rPr>
        <w:t xml:space="preserve">, Esq. (484) 270-1453 or </w:t>
      </w:r>
      <w:r w:rsidR="007B2CDD">
        <w:rPr>
          <w:b/>
          <w:i/>
        </w:rPr>
        <w:t>E</w:t>
      </w:r>
      <w:r w:rsidR="009A31DF" w:rsidRPr="000A6E42">
        <w:rPr>
          <w:b/>
          <w:i/>
        </w:rPr>
        <w:t xml:space="preserve">-mail at </w:t>
      </w:r>
      <w:hyperlink r:id="rId9" w:history="1">
        <w:r w:rsidR="00596591" w:rsidRPr="00596591">
          <w:rPr>
            <w:rStyle w:val="Hyperlink"/>
            <w:b/>
            <w:i/>
            <w:color w:val="0000FF"/>
          </w:rPr>
          <w:t>info@ktmc.com</w:t>
        </w:r>
      </w:hyperlink>
      <w:r w:rsidR="007B2CDD">
        <w:rPr>
          <w:b/>
          <w:i/>
        </w:rPr>
        <w:t>.</w:t>
      </w:r>
      <w:r w:rsidR="00596591">
        <w:rPr>
          <w:b/>
          <w:i/>
        </w:rPr>
        <w:t xml:space="preserve"> </w:t>
      </w:r>
      <w:r w:rsidR="00596591" w:rsidRPr="00D51A3C">
        <w:rPr>
          <w:rFonts w:eastAsia="Times New Roman"/>
          <w:b/>
          <w:i/>
          <w:szCs w:val="21"/>
        </w:rPr>
        <w:t>You can also click on the following link</w:t>
      </w:r>
      <w:r w:rsidR="00596591">
        <w:rPr>
          <w:rFonts w:eastAsia="Times New Roman"/>
          <w:b/>
          <w:i/>
          <w:szCs w:val="21"/>
        </w:rPr>
        <w:t xml:space="preserve"> or paste it in your browser</w:t>
      </w:r>
      <w:r w:rsidR="00596591" w:rsidRPr="00D51A3C">
        <w:rPr>
          <w:rFonts w:eastAsia="Times New Roman"/>
          <w:b/>
          <w:i/>
          <w:szCs w:val="21"/>
        </w:rPr>
        <w:t>:</w:t>
      </w:r>
      <w:r w:rsidR="00596591">
        <w:rPr>
          <w:rFonts w:eastAsia="Times New Roman"/>
          <w:b/>
          <w:szCs w:val="21"/>
        </w:rPr>
        <w:t xml:space="preserve"> </w:t>
      </w:r>
      <w:r w:rsidR="00596591">
        <w:rPr>
          <w:b/>
          <w:i/>
        </w:rPr>
        <w:t xml:space="preserve"> </w:t>
      </w:r>
      <w:r w:rsidR="00E70282">
        <w:rPr>
          <w:rFonts w:eastAsia="Times New Roman"/>
          <w:b/>
          <w:szCs w:val="21"/>
        </w:rPr>
        <w:t xml:space="preserve"> </w:t>
      </w:r>
      <w:r w:rsidR="00FA7085">
        <w:t> </w:t>
      </w:r>
      <w:hyperlink r:id="rId10" w:history="1">
        <w:r w:rsidR="00FA7085" w:rsidRPr="0085136D">
          <w:rPr>
            <w:rStyle w:val="Hyperlink"/>
            <w:color w:val="0000FF"/>
          </w:rPr>
          <w:t>https://www.ktmc.com/new-cases/united-states-steel-corporation-1?utm_source=PR&amp;utm_medium=link&amp;utm_campaign=x&amp;mktm=r</w:t>
        </w:r>
      </w:hyperlink>
    </w:p>
    <w:p w14:paraId="06105946" w14:textId="77777777" w:rsidR="00297A64" w:rsidRDefault="00297A64" w:rsidP="00832127">
      <w:pPr>
        <w:jc w:val="both"/>
        <w:rPr>
          <w:rFonts w:eastAsia="Times New Roman"/>
          <w:szCs w:val="21"/>
        </w:rPr>
      </w:pPr>
    </w:p>
    <w:p w14:paraId="5301B1A6" w14:textId="0EE86FA9" w:rsidR="00F70547" w:rsidRDefault="00D47C7D" w:rsidP="00832127">
      <w:pPr>
        <w:jc w:val="both"/>
        <w:rPr>
          <w:rFonts w:eastAsia="Times New Roman"/>
          <w:szCs w:val="21"/>
        </w:rPr>
      </w:pPr>
      <w:r>
        <w:rPr>
          <w:rFonts w:eastAsia="Times New Roman"/>
          <w:szCs w:val="21"/>
        </w:rPr>
        <w:t xml:space="preserve">Kessler </w:t>
      </w:r>
      <w:r w:rsidR="009A31DF" w:rsidRPr="00F70547">
        <w:rPr>
          <w:rFonts w:eastAsia="Times New Roman"/>
          <w:szCs w:val="21"/>
        </w:rPr>
        <w:t>Topaz Meltzer &amp; Check</w:t>
      </w:r>
      <w:r w:rsidR="009A31DF">
        <w:rPr>
          <w:rFonts w:eastAsia="Times New Roman"/>
          <w:szCs w:val="21"/>
        </w:rPr>
        <w:t>, LLP</w:t>
      </w:r>
      <w:r w:rsidR="009A31DF" w:rsidRPr="00F70547">
        <w:rPr>
          <w:rFonts w:eastAsia="Times New Roman"/>
          <w:szCs w:val="21"/>
        </w:rPr>
        <w:t xml:space="preserve"> prosecutes class actions in state and federal courts throughout the country involving securities fraud, breaches of fiduciary duties and other violations of state and federal law. Kessler Topaz Meltzer &amp; Check</w:t>
      </w:r>
      <w:r w:rsidR="009A31DF">
        <w:rPr>
          <w:rFonts w:eastAsia="Times New Roman"/>
          <w:szCs w:val="21"/>
        </w:rPr>
        <w:t>, LLP</w:t>
      </w:r>
      <w:r w:rsidR="009A31DF" w:rsidRPr="00F70547">
        <w:rPr>
          <w:rFonts w:eastAsia="Times New Roman"/>
          <w:szCs w:val="21"/>
        </w:rPr>
        <w:t xml:space="preserve"> is a driving force behind corporate governance reform, and has recovered billions of dollars on behalf of institutional and individual investors from the United States and around the world.  The firm represents investors, consumers and whistleblowers (private citizens who report fraudulent practices against the government and share in the recovery of government dollars).  For more information about Kessler Topaz Meltzer &amp; Check, </w:t>
      </w:r>
      <w:r w:rsidR="009A31DF">
        <w:rPr>
          <w:rFonts w:eastAsia="Times New Roman"/>
          <w:szCs w:val="21"/>
        </w:rPr>
        <w:t xml:space="preserve">LLP, </w:t>
      </w:r>
      <w:r w:rsidR="009A31DF" w:rsidRPr="00F70547">
        <w:rPr>
          <w:rFonts w:eastAsia="Times New Roman"/>
          <w:szCs w:val="21"/>
        </w:rPr>
        <w:t>please visit</w:t>
      </w:r>
      <w:r w:rsidR="003B0C24">
        <w:rPr>
          <w:rFonts w:eastAsia="Times New Roman"/>
          <w:szCs w:val="21"/>
        </w:rPr>
        <w:t xml:space="preserve"> </w:t>
      </w:r>
      <w:hyperlink r:id="rId11" w:history="1">
        <w:r w:rsidR="007A0FB3" w:rsidRPr="007A0FB3">
          <w:rPr>
            <w:rStyle w:val="Hyperlink"/>
            <w:rFonts w:eastAsia="Times New Roman"/>
            <w:color w:val="0000FF"/>
            <w:szCs w:val="21"/>
          </w:rPr>
          <w:t>www.ktmc.com</w:t>
        </w:r>
      </w:hyperlink>
      <w:r w:rsidR="003B0C24">
        <w:rPr>
          <w:rFonts w:eastAsia="Times New Roman"/>
          <w:szCs w:val="21"/>
        </w:rPr>
        <w:t>.</w:t>
      </w:r>
      <w:r w:rsidR="007A0FB3">
        <w:rPr>
          <w:rFonts w:eastAsia="Times New Roman"/>
          <w:szCs w:val="21"/>
        </w:rPr>
        <w:t xml:space="preserve"> </w:t>
      </w:r>
      <w:r w:rsidR="003B0C24">
        <w:rPr>
          <w:rFonts w:eastAsia="Times New Roman"/>
          <w:szCs w:val="21"/>
        </w:rPr>
        <w:t xml:space="preserve"> </w:t>
      </w:r>
    </w:p>
    <w:p w14:paraId="03090965" w14:textId="77777777" w:rsidR="006B725E" w:rsidRDefault="009A31DF" w:rsidP="00832127">
      <w:pPr>
        <w:keepLines/>
        <w:spacing w:before="240"/>
        <w:rPr>
          <w:rFonts w:eastAsia="Times New Roman"/>
          <w:szCs w:val="21"/>
        </w:rPr>
      </w:pPr>
      <w:r w:rsidRPr="00F70547">
        <w:rPr>
          <w:rFonts w:eastAsia="Times New Roman"/>
          <w:szCs w:val="21"/>
        </w:rPr>
        <w:t>CONTACT:</w:t>
      </w:r>
    </w:p>
    <w:p w14:paraId="0CBA243D" w14:textId="29125C79" w:rsidR="0044724C" w:rsidRDefault="009A31DF" w:rsidP="00832127">
      <w:pPr>
        <w:keepLines/>
        <w:spacing w:before="240"/>
        <w:rPr>
          <w:rFonts w:eastAsia="Times New Roman"/>
          <w:color w:val="0000FF"/>
          <w:szCs w:val="21"/>
          <w:u w:val="single"/>
        </w:rPr>
      </w:pPr>
      <w:r w:rsidRPr="00F70547">
        <w:rPr>
          <w:rFonts w:eastAsia="Times New Roman"/>
          <w:szCs w:val="21"/>
        </w:rPr>
        <w:t>Kessler Topaz Melt</w:t>
      </w:r>
      <w:r w:rsidR="00BF66AD">
        <w:rPr>
          <w:rFonts w:eastAsia="Times New Roman"/>
          <w:szCs w:val="21"/>
        </w:rPr>
        <w:t>zer &amp; Check, LLP</w:t>
      </w:r>
      <w:r w:rsidR="00BF66AD">
        <w:rPr>
          <w:rFonts w:eastAsia="Times New Roman"/>
          <w:szCs w:val="21"/>
        </w:rPr>
        <w:br/>
        <w:t>Jonathan Naji</w:t>
      </w:r>
      <w:r w:rsidRPr="00F70547">
        <w:rPr>
          <w:rFonts w:eastAsia="Times New Roman"/>
          <w:szCs w:val="21"/>
        </w:rPr>
        <w:t>, Esq.</w:t>
      </w:r>
      <w:r w:rsidRPr="00F70547">
        <w:rPr>
          <w:rFonts w:eastAsia="Times New Roman"/>
          <w:szCs w:val="21"/>
        </w:rPr>
        <w:br/>
        <w:t>280 King of Prussia Road</w:t>
      </w:r>
      <w:r w:rsidRPr="00F70547">
        <w:rPr>
          <w:rFonts w:eastAsia="Times New Roman"/>
          <w:szCs w:val="21"/>
        </w:rPr>
        <w:br/>
        <w:t>Radnor, PA 19087</w:t>
      </w:r>
      <w:r w:rsidRPr="00F70547">
        <w:rPr>
          <w:rFonts w:eastAsia="Times New Roman"/>
          <w:szCs w:val="21"/>
        </w:rPr>
        <w:br/>
      </w:r>
      <w:r w:rsidR="00EC725E">
        <w:rPr>
          <w:rFonts w:eastAsia="Times New Roman"/>
          <w:szCs w:val="21"/>
        </w:rPr>
        <w:t>(484) 270-1453</w:t>
      </w:r>
      <w:r w:rsidRPr="00F70547">
        <w:rPr>
          <w:rFonts w:eastAsia="Times New Roman"/>
          <w:szCs w:val="21"/>
        </w:rPr>
        <w:br/>
      </w:r>
      <w:hyperlink r:id="rId12" w:tgtFrame="_blank" w:history="1">
        <w:r w:rsidRPr="00F70547">
          <w:rPr>
            <w:rFonts w:eastAsia="Times New Roman"/>
            <w:color w:val="0000FF"/>
            <w:szCs w:val="21"/>
            <w:u w:val="single"/>
          </w:rPr>
          <w:t>info@ktmc.com</w:t>
        </w:r>
      </w:hyperlink>
    </w:p>
    <w:p w14:paraId="09568E01" w14:textId="77777777" w:rsidR="007664EF" w:rsidRDefault="007664EF" w:rsidP="007664EF">
      <w:bookmarkStart w:id="0" w:name="_Hlk165382615"/>
    </w:p>
    <w:p w14:paraId="4072671F" w14:textId="78F5D0C2" w:rsidR="007664EF" w:rsidRDefault="007664EF" w:rsidP="007664EF">
      <w:r w:rsidRPr="00B80E76">
        <w:t>May be considered attorney advertising in certain jurisdictions.  Past results do not guarantee future outcomes.</w:t>
      </w:r>
      <w:bookmarkEnd w:id="0"/>
    </w:p>
    <w:sectPr w:rsidR="007664E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050D27"/>
    <w:multiLevelType w:val="hybridMultilevel"/>
    <w:tmpl w:val="63FAC218"/>
    <w:lvl w:ilvl="0" w:tplc="F98C2F06">
      <w:start w:val="1"/>
      <w:numFmt w:val="decimal"/>
      <w:pStyle w:val="Heading1"/>
      <w:lvlText w:val="%1."/>
      <w:lvlJc w:val="left"/>
      <w:pPr>
        <w:ind w:left="720" w:hanging="360"/>
      </w:pPr>
    </w:lvl>
    <w:lvl w:ilvl="1" w:tplc="6128AB84" w:tentative="1">
      <w:start w:val="1"/>
      <w:numFmt w:val="lowerLetter"/>
      <w:lvlText w:val="%2."/>
      <w:lvlJc w:val="left"/>
      <w:pPr>
        <w:ind w:left="1440" w:hanging="360"/>
      </w:pPr>
    </w:lvl>
    <w:lvl w:ilvl="2" w:tplc="947827BC" w:tentative="1">
      <w:start w:val="1"/>
      <w:numFmt w:val="lowerRoman"/>
      <w:lvlText w:val="%3."/>
      <w:lvlJc w:val="right"/>
      <w:pPr>
        <w:ind w:left="2160" w:hanging="180"/>
      </w:pPr>
    </w:lvl>
    <w:lvl w:ilvl="3" w:tplc="ABFC7C5C" w:tentative="1">
      <w:start w:val="1"/>
      <w:numFmt w:val="decimal"/>
      <w:lvlText w:val="%4."/>
      <w:lvlJc w:val="left"/>
      <w:pPr>
        <w:ind w:left="2880" w:hanging="360"/>
      </w:pPr>
    </w:lvl>
    <w:lvl w:ilvl="4" w:tplc="3968C05A" w:tentative="1">
      <w:start w:val="1"/>
      <w:numFmt w:val="lowerLetter"/>
      <w:lvlText w:val="%5."/>
      <w:lvlJc w:val="left"/>
      <w:pPr>
        <w:ind w:left="3600" w:hanging="360"/>
      </w:pPr>
    </w:lvl>
    <w:lvl w:ilvl="5" w:tplc="F27C3226" w:tentative="1">
      <w:start w:val="1"/>
      <w:numFmt w:val="lowerRoman"/>
      <w:lvlText w:val="%6."/>
      <w:lvlJc w:val="right"/>
      <w:pPr>
        <w:ind w:left="4320" w:hanging="180"/>
      </w:pPr>
    </w:lvl>
    <w:lvl w:ilvl="6" w:tplc="68DA1170" w:tentative="1">
      <w:start w:val="1"/>
      <w:numFmt w:val="decimal"/>
      <w:lvlText w:val="%7."/>
      <w:lvlJc w:val="left"/>
      <w:pPr>
        <w:ind w:left="5040" w:hanging="360"/>
      </w:pPr>
    </w:lvl>
    <w:lvl w:ilvl="7" w:tplc="38B2821A" w:tentative="1">
      <w:start w:val="1"/>
      <w:numFmt w:val="lowerLetter"/>
      <w:lvlText w:val="%8."/>
      <w:lvlJc w:val="left"/>
      <w:pPr>
        <w:ind w:left="5760" w:hanging="360"/>
      </w:pPr>
    </w:lvl>
    <w:lvl w:ilvl="8" w:tplc="9BA6A66E" w:tentative="1">
      <w:start w:val="1"/>
      <w:numFmt w:val="lowerRoman"/>
      <w:lvlText w:val="%9."/>
      <w:lvlJc w:val="right"/>
      <w:pPr>
        <w:ind w:left="6480" w:hanging="180"/>
      </w:pPr>
    </w:lvl>
  </w:abstractNum>
  <w:abstractNum w:abstractNumId="1" w15:restartNumberingAfterBreak="0">
    <w:nsid w:val="1F5A79C7"/>
    <w:multiLevelType w:val="multilevel"/>
    <w:tmpl w:val="7B2CBD84"/>
    <w:lvl w:ilvl="0">
      <w:start w:val="1"/>
      <w:numFmt w:val="decimal"/>
      <w:lvlText w:val="%1."/>
      <w:lvlJc w:val="left"/>
      <w:pPr>
        <w:ind w:left="0" w:firstLine="720"/>
      </w:pPr>
      <w:rPr>
        <w:rFonts w:cs="Times New Roman" w:hint="default"/>
      </w:rPr>
    </w:lvl>
    <w:lvl w:ilvl="1">
      <w:start w:val="1"/>
      <w:numFmt w:val="lowerLetter"/>
      <w:lvlText w:val="%2."/>
      <w:lvlJc w:val="left"/>
      <w:pPr>
        <w:ind w:left="0" w:firstLine="1440"/>
      </w:pPr>
      <w:rPr>
        <w:rFonts w:cs="Times New Roman" w:hint="default"/>
      </w:rPr>
    </w:lvl>
    <w:lvl w:ilvl="2">
      <w:start w:val="1"/>
      <w:numFmt w:val="lowerRoman"/>
      <w:lvlText w:val="%3."/>
      <w:lvlJc w:val="right"/>
      <w:pPr>
        <w:ind w:left="2347" w:firstLine="173"/>
      </w:pPr>
      <w:rPr>
        <w:rFonts w:cs="Times New Roman" w:hint="default"/>
      </w:rPr>
    </w:lvl>
    <w:lvl w:ilvl="3">
      <w:start w:val="1"/>
      <w:numFmt w:val="upperLetter"/>
      <w:lvlText w:val="%4."/>
      <w:lvlJc w:val="left"/>
      <w:pPr>
        <w:ind w:left="3600" w:hanging="720"/>
      </w:pPr>
      <w:rPr>
        <w:rFonts w:cs="Times New Roman" w:hint="default"/>
      </w:rPr>
    </w:lvl>
    <w:lvl w:ilvl="4">
      <w:start w:val="1"/>
      <w:numFmt w:val="decimal"/>
      <w:lvlText w:val="%5."/>
      <w:lvlJc w:val="left"/>
      <w:pPr>
        <w:ind w:left="4320" w:hanging="720"/>
      </w:pPr>
      <w:rPr>
        <w:rFonts w:cs="Times New Roman" w:hint="default"/>
      </w:rPr>
    </w:lvl>
    <w:lvl w:ilvl="5">
      <w:start w:val="1"/>
      <w:numFmt w:val="lowerRoman"/>
      <w:lvlText w:val="%6."/>
      <w:lvlJc w:val="right"/>
      <w:pPr>
        <w:ind w:left="4320" w:firstLine="0"/>
      </w:pPr>
      <w:rPr>
        <w:rFonts w:cs="Times New Roman" w:hint="default"/>
      </w:rPr>
    </w:lvl>
    <w:lvl w:ilvl="6">
      <w:start w:val="1"/>
      <w:numFmt w:val="decimal"/>
      <w:lvlText w:val="%7."/>
      <w:lvlJc w:val="left"/>
      <w:pPr>
        <w:ind w:left="5040" w:firstLine="0"/>
      </w:pPr>
      <w:rPr>
        <w:rFonts w:cs="Times New Roman" w:hint="default"/>
      </w:rPr>
    </w:lvl>
    <w:lvl w:ilvl="7">
      <w:start w:val="1"/>
      <w:numFmt w:val="lowerLetter"/>
      <w:lvlText w:val="%8."/>
      <w:lvlJc w:val="left"/>
      <w:pPr>
        <w:ind w:left="5760" w:firstLine="0"/>
      </w:pPr>
      <w:rPr>
        <w:rFonts w:cs="Times New Roman" w:hint="default"/>
      </w:rPr>
    </w:lvl>
    <w:lvl w:ilvl="8">
      <w:start w:val="1"/>
      <w:numFmt w:val="lowerRoman"/>
      <w:lvlText w:val="%9."/>
      <w:lvlJc w:val="right"/>
      <w:pPr>
        <w:ind w:left="6480" w:firstLine="0"/>
      </w:pPr>
      <w:rPr>
        <w:rFonts w:cs="Times New Roman" w:hint="default"/>
      </w:rPr>
    </w:lvl>
  </w:abstractNum>
  <w:abstractNum w:abstractNumId="2" w15:restartNumberingAfterBreak="0">
    <w:nsid w:val="268E51A2"/>
    <w:multiLevelType w:val="hybridMultilevel"/>
    <w:tmpl w:val="56AEA3E2"/>
    <w:lvl w:ilvl="0" w:tplc="22709A70">
      <w:start w:val="1"/>
      <w:numFmt w:val="lowerRoman"/>
      <w:pStyle w:val="Heading3"/>
      <w:lvlText w:val="%1."/>
      <w:lvlJc w:val="left"/>
      <w:pPr>
        <w:ind w:left="2520" w:hanging="360"/>
      </w:pPr>
      <w:rPr>
        <w:rFonts w:hint="default"/>
      </w:rPr>
    </w:lvl>
    <w:lvl w:ilvl="1" w:tplc="20C0D504" w:tentative="1">
      <w:start w:val="1"/>
      <w:numFmt w:val="lowerLetter"/>
      <w:lvlText w:val="%2."/>
      <w:lvlJc w:val="left"/>
      <w:pPr>
        <w:ind w:left="1440" w:hanging="360"/>
      </w:pPr>
    </w:lvl>
    <w:lvl w:ilvl="2" w:tplc="BBEA78DC" w:tentative="1">
      <w:start w:val="1"/>
      <w:numFmt w:val="lowerRoman"/>
      <w:lvlText w:val="%3."/>
      <w:lvlJc w:val="right"/>
      <w:pPr>
        <w:ind w:left="2160" w:hanging="180"/>
      </w:pPr>
    </w:lvl>
    <w:lvl w:ilvl="3" w:tplc="0D82853C" w:tentative="1">
      <w:start w:val="1"/>
      <w:numFmt w:val="decimal"/>
      <w:lvlText w:val="%4."/>
      <w:lvlJc w:val="left"/>
      <w:pPr>
        <w:ind w:left="2880" w:hanging="360"/>
      </w:pPr>
    </w:lvl>
    <w:lvl w:ilvl="4" w:tplc="D38E98F2" w:tentative="1">
      <w:start w:val="1"/>
      <w:numFmt w:val="lowerLetter"/>
      <w:lvlText w:val="%5."/>
      <w:lvlJc w:val="left"/>
      <w:pPr>
        <w:ind w:left="3600" w:hanging="360"/>
      </w:pPr>
    </w:lvl>
    <w:lvl w:ilvl="5" w:tplc="15E094FA" w:tentative="1">
      <w:start w:val="1"/>
      <w:numFmt w:val="lowerRoman"/>
      <w:lvlText w:val="%6."/>
      <w:lvlJc w:val="right"/>
      <w:pPr>
        <w:ind w:left="4320" w:hanging="180"/>
      </w:pPr>
    </w:lvl>
    <w:lvl w:ilvl="6" w:tplc="D5C46F20" w:tentative="1">
      <w:start w:val="1"/>
      <w:numFmt w:val="decimal"/>
      <w:lvlText w:val="%7."/>
      <w:lvlJc w:val="left"/>
      <w:pPr>
        <w:ind w:left="5040" w:hanging="360"/>
      </w:pPr>
    </w:lvl>
    <w:lvl w:ilvl="7" w:tplc="97A631DA" w:tentative="1">
      <w:start w:val="1"/>
      <w:numFmt w:val="lowerLetter"/>
      <w:lvlText w:val="%8."/>
      <w:lvlJc w:val="left"/>
      <w:pPr>
        <w:ind w:left="5760" w:hanging="360"/>
      </w:pPr>
    </w:lvl>
    <w:lvl w:ilvl="8" w:tplc="FDDC873A" w:tentative="1">
      <w:start w:val="1"/>
      <w:numFmt w:val="lowerRoman"/>
      <w:lvlText w:val="%9."/>
      <w:lvlJc w:val="right"/>
      <w:pPr>
        <w:ind w:left="6480" w:hanging="180"/>
      </w:pPr>
    </w:lvl>
  </w:abstractNum>
  <w:abstractNum w:abstractNumId="3" w15:restartNumberingAfterBreak="0">
    <w:nsid w:val="66B2749B"/>
    <w:multiLevelType w:val="hybridMultilevel"/>
    <w:tmpl w:val="600E8DB8"/>
    <w:lvl w:ilvl="0" w:tplc="2A148EA6">
      <w:start w:val="1"/>
      <w:numFmt w:val="lowerLetter"/>
      <w:pStyle w:val="Heading2"/>
      <w:lvlText w:val="%1."/>
      <w:lvlJc w:val="left"/>
      <w:pPr>
        <w:ind w:left="2160" w:hanging="360"/>
      </w:pPr>
    </w:lvl>
    <w:lvl w:ilvl="1" w:tplc="0FD0EA92" w:tentative="1">
      <w:start w:val="1"/>
      <w:numFmt w:val="lowerLetter"/>
      <w:lvlText w:val="%2."/>
      <w:lvlJc w:val="left"/>
      <w:pPr>
        <w:ind w:left="2880" w:hanging="360"/>
      </w:pPr>
    </w:lvl>
    <w:lvl w:ilvl="2" w:tplc="6A1E9500" w:tentative="1">
      <w:start w:val="1"/>
      <w:numFmt w:val="lowerRoman"/>
      <w:lvlText w:val="%3."/>
      <w:lvlJc w:val="right"/>
      <w:pPr>
        <w:ind w:left="3600" w:hanging="180"/>
      </w:pPr>
    </w:lvl>
    <w:lvl w:ilvl="3" w:tplc="95042D7E" w:tentative="1">
      <w:start w:val="1"/>
      <w:numFmt w:val="decimal"/>
      <w:lvlText w:val="%4."/>
      <w:lvlJc w:val="left"/>
      <w:pPr>
        <w:ind w:left="4320" w:hanging="360"/>
      </w:pPr>
    </w:lvl>
    <w:lvl w:ilvl="4" w:tplc="C59216EC" w:tentative="1">
      <w:start w:val="1"/>
      <w:numFmt w:val="lowerLetter"/>
      <w:lvlText w:val="%5."/>
      <w:lvlJc w:val="left"/>
      <w:pPr>
        <w:ind w:left="5040" w:hanging="360"/>
      </w:pPr>
    </w:lvl>
    <w:lvl w:ilvl="5" w:tplc="C9E01852" w:tentative="1">
      <w:start w:val="1"/>
      <w:numFmt w:val="lowerRoman"/>
      <w:lvlText w:val="%6."/>
      <w:lvlJc w:val="right"/>
      <w:pPr>
        <w:ind w:left="5760" w:hanging="180"/>
      </w:pPr>
    </w:lvl>
    <w:lvl w:ilvl="6" w:tplc="488E0788" w:tentative="1">
      <w:start w:val="1"/>
      <w:numFmt w:val="decimal"/>
      <w:lvlText w:val="%7."/>
      <w:lvlJc w:val="left"/>
      <w:pPr>
        <w:ind w:left="6480" w:hanging="360"/>
      </w:pPr>
    </w:lvl>
    <w:lvl w:ilvl="7" w:tplc="4800B6A2" w:tentative="1">
      <w:start w:val="1"/>
      <w:numFmt w:val="lowerLetter"/>
      <w:lvlText w:val="%8."/>
      <w:lvlJc w:val="left"/>
      <w:pPr>
        <w:ind w:left="7200" w:hanging="360"/>
      </w:pPr>
    </w:lvl>
    <w:lvl w:ilvl="8" w:tplc="E36C4FB0" w:tentative="1">
      <w:start w:val="1"/>
      <w:numFmt w:val="lowerRoman"/>
      <w:lvlText w:val="%9."/>
      <w:lvlJc w:val="right"/>
      <w:pPr>
        <w:ind w:left="7920" w:hanging="180"/>
      </w:pPr>
    </w:lvl>
  </w:abstractNum>
  <w:num w:numId="1">
    <w:abstractNumId w:val="1"/>
  </w:num>
  <w:num w:numId="2">
    <w:abstractNumId w:val="1"/>
  </w:num>
  <w:num w:numId="3">
    <w:abstractNumId w:val="1"/>
  </w:num>
  <w:num w:numId="4">
    <w:abstractNumId w:val="1"/>
  </w:num>
  <w:num w:numId="5">
    <w:abstractNumId w:val="1"/>
  </w:num>
  <w:num w:numId="6">
    <w:abstractNumId w:val="1"/>
  </w:num>
  <w:num w:numId="7">
    <w:abstractNumId w:val="1"/>
  </w:num>
  <w:num w:numId="8">
    <w:abstractNumId w:val="1"/>
  </w:num>
  <w:num w:numId="9">
    <w:abstractNumId w:val="1"/>
  </w:num>
  <w:num w:numId="10">
    <w:abstractNumId w:val="1"/>
  </w:num>
  <w:num w:numId="11">
    <w:abstractNumId w:val="1"/>
  </w:num>
  <w:num w:numId="12">
    <w:abstractNumId w:val="1"/>
  </w:num>
  <w:num w:numId="13">
    <w:abstractNumId w:val="1"/>
  </w:num>
  <w:num w:numId="14">
    <w:abstractNumId w:val="1"/>
  </w:num>
  <w:num w:numId="15">
    <w:abstractNumId w:val="1"/>
  </w:num>
  <w:num w:numId="16">
    <w:abstractNumId w:val="1"/>
  </w:num>
  <w:num w:numId="17">
    <w:abstractNumId w:val="1"/>
  </w:num>
  <w:num w:numId="18">
    <w:abstractNumId w:val="0"/>
  </w:num>
  <w:num w:numId="19">
    <w:abstractNumId w:val="3"/>
  </w:num>
  <w:num w:numId="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804" w:allStyles="0" w:customStyles="0" w:latentStyles="1" w:stylesInUse="0" w:headingStyles="0" w:numberingStyles="0" w:tableStyles="0" w:directFormattingOnRuns="0" w:directFormattingOnParagraphs="0" w:directFormattingOnNumbering="0" w:directFormattingOnTables="1" w:clearFormatting="1" w:top3HeadingStyles="1" w:visibleStyles="0" w:alternateStyleNames="0"/>
  <w:stylePaneSortMethod w:val="00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31DF"/>
    <w:rsid w:val="00005036"/>
    <w:rsid w:val="0001744A"/>
    <w:rsid w:val="00046262"/>
    <w:rsid w:val="000531ED"/>
    <w:rsid w:val="00053669"/>
    <w:rsid w:val="00060BC6"/>
    <w:rsid w:val="00063591"/>
    <w:rsid w:val="0007529D"/>
    <w:rsid w:val="000975B4"/>
    <w:rsid w:val="000C182D"/>
    <w:rsid w:val="000C542B"/>
    <w:rsid w:val="000E4C7C"/>
    <w:rsid w:val="001041EE"/>
    <w:rsid w:val="001117A4"/>
    <w:rsid w:val="00124C31"/>
    <w:rsid w:val="00132963"/>
    <w:rsid w:val="00134C4B"/>
    <w:rsid w:val="00152162"/>
    <w:rsid w:val="001564BF"/>
    <w:rsid w:val="00165CD1"/>
    <w:rsid w:val="001936FE"/>
    <w:rsid w:val="001A2F64"/>
    <w:rsid w:val="001B20C6"/>
    <w:rsid w:val="001B55F4"/>
    <w:rsid w:val="001C23B0"/>
    <w:rsid w:val="001D2EE1"/>
    <w:rsid w:val="001D6320"/>
    <w:rsid w:val="001E5A15"/>
    <w:rsid w:val="001E6E14"/>
    <w:rsid w:val="001F657D"/>
    <w:rsid w:val="00231EDC"/>
    <w:rsid w:val="002402E3"/>
    <w:rsid w:val="002437BF"/>
    <w:rsid w:val="0025450F"/>
    <w:rsid w:val="00265A58"/>
    <w:rsid w:val="00267CAC"/>
    <w:rsid w:val="00276824"/>
    <w:rsid w:val="002876AA"/>
    <w:rsid w:val="00297A64"/>
    <w:rsid w:val="002B0909"/>
    <w:rsid w:val="002B79B4"/>
    <w:rsid w:val="002D52B1"/>
    <w:rsid w:val="002E666F"/>
    <w:rsid w:val="002F7782"/>
    <w:rsid w:val="003023F0"/>
    <w:rsid w:val="0030365E"/>
    <w:rsid w:val="003114B2"/>
    <w:rsid w:val="00316372"/>
    <w:rsid w:val="00326C15"/>
    <w:rsid w:val="00375662"/>
    <w:rsid w:val="00383A28"/>
    <w:rsid w:val="003875D7"/>
    <w:rsid w:val="003878FA"/>
    <w:rsid w:val="00391084"/>
    <w:rsid w:val="003B0C24"/>
    <w:rsid w:val="003C568D"/>
    <w:rsid w:val="003C705B"/>
    <w:rsid w:val="003F033E"/>
    <w:rsid w:val="003F2531"/>
    <w:rsid w:val="003F4512"/>
    <w:rsid w:val="00405298"/>
    <w:rsid w:val="00407027"/>
    <w:rsid w:val="00447E36"/>
    <w:rsid w:val="00457D6A"/>
    <w:rsid w:val="0049413C"/>
    <w:rsid w:val="004B38B8"/>
    <w:rsid w:val="004B766B"/>
    <w:rsid w:val="004C39EE"/>
    <w:rsid w:val="004C6C8D"/>
    <w:rsid w:val="004E1711"/>
    <w:rsid w:val="004E2C1C"/>
    <w:rsid w:val="00502A40"/>
    <w:rsid w:val="00521CC6"/>
    <w:rsid w:val="00524332"/>
    <w:rsid w:val="005332E1"/>
    <w:rsid w:val="00536422"/>
    <w:rsid w:val="00544050"/>
    <w:rsid w:val="00544693"/>
    <w:rsid w:val="0057473D"/>
    <w:rsid w:val="00596591"/>
    <w:rsid w:val="005C6D59"/>
    <w:rsid w:val="005E7ADD"/>
    <w:rsid w:val="005F045D"/>
    <w:rsid w:val="005F54D8"/>
    <w:rsid w:val="0066485A"/>
    <w:rsid w:val="00676BC7"/>
    <w:rsid w:val="006E15EA"/>
    <w:rsid w:val="006F1B41"/>
    <w:rsid w:val="007409CF"/>
    <w:rsid w:val="00745B44"/>
    <w:rsid w:val="007604C3"/>
    <w:rsid w:val="007664EF"/>
    <w:rsid w:val="007A0E83"/>
    <w:rsid w:val="007A0FB3"/>
    <w:rsid w:val="007A1677"/>
    <w:rsid w:val="007A51EC"/>
    <w:rsid w:val="007B2CDD"/>
    <w:rsid w:val="007B5C14"/>
    <w:rsid w:val="007E345C"/>
    <w:rsid w:val="007F2D28"/>
    <w:rsid w:val="00802CEA"/>
    <w:rsid w:val="00817E8F"/>
    <w:rsid w:val="00832127"/>
    <w:rsid w:val="00846940"/>
    <w:rsid w:val="00847250"/>
    <w:rsid w:val="0085136D"/>
    <w:rsid w:val="0085763F"/>
    <w:rsid w:val="008908A4"/>
    <w:rsid w:val="008972D2"/>
    <w:rsid w:val="008B2547"/>
    <w:rsid w:val="008C0A7B"/>
    <w:rsid w:val="008D626D"/>
    <w:rsid w:val="008E2816"/>
    <w:rsid w:val="008E6FAE"/>
    <w:rsid w:val="009002F4"/>
    <w:rsid w:val="009623C5"/>
    <w:rsid w:val="009733DB"/>
    <w:rsid w:val="00993BFE"/>
    <w:rsid w:val="009A31DF"/>
    <w:rsid w:val="009B1BEE"/>
    <w:rsid w:val="009F1129"/>
    <w:rsid w:val="00A106BA"/>
    <w:rsid w:val="00A22FDD"/>
    <w:rsid w:val="00A24310"/>
    <w:rsid w:val="00A34CEF"/>
    <w:rsid w:val="00A43BE9"/>
    <w:rsid w:val="00A50B6D"/>
    <w:rsid w:val="00A71C4E"/>
    <w:rsid w:val="00A85A9B"/>
    <w:rsid w:val="00AA6BCD"/>
    <w:rsid w:val="00AB6FDF"/>
    <w:rsid w:val="00AC447F"/>
    <w:rsid w:val="00AD1EE6"/>
    <w:rsid w:val="00AF38C3"/>
    <w:rsid w:val="00B0618C"/>
    <w:rsid w:val="00B10EC0"/>
    <w:rsid w:val="00B21C68"/>
    <w:rsid w:val="00B34EDE"/>
    <w:rsid w:val="00B379BA"/>
    <w:rsid w:val="00B41CCB"/>
    <w:rsid w:val="00B41E1F"/>
    <w:rsid w:val="00B436B1"/>
    <w:rsid w:val="00B72BFB"/>
    <w:rsid w:val="00B75955"/>
    <w:rsid w:val="00B774D2"/>
    <w:rsid w:val="00B9173B"/>
    <w:rsid w:val="00B917FC"/>
    <w:rsid w:val="00BF66AD"/>
    <w:rsid w:val="00C000EC"/>
    <w:rsid w:val="00C05DAD"/>
    <w:rsid w:val="00C14C62"/>
    <w:rsid w:val="00C203A7"/>
    <w:rsid w:val="00C3403B"/>
    <w:rsid w:val="00C451E1"/>
    <w:rsid w:val="00C515F1"/>
    <w:rsid w:val="00C72CC9"/>
    <w:rsid w:val="00C80767"/>
    <w:rsid w:val="00CA7301"/>
    <w:rsid w:val="00CE6B28"/>
    <w:rsid w:val="00CF53E0"/>
    <w:rsid w:val="00D2583E"/>
    <w:rsid w:val="00D37CB8"/>
    <w:rsid w:val="00D41E4A"/>
    <w:rsid w:val="00D47C7D"/>
    <w:rsid w:val="00D54EBB"/>
    <w:rsid w:val="00D70D64"/>
    <w:rsid w:val="00D94ABB"/>
    <w:rsid w:val="00DC3A38"/>
    <w:rsid w:val="00E13F6D"/>
    <w:rsid w:val="00E153A5"/>
    <w:rsid w:val="00E2151D"/>
    <w:rsid w:val="00E2589E"/>
    <w:rsid w:val="00E32A56"/>
    <w:rsid w:val="00E54071"/>
    <w:rsid w:val="00E5587D"/>
    <w:rsid w:val="00E70282"/>
    <w:rsid w:val="00E9587B"/>
    <w:rsid w:val="00EA0517"/>
    <w:rsid w:val="00EB676C"/>
    <w:rsid w:val="00EC45C5"/>
    <w:rsid w:val="00EC68BC"/>
    <w:rsid w:val="00EC725E"/>
    <w:rsid w:val="00F05FB9"/>
    <w:rsid w:val="00F42F1A"/>
    <w:rsid w:val="00F54DA9"/>
    <w:rsid w:val="00F54F35"/>
    <w:rsid w:val="00F67A0C"/>
    <w:rsid w:val="00F92AE5"/>
    <w:rsid w:val="00F97A08"/>
    <w:rsid w:val="00FA7085"/>
    <w:rsid w:val="00FC4804"/>
    <w:rsid w:val="00FE6D69"/>
    <w:rsid w:val="00FF2571"/>
    <w:rsid w:val="00FF48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5FC465"/>
  <w15:docId w15:val="{CBA6FEA7-CEF2-4B03-BF69-9FAB955A3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en-US" w:eastAsia="en-US" w:bidi="ar-SA"/>
      </w:rPr>
    </w:rPrDefault>
    <w:pPrDefault>
      <w:pPr>
        <w:spacing w:before="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9" w:unhideWhenUsed="1" w:qFormat="1"/>
    <w:lsdException w:name="Signature" w:semiHidden="1" w:uiPriority="14" w:unhideWhenUsed="1" w:qFormat="1"/>
    <w:lsdException w:name="Default Paragraph Font" w:semiHidden="1" w:uiPriority="1" w:unhideWhenUsed="1"/>
    <w:lsdException w:name="Body Tex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iPriority="19" w:unhideWhenUsed="1"/>
    <w:lsdException w:name="Date" w:semiHidden="1" w:uiPriority="24" w:unhideWhenUsed="1"/>
    <w:lsdException w:name="Body Text First Indent" w:semiHidden="1" w:uiPriority="0" w:unhideWhenUsed="1" w:qFormat="1"/>
    <w:lsdException w:name="Body Text First Indent 2" w:uiPriority="0" w:qFormat="1"/>
    <w:lsdException w:name="Body Text 2" w:semiHidden="1" w:uiPriority="0" w:unhideWhenUsed="1" w:qFormat="1"/>
    <w:lsdException w:name="Body Text 3"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semiHidden="1" w:uiPriority="84"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0"/>
    </w:pPr>
  </w:style>
  <w:style w:type="paragraph" w:styleId="Heading1">
    <w:name w:val="heading 1"/>
    <w:basedOn w:val="Normal"/>
    <w:next w:val="Normal"/>
    <w:link w:val="Heading1Char"/>
    <w:uiPriority w:val="9"/>
    <w:qFormat/>
    <w:pPr>
      <w:keepNext/>
      <w:keepLines/>
      <w:numPr>
        <w:numId w:val="18"/>
      </w:numPr>
      <w:spacing w:after="240"/>
      <w:outlineLvl w:val="0"/>
    </w:pPr>
    <w:rPr>
      <w:rFonts w:eastAsiaTheme="majorEastAsia" w:cstheme="majorBidi"/>
      <w:bCs/>
      <w:szCs w:val="28"/>
    </w:rPr>
  </w:style>
  <w:style w:type="paragraph" w:styleId="Heading2">
    <w:name w:val="heading 2"/>
    <w:basedOn w:val="Normal"/>
    <w:link w:val="Heading2Char"/>
    <w:uiPriority w:val="9"/>
    <w:qFormat/>
    <w:pPr>
      <w:keepNext/>
      <w:keepLines/>
      <w:numPr>
        <w:numId w:val="19"/>
      </w:numPr>
      <w:spacing w:after="240"/>
      <w:outlineLvl w:val="1"/>
    </w:pPr>
    <w:rPr>
      <w:rFonts w:eastAsiaTheme="majorEastAsia" w:cstheme="majorBidi"/>
      <w:bCs/>
      <w:szCs w:val="26"/>
    </w:rPr>
  </w:style>
  <w:style w:type="paragraph" w:styleId="Heading3">
    <w:name w:val="heading 3"/>
    <w:basedOn w:val="Normal"/>
    <w:next w:val="Normal"/>
    <w:link w:val="Heading3Char"/>
    <w:uiPriority w:val="9"/>
    <w:qFormat/>
    <w:pPr>
      <w:keepNext/>
      <w:keepLines/>
      <w:numPr>
        <w:numId w:val="20"/>
      </w:numPr>
      <w:spacing w:after="240"/>
      <w:outlineLvl w:val="2"/>
    </w:pPr>
    <w:rPr>
      <w:rFonts w:eastAsiaTheme="majorEastAsia" w:cstheme="majorBidi"/>
      <w:bCs/>
    </w:rPr>
  </w:style>
  <w:style w:type="paragraph" w:styleId="Heading4">
    <w:name w:val="heading 4"/>
    <w:basedOn w:val="Normal"/>
    <w:next w:val="Normal"/>
    <w:link w:val="Heading4Char"/>
    <w:uiPriority w:val="9"/>
    <w:unhideWhenUsed/>
    <w:qFormat/>
    <w:pPr>
      <w:keepNext/>
      <w:keepLines/>
      <w:spacing w:before="200"/>
      <w:outlineLvl w:val="3"/>
    </w:pPr>
    <w:rPr>
      <w:rFonts w:eastAsiaTheme="majorEastAsia" w:cstheme="majorBidi"/>
      <w:b/>
      <w:bCs/>
      <w:i/>
      <w:iCs/>
    </w:rPr>
  </w:style>
  <w:style w:type="paragraph" w:styleId="Heading5">
    <w:name w:val="heading 5"/>
    <w:basedOn w:val="Normal"/>
    <w:next w:val="Normal"/>
    <w:link w:val="Heading5Char"/>
    <w:uiPriority w:val="9"/>
    <w:unhideWhenUsed/>
    <w:qFormat/>
    <w:pPr>
      <w:keepNext/>
      <w:keepLines/>
      <w:spacing w:before="200"/>
      <w:outlineLvl w:val="4"/>
    </w:pPr>
    <w:rPr>
      <w:rFonts w:eastAsiaTheme="majorEastAsia" w:cstheme="majorBidi"/>
    </w:rPr>
  </w:style>
  <w:style w:type="paragraph" w:styleId="Heading6">
    <w:name w:val="heading 6"/>
    <w:basedOn w:val="Normal"/>
    <w:next w:val="Normal"/>
    <w:link w:val="Heading6Char"/>
    <w:uiPriority w:val="9"/>
    <w:semiHidden/>
    <w:unhideWhenUsed/>
    <w:qFormat/>
    <w:pPr>
      <w:keepNext/>
      <w:keepLines/>
      <w:spacing w:before="200"/>
      <w:outlineLvl w:val="5"/>
    </w:pPr>
    <w:rPr>
      <w:rFonts w:eastAsiaTheme="majorEastAsia" w:cstheme="majorBidi"/>
      <w:i/>
      <w:iCs/>
    </w:rPr>
  </w:style>
  <w:style w:type="paragraph" w:styleId="Heading7">
    <w:name w:val="heading 7"/>
    <w:basedOn w:val="Normal"/>
    <w:next w:val="Normal"/>
    <w:link w:val="Heading7Char"/>
    <w:uiPriority w:val="9"/>
    <w:semiHidden/>
    <w:unhideWhenUsed/>
    <w:qFormat/>
    <w:pPr>
      <w:keepNext/>
      <w:keepLines/>
      <w:spacing w:before="200"/>
      <w:outlineLvl w:val="6"/>
    </w:pPr>
    <w:rPr>
      <w:rFonts w:eastAsiaTheme="majorEastAsia" w:cstheme="majorBidi"/>
      <w:i/>
      <w:iCs/>
    </w:rPr>
  </w:style>
  <w:style w:type="paragraph" w:styleId="Heading8">
    <w:name w:val="heading 8"/>
    <w:basedOn w:val="Normal"/>
    <w:next w:val="Normal"/>
    <w:link w:val="Heading8Char"/>
    <w:uiPriority w:val="9"/>
    <w:semiHidden/>
    <w:unhideWhenUsed/>
    <w:qFormat/>
    <w:pPr>
      <w:keepNext/>
      <w:keepLines/>
      <w:spacing w:before="200"/>
      <w:outlineLvl w:val="7"/>
    </w:pPr>
    <w:rPr>
      <w:rFonts w:eastAsiaTheme="majorEastAsia" w:cstheme="majorBidi"/>
    </w:rPr>
  </w:style>
  <w:style w:type="paragraph" w:styleId="Heading9">
    <w:name w:val="heading 9"/>
    <w:basedOn w:val="Normal"/>
    <w:next w:val="Normal"/>
    <w:link w:val="Heading9Char"/>
    <w:uiPriority w:val="9"/>
    <w:semiHidden/>
    <w:unhideWhenUsed/>
    <w:qFormat/>
    <w:pPr>
      <w:keepNext/>
      <w:keepLines/>
      <w:spacing w:before="200"/>
      <w:outlineLvl w:val="8"/>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link w:val="BodyTextChar"/>
    <w:qFormat/>
    <w:pPr>
      <w:spacing w:before="0" w:after="240"/>
    </w:pPr>
  </w:style>
  <w:style w:type="character" w:customStyle="1" w:styleId="BodyTextChar">
    <w:name w:val="Body Text Char"/>
    <w:basedOn w:val="DefaultParagraphFont"/>
    <w:link w:val="BodyText"/>
  </w:style>
  <w:style w:type="paragraph" w:styleId="BodyText2">
    <w:name w:val="Body Text 2"/>
    <w:basedOn w:val="Normal"/>
    <w:link w:val="BodyText2Char"/>
    <w:qFormat/>
    <w:pPr>
      <w:spacing w:after="240" w:line="480" w:lineRule="auto"/>
    </w:pPr>
  </w:style>
  <w:style w:type="character" w:customStyle="1" w:styleId="BodyText2Char">
    <w:name w:val="Body Text 2 Char"/>
    <w:basedOn w:val="DefaultParagraphFont"/>
    <w:link w:val="BodyText2"/>
  </w:style>
  <w:style w:type="paragraph" w:styleId="BodyTextFirstIndent">
    <w:name w:val="Body Text First Indent"/>
    <w:basedOn w:val="BodyText"/>
    <w:link w:val="BodyTextFirstIndentChar"/>
    <w:qFormat/>
    <w:pPr>
      <w:ind w:firstLine="720"/>
    </w:pPr>
  </w:style>
  <w:style w:type="character" w:customStyle="1" w:styleId="BodyTextFirstIndentChar">
    <w:name w:val="Body Text First Indent Char"/>
    <w:basedOn w:val="BodyTextChar"/>
    <w:link w:val="BodyTextFirstIndent"/>
  </w:style>
  <w:style w:type="character" w:customStyle="1" w:styleId="Heading1Char">
    <w:name w:val="Heading 1 Char"/>
    <w:basedOn w:val="DefaultParagraphFont"/>
    <w:link w:val="Heading1"/>
    <w:uiPriority w:val="9"/>
    <w:rPr>
      <w:rFonts w:eastAsiaTheme="majorEastAsia" w:cstheme="majorBidi"/>
      <w:bCs/>
      <w:szCs w:val="28"/>
    </w:rPr>
  </w:style>
  <w:style w:type="character" w:customStyle="1" w:styleId="Heading2Char">
    <w:name w:val="Heading 2 Char"/>
    <w:basedOn w:val="DefaultParagraphFont"/>
    <w:link w:val="Heading2"/>
    <w:uiPriority w:val="9"/>
    <w:rPr>
      <w:rFonts w:eastAsiaTheme="majorEastAsia" w:cstheme="majorBidi"/>
      <w:bCs/>
      <w:szCs w:val="26"/>
    </w:rPr>
  </w:style>
  <w:style w:type="character" w:customStyle="1" w:styleId="Heading3Char">
    <w:name w:val="Heading 3 Char"/>
    <w:basedOn w:val="DefaultParagraphFont"/>
    <w:link w:val="Heading3"/>
    <w:uiPriority w:val="9"/>
    <w:rPr>
      <w:rFonts w:eastAsiaTheme="majorEastAsia" w:cstheme="majorBidi"/>
      <w:bCs/>
    </w:rPr>
  </w:style>
  <w:style w:type="character" w:customStyle="1" w:styleId="Heading4Char">
    <w:name w:val="Heading 4 Char"/>
    <w:basedOn w:val="DefaultParagraphFont"/>
    <w:link w:val="Heading4"/>
    <w:uiPriority w:val="9"/>
    <w:rPr>
      <w:rFonts w:eastAsiaTheme="majorEastAsia" w:cstheme="majorBidi"/>
      <w:b/>
      <w:bCs/>
      <w:i/>
      <w:iCs/>
    </w:rPr>
  </w:style>
  <w:style w:type="character" w:customStyle="1" w:styleId="Heading5Char">
    <w:name w:val="Heading 5 Char"/>
    <w:basedOn w:val="DefaultParagraphFont"/>
    <w:link w:val="Heading5"/>
    <w:uiPriority w:val="9"/>
    <w:rPr>
      <w:rFonts w:eastAsiaTheme="majorEastAsia" w:cstheme="majorBidi"/>
    </w:rPr>
  </w:style>
  <w:style w:type="character" w:customStyle="1" w:styleId="Heading6Char">
    <w:name w:val="Heading 6 Char"/>
    <w:basedOn w:val="DefaultParagraphFont"/>
    <w:link w:val="Heading6"/>
    <w:uiPriority w:val="9"/>
    <w:semiHidden/>
    <w:rPr>
      <w:rFonts w:eastAsiaTheme="majorEastAsia" w:cstheme="majorBidi"/>
      <w:i/>
      <w:iCs/>
    </w:rPr>
  </w:style>
  <w:style w:type="paragraph" w:customStyle="1" w:styleId="BlockText5">
    <w:name w:val="Block Text .5"/>
    <w:basedOn w:val="Normal"/>
    <w:qFormat/>
    <w:pPr>
      <w:spacing w:after="240"/>
      <w:ind w:left="720" w:right="720"/>
    </w:pPr>
    <w:rPr>
      <w:rFonts w:eastAsia="Times New Roman"/>
    </w:rPr>
  </w:style>
  <w:style w:type="paragraph" w:customStyle="1" w:styleId="BlockIndent1">
    <w:name w:val="Block Indent 1"/>
    <w:basedOn w:val="BlockText5"/>
    <w:qFormat/>
    <w:pPr>
      <w:ind w:left="1440" w:right="1440"/>
    </w:pPr>
  </w:style>
  <w:style w:type="paragraph" w:customStyle="1" w:styleId="BlockIndent10">
    <w:name w:val="Block Indent 1.0"/>
    <w:basedOn w:val="BlockText5"/>
    <w:autoRedefine/>
    <w:semiHidden/>
    <w:pPr>
      <w:ind w:left="1440" w:right="1440"/>
    </w:pPr>
  </w:style>
  <w:style w:type="paragraph" w:styleId="BodyTextIndent">
    <w:name w:val="Body Text Indent"/>
    <w:basedOn w:val="Normal"/>
    <w:link w:val="BodyTextIndentChar"/>
    <w:uiPriority w:val="99"/>
    <w:unhideWhenUsed/>
    <w:pPr>
      <w:spacing w:after="120"/>
      <w:ind w:left="360"/>
    </w:pPr>
  </w:style>
  <w:style w:type="character" w:customStyle="1" w:styleId="BodyTextIndentChar">
    <w:name w:val="Body Text Indent Char"/>
    <w:basedOn w:val="DefaultParagraphFont"/>
    <w:link w:val="BodyTextIndent"/>
    <w:uiPriority w:val="99"/>
  </w:style>
  <w:style w:type="paragraph" w:styleId="BodyTextFirstIndent2">
    <w:name w:val="Body Text First Indent 2"/>
    <w:basedOn w:val="BodyTextIndent"/>
    <w:link w:val="BodyTextFirstIndent2Char"/>
    <w:qFormat/>
    <w:pPr>
      <w:spacing w:after="240" w:line="480" w:lineRule="auto"/>
      <w:ind w:left="0" w:firstLine="720"/>
    </w:pPr>
  </w:style>
  <w:style w:type="character" w:customStyle="1" w:styleId="BodyTextFirstIndent2Char">
    <w:name w:val="Body Text First Indent 2 Char"/>
    <w:basedOn w:val="BodyTextIndentChar"/>
    <w:link w:val="BodyTextFirstIndent2"/>
  </w:style>
  <w:style w:type="paragraph" w:customStyle="1" w:styleId="CenterBold">
    <w:name w:val="Center Bold"/>
    <w:basedOn w:val="Normal"/>
    <w:qFormat/>
    <w:pPr>
      <w:spacing w:after="240"/>
      <w:jc w:val="center"/>
    </w:pPr>
    <w:rPr>
      <w:rFonts w:eastAsia="Times New Roman"/>
      <w:b/>
    </w:rPr>
  </w:style>
  <w:style w:type="paragraph" w:customStyle="1" w:styleId="CenterBoldUnderline">
    <w:name w:val="Center Bold &amp; Underline"/>
    <w:basedOn w:val="CenterBold"/>
    <w:qFormat/>
    <w:rPr>
      <w:u w:val="single"/>
    </w:rPr>
  </w:style>
  <w:style w:type="paragraph" w:styleId="Closing">
    <w:name w:val="Closing"/>
    <w:basedOn w:val="Normal"/>
    <w:link w:val="ClosingChar"/>
    <w:uiPriority w:val="9"/>
    <w:qFormat/>
    <w:pPr>
      <w:spacing w:after="720"/>
      <w:ind w:left="4320"/>
    </w:pPr>
  </w:style>
  <w:style w:type="character" w:customStyle="1" w:styleId="ClosingChar">
    <w:name w:val="Closing Char"/>
    <w:basedOn w:val="DefaultParagraphFont"/>
    <w:link w:val="Closing"/>
    <w:uiPriority w:val="9"/>
  </w:style>
  <w:style w:type="paragraph" w:styleId="Date">
    <w:name w:val="Date"/>
    <w:basedOn w:val="Normal"/>
    <w:next w:val="Normal"/>
    <w:link w:val="DateChar"/>
    <w:uiPriority w:val="24"/>
  </w:style>
  <w:style w:type="character" w:customStyle="1" w:styleId="DateChar">
    <w:name w:val="Date Char"/>
    <w:basedOn w:val="DefaultParagraphFont"/>
    <w:link w:val="Date"/>
    <w:uiPriority w:val="24"/>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style>
  <w:style w:type="character" w:customStyle="1" w:styleId="Heading7Char">
    <w:name w:val="Heading 7 Char"/>
    <w:basedOn w:val="DefaultParagraphFont"/>
    <w:link w:val="Heading7"/>
    <w:uiPriority w:val="9"/>
    <w:semiHidden/>
    <w:rPr>
      <w:rFonts w:eastAsiaTheme="majorEastAsia" w:cstheme="majorBidi"/>
      <w:i/>
      <w:iCs/>
    </w:rPr>
  </w:style>
  <w:style w:type="character" w:customStyle="1" w:styleId="Heading8Char">
    <w:name w:val="Heading 8 Char"/>
    <w:basedOn w:val="DefaultParagraphFont"/>
    <w:link w:val="Heading8"/>
    <w:uiPriority w:val="9"/>
    <w:semiHidden/>
    <w:rPr>
      <w:rFonts w:eastAsiaTheme="majorEastAsia" w:cstheme="majorBidi"/>
    </w:rPr>
  </w:style>
  <w:style w:type="character" w:customStyle="1" w:styleId="Heading9Char">
    <w:name w:val="Heading 9 Char"/>
    <w:basedOn w:val="DefaultParagraphFont"/>
    <w:link w:val="Heading9"/>
    <w:uiPriority w:val="9"/>
    <w:semiHidden/>
    <w:rPr>
      <w:rFonts w:eastAsiaTheme="majorEastAsia" w:cstheme="majorBidi"/>
      <w:i/>
      <w:iCs/>
    </w:rPr>
  </w:style>
  <w:style w:type="paragraph" w:styleId="IntenseQuote">
    <w:name w:val="Intense Quote"/>
    <w:basedOn w:val="Normal"/>
    <w:next w:val="Normal"/>
    <w:link w:val="IntenseQuoteChar"/>
    <w:uiPriority w:val="84"/>
    <w:unhideWhenUsed/>
    <w:pPr>
      <w:pBdr>
        <w:bottom w:val="single" w:sz="4" w:space="4" w:color="5B9BD5" w:themeColor="accent1"/>
      </w:pBdr>
      <w:spacing w:before="200" w:after="280"/>
      <w:ind w:left="936" w:right="936"/>
    </w:pPr>
    <w:rPr>
      <w:b/>
      <w:bCs/>
      <w:i/>
      <w:iCs/>
      <w:color w:val="5B9BD5" w:themeColor="accent1"/>
    </w:rPr>
  </w:style>
  <w:style w:type="character" w:customStyle="1" w:styleId="IntenseQuoteChar">
    <w:name w:val="Intense Quote Char"/>
    <w:basedOn w:val="DefaultParagraphFont"/>
    <w:link w:val="IntenseQuote"/>
    <w:uiPriority w:val="84"/>
    <w:rPr>
      <w:b/>
      <w:bCs/>
      <w:i/>
      <w:iCs/>
      <w:color w:val="5B9BD5" w:themeColor="accent1"/>
    </w:rPr>
  </w:style>
  <w:style w:type="paragraph" w:customStyle="1" w:styleId="LeftBold">
    <w:name w:val="Left Bold"/>
    <w:basedOn w:val="Normal"/>
    <w:qFormat/>
    <w:pPr>
      <w:spacing w:after="240"/>
    </w:pPr>
    <w:rPr>
      <w:rFonts w:eastAsia="Times New Roman"/>
      <w:b/>
    </w:rPr>
  </w:style>
  <w:style w:type="paragraph" w:customStyle="1" w:styleId="LeftBoldUnderline">
    <w:name w:val="Left Bold &amp; Underline"/>
    <w:basedOn w:val="Normal"/>
    <w:qFormat/>
    <w:pPr>
      <w:spacing w:after="240"/>
    </w:pPr>
    <w:rPr>
      <w:rFonts w:eastAsia="Times New Roman"/>
      <w:b/>
      <w:u w:val="single"/>
    </w:rPr>
  </w:style>
  <w:style w:type="paragraph" w:styleId="ListParagraph">
    <w:name w:val="List Paragraph"/>
    <w:basedOn w:val="Normal"/>
    <w:uiPriority w:val="34"/>
    <w:qFormat/>
    <w:pPr>
      <w:ind w:left="720"/>
      <w:contextualSpacing/>
    </w:pPr>
  </w:style>
  <w:style w:type="paragraph" w:customStyle="1" w:styleId="ReLine">
    <w:name w:val="Re: Line"/>
    <w:basedOn w:val="Normal"/>
    <w:qFormat/>
    <w:pPr>
      <w:ind w:left="1440" w:hanging="720"/>
    </w:pPr>
    <w:rPr>
      <w:rFonts w:eastAsia="Times New Roman"/>
    </w:rPr>
  </w:style>
  <w:style w:type="paragraph" w:styleId="Salutation">
    <w:name w:val="Salutation"/>
    <w:basedOn w:val="Normal"/>
    <w:next w:val="Normal"/>
    <w:link w:val="SalutationChar"/>
    <w:uiPriority w:val="19"/>
  </w:style>
  <w:style w:type="character" w:customStyle="1" w:styleId="SalutationChar">
    <w:name w:val="Salutation Char"/>
    <w:basedOn w:val="DefaultParagraphFont"/>
    <w:link w:val="Salutation"/>
    <w:uiPriority w:val="19"/>
  </w:style>
  <w:style w:type="paragraph" w:styleId="Signature">
    <w:name w:val="Signature"/>
    <w:basedOn w:val="Normal"/>
    <w:link w:val="SignatureChar"/>
    <w:uiPriority w:val="14"/>
    <w:qFormat/>
    <w:pPr>
      <w:ind w:left="4320"/>
    </w:pPr>
  </w:style>
  <w:style w:type="character" w:customStyle="1" w:styleId="SignatureChar">
    <w:name w:val="Signature Char"/>
    <w:basedOn w:val="DefaultParagraphFont"/>
    <w:link w:val="Signature"/>
    <w:uiPriority w:val="14"/>
  </w:style>
  <w:style w:type="paragraph" w:customStyle="1" w:styleId="SingleLine">
    <w:name w:val="Single Line"/>
    <w:basedOn w:val="BodyText"/>
    <w:qFormat/>
    <w:pPr>
      <w:spacing w:after="0"/>
    </w:pPr>
    <w:rPr>
      <w:rFonts w:eastAsia="Times New Roman"/>
    </w:rPr>
  </w:style>
  <w:style w:type="paragraph" w:styleId="TOAHeading">
    <w:name w:val="toa heading"/>
    <w:basedOn w:val="Normal"/>
    <w:next w:val="Normal"/>
    <w:uiPriority w:val="99"/>
    <w:semiHidden/>
    <w:unhideWhenUsed/>
    <w:pPr>
      <w:spacing w:before="120"/>
    </w:pPr>
    <w:rPr>
      <w:rFonts w:eastAsiaTheme="majorEastAsia" w:cstheme="majorBidi"/>
      <w:b/>
      <w:bCs/>
    </w:rPr>
  </w:style>
  <w:style w:type="paragraph" w:styleId="TOC1">
    <w:name w:val="toc 1"/>
    <w:basedOn w:val="Normal"/>
    <w:next w:val="Normal"/>
    <w:autoRedefine/>
    <w:uiPriority w:val="39"/>
    <w:semiHidden/>
    <w:unhideWhenUsed/>
    <w:pPr>
      <w:spacing w:after="100"/>
    </w:pPr>
  </w:style>
  <w:style w:type="paragraph" w:styleId="TOCHeading">
    <w:name w:val="TOC Heading"/>
    <w:basedOn w:val="Normal"/>
    <w:next w:val="TOC1"/>
    <w:uiPriority w:val="39"/>
    <w:semiHidden/>
    <w:unhideWhenUsed/>
    <w:qFormat/>
    <w:pPr>
      <w:keepNext/>
      <w:keepLines/>
      <w:spacing w:before="480"/>
    </w:pPr>
    <w:rPr>
      <w:rFonts w:asciiTheme="majorHAnsi" w:eastAsiaTheme="majorEastAsia" w:hAnsiTheme="majorHAnsi" w:cstheme="majorBidi"/>
      <w:b/>
      <w:bCs/>
      <w:sz w:val="28"/>
      <w:szCs w:val="28"/>
    </w:rPr>
  </w:style>
  <w:style w:type="paragraph" w:styleId="BalloonText">
    <w:name w:val="Balloon Text"/>
    <w:basedOn w:val="Normal"/>
    <w:link w:val="BalloonTextChar"/>
    <w:uiPriority w:val="99"/>
    <w:semiHidden/>
    <w:unhideWhenUsed/>
    <w:rsid w:val="00FE678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E6785"/>
    <w:rPr>
      <w:rFonts w:ascii="Segoe UI" w:hAnsi="Segoe UI" w:cs="Segoe UI"/>
      <w:sz w:val="18"/>
      <w:szCs w:val="18"/>
    </w:rPr>
  </w:style>
  <w:style w:type="character" w:styleId="Hyperlink">
    <w:name w:val="Hyperlink"/>
    <w:basedOn w:val="DefaultParagraphFont"/>
    <w:uiPriority w:val="99"/>
    <w:unhideWhenUsed/>
    <w:rsid w:val="008E671F"/>
    <w:rPr>
      <w:color w:val="0563C1" w:themeColor="hyperlink"/>
      <w:u w:val="single"/>
    </w:rPr>
  </w:style>
  <w:style w:type="character" w:styleId="FollowedHyperlink">
    <w:name w:val="FollowedHyperlink"/>
    <w:basedOn w:val="DefaultParagraphFont"/>
    <w:uiPriority w:val="99"/>
    <w:semiHidden/>
    <w:unhideWhenUsed/>
    <w:rsid w:val="00CB5B21"/>
    <w:rPr>
      <w:color w:val="954F72" w:themeColor="followedHyperlink"/>
      <w:u w:val="single"/>
    </w:rPr>
  </w:style>
  <w:style w:type="paragraph" w:styleId="NormalWeb">
    <w:name w:val="Normal (Web)"/>
    <w:basedOn w:val="Normal"/>
    <w:uiPriority w:val="99"/>
    <w:unhideWhenUsed/>
    <w:rsid w:val="000975B4"/>
    <w:pPr>
      <w:spacing w:before="100" w:beforeAutospacing="1" w:after="100" w:afterAutospacing="1"/>
    </w:pPr>
    <w:rPr>
      <w:rFonts w:eastAsia="Times New Roman"/>
    </w:rPr>
  </w:style>
  <w:style w:type="character" w:styleId="UnresolvedMention">
    <w:name w:val="Unresolved Mention"/>
    <w:basedOn w:val="DefaultParagraphFont"/>
    <w:uiPriority w:val="99"/>
    <w:semiHidden/>
    <w:unhideWhenUsed/>
    <w:rsid w:val="00FA708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9151934">
      <w:bodyDiv w:val="1"/>
      <w:marLeft w:val="0"/>
      <w:marRight w:val="0"/>
      <w:marTop w:val="0"/>
      <w:marBottom w:val="0"/>
      <w:divBdr>
        <w:top w:val="none" w:sz="0" w:space="0" w:color="auto"/>
        <w:left w:val="none" w:sz="0" w:space="0" w:color="auto"/>
        <w:bottom w:val="none" w:sz="0" w:space="0" w:color="auto"/>
        <w:right w:val="none" w:sz="0" w:space="0" w:color="auto"/>
      </w:divBdr>
    </w:div>
    <w:div w:id="728000356">
      <w:bodyDiv w:val="1"/>
      <w:marLeft w:val="0"/>
      <w:marRight w:val="0"/>
      <w:marTop w:val="0"/>
      <w:marBottom w:val="0"/>
      <w:divBdr>
        <w:top w:val="none" w:sz="0" w:space="0" w:color="auto"/>
        <w:left w:val="none" w:sz="0" w:space="0" w:color="auto"/>
        <w:bottom w:val="none" w:sz="0" w:space="0" w:color="auto"/>
        <w:right w:val="none" w:sz="0" w:space="0" w:color="auto"/>
      </w:divBdr>
    </w:div>
    <w:div w:id="1206988366">
      <w:bodyDiv w:val="1"/>
      <w:marLeft w:val="0"/>
      <w:marRight w:val="0"/>
      <w:marTop w:val="0"/>
      <w:marBottom w:val="0"/>
      <w:divBdr>
        <w:top w:val="none" w:sz="0" w:space="0" w:color="auto"/>
        <w:left w:val="none" w:sz="0" w:space="0" w:color="auto"/>
        <w:bottom w:val="none" w:sz="0" w:space="0" w:color="auto"/>
        <w:right w:val="none" w:sz="0" w:space="0" w:color="auto"/>
      </w:divBdr>
    </w:div>
    <w:div w:id="1850244887">
      <w:bodyDiv w:val="1"/>
      <w:marLeft w:val="0"/>
      <w:marRight w:val="0"/>
      <w:marTop w:val="0"/>
      <w:marBottom w:val="0"/>
      <w:divBdr>
        <w:top w:val="none" w:sz="0" w:space="0" w:color="auto"/>
        <w:left w:val="none" w:sz="0" w:space="0" w:color="auto"/>
        <w:bottom w:val="none" w:sz="0" w:space="0" w:color="auto"/>
        <w:right w:val="none" w:sz="0" w:space="0" w:color="auto"/>
      </w:divBdr>
    </w:div>
    <w:div w:id="2034378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ktmc.com/new-cases/united-states-steel-corporation-1?utm_source=PR&amp;utm_medium=link&amp;utm_campaign=x&amp;mktm=r"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marketwatch.com/investing/stock/x?mod=search_symbol" TargetMode="External"/><Relationship Id="rId12" Type="http://schemas.openxmlformats.org/officeDocument/2006/relationships/hyperlink" Target="mailto:info@ktmc.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ktmc.com" TargetMode="External"/><Relationship Id="rId11" Type="http://schemas.openxmlformats.org/officeDocument/2006/relationships/hyperlink" Target="http://www.ktmc.com" TargetMode="External"/><Relationship Id="rId5" Type="http://schemas.openxmlformats.org/officeDocument/2006/relationships/webSettings" Target="webSettings.xml"/><Relationship Id="rId10" Type="http://schemas.openxmlformats.org/officeDocument/2006/relationships/hyperlink" Target="https://url.us.m.mimecastprotect.com/s/cAzMCOYJ8of25GkLCEkGoT?domain=ktmc.com" TargetMode="External"/><Relationship Id="rId4" Type="http://schemas.openxmlformats.org/officeDocument/2006/relationships/settings" Target="settings.xml"/><Relationship Id="rId9" Type="http://schemas.openxmlformats.org/officeDocument/2006/relationships/hyperlink" Target="mailto:info@ktmc.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87BA3C-E810-47E1-920E-01E6B9DBCA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437</Words>
  <Characters>2491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Jonathan Naji</dc:creator>
  <cp:lastModifiedBy>Sally Huggins</cp:lastModifiedBy>
  <cp:revision>2</cp:revision>
  <dcterms:created xsi:type="dcterms:W3CDTF">2024-06-10T00:00:00Z</dcterms:created>
  <dcterms:modified xsi:type="dcterms:W3CDTF">2024-06-10T00:00:00Z</dcterms:modified>
</cp:coreProperties>
</file>