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50873" w14:textId="619F061F" w:rsidR="00C43784" w:rsidRDefault="00C43784" w:rsidP="00C43784">
      <w:pPr>
        <w:rPr>
          <w:rFonts w:ascii="Times New Roman" w:eastAsia="Times New Roman" w:hAnsi="Times New Roman" w:cs="Times New Roman"/>
          <w:b/>
          <w:bCs/>
          <w:color w:val="000000"/>
          <w:sz w:val="24"/>
          <w:szCs w:val="24"/>
        </w:rPr>
      </w:pPr>
      <w:bookmarkStart w:id="0" w:name="_Hlk156823768"/>
      <w:r w:rsidRPr="00F45062">
        <w:rPr>
          <w:rFonts w:ascii="Times New Roman" w:eastAsia="Times New Roman" w:hAnsi="Times New Roman" w:cs="Times New Roman"/>
          <w:b/>
          <w:bCs/>
          <w:color w:val="000000"/>
          <w:sz w:val="24"/>
          <w:szCs w:val="24"/>
        </w:rPr>
        <w:t>Deadline in</w:t>
      </w:r>
      <w:r>
        <w:rPr>
          <w:rFonts w:ascii="Times New Roman" w:eastAsia="Times New Roman" w:hAnsi="Times New Roman" w:cs="Times New Roman"/>
          <w:b/>
          <w:bCs/>
          <w:color w:val="000000"/>
          <w:sz w:val="24"/>
          <w:szCs w:val="24"/>
        </w:rPr>
        <w:t xml:space="preserve"> </w:t>
      </w:r>
      <w:r w:rsidR="00652F02">
        <w:rPr>
          <w:rFonts w:ascii="Times New Roman" w:eastAsia="Times New Roman" w:hAnsi="Times New Roman" w:cs="Times New Roman"/>
          <w:b/>
          <w:bCs/>
          <w:color w:val="000000"/>
          <w:sz w:val="24"/>
          <w:szCs w:val="24"/>
        </w:rPr>
        <w:t>5</w:t>
      </w:r>
      <w:r>
        <w:rPr>
          <w:rFonts w:ascii="Times New Roman" w:eastAsia="Times New Roman" w:hAnsi="Times New Roman" w:cs="Times New Roman"/>
          <w:b/>
          <w:bCs/>
          <w:color w:val="000000"/>
          <w:sz w:val="24"/>
          <w:szCs w:val="24"/>
        </w:rPr>
        <w:t xml:space="preserve"> </w:t>
      </w:r>
      <w:r w:rsidRPr="00F45062">
        <w:rPr>
          <w:rFonts w:ascii="Times New Roman" w:eastAsia="Times New Roman" w:hAnsi="Times New Roman" w:cs="Times New Roman"/>
          <w:b/>
          <w:bCs/>
          <w:color w:val="000000"/>
          <w:sz w:val="24"/>
          <w:szCs w:val="24"/>
        </w:rPr>
        <w:t>Day</w:t>
      </w:r>
      <w:r>
        <w:rPr>
          <w:rFonts w:ascii="Times New Roman" w:eastAsia="Times New Roman" w:hAnsi="Times New Roman" w:cs="Times New Roman"/>
          <w:b/>
          <w:bCs/>
          <w:color w:val="000000"/>
          <w:sz w:val="24"/>
          <w:szCs w:val="24"/>
        </w:rPr>
        <w:t>s</w:t>
      </w:r>
      <w:r w:rsidRPr="00F45062">
        <w:rPr>
          <w:rFonts w:ascii="Times New Roman" w:eastAsia="Times New Roman" w:hAnsi="Times New Roman" w:cs="Times New Roman"/>
          <w:b/>
          <w:bCs/>
          <w:color w:val="000000"/>
          <w:sz w:val="24"/>
          <w:szCs w:val="24"/>
        </w:rPr>
        <w:t xml:space="preserve">:  Kessler Topaz Meltzer &amp; Check, LLP Reminds Investors of Deadline in Class Action Lawsuit Against </w:t>
      </w:r>
      <w:proofErr w:type="spellStart"/>
      <w:r w:rsidRPr="00756B7F">
        <w:rPr>
          <w:rFonts w:ascii="Times New Roman" w:eastAsia="Times New Roman" w:hAnsi="Times New Roman" w:cs="Times New Roman"/>
          <w:b/>
          <w:bCs/>
          <w:color w:val="000000"/>
          <w:sz w:val="24"/>
          <w:szCs w:val="24"/>
        </w:rPr>
        <w:t>Akero</w:t>
      </w:r>
      <w:proofErr w:type="spellEnd"/>
      <w:r w:rsidRPr="00756B7F">
        <w:rPr>
          <w:rFonts w:ascii="Times New Roman" w:eastAsia="Times New Roman" w:hAnsi="Times New Roman" w:cs="Times New Roman"/>
          <w:b/>
          <w:bCs/>
          <w:color w:val="000000"/>
          <w:sz w:val="24"/>
          <w:szCs w:val="24"/>
        </w:rPr>
        <w:t xml:space="preserve"> Therapeutics, Inc.</w:t>
      </w:r>
      <w:r>
        <w:rPr>
          <w:rFonts w:ascii="Times New Roman" w:eastAsia="Times New Roman" w:hAnsi="Times New Roman" w:cs="Times New Roman"/>
          <w:b/>
          <w:bCs/>
          <w:color w:val="000000"/>
          <w:sz w:val="24"/>
          <w:szCs w:val="24"/>
        </w:rPr>
        <w:t xml:space="preserve"> (AKRO)</w:t>
      </w:r>
    </w:p>
    <w:p w14:paraId="72B8DBBF" w14:textId="7F982C68" w:rsidR="00E8418B" w:rsidRDefault="00E8418B" w:rsidP="00E8418B">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Radnor, PA</w:t>
      </w:r>
      <w:r w:rsidRPr="00A0599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756B7F">
        <w:rPr>
          <w:rFonts w:ascii="Times New Roman" w:eastAsia="Times New Roman" w:hAnsi="Times New Roman" w:cs="Times New Roman"/>
          <w:sz w:val="24"/>
          <w:szCs w:val="24"/>
        </w:rPr>
        <w:t xml:space="preserve">June </w:t>
      </w:r>
      <w:r w:rsidR="00652F02">
        <w:rPr>
          <w:rFonts w:ascii="Times New Roman" w:eastAsia="Times New Roman" w:hAnsi="Times New Roman" w:cs="Times New Roman"/>
          <w:sz w:val="24"/>
          <w:szCs w:val="24"/>
        </w:rPr>
        <w:t>20</w:t>
      </w:r>
      <w:r w:rsidR="00154D1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2024 </w:t>
      </w:r>
      <w:r w:rsidRPr="00901223">
        <w:t xml:space="preserve">– </w:t>
      </w:r>
      <w:r w:rsidRPr="00A0599C">
        <w:rPr>
          <w:rFonts w:ascii="Times New Roman" w:eastAsia="Times New Roman" w:hAnsi="Times New Roman" w:cs="Times New Roman"/>
          <w:sz w:val="24"/>
          <w:szCs w:val="24"/>
        </w:rPr>
        <w:t xml:space="preserve">The law firm of </w:t>
      </w:r>
      <w:hyperlink r:id="rId4" w:history="1">
        <w:r w:rsidRPr="00B80E76">
          <w:rPr>
            <w:rStyle w:val="Hyperlink"/>
            <w:rFonts w:ascii="Times New Roman" w:eastAsia="Times New Roman" w:hAnsi="Times New Roman" w:cs="Times New Roman"/>
            <w:sz w:val="24"/>
            <w:szCs w:val="24"/>
          </w:rPr>
          <w:t>Kessler Topaz Meltzer &amp; Check, LLP</w:t>
        </w:r>
      </w:hyperlink>
      <w:r>
        <w:rPr>
          <w:rStyle w:val="Hyperlink"/>
          <w:rFonts w:ascii="Times New Roman" w:eastAsia="Times New Roman" w:hAnsi="Times New Roman" w:cs="Times New Roman"/>
          <w:color w:val="0000FF"/>
          <w:sz w:val="24"/>
          <w:szCs w:val="24"/>
          <w:u w:val="none"/>
        </w:rPr>
        <w:t xml:space="preserve"> </w:t>
      </w:r>
      <w:r w:rsidRPr="00165FE0">
        <w:rPr>
          <w:rStyle w:val="Hyperlink"/>
          <w:rFonts w:ascii="Times New Roman" w:eastAsia="Times New Roman" w:hAnsi="Times New Roman" w:cs="Times New Roman"/>
          <w:color w:val="auto"/>
          <w:sz w:val="24"/>
          <w:szCs w:val="24"/>
          <w:u w:val="none"/>
        </w:rPr>
        <w:t>(</w:t>
      </w:r>
      <w:hyperlink r:id="rId5" w:history="1">
        <w:r w:rsidRPr="00F37E66">
          <w:rPr>
            <w:rStyle w:val="Hyperlink"/>
            <w:rFonts w:ascii="Times New Roman" w:eastAsia="Times New Roman" w:hAnsi="Times New Roman" w:cs="Times New Roman"/>
            <w:color w:val="3366FF"/>
            <w:sz w:val="24"/>
            <w:szCs w:val="24"/>
          </w:rPr>
          <w:t>www.ktmc.com</w:t>
        </w:r>
      </w:hyperlink>
      <w:r w:rsidRPr="00165FE0">
        <w:rPr>
          <w:rStyle w:val="Hyperlink"/>
          <w:rFonts w:ascii="Times New Roman" w:eastAsia="Times New Roman" w:hAnsi="Times New Roman" w:cs="Times New Roman"/>
          <w:color w:val="auto"/>
          <w:sz w:val="24"/>
          <w:szCs w:val="24"/>
          <w:u w:val="none"/>
        </w:rPr>
        <w:t xml:space="preserve">) </w:t>
      </w:r>
      <w:r w:rsidRPr="00165FE0">
        <w:rPr>
          <w:rFonts w:ascii="Times New Roman" w:eastAsia="Times New Roman" w:hAnsi="Times New Roman" w:cs="Times New Roman"/>
          <w:sz w:val="24"/>
          <w:szCs w:val="24"/>
        </w:rPr>
        <w:t xml:space="preserve"> </w:t>
      </w:r>
      <w:r w:rsidRPr="00A0599C">
        <w:rPr>
          <w:rFonts w:ascii="Times New Roman" w:eastAsia="Times New Roman" w:hAnsi="Times New Roman" w:cs="Times New Roman"/>
          <w:sz w:val="24"/>
          <w:szCs w:val="24"/>
        </w:rPr>
        <w:t xml:space="preserve">informs investors that a </w:t>
      </w:r>
      <w:r>
        <w:rPr>
          <w:rFonts w:ascii="Times New Roman" w:eastAsia="Times New Roman" w:hAnsi="Times New Roman" w:cs="Times New Roman"/>
          <w:sz w:val="24"/>
          <w:szCs w:val="24"/>
        </w:rPr>
        <w:t xml:space="preserve">securities </w:t>
      </w:r>
      <w:r w:rsidRPr="00A0599C">
        <w:rPr>
          <w:rFonts w:ascii="Times New Roman" w:eastAsia="Times New Roman" w:hAnsi="Times New Roman" w:cs="Times New Roman"/>
          <w:sz w:val="24"/>
          <w:szCs w:val="24"/>
        </w:rPr>
        <w:t>class action lawsuit has been filed</w:t>
      </w:r>
      <w:r w:rsidRPr="00F12534">
        <w:t xml:space="preserve"> </w:t>
      </w:r>
      <w:r w:rsidRPr="00F12534">
        <w:rPr>
          <w:rFonts w:ascii="Times New Roman" w:eastAsia="Times New Roman" w:hAnsi="Times New Roman" w:cs="Times New Roman"/>
          <w:sz w:val="24"/>
          <w:szCs w:val="24"/>
        </w:rPr>
        <w:t>in the United States District Court for the</w:t>
      </w:r>
      <w:r>
        <w:rPr>
          <w:rFonts w:ascii="Times New Roman" w:eastAsia="Times New Roman" w:hAnsi="Times New Roman" w:cs="Times New Roman"/>
          <w:sz w:val="24"/>
          <w:szCs w:val="24"/>
        </w:rPr>
        <w:t xml:space="preserve"> Northern</w:t>
      </w:r>
      <w:r w:rsidRPr="00F12534">
        <w:rPr>
          <w:rFonts w:ascii="Times New Roman" w:eastAsia="Times New Roman" w:hAnsi="Times New Roman" w:cs="Times New Roman"/>
          <w:sz w:val="24"/>
          <w:szCs w:val="24"/>
        </w:rPr>
        <w:t xml:space="preserve"> District of </w:t>
      </w:r>
      <w:r>
        <w:rPr>
          <w:rFonts w:ascii="Times New Roman" w:eastAsia="Times New Roman" w:hAnsi="Times New Roman" w:cs="Times New Roman"/>
          <w:sz w:val="24"/>
          <w:szCs w:val="24"/>
        </w:rPr>
        <w:t>California</w:t>
      </w:r>
      <w:r w:rsidRPr="00A0599C">
        <w:rPr>
          <w:rFonts w:ascii="Times New Roman" w:eastAsia="Times New Roman" w:hAnsi="Times New Roman" w:cs="Times New Roman"/>
          <w:sz w:val="24"/>
          <w:szCs w:val="24"/>
        </w:rPr>
        <w:t xml:space="preserve"> against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Akero</w:t>
      </w:r>
      <w:proofErr w:type="spellEnd"/>
      <w:r>
        <w:rPr>
          <w:rFonts w:ascii="Times New Roman" w:eastAsia="Times New Roman" w:hAnsi="Times New Roman" w:cs="Times New Roman"/>
          <w:sz w:val="24"/>
          <w:szCs w:val="24"/>
        </w:rPr>
        <w:t xml:space="preserve"> Therapeutics</w:t>
      </w:r>
      <w:r>
        <w:rPr>
          <w:rFonts w:ascii="Times New Roman" w:hAnsi="Times New Roman" w:cs="Times New Roman"/>
          <w:sz w:val="24"/>
          <w:szCs w:val="24"/>
        </w:rPr>
        <w:t>, Inc.</w:t>
      </w:r>
      <w:r w:rsidRPr="00A0599C">
        <w:rPr>
          <w:rFonts w:ascii="Times New Roman" w:hAnsi="Times New Roman" w:cs="Times New Roman"/>
          <w:sz w:val="24"/>
          <w:szCs w:val="24"/>
        </w:rPr>
        <w:t xml:space="preserve"> (“</w:t>
      </w:r>
      <w:proofErr w:type="spellStart"/>
      <w:r>
        <w:rPr>
          <w:rFonts w:ascii="Times New Roman" w:hAnsi="Times New Roman" w:cs="Times New Roman"/>
          <w:sz w:val="24"/>
          <w:szCs w:val="24"/>
        </w:rPr>
        <w:t>Akero</w:t>
      </w:r>
      <w:proofErr w:type="spellEnd"/>
      <w:r w:rsidRPr="00A0599C">
        <w:rPr>
          <w:rFonts w:ascii="Times New Roman" w:hAnsi="Times New Roman" w:cs="Times New Roman"/>
          <w:sz w:val="24"/>
          <w:szCs w:val="24"/>
        </w:rPr>
        <w:t>”) (</w:t>
      </w:r>
      <w:hyperlink r:id="rId6" w:history="1">
        <w:r w:rsidRPr="00B80E76">
          <w:rPr>
            <w:rStyle w:val="Hyperlink"/>
            <w:rFonts w:ascii="Times New Roman" w:hAnsi="Times New Roman" w:cs="Times New Roman"/>
            <w:sz w:val="24"/>
            <w:szCs w:val="24"/>
          </w:rPr>
          <w:t>NASDAQ: AKRO</w:t>
        </w:r>
      </w:hyperlink>
      <w:r w:rsidRPr="00A0599C">
        <w:rPr>
          <w:rFonts w:ascii="Times New Roman" w:hAnsi="Times New Roman" w:cs="Times New Roman"/>
          <w:sz w:val="24"/>
          <w:szCs w:val="24"/>
        </w:rPr>
        <w:t>)</w:t>
      </w:r>
      <w:r>
        <w:rPr>
          <w:rFonts w:ascii="Times New Roman" w:hAnsi="Times New Roman" w:cs="Times New Roman"/>
          <w:sz w:val="24"/>
          <w:szCs w:val="24"/>
        </w:rPr>
        <w:t xml:space="preserve"> on behalf of investors who purchased or acquired </w:t>
      </w:r>
      <w:proofErr w:type="spellStart"/>
      <w:r>
        <w:rPr>
          <w:rFonts w:ascii="Times New Roman" w:hAnsi="Times New Roman" w:cs="Times New Roman"/>
          <w:sz w:val="24"/>
          <w:szCs w:val="24"/>
        </w:rPr>
        <w:t>Akero</w:t>
      </w:r>
      <w:proofErr w:type="spellEnd"/>
      <w:r>
        <w:rPr>
          <w:rFonts w:ascii="Times New Roman" w:hAnsi="Times New Roman" w:cs="Times New Roman"/>
          <w:sz w:val="24"/>
          <w:szCs w:val="24"/>
        </w:rPr>
        <w:t xml:space="preserve"> common stock between  </w:t>
      </w:r>
      <w:r w:rsidRPr="004C2B9E">
        <w:rPr>
          <w:rFonts w:ascii="Times New Roman" w:hAnsi="Times New Roman" w:cs="Times New Roman"/>
          <w:sz w:val="24"/>
          <w:szCs w:val="24"/>
        </w:rPr>
        <w:t>September 13, 2022 and October 9, 2023</w:t>
      </w:r>
      <w:r>
        <w:rPr>
          <w:rFonts w:ascii="Times New Roman" w:hAnsi="Times New Roman" w:cs="Times New Roman"/>
          <w:sz w:val="24"/>
          <w:szCs w:val="24"/>
        </w:rPr>
        <w:t>, inclusive (the “Class Period”)</w:t>
      </w:r>
      <w:r w:rsidRPr="00BB1982">
        <w:rPr>
          <w:rFonts w:ascii="Times New Roman" w:hAnsi="Times New Roman" w:cs="Times New Roman"/>
          <w:sz w:val="24"/>
          <w:szCs w:val="24"/>
        </w:rPr>
        <w:t>.</w:t>
      </w:r>
      <w:r>
        <w:rPr>
          <w:rFonts w:ascii="Times New Roman" w:hAnsi="Times New Roman" w:cs="Times New Roman"/>
          <w:sz w:val="24"/>
          <w:szCs w:val="24"/>
        </w:rPr>
        <w:t xml:space="preserve">. </w:t>
      </w:r>
      <w:r w:rsidRPr="00EC1238">
        <w:rPr>
          <w:rFonts w:ascii="Times New Roman" w:hAnsi="Times New Roman" w:cs="Times New Roman"/>
          <w:sz w:val="24"/>
          <w:szCs w:val="24"/>
        </w:rPr>
        <w:t>The action charg</w:t>
      </w:r>
      <w:r>
        <w:rPr>
          <w:rFonts w:ascii="Times New Roman" w:hAnsi="Times New Roman" w:cs="Times New Roman"/>
          <w:sz w:val="24"/>
          <w:szCs w:val="24"/>
        </w:rPr>
        <w:t xml:space="preserve">es </w:t>
      </w:r>
      <w:proofErr w:type="spellStart"/>
      <w:r>
        <w:rPr>
          <w:rFonts w:ascii="Times New Roman" w:hAnsi="Times New Roman" w:cs="Times New Roman"/>
          <w:sz w:val="24"/>
          <w:szCs w:val="24"/>
        </w:rPr>
        <w:t>Akero</w:t>
      </w:r>
      <w:proofErr w:type="spellEnd"/>
      <w:r w:rsidRPr="00EC1238">
        <w:rPr>
          <w:rFonts w:ascii="Times New Roman" w:hAnsi="Times New Roman" w:cs="Times New Roman"/>
          <w:sz w:val="24"/>
          <w:szCs w:val="24"/>
        </w:rPr>
        <w:t xml:space="preserve"> with violations of the federal securities laws, including</w:t>
      </w:r>
      <w:r w:rsidRPr="00EC1238">
        <w:rPr>
          <w:rFonts w:ascii="Times New Roman" w:eastAsia="Times New Roman" w:hAnsi="Times New Roman" w:cs="Times New Roman"/>
          <w:sz w:val="24"/>
          <w:szCs w:val="24"/>
        </w:rPr>
        <w:t xml:space="preserve"> omissions and fraudulent misrepresentations relating to the company’s business, operations,</w:t>
      </w:r>
      <w:r>
        <w:rPr>
          <w:rFonts w:ascii="Times New Roman" w:eastAsia="Times New Roman" w:hAnsi="Times New Roman" w:cs="Times New Roman"/>
          <w:sz w:val="24"/>
          <w:szCs w:val="24"/>
        </w:rPr>
        <w:t xml:space="preserve"> and prospects.  As a result of </w:t>
      </w:r>
      <w:proofErr w:type="spellStart"/>
      <w:r>
        <w:rPr>
          <w:rFonts w:ascii="Times New Roman" w:eastAsia="Times New Roman" w:hAnsi="Times New Roman" w:cs="Times New Roman"/>
          <w:sz w:val="24"/>
          <w:szCs w:val="24"/>
        </w:rPr>
        <w:t>Akero</w:t>
      </w:r>
      <w:r>
        <w:rPr>
          <w:rFonts w:ascii="Times New Roman" w:hAnsi="Times New Roman" w:cs="Times New Roman"/>
          <w:sz w:val="24"/>
          <w:szCs w:val="24"/>
        </w:rPr>
        <w:t>’s</w:t>
      </w:r>
      <w:proofErr w:type="spellEnd"/>
      <w:r w:rsidRPr="00EC1238">
        <w:rPr>
          <w:rFonts w:ascii="Times New Roman" w:hAnsi="Times New Roman" w:cs="Times New Roman"/>
          <w:sz w:val="24"/>
          <w:szCs w:val="24"/>
        </w:rPr>
        <w:t xml:space="preserve"> materially misleading statements </w:t>
      </w:r>
      <w:r>
        <w:rPr>
          <w:rFonts w:ascii="Times New Roman" w:hAnsi="Times New Roman" w:cs="Times New Roman"/>
          <w:sz w:val="24"/>
          <w:szCs w:val="24"/>
        </w:rPr>
        <w:t xml:space="preserve">and omissions </w:t>
      </w:r>
      <w:r w:rsidRPr="00EC1238">
        <w:rPr>
          <w:rFonts w:ascii="Times New Roman" w:hAnsi="Times New Roman" w:cs="Times New Roman"/>
          <w:sz w:val="24"/>
          <w:szCs w:val="24"/>
        </w:rPr>
        <w:t>to the publi</w:t>
      </w:r>
      <w:r>
        <w:rPr>
          <w:rFonts w:ascii="Times New Roman" w:hAnsi="Times New Roman" w:cs="Times New Roman"/>
          <w:sz w:val="24"/>
          <w:szCs w:val="24"/>
        </w:rPr>
        <w:t xml:space="preserve">c, </w:t>
      </w:r>
      <w:proofErr w:type="spellStart"/>
      <w:r>
        <w:rPr>
          <w:rFonts w:ascii="Times New Roman" w:hAnsi="Times New Roman" w:cs="Times New Roman"/>
          <w:sz w:val="24"/>
          <w:szCs w:val="24"/>
        </w:rPr>
        <w:t>Akero’s</w:t>
      </w:r>
      <w:proofErr w:type="spellEnd"/>
      <w:r w:rsidRPr="00EC1238">
        <w:rPr>
          <w:rFonts w:ascii="Times New Roman" w:hAnsi="Times New Roman" w:cs="Times New Roman"/>
          <w:sz w:val="24"/>
          <w:szCs w:val="24"/>
        </w:rPr>
        <w:t xml:space="preserve"> investors have suffered significant losses.</w:t>
      </w:r>
    </w:p>
    <w:p w14:paraId="0D271824" w14:textId="77777777" w:rsidR="00DA7BB6" w:rsidRPr="00A447CC" w:rsidRDefault="00DA7BB6" w:rsidP="00A447CC">
      <w:pPr>
        <w:spacing w:after="0" w:line="240" w:lineRule="auto"/>
        <w:jc w:val="both"/>
        <w:rPr>
          <w:rFonts w:ascii="Times New Roman" w:eastAsia="Times New Roman" w:hAnsi="Times New Roman" w:cs="Times New Roman"/>
          <w:b/>
          <w:bCs/>
          <w:color w:val="000000"/>
          <w:sz w:val="24"/>
          <w:szCs w:val="24"/>
        </w:rPr>
      </w:pPr>
    </w:p>
    <w:p w14:paraId="65C5C331" w14:textId="45B4FF98" w:rsidR="001E756F" w:rsidRDefault="0094541B" w:rsidP="001E756F">
      <w:r w:rsidRPr="0071322C">
        <w:rPr>
          <w:rStyle w:val="Hyperlink"/>
          <w:rFonts w:ascii="Times New Roman" w:eastAsia="Times New Roman" w:hAnsi="Times New Roman" w:cs="Times New Roman"/>
          <w:bCs/>
          <w:color w:val="auto"/>
          <w:sz w:val="24"/>
          <w:szCs w:val="24"/>
          <w:u w:val="none"/>
        </w:rPr>
        <w:t xml:space="preserve">If you suffered </w:t>
      </w:r>
      <w:proofErr w:type="spellStart"/>
      <w:r>
        <w:rPr>
          <w:rStyle w:val="Hyperlink"/>
          <w:rFonts w:ascii="Times New Roman" w:eastAsia="Times New Roman" w:hAnsi="Times New Roman" w:cs="Times New Roman"/>
          <w:bCs/>
          <w:color w:val="auto"/>
          <w:sz w:val="24"/>
          <w:szCs w:val="24"/>
          <w:u w:val="none"/>
        </w:rPr>
        <w:t>Akero</w:t>
      </w:r>
      <w:proofErr w:type="spellEnd"/>
      <w:r w:rsidRPr="0071322C">
        <w:rPr>
          <w:rStyle w:val="Hyperlink"/>
          <w:rFonts w:ascii="Times New Roman" w:eastAsia="Times New Roman" w:hAnsi="Times New Roman" w:cs="Times New Roman"/>
          <w:bCs/>
          <w:color w:val="auto"/>
          <w:sz w:val="24"/>
          <w:szCs w:val="24"/>
          <w:u w:val="none"/>
        </w:rPr>
        <w:t xml:space="preserve"> losses, </w:t>
      </w:r>
      <w:r>
        <w:rPr>
          <w:rFonts w:ascii="Times New Roman" w:hAnsi="Times New Roman" w:cs="Times New Roman"/>
          <w:sz w:val="24"/>
          <w:szCs w:val="24"/>
        </w:rPr>
        <w:t xml:space="preserve">you may </w:t>
      </w:r>
      <w:hyperlink r:id="rId7" w:history="1">
        <w:r w:rsidR="001E756F" w:rsidRPr="0017387A">
          <w:rPr>
            <w:rStyle w:val="Hyperlink"/>
            <w:rFonts w:ascii="Times New Roman" w:hAnsi="Times New Roman" w:cs="Times New Roman"/>
            <w:sz w:val="24"/>
            <w:szCs w:val="24"/>
          </w:rPr>
          <w:t>CLICK HERE</w:t>
        </w:r>
      </w:hyperlink>
      <w:r w:rsidR="001E756F" w:rsidRPr="007507A5">
        <w:rPr>
          <w:rFonts w:ascii="Times New Roman" w:hAnsi="Times New Roman" w:cs="Times New Roman"/>
          <w:b/>
          <w:sz w:val="24"/>
          <w:szCs w:val="24"/>
        </w:rPr>
        <w:t xml:space="preserve"> </w:t>
      </w:r>
      <w:r>
        <w:rPr>
          <w:rFonts w:ascii="Times New Roman" w:eastAsia="Times New Roman" w:hAnsi="Times New Roman" w:cs="Times New Roman"/>
          <w:b/>
          <w:sz w:val="24"/>
          <w:szCs w:val="24"/>
        </w:rPr>
        <w:t xml:space="preserve">or go to: </w:t>
      </w:r>
      <w:hyperlink r:id="rId8" w:history="1">
        <w:r w:rsidR="001E756F">
          <w:rPr>
            <w:rStyle w:val="Hyperlink"/>
          </w:rPr>
          <w:t>https://www.ktmc.com/new-cases/akero-therapeutics-inc?utm_source=PR&amp;utm_medium=link&amp;utm_campaign=akro&amp;mktm=r</w:t>
        </w:r>
      </w:hyperlink>
    </w:p>
    <w:p w14:paraId="52E3FFE8" w14:textId="29234684" w:rsidR="0094541B" w:rsidRPr="0071322C" w:rsidRDefault="0094541B" w:rsidP="0094541B">
      <w:pPr>
        <w:spacing w:after="0" w:line="240" w:lineRule="auto"/>
        <w:jc w:val="both"/>
        <w:rPr>
          <w:rFonts w:ascii="Times New Roman" w:eastAsia="Times New Roman" w:hAnsi="Times New Roman" w:cs="Times New Roman"/>
          <w:bCs/>
          <w:color w:val="0000FF"/>
          <w:sz w:val="24"/>
          <w:szCs w:val="24"/>
        </w:rPr>
      </w:pPr>
      <w:r w:rsidRPr="0071322C">
        <w:rPr>
          <w:rFonts w:ascii="Times New Roman" w:eastAsia="Times New Roman" w:hAnsi="Times New Roman" w:cs="Times New Roman"/>
          <w:bCs/>
          <w:sz w:val="24"/>
          <w:szCs w:val="24"/>
        </w:rPr>
        <w:t xml:space="preserve">You can also contact attorney </w:t>
      </w:r>
      <w:hyperlink r:id="rId9" w:history="1">
        <w:r w:rsidRPr="0071322C">
          <w:rPr>
            <w:rStyle w:val="Hyperlink"/>
            <w:rFonts w:ascii="Times New Roman" w:eastAsia="Times New Roman" w:hAnsi="Times New Roman" w:cs="Times New Roman"/>
            <w:bCs/>
            <w:color w:val="auto"/>
            <w:sz w:val="24"/>
            <w:szCs w:val="24"/>
          </w:rPr>
          <w:t>Jonathan Naji, Esq.</w:t>
        </w:r>
      </w:hyperlink>
      <w:r w:rsidRPr="0071322C">
        <w:rPr>
          <w:rStyle w:val="Hyperlink"/>
          <w:rFonts w:ascii="Times New Roman" w:eastAsia="Times New Roman" w:hAnsi="Times New Roman" w:cs="Times New Roman"/>
          <w:bCs/>
          <w:color w:val="auto"/>
          <w:sz w:val="24"/>
          <w:szCs w:val="24"/>
        </w:rPr>
        <w:t xml:space="preserve"> </w:t>
      </w:r>
      <w:r w:rsidRPr="0071322C">
        <w:rPr>
          <w:rFonts w:ascii="Times New Roman" w:eastAsia="Times New Roman" w:hAnsi="Times New Roman" w:cs="Times New Roman"/>
          <w:bCs/>
          <w:sz w:val="24"/>
          <w:szCs w:val="24"/>
        </w:rPr>
        <w:t xml:space="preserve">of Kessler Topaz by calling (484) 270-1453 or by email at </w:t>
      </w:r>
      <w:hyperlink r:id="rId10" w:history="1">
        <w:r w:rsidRPr="0071322C">
          <w:rPr>
            <w:rStyle w:val="Hyperlink"/>
            <w:rFonts w:ascii="Times New Roman" w:eastAsia="Times New Roman" w:hAnsi="Times New Roman" w:cs="Times New Roman"/>
            <w:bCs/>
            <w:sz w:val="24"/>
            <w:szCs w:val="24"/>
          </w:rPr>
          <w:t>info@ktmc.com</w:t>
        </w:r>
      </w:hyperlink>
      <w:r w:rsidRPr="0071322C">
        <w:rPr>
          <w:rFonts w:ascii="Times New Roman" w:eastAsia="Times New Roman" w:hAnsi="Times New Roman" w:cs="Times New Roman"/>
          <w:bCs/>
          <w:color w:val="0000FF"/>
          <w:sz w:val="24"/>
          <w:szCs w:val="24"/>
        </w:rPr>
        <w:t xml:space="preserve">.  </w:t>
      </w:r>
      <w:r w:rsidRPr="0071322C">
        <w:rPr>
          <w:rFonts w:ascii="Times New Roman" w:eastAsia="Times New Roman" w:hAnsi="Times New Roman" w:cs="Times New Roman"/>
          <w:bCs/>
          <w:sz w:val="24"/>
          <w:szCs w:val="24"/>
        </w:rPr>
        <w:t>The lead plaintiff deadline is June 2</w:t>
      </w:r>
      <w:r>
        <w:rPr>
          <w:rFonts w:ascii="Times New Roman" w:eastAsia="Times New Roman" w:hAnsi="Times New Roman" w:cs="Times New Roman"/>
          <w:bCs/>
          <w:sz w:val="24"/>
          <w:szCs w:val="24"/>
        </w:rPr>
        <w:t>5</w:t>
      </w:r>
      <w:r w:rsidRPr="0071322C">
        <w:rPr>
          <w:rFonts w:ascii="Times New Roman" w:eastAsia="Times New Roman" w:hAnsi="Times New Roman" w:cs="Times New Roman"/>
          <w:bCs/>
          <w:sz w:val="24"/>
          <w:szCs w:val="24"/>
        </w:rPr>
        <w:t xml:space="preserve">, 2024. </w:t>
      </w:r>
    </w:p>
    <w:p w14:paraId="451378C2" w14:textId="77777777" w:rsidR="00F56A80" w:rsidRDefault="00F56A80" w:rsidP="00DA7326">
      <w:pPr>
        <w:spacing w:after="0"/>
        <w:jc w:val="both"/>
        <w:rPr>
          <w:rFonts w:ascii="Times New Roman" w:eastAsia="Times New Roman" w:hAnsi="Times New Roman" w:cs="Times New Roman"/>
          <w:sz w:val="24"/>
          <w:szCs w:val="24"/>
        </w:rPr>
      </w:pPr>
    </w:p>
    <w:p w14:paraId="0606B4DD" w14:textId="77777777" w:rsidR="0017608E" w:rsidRDefault="00BC257A" w:rsidP="0017608E">
      <w:pPr>
        <w:spacing w:after="0"/>
        <w:jc w:val="both"/>
        <w:rPr>
          <w:rFonts w:ascii="Times New Roman" w:eastAsia="Times New Roman" w:hAnsi="Times New Roman" w:cs="Times New Roman"/>
          <w:b/>
          <w:sz w:val="24"/>
          <w:szCs w:val="24"/>
        </w:rPr>
      </w:pPr>
      <w:r w:rsidRPr="00430412">
        <w:rPr>
          <w:rFonts w:ascii="Times New Roman" w:eastAsia="Times New Roman" w:hAnsi="Times New Roman" w:cs="Times New Roman"/>
          <w:b/>
          <w:sz w:val="24"/>
          <w:szCs w:val="24"/>
        </w:rPr>
        <w:t>DEFENDANTS’ ALLEGED MISCONDUCT</w:t>
      </w:r>
    </w:p>
    <w:p w14:paraId="575A9BFD" w14:textId="77777777" w:rsidR="0017608E" w:rsidRDefault="0017608E" w:rsidP="0017608E">
      <w:pPr>
        <w:spacing w:after="0"/>
        <w:jc w:val="both"/>
        <w:rPr>
          <w:rFonts w:ascii="Times New Roman" w:hAnsi="Times New Roman" w:cs="Times New Roman"/>
          <w:bCs/>
          <w:noProof/>
          <w:sz w:val="24"/>
          <w:szCs w:val="24"/>
        </w:rPr>
      </w:pPr>
      <w:r w:rsidRPr="0017608E">
        <w:rPr>
          <w:rFonts w:ascii="Times New Roman" w:hAnsi="Times New Roman" w:cs="Times New Roman"/>
          <w:bCs/>
          <w:noProof/>
          <w:sz w:val="24"/>
          <w:szCs w:val="24"/>
        </w:rPr>
        <w:t xml:space="preserve">Akero is a clinical stage drug development company which  has yet to generate any revenues because the FDA has not approved any of its drug candidates for sale. To finance the company’s operations, Akero conducted two secondary stock offerings and one at-the-market stock offering during the Class Period, raising over $577 million. In order to successfully complete these offerings and raise part of the funding, Akero needed to develop and commercialize EFX, Akero’s lead product candidate, which was being developed to treat Nonalcoholic steatohepatitis (“NASH”) - a serious form of nonalcoholic fatty liver disease that is estimated to affect 17 million Americans. </w:t>
      </w:r>
    </w:p>
    <w:p w14:paraId="29693005" w14:textId="77777777" w:rsidR="0017608E" w:rsidRDefault="0017608E" w:rsidP="0017608E">
      <w:pPr>
        <w:spacing w:after="0"/>
        <w:jc w:val="both"/>
        <w:rPr>
          <w:rFonts w:ascii="Times New Roman" w:hAnsi="Times New Roman" w:cs="Times New Roman"/>
          <w:bCs/>
          <w:noProof/>
          <w:sz w:val="24"/>
          <w:szCs w:val="24"/>
        </w:rPr>
      </w:pPr>
    </w:p>
    <w:p w14:paraId="48E12AED" w14:textId="4A1F2F5F" w:rsidR="0017608E" w:rsidRPr="0017608E" w:rsidRDefault="0017608E" w:rsidP="0017608E">
      <w:pPr>
        <w:spacing w:after="0"/>
        <w:jc w:val="both"/>
        <w:rPr>
          <w:rFonts w:ascii="Times New Roman" w:eastAsia="Times New Roman" w:hAnsi="Times New Roman" w:cs="Times New Roman"/>
          <w:b/>
          <w:sz w:val="24"/>
          <w:szCs w:val="24"/>
        </w:rPr>
      </w:pPr>
      <w:r w:rsidRPr="0017608E">
        <w:rPr>
          <w:rFonts w:ascii="Times New Roman" w:hAnsi="Times New Roman" w:cs="Times New Roman"/>
          <w:bCs/>
          <w:noProof/>
          <w:sz w:val="24"/>
          <w:szCs w:val="24"/>
        </w:rPr>
        <w:t>The Class Period begins on September 13, 2022.  On that date, Akero filed with the SEC a Form 8-K which reported the 24-week results for Akero’s Phase 2b HARMONY study of EFX in patients with pre-cirrhotic NASH. The Form 8-K and the attached press release stated that both the 50 milligram and 28 milligram doses of EFX had achieved statistical significance on primary and secondary histology endpoints after 24 weeks.</w:t>
      </w:r>
    </w:p>
    <w:p w14:paraId="01389B72" w14:textId="52E97BB4" w:rsidR="0017608E" w:rsidRPr="0017608E" w:rsidRDefault="0017608E" w:rsidP="0017608E">
      <w:pPr>
        <w:pStyle w:val="PlainText"/>
        <w:jc w:val="both"/>
        <w:rPr>
          <w:rFonts w:eastAsiaTheme="minorHAnsi"/>
          <w:bCs/>
          <w:noProof/>
          <w:szCs w:val="24"/>
        </w:rPr>
      </w:pPr>
      <w:r w:rsidRPr="0017608E">
        <w:rPr>
          <w:rFonts w:eastAsiaTheme="minorHAnsi"/>
          <w:bCs/>
          <w:noProof/>
          <w:szCs w:val="24"/>
        </w:rPr>
        <w:t>Two days later, on September 15, 2022, Akero filed with the SEC a prospectus supplement for a secondary offering of Akero common stock, pursuant to, the company eventually sold over 8.8 million shares of Akero common stock at $26 per share, raising  gross proceeds of approximately $230 million.</w:t>
      </w:r>
    </w:p>
    <w:p w14:paraId="403F3C68" w14:textId="77777777" w:rsidR="0017608E" w:rsidRDefault="0017608E" w:rsidP="0017608E">
      <w:pPr>
        <w:pStyle w:val="PlainText"/>
        <w:jc w:val="both"/>
        <w:rPr>
          <w:rFonts w:eastAsiaTheme="minorHAnsi"/>
          <w:bCs/>
          <w:noProof/>
          <w:szCs w:val="24"/>
        </w:rPr>
      </w:pPr>
      <w:r w:rsidRPr="0017608E">
        <w:rPr>
          <w:rFonts w:eastAsiaTheme="minorHAnsi"/>
          <w:bCs/>
          <w:noProof/>
          <w:szCs w:val="24"/>
        </w:rPr>
        <w:t>Throughout the Class Period, Defendants repeatedly misled investors as to the true nature of the patient population that was being tested in Akero’s SYMMETRY study.  Specifically, despite telling investors that the study’s patient population was limited to those with NASH induced cirrhosis (a fact that was key for data integrity and the likelihood of study success), for approximately 20% of those being tested Akero had not confirmed that the patients had NASH and that NASH had in fact caused their cirrhosis.</w:t>
      </w:r>
    </w:p>
    <w:p w14:paraId="339F643B" w14:textId="54FD2717" w:rsidR="003E4CD1" w:rsidRDefault="0017608E" w:rsidP="0017608E">
      <w:pPr>
        <w:pStyle w:val="PlainText"/>
        <w:jc w:val="both"/>
        <w:rPr>
          <w:rFonts w:eastAsiaTheme="minorHAnsi"/>
          <w:bCs/>
          <w:noProof/>
          <w:szCs w:val="24"/>
        </w:rPr>
      </w:pPr>
      <w:r w:rsidRPr="0017608E">
        <w:rPr>
          <w:rFonts w:eastAsiaTheme="minorHAnsi"/>
          <w:bCs/>
          <w:noProof/>
          <w:szCs w:val="24"/>
        </w:rPr>
        <w:lastRenderedPageBreak/>
        <w:t>Akero shocked the market on October 10, 2023 when the company posted disappointing interim data from its Phase 2b SYMMETRY trial for EFX. Specifically, Akero stated that 22% (28mg) and 24% (50mg) of those on EFX and 14% on placebo indicated at least one stage improvement in fibrosis with no worsening of NASH at week 36, the trial's primary endpoint, but that these changes were not statistically significant. In addition, Akero added that 12 patients, including 11 in EFX groups, discontinued the trial due to drug-related adverse events.  On this news, Akero's stock price fell $30.39 per share, or 62.61%, to close at $18.15 per share on October 10, 2023.</w:t>
      </w:r>
    </w:p>
    <w:p w14:paraId="0ED177DF" w14:textId="77777777" w:rsidR="0017608E" w:rsidRPr="0017608E" w:rsidRDefault="0017608E" w:rsidP="0017608E">
      <w:pPr>
        <w:pStyle w:val="PlainText"/>
        <w:jc w:val="both"/>
        <w:rPr>
          <w:rFonts w:eastAsiaTheme="minorHAnsi"/>
          <w:bCs/>
          <w:noProof/>
          <w:szCs w:val="24"/>
        </w:rPr>
      </w:pPr>
    </w:p>
    <w:p w14:paraId="7637AF8E" w14:textId="61891D3D" w:rsidR="008C15B0" w:rsidRPr="00B152EE" w:rsidRDefault="004666B7" w:rsidP="00B152EE">
      <w:pPr>
        <w:pStyle w:val="PlainText"/>
        <w:spacing w:before="0"/>
        <w:jc w:val="both"/>
        <w:rPr>
          <w:b/>
          <w:noProof/>
        </w:rPr>
      </w:pPr>
      <w:r w:rsidRPr="00B152EE">
        <w:rPr>
          <w:b/>
          <w:noProof/>
        </w:rPr>
        <w:t>WHAT CAN I DO?</w:t>
      </w:r>
    </w:p>
    <w:p w14:paraId="5156D039" w14:textId="10C85E0D" w:rsidR="00CB779F" w:rsidRDefault="003E4CD1" w:rsidP="00B152EE">
      <w:pPr>
        <w:pStyle w:val="PlainText"/>
        <w:spacing w:before="0"/>
        <w:jc w:val="both"/>
        <w:rPr>
          <w:szCs w:val="24"/>
        </w:rPr>
      </w:pPr>
      <w:r>
        <w:rPr>
          <w:noProof/>
        </w:rPr>
        <w:t>A</w:t>
      </w:r>
      <w:r w:rsidR="00B372B7">
        <w:rPr>
          <w:noProof/>
        </w:rPr>
        <w:t>kero</w:t>
      </w:r>
      <w:r w:rsidR="004666B7" w:rsidRPr="00901223">
        <w:rPr>
          <w:b/>
          <w:i/>
        </w:rPr>
        <w:t xml:space="preserve"> </w:t>
      </w:r>
      <w:r w:rsidR="004666B7">
        <w:t>investors</w:t>
      </w:r>
      <w:r w:rsidR="004666B7" w:rsidRPr="00901223">
        <w:t xml:space="preserve"> may, </w:t>
      </w:r>
      <w:r w:rsidR="004666B7" w:rsidRPr="00901223">
        <w:rPr>
          <w:b/>
          <w:i/>
          <w:u w:val="single"/>
        </w:rPr>
        <w:t>no later tha</w:t>
      </w:r>
      <w:r w:rsidR="003F5BAC">
        <w:rPr>
          <w:b/>
          <w:i/>
          <w:u w:val="single"/>
        </w:rPr>
        <w:t xml:space="preserve">n </w:t>
      </w:r>
      <w:r>
        <w:rPr>
          <w:b/>
          <w:i/>
          <w:u w:val="single"/>
        </w:rPr>
        <w:t>June 2</w:t>
      </w:r>
      <w:r w:rsidR="00B372B7">
        <w:rPr>
          <w:b/>
          <w:i/>
          <w:u w:val="single"/>
        </w:rPr>
        <w:t>5</w:t>
      </w:r>
      <w:r w:rsidR="003F5BAC">
        <w:rPr>
          <w:b/>
          <w:i/>
          <w:u w:val="single"/>
        </w:rPr>
        <w:t>, 2024,</w:t>
      </w:r>
      <w:r w:rsidR="004666B7" w:rsidRPr="00901223">
        <w:t xml:space="preserve"> seek to be appointed as a lead plaintiff representative of the class through </w:t>
      </w:r>
      <w:hyperlink r:id="rId11" w:history="1">
        <w:r w:rsidR="00B80E76" w:rsidRPr="00B80E76">
          <w:rPr>
            <w:rStyle w:val="Hyperlink"/>
            <w:szCs w:val="24"/>
          </w:rPr>
          <w:t>Kessler Topaz Meltzer &amp; Check, LLP</w:t>
        </w:r>
      </w:hyperlink>
      <w:r w:rsidR="00B80E76">
        <w:rPr>
          <w:rStyle w:val="Hyperlink"/>
          <w:color w:val="0000FF"/>
          <w:szCs w:val="24"/>
          <w:u w:val="none"/>
        </w:rPr>
        <w:t xml:space="preserve"> </w:t>
      </w:r>
      <w:r w:rsidR="004666B7" w:rsidRPr="007507A5">
        <w:t>or</w:t>
      </w:r>
      <w:r w:rsidR="004666B7" w:rsidRPr="00901223">
        <w:t xml:space="preserve"> other counsel, or may choose to do nothing and remain an absent class </w:t>
      </w:r>
      <w:r w:rsidR="004666B7" w:rsidRPr="00F12534">
        <w:t>member</w:t>
      </w:r>
      <w:r w:rsidR="003F5BAC">
        <w:t>.</w:t>
      </w:r>
      <w:r w:rsidR="0019314D" w:rsidRPr="00F12534">
        <w:t xml:space="preserve"> </w:t>
      </w:r>
      <w:hyperlink r:id="rId12" w:history="1">
        <w:r w:rsidR="00B80E76" w:rsidRPr="00B80E76">
          <w:rPr>
            <w:rStyle w:val="Hyperlink"/>
            <w:szCs w:val="24"/>
          </w:rPr>
          <w:t>Kessler Topaz Meltzer &amp; Check, LLP</w:t>
        </w:r>
      </w:hyperlink>
      <w:r w:rsidR="00B80E76">
        <w:rPr>
          <w:rStyle w:val="Hyperlink"/>
          <w:color w:val="0000FF"/>
          <w:szCs w:val="24"/>
          <w:u w:val="none"/>
        </w:rPr>
        <w:t xml:space="preserve"> </w:t>
      </w:r>
      <w:r w:rsidR="004666B7">
        <w:t xml:space="preserve">encourages </w:t>
      </w:r>
      <w:proofErr w:type="spellStart"/>
      <w:r>
        <w:rPr>
          <w:szCs w:val="24"/>
        </w:rPr>
        <w:t>A</w:t>
      </w:r>
      <w:r w:rsidR="00B372B7">
        <w:rPr>
          <w:szCs w:val="24"/>
        </w:rPr>
        <w:t>kero</w:t>
      </w:r>
      <w:proofErr w:type="spellEnd"/>
      <w:r w:rsidR="004666B7" w:rsidRPr="008F7FE8">
        <w:rPr>
          <w:szCs w:val="24"/>
        </w:rPr>
        <w:t xml:space="preserve"> investors </w:t>
      </w:r>
      <w:r w:rsidR="004666B7">
        <w:rPr>
          <w:szCs w:val="24"/>
        </w:rPr>
        <w:t xml:space="preserve">who have suffered significant losses to contact the firm </w:t>
      </w:r>
      <w:r w:rsidR="004666B7" w:rsidRPr="008F7FE8">
        <w:rPr>
          <w:szCs w:val="24"/>
        </w:rPr>
        <w:t xml:space="preserve">directly </w:t>
      </w:r>
      <w:r w:rsidR="004666B7">
        <w:rPr>
          <w:szCs w:val="24"/>
        </w:rPr>
        <w:t xml:space="preserve">to </w:t>
      </w:r>
      <w:r w:rsidR="004666B7" w:rsidRPr="008F7FE8">
        <w:rPr>
          <w:szCs w:val="24"/>
        </w:rPr>
        <w:t>acquire more information.</w:t>
      </w:r>
      <w:r w:rsidR="003F5BAC">
        <w:rPr>
          <w:szCs w:val="24"/>
        </w:rPr>
        <w:t xml:space="preserve"> The class action complaint against</w:t>
      </w:r>
      <w:r>
        <w:rPr>
          <w:szCs w:val="24"/>
        </w:rPr>
        <w:t xml:space="preserve"> </w:t>
      </w:r>
      <w:proofErr w:type="spellStart"/>
      <w:r>
        <w:rPr>
          <w:szCs w:val="24"/>
        </w:rPr>
        <w:t>A</w:t>
      </w:r>
      <w:r w:rsidR="00B372B7">
        <w:rPr>
          <w:szCs w:val="24"/>
        </w:rPr>
        <w:t>kero</w:t>
      </w:r>
      <w:proofErr w:type="spellEnd"/>
      <w:r w:rsidR="003F5BAC">
        <w:rPr>
          <w:szCs w:val="24"/>
        </w:rPr>
        <w:t>,</w:t>
      </w:r>
      <w:r w:rsidR="003F5BAC">
        <w:rPr>
          <w:rFonts w:ascii="TimesNewRomanPSMT" w:hAnsi="TimesNewRomanPSMT" w:cs="TimesNewRomanPSMT"/>
          <w:szCs w:val="24"/>
        </w:rPr>
        <w:t xml:space="preserve"> </w:t>
      </w:r>
      <w:proofErr w:type="spellStart"/>
      <w:r w:rsidR="00B372B7">
        <w:rPr>
          <w:rFonts w:ascii="TimesNewRomanPSMT" w:hAnsi="TimesNewRomanPSMT" w:cs="TimesNewRomanPSMT"/>
          <w:i/>
          <w:szCs w:val="24"/>
        </w:rPr>
        <w:t>Klobus</w:t>
      </w:r>
      <w:proofErr w:type="spellEnd"/>
      <w:r w:rsidR="00AD1C94">
        <w:rPr>
          <w:rFonts w:ascii="TimesNewRomanPSMT" w:hAnsi="TimesNewRomanPSMT" w:cs="TimesNewRomanPSMT"/>
          <w:i/>
          <w:szCs w:val="24"/>
        </w:rPr>
        <w:t xml:space="preserve"> </w:t>
      </w:r>
      <w:r w:rsidR="00AD1C94">
        <w:rPr>
          <w:i/>
          <w:szCs w:val="24"/>
        </w:rPr>
        <w:t>v.</w:t>
      </w:r>
      <w:r w:rsidR="003F5BAC">
        <w:rPr>
          <w:i/>
          <w:szCs w:val="24"/>
        </w:rPr>
        <w:t xml:space="preserve"> </w:t>
      </w:r>
      <w:proofErr w:type="spellStart"/>
      <w:r>
        <w:rPr>
          <w:i/>
          <w:szCs w:val="24"/>
        </w:rPr>
        <w:t>A</w:t>
      </w:r>
      <w:r w:rsidR="00B372B7">
        <w:rPr>
          <w:i/>
          <w:szCs w:val="24"/>
        </w:rPr>
        <w:t>kero</w:t>
      </w:r>
      <w:proofErr w:type="spellEnd"/>
      <w:r w:rsidR="00B372B7">
        <w:rPr>
          <w:i/>
          <w:szCs w:val="24"/>
        </w:rPr>
        <w:t xml:space="preserve"> Therapeutics</w:t>
      </w:r>
      <w:r w:rsidR="003F5BAC">
        <w:rPr>
          <w:i/>
          <w:szCs w:val="24"/>
        </w:rPr>
        <w:t>,</w:t>
      </w:r>
      <w:r w:rsidR="00241F72">
        <w:rPr>
          <w:i/>
          <w:szCs w:val="24"/>
        </w:rPr>
        <w:t xml:space="preserve"> Inc.,</w:t>
      </w:r>
      <w:r w:rsidR="003F5BAC">
        <w:rPr>
          <w:i/>
          <w:szCs w:val="24"/>
        </w:rPr>
        <w:t xml:space="preserve"> </w:t>
      </w:r>
      <w:r w:rsidR="003F5BAC" w:rsidRPr="00930F58">
        <w:rPr>
          <w:i/>
          <w:szCs w:val="24"/>
        </w:rPr>
        <w:t>et al</w:t>
      </w:r>
      <w:r w:rsidR="003F5BAC">
        <w:rPr>
          <w:i/>
          <w:szCs w:val="24"/>
        </w:rPr>
        <w:t xml:space="preserve">., </w:t>
      </w:r>
      <w:r w:rsidR="003F5BAC" w:rsidRPr="00E83B15">
        <w:rPr>
          <w:iCs/>
          <w:szCs w:val="24"/>
        </w:rPr>
        <w:t>Case No.</w:t>
      </w:r>
      <w:r w:rsidR="003F5BAC">
        <w:rPr>
          <w:i/>
          <w:szCs w:val="24"/>
        </w:rPr>
        <w:t xml:space="preserve"> </w:t>
      </w:r>
      <w:r w:rsidR="003F5BAC">
        <w:t>24-cv-0</w:t>
      </w:r>
      <w:r>
        <w:t>2</w:t>
      </w:r>
      <w:r w:rsidR="00B372B7">
        <w:t>534</w:t>
      </w:r>
      <w:r w:rsidR="003F5BAC">
        <w:rPr>
          <w:szCs w:val="24"/>
        </w:rPr>
        <w:t xml:space="preserve">, is filed in the United States District Court for the </w:t>
      </w:r>
      <w:r w:rsidR="00241F72">
        <w:rPr>
          <w:szCs w:val="24"/>
        </w:rPr>
        <w:t>Northern</w:t>
      </w:r>
      <w:r w:rsidR="003F5BAC">
        <w:rPr>
          <w:szCs w:val="24"/>
        </w:rPr>
        <w:t xml:space="preserve"> District of </w:t>
      </w:r>
      <w:r w:rsidR="00241F72">
        <w:rPr>
          <w:szCs w:val="24"/>
        </w:rPr>
        <w:t>California</w:t>
      </w:r>
      <w:r w:rsidR="003F5BAC">
        <w:rPr>
          <w:szCs w:val="24"/>
        </w:rPr>
        <w:t xml:space="preserve">. </w:t>
      </w:r>
    </w:p>
    <w:p w14:paraId="7914B8F7" w14:textId="77777777" w:rsidR="001E756F" w:rsidRDefault="001E756F" w:rsidP="001E756F">
      <w:pPr>
        <w:spacing w:after="0" w:line="240" w:lineRule="auto"/>
        <w:rPr>
          <w:rStyle w:val="Hyperlink"/>
          <w:rFonts w:ascii="Times New Roman" w:hAnsi="Times New Roman" w:cs="Times New Roman"/>
          <w:b/>
          <w:color w:val="0000FF"/>
          <w:sz w:val="24"/>
          <w:szCs w:val="24"/>
        </w:rPr>
      </w:pPr>
    </w:p>
    <w:p w14:paraId="77C4C449" w14:textId="0712D8D3" w:rsidR="001E756F" w:rsidRPr="000B51BE" w:rsidRDefault="00652F02" w:rsidP="001E756F">
      <w:pPr>
        <w:spacing w:after="0" w:line="240" w:lineRule="auto"/>
        <w:rPr>
          <w:rFonts w:ascii="Times New Roman" w:hAnsi="Times New Roman" w:cs="Times New Roman"/>
          <w:b/>
          <w:sz w:val="24"/>
          <w:szCs w:val="24"/>
        </w:rPr>
      </w:pPr>
      <w:hyperlink r:id="rId13" w:history="1">
        <w:r w:rsidR="001E756F" w:rsidRPr="0017387A">
          <w:rPr>
            <w:rStyle w:val="Hyperlink"/>
            <w:rFonts w:ascii="Times New Roman" w:hAnsi="Times New Roman" w:cs="Times New Roman"/>
            <w:sz w:val="24"/>
            <w:szCs w:val="24"/>
          </w:rPr>
          <w:t>CLICK HERE</w:t>
        </w:r>
      </w:hyperlink>
      <w:r w:rsidR="001E756F" w:rsidRPr="007507A5">
        <w:rPr>
          <w:rFonts w:ascii="Times New Roman" w:hAnsi="Times New Roman" w:cs="Times New Roman"/>
          <w:b/>
          <w:sz w:val="24"/>
          <w:szCs w:val="24"/>
        </w:rPr>
        <w:t xml:space="preserve"> TO SIGN UP FOR THE CASE</w:t>
      </w:r>
      <w:r w:rsidR="001E756F">
        <w:rPr>
          <w:rFonts w:ascii="Times New Roman" w:eastAsia="Times New Roman" w:hAnsi="Times New Roman" w:cs="Times New Roman"/>
          <w:b/>
          <w:sz w:val="24"/>
          <w:szCs w:val="24"/>
        </w:rPr>
        <w:t xml:space="preserve"> or go to: </w:t>
      </w:r>
      <w:hyperlink r:id="rId14" w:history="1">
        <w:r w:rsidR="001E756F">
          <w:rPr>
            <w:rStyle w:val="Hyperlink"/>
          </w:rPr>
          <w:t>https://www.ktmc.com/new-cases/akero-therapeutics-inc?utm_source=PR&amp;utm_medium=link&amp;utm_campaign=akro&amp;mktm=r</w:t>
        </w:r>
      </w:hyperlink>
    </w:p>
    <w:p w14:paraId="1FCFF8BD" w14:textId="77777777" w:rsidR="008C15B0" w:rsidRDefault="00652F02" w:rsidP="00B152EE">
      <w:pPr>
        <w:spacing w:after="0" w:line="240" w:lineRule="auto"/>
        <w:jc w:val="both"/>
      </w:pPr>
    </w:p>
    <w:p w14:paraId="088634FE" w14:textId="77777777" w:rsidR="008C15B0" w:rsidRPr="00D21145" w:rsidRDefault="004666B7" w:rsidP="00B152EE">
      <w:pPr>
        <w:spacing w:after="0" w:line="240" w:lineRule="auto"/>
        <w:jc w:val="both"/>
        <w:rPr>
          <w:rFonts w:ascii="Times New Roman" w:hAnsi="Times New Roman" w:cs="Times New Roman"/>
          <w:sz w:val="24"/>
          <w:szCs w:val="24"/>
        </w:rPr>
      </w:pPr>
      <w:r w:rsidRPr="00D21145">
        <w:rPr>
          <w:rFonts w:ascii="Times New Roman" w:hAnsi="Times New Roman" w:cs="Times New Roman"/>
          <w:b/>
          <w:sz w:val="24"/>
          <w:szCs w:val="24"/>
        </w:rPr>
        <w:t>WHO CAN BE A LEAD PLAINTIFF?</w:t>
      </w:r>
    </w:p>
    <w:p w14:paraId="1FABAEF2" w14:textId="77777777" w:rsidR="008C15B0" w:rsidRDefault="004666B7">
      <w:pPr>
        <w:spacing w:after="0" w:line="240" w:lineRule="auto"/>
        <w:jc w:val="both"/>
        <w:rPr>
          <w:rFonts w:ascii="Times New Roman" w:hAnsi="Times New Roman" w:cs="Times New Roman"/>
          <w:sz w:val="24"/>
          <w:szCs w:val="24"/>
        </w:rPr>
      </w:pPr>
      <w:r w:rsidRPr="00B64619">
        <w:rPr>
          <w:rFonts w:ascii="Times New Roman" w:hAnsi="Times New Roman" w:cs="Times New Roman"/>
          <w:sz w:val="24"/>
          <w:szCs w:val="24"/>
        </w:rPr>
        <w:t>A lead plaintiff is a representative party who acts on behalf of all class members in directing the litigation.</w:t>
      </w:r>
      <w:r w:rsidRPr="00B152EE">
        <w:rPr>
          <w:szCs w:val="24"/>
        </w:rPr>
        <w:t xml:space="preserve">  </w:t>
      </w:r>
      <w:r>
        <w:rPr>
          <w:rFonts w:ascii="Times New Roman" w:hAnsi="Times New Roman" w:cs="Times New Roman"/>
          <w:sz w:val="24"/>
          <w:szCs w:val="24"/>
        </w:rPr>
        <w:t>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w:t>
      </w:r>
      <w:r w:rsidR="00DC5ED3">
        <w:rPr>
          <w:rFonts w:ascii="Times New Roman" w:hAnsi="Times New Roman" w:cs="Times New Roman"/>
          <w:sz w:val="24"/>
          <w:szCs w:val="24"/>
        </w:rPr>
        <w:t xml:space="preserve">rt, are lead or class counsel. </w:t>
      </w:r>
      <w:r w:rsidRPr="00B64619">
        <w:rPr>
          <w:rFonts w:ascii="Times New Roman" w:hAnsi="Times New Roman" w:cs="Times New Roman"/>
          <w:sz w:val="24"/>
          <w:szCs w:val="24"/>
        </w:rPr>
        <w:t>Your ability to share in any recovery is not affected by the decision of whether or not to serve as a lead plaintiff.</w:t>
      </w:r>
    </w:p>
    <w:p w14:paraId="18633602" w14:textId="77777777" w:rsidR="007F1BE8" w:rsidRPr="00E06E9C" w:rsidRDefault="00652F02">
      <w:pPr>
        <w:spacing w:after="0" w:line="240" w:lineRule="auto"/>
        <w:jc w:val="both"/>
        <w:rPr>
          <w:szCs w:val="24"/>
        </w:rPr>
      </w:pPr>
    </w:p>
    <w:p w14:paraId="311BB821" w14:textId="77777777" w:rsidR="008C15B0" w:rsidRDefault="004666B7" w:rsidP="008F7FE8">
      <w:pPr>
        <w:spacing w:after="0" w:line="240" w:lineRule="auto"/>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sidRPr="00B152EE">
        <w:rPr>
          <w:rFonts w:ascii="Times New Roman" w:eastAsia="Times New Roman" w:hAnsi="Times New Roman" w:cs="Times New Roman"/>
          <w:b/>
          <w:sz w:val="24"/>
          <w:szCs w:val="24"/>
        </w:rPr>
        <w:t xml:space="preserve">     </w:t>
      </w:r>
    </w:p>
    <w:p w14:paraId="0F7395D2" w14:textId="44B05873" w:rsidR="008C15B0" w:rsidRPr="00B152EE" w:rsidRDefault="00652F02" w:rsidP="008F7FE8">
      <w:pPr>
        <w:spacing w:after="0" w:line="240" w:lineRule="auto"/>
        <w:jc w:val="both"/>
        <w:rPr>
          <w:rFonts w:ascii="Times New Roman" w:eastAsia="Times New Roman" w:hAnsi="Times New Roman" w:cs="Times New Roman"/>
          <w:sz w:val="24"/>
          <w:szCs w:val="24"/>
        </w:rPr>
      </w:pPr>
      <w:hyperlink r:id="rId15" w:history="1">
        <w:r w:rsidR="00B80E76" w:rsidRPr="00B80E76">
          <w:rPr>
            <w:rStyle w:val="Hyperlink"/>
            <w:rFonts w:ascii="Times New Roman" w:eastAsia="Times New Roman" w:hAnsi="Times New Roman" w:cs="Times New Roman"/>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6" w:history="1">
        <w:r w:rsidR="00B80E76" w:rsidRPr="00B80E76">
          <w:rPr>
            <w:rStyle w:val="Hyperlink"/>
            <w:rFonts w:ascii="Times New Roman" w:eastAsia="Times New Roman" w:hAnsi="Times New Roman" w:cs="Times New Roman"/>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7"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652F02" w:rsidP="008F7FE8">
      <w:pPr>
        <w:spacing w:after="0" w:line="240" w:lineRule="auto"/>
        <w:jc w:val="both"/>
        <w:rPr>
          <w:rFonts w:ascii="Times New Roman" w:eastAsia="Times New Roman" w:hAnsi="Times New Roman" w:cs="Times New Roman"/>
          <w:b/>
          <w:sz w:val="24"/>
          <w:szCs w:val="24"/>
        </w:rPr>
      </w:pPr>
    </w:p>
    <w:p w14:paraId="295058C6" w14:textId="77777777" w:rsidR="008C15B0" w:rsidRPr="00B152EE" w:rsidRDefault="004666B7" w:rsidP="00B152EE">
      <w:pPr>
        <w:pStyle w:val="PlainText"/>
        <w:keepLines/>
        <w:spacing w:before="0"/>
        <w:rPr>
          <w:b/>
        </w:rPr>
      </w:pPr>
      <w:r w:rsidRPr="00B152EE">
        <w:rPr>
          <w:b/>
        </w:rPr>
        <w:t>CONTACT:</w:t>
      </w:r>
    </w:p>
    <w:p w14:paraId="0A6A78D4" w14:textId="39A8543A" w:rsid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bookmarkStart w:id="1" w:name="_Hlk166856926"/>
    <w:p w14:paraId="5BCC70E4" w14:textId="77777777" w:rsidR="006E1B9A" w:rsidRPr="00480DDC" w:rsidRDefault="006E1B9A" w:rsidP="006E1B9A">
      <w:pPr>
        <w:spacing w:after="0" w:line="240" w:lineRule="auto"/>
        <w:jc w:val="both"/>
        <w:rPr>
          <w:rFonts w:ascii="Times New Roman" w:eastAsia="Times New Roman" w:hAnsi="Times New Roman" w:cs="Times New Roman"/>
          <w:sz w:val="24"/>
          <w:szCs w:val="21"/>
        </w:rPr>
      </w:pPr>
      <w:r>
        <w:fldChar w:fldCharType="begin"/>
      </w:r>
      <w:r>
        <w:instrText xml:space="preserve"> HYPERLINK "https://ktmc.com/people/jon-naji" </w:instrText>
      </w:r>
      <w:r>
        <w:fldChar w:fldCharType="separate"/>
      </w:r>
      <w:r w:rsidRPr="00BB1982">
        <w:rPr>
          <w:rStyle w:val="Hyperlink"/>
          <w:rFonts w:ascii="Times New Roman" w:eastAsia="Times New Roman" w:hAnsi="Times New Roman" w:cs="Times New Roman"/>
          <w:bCs/>
          <w:color w:val="auto"/>
          <w:sz w:val="24"/>
          <w:szCs w:val="24"/>
        </w:rPr>
        <w:t>Jonathan Naji, Esq.</w:t>
      </w:r>
      <w:r>
        <w:rPr>
          <w:rStyle w:val="Hyperlink"/>
          <w:rFonts w:ascii="Times New Roman" w:eastAsia="Times New Roman" w:hAnsi="Times New Roman" w:cs="Times New Roman"/>
          <w:bCs/>
          <w:color w:val="auto"/>
          <w:sz w:val="24"/>
          <w:szCs w:val="24"/>
        </w:rPr>
        <w:fldChar w:fldCharType="end"/>
      </w:r>
    </w:p>
    <w:bookmarkEnd w:id="1"/>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652F02" w:rsidP="00480DDC">
      <w:pPr>
        <w:spacing w:after="0" w:line="240" w:lineRule="auto"/>
        <w:jc w:val="both"/>
        <w:rPr>
          <w:rFonts w:ascii="Times New Roman" w:eastAsia="Times New Roman" w:hAnsi="Times New Roman" w:cs="Times New Roman"/>
          <w:color w:val="0000FF"/>
          <w:sz w:val="24"/>
          <w:szCs w:val="21"/>
        </w:rPr>
      </w:pPr>
      <w:hyperlink r:id="rId18"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0"/>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6A7A15D0" w:rsidR="0017608E" w:rsidRDefault="0017608E" w:rsidP="0017608E">
      <w:pPr>
        <w:rPr>
          <w:rFonts w:ascii="Times New Roman" w:hAnsi="Times New Roman" w:cs="Times New Roman"/>
          <w:sz w:val="24"/>
          <w:szCs w:val="24"/>
        </w:rPr>
      </w:pPr>
      <w:bookmarkStart w:id="2" w:name="_Hlk165382615"/>
      <w:r w:rsidRPr="00B80E76">
        <w:rPr>
          <w:rFonts w:ascii="Times New Roman" w:hAnsi="Times New Roman" w:cs="Times New Roman"/>
          <w:sz w:val="24"/>
          <w:szCs w:val="24"/>
        </w:rPr>
        <w:lastRenderedPageBreak/>
        <w:t>May be considered attorney advertising in certain jurisdictions.  Past results do not guarantee future outcomes.</w:t>
      </w:r>
      <w:bookmarkEnd w:id="2"/>
    </w:p>
    <w:sectPr w:rsid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44A5B"/>
    <w:rsid w:val="00087D67"/>
    <w:rsid w:val="00095F9F"/>
    <w:rsid w:val="000B51BE"/>
    <w:rsid w:val="000C1B5D"/>
    <w:rsid w:val="000C7C58"/>
    <w:rsid w:val="000D1A32"/>
    <w:rsid w:val="00104CF2"/>
    <w:rsid w:val="00122458"/>
    <w:rsid w:val="00134A22"/>
    <w:rsid w:val="00154D12"/>
    <w:rsid w:val="00160377"/>
    <w:rsid w:val="00165FE0"/>
    <w:rsid w:val="0017387A"/>
    <w:rsid w:val="0017608E"/>
    <w:rsid w:val="00192CF2"/>
    <w:rsid w:val="0019314D"/>
    <w:rsid w:val="001A2105"/>
    <w:rsid w:val="001A24F0"/>
    <w:rsid w:val="001D63E9"/>
    <w:rsid w:val="001E756F"/>
    <w:rsid w:val="002204A4"/>
    <w:rsid w:val="00221DCA"/>
    <w:rsid w:val="00224E73"/>
    <w:rsid w:val="00241F72"/>
    <w:rsid w:val="002A1226"/>
    <w:rsid w:val="002C192D"/>
    <w:rsid w:val="00304FD9"/>
    <w:rsid w:val="003065E7"/>
    <w:rsid w:val="00387C41"/>
    <w:rsid w:val="003B064F"/>
    <w:rsid w:val="003C5383"/>
    <w:rsid w:val="003C61A1"/>
    <w:rsid w:val="003E4CD1"/>
    <w:rsid w:val="003F0AE4"/>
    <w:rsid w:val="003F5BAC"/>
    <w:rsid w:val="00416CED"/>
    <w:rsid w:val="00423088"/>
    <w:rsid w:val="004238C2"/>
    <w:rsid w:val="00465B27"/>
    <w:rsid w:val="004666B7"/>
    <w:rsid w:val="00480DDC"/>
    <w:rsid w:val="004B7993"/>
    <w:rsid w:val="004D0F86"/>
    <w:rsid w:val="004F1440"/>
    <w:rsid w:val="004F4281"/>
    <w:rsid w:val="00523E74"/>
    <w:rsid w:val="00534205"/>
    <w:rsid w:val="005432A9"/>
    <w:rsid w:val="005474FE"/>
    <w:rsid w:val="00550286"/>
    <w:rsid w:val="00565577"/>
    <w:rsid w:val="00571079"/>
    <w:rsid w:val="005767FD"/>
    <w:rsid w:val="005A128B"/>
    <w:rsid w:val="005B768F"/>
    <w:rsid w:val="005E1447"/>
    <w:rsid w:val="00607A55"/>
    <w:rsid w:val="006243B6"/>
    <w:rsid w:val="00652F02"/>
    <w:rsid w:val="00660315"/>
    <w:rsid w:val="00672FCC"/>
    <w:rsid w:val="00677B1C"/>
    <w:rsid w:val="00694BFF"/>
    <w:rsid w:val="006A7115"/>
    <w:rsid w:val="006D7446"/>
    <w:rsid w:val="006E1B9A"/>
    <w:rsid w:val="007471E0"/>
    <w:rsid w:val="007507A5"/>
    <w:rsid w:val="00756B7F"/>
    <w:rsid w:val="00794F85"/>
    <w:rsid w:val="00796C16"/>
    <w:rsid w:val="00797AE2"/>
    <w:rsid w:val="007B57C6"/>
    <w:rsid w:val="007C6A5D"/>
    <w:rsid w:val="007D72E8"/>
    <w:rsid w:val="007E76E8"/>
    <w:rsid w:val="007F798F"/>
    <w:rsid w:val="00814DA6"/>
    <w:rsid w:val="008778EE"/>
    <w:rsid w:val="008A5457"/>
    <w:rsid w:val="008A6002"/>
    <w:rsid w:val="008C4CCC"/>
    <w:rsid w:val="008D0573"/>
    <w:rsid w:val="009117DA"/>
    <w:rsid w:val="0092693C"/>
    <w:rsid w:val="00930CBF"/>
    <w:rsid w:val="00931910"/>
    <w:rsid w:val="00933835"/>
    <w:rsid w:val="00942092"/>
    <w:rsid w:val="009425F6"/>
    <w:rsid w:val="0094541B"/>
    <w:rsid w:val="009473A8"/>
    <w:rsid w:val="00966EAF"/>
    <w:rsid w:val="00967B01"/>
    <w:rsid w:val="009E6A5E"/>
    <w:rsid w:val="00A0599C"/>
    <w:rsid w:val="00A12612"/>
    <w:rsid w:val="00A16141"/>
    <w:rsid w:val="00A240FF"/>
    <w:rsid w:val="00A447CC"/>
    <w:rsid w:val="00AA3FB7"/>
    <w:rsid w:val="00AD1C94"/>
    <w:rsid w:val="00B06905"/>
    <w:rsid w:val="00B2581C"/>
    <w:rsid w:val="00B372B7"/>
    <w:rsid w:val="00B46435"/>
    <w:rsid w:val="00B70200"/>
    <w:rsid w:val="00B80E76"/>
    <w:rsid w:val="00BA5791"/>
    <w:rsid w:val="00BA7AEF"/>
    <w:rsid w:val="00BC20EC"/>
    <w:rsid w:val="00BC257A"/>
    <w:rsid w:val="00BD6738"/>
    <w:rsid w:val="00BE726D"/>
    <w:rsid w:val="00C17BC3"/>
    <w:rsid w:val="00C210CF"/>
    <w:rsid w:val="00C43784"/>
    <w:rsid w:val="00C45C89"/>
    <w:rsid w:val="00C47BBC"/>
    <w:rsid w:val="00C5022F"/>
    <w:rsid w:val="00C6761C"/>
    <w:rsid w:val="00C82526"/>
    <w:rsid w:val="00C84A68"/>
    <w:rsid w:val="00C86AF3"/>
    <w:rsid w:val="00C92CC0"/>
    <w:rsid w:val="00CA671C"/>
    <w:rsid w:val="00CB0D35"/>
    <w:rsid w:val="00CD4F7D"/>
    <w:rsid w:val="00D0353C"/>
    <w:rsid w:val="00D04509"/>
    <w:rsid w:val="00D168DA"/>
    <w:rsid w:val="00D20167"/>
    <w:rsid w:val="00D25EBB"/>
    <w:rsid w:val="00D25ECC"/>
    <w:rsid w:val="00D27B7D"/>
    <w:rsid w:val="00D82DFA"/>
    <w:rsid w:val="00DA6363"/>
    <w:rsid w:val="00DA7326"/>
    <w:rsid w:val="00DA7BB6"/>
    <w:rsid w:val="00DC5ED3"/>
    <w:rsid w:val="00DC7BC2"/>
    <w:rsid w:val="00DF0441"/>
    <w:rsid w:val="00E06FFC"/>
    <w:rsid w:val="00E40733"/>
    <w:rsid w:val="00E44B70"/>
    <w:rsid w:val="00E52BE7"/>
    <w:rsid w:val="00E64F3F"/>
    <w:rsid w:val="00E83B59"/>
    <w:rsid w:val="00E8418B"/>
    <w:rsid w:val="00E87370"/>
    <w:rsid w:val="00EA1197"/>
    <w:rsid w:val="00EA5C12"/>
    <w:rsid w:val="00ED4D28"/>
    <w:rsid w:val="00EE40F2"/>
    <w:rsid w:val="00F04D77"/>
    <w:rsid w:val="00F12534"/>
    <w:rsid w:val="00F140AD"/>
    <w:rsid w:val="00F349F2"/>
    <w:rsid w:val="00F363EE"/>
    <w:rsid w:val="00F37E66"/>
    <w:rsid w:val="00F521A9"/>
    <w:rsid w:val="00F56A80"/>
    <w:rsid w:val="00F6732C"/>
    <w:rsid w:val="00F72226"/>
    <w:rsid w:val="00F8540E"/>
    <w:rsid w:val="00F90ED2"/>
    <w:rsid w:val="00FA4E9E"/>
    <w:rsid w:val="00FD3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760628">
      <w:bodyDiv w:val="1"/>
      <w:marLeft w:val="0"/>
      <w:marRight w:val="0"/>
      <w:marTop w:val="0"/>
      <w:marBottom w:val="0"/>
      <w:divBdr>
        <w:top w:val="none" w:sz="0" w:space="0" w:color="auto"/>
        <w:left w:val="none" w:sz="0" w:space="0" w:color="auto"/>
        <w:bottom w:val="none" w:sz="0" w:space="0" w:color="auto"/>
        <w:right w:val="none" w:sz="0" w:space="0" w:color="auto"/>
      </w:divBdr>
    </w:div>
    <w:div w:id="515536717">
      <w:bodyDiv w:val="1"/>
      <w:marLeft w:val="0"/>
      <w:marRight w:val="0"/>
      <w:marTop w:val="0"/>
      <w:marBottom w:val="0"/>
      <w:divBdr>
        <w:top w:val="none" w:sz="0" w:space="0" w:color="auto"/>
        <w:left w:val="none" w:sz="0" w:space="0" w:color="auto"/>
        <w:bottom w:val="none" w:sz="0" w:space="0" w:color="auto"/>
        <w:right w:val="none" w:sz="0" w:space="0" w:color="auto"/>
      </w:divBdr>
    </w:div>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25101414">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726023571">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 w:id="2053266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us.m.mimecastprotect.com/s/GsrsCgJ72VUYx5GycN-6Vn?domain=ktmc.com" TargetMode="External"/><Relationship Id="rId13" Type="http://schemas.openxmlformats.org/officeDocument/2006/relationships/hyperlink" Target="https://www.ktmc.com/new-cases/akero-therapeutics-inc?utm_source=PR&amp;utm_medium=link&amp;utm_campaign=akro&amp;mktm=r" TargetMode="External"/><Relationship Id="rId18" Type="http://schemas.openxmlformats.org/officeDocument/2006/relationships/hyperlink" Target="mailto:info@ktmc.com" TargetMode="External"/><Relationship Id="rId3" Type="http://schemas.openxmlformats.org/officeDocument/2006/relationships/webSettings" Target="webSettings.xml"/><Relationship Id="rId7" Type="http://schemas.openxmlformats.org/officeDocument/2006/relationships/hyperlink" Target="https://www.ktmc.com/new-cases/akero-therapeutics-inc?utm_source=PR&amp;utm_medium=link&amp;utm_campaign=akro&amp;mktm=r" TargetMode="External"/><Relationship Id="rId12" Type="http://schemas.openxmlformats.org/officeDocument/2006/relationships/hyperlink" Target="https://www.ktmc.com/new-cases/akero-therapeutics-inc?utm_source=PR&amp;utm_medium=link&amp;utm_campaign=akro&amp;mktm=r" TargetMode="External"/><Relationship Id="rId17" Type="http://schemas.openxmlformats.org/officeDocument/2006/relationships/hyperlink" Target="http://www.ktmc.com" TargetMode="External"/><Relationship Id="rId2" Type="http://schemas.openxmlformats.org/officeDocument/2006/relationships/settings" Target="settings.xml"/><Relationship Id="rId16" Type="http://schemas.openxmlformats.org/officeDocument/2006/relationships/hyperlink" Target="https://www.ktmc.com/new-cases/akero-therapeutics-inc?utm_source=PR&amp;utm_medium=link&amp;utm_campaign=akro&amp;mktm=r"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benzinga.com/quote/AKRO" TargetMode="External"/><Relationship Id="rId11" Type="http://schemas.openxmlformats.org/officeDocument/2006/relationships/hyperlink" Target="https://www.ktmc.com/new-cases/akero-therapeutics-inc?utm_source=PR&amp;utm_medium=link&amp;utm_campaign=akro&amp;mktm=r" TargetMode="External"/><Relationship Id="rId5" Type="http://schemas.openxmlformats.org/officeDocument/2006/relationships/hyperlink" Target="http://www.ktmc.com" TargetMode="External"/><Relationship Id="rId15" Type="http://schemas.openxmlformats.org/officeDocument/2006/relationships/hyperlink" Target="https://www.ktmc.com/new-cases/akero-therapeutics-inc?utm_source=PR&amp;utm_medium=link&amp;utm_campaign=akro&amp;mktm=r" TargetMode="External"/><Relationship Id="rId10" Type="http://schemas.openxmlformats.org/officeDocument/2006/relationships/hyperlink" Target="mailto:info@ktmc.com" TargetMode="External"/><Relationship Id="rId19" Type="http://schemas.openxmlformats.org/officeDocument/2006/relationships/fontTable" Target="fontTable.xml"/><Relationship Id="rId4" Type="http://schemas.openxmlformats.org/officeDocument/2006/relationships/hyperlink" Target="https://www.ktmc.com/new-cases/akero-therapeutics-inc?utm_source=PR&amp;utm_medium=link&amp;utm_campaign=akro&amp;mktm=r" TargetMode="External"/><Relationship Id="rId9" Type="http://schemas.openxmlformats.org/officeDocument/2006/relationships/hyperlink" Target="https://ktmc.com/people/jon-naji" TargetMode="External"/><Relationship Id="rId14" Type="http://schemas.openxmlformats.org/officeDocument/2006/relationships/hyperlink" Target="https://url.us.m.mimecastprotect.com/s/GsrsCgJ72VUYx5GycN-6Vn?domain=ktm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1164</Words>
  <Characters>6350</Characters>
  <Application>Microsoft Office Word</Application>
  <DocSecurity>0</DocSecurity>
  <Lines>111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Sally Huggins</cp:lastModifiedBy>
  <cp:revision>2</cp:revision>
  <dcterms:created xsi:type="dcterms:W3CDTF">2024-06-17T21:18:00Z</dcterms:created>
  <dcterms:modified xsi:type="dcterms:W3CDTF">2024-06-17T21:18:00Z</dcterms:modified>
</cp:coreProperties>
</file>