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0C314" w14:textId="58024516" w:rsidR="003F145B" w:rsidRDefault="003F145B" w:rsidP="003F145B">
      <w:pPr>
        <w:rPr>
          <w:rFonts w:ascii="Times New Roman" w:eastAsia="Times New Roman" w:hAnsi="Times New Roman" w:cs="Times New Roman"/>
          <w:b/>
          <w:bCs/>
          <w:color w:val="000000"/>
          <w:sz w:val="24"/>
          <w:szCs w:val="24"/>
        </w:rPr>
      </w:pPr>
      <w:bookmarkStart w:id="0" w:name="_Hlk165380137"/>
      <w:bookmarkStart w:id="1" w:name="_Hlk156823768"/>
      <w:r w:rsidRPr="00292D4E">
        <w:rPr>
          <w:rFonts w:ascii="Times New Roman" w:eastAsia="Times New Roman" w:hAnsi="Times New Roman" w:cs="Times New Roman"/>
          <w:b/>
          <w:bCs/>
          <w:color w:val="000000"/>
          <w:sz w:val="24"/>
          <w:szCs w:val="24"/>
        </w:rPr>
        <w:t xml:space="preserve">Important </w:t>
      </w:r>
      <w:r>
        <w:rPr>
          <w:rFonts w:ascii="Times New Roman" w:eastAsia="Times New Roman" w:hAnsi="Times New Roman" w:cs="Times New Roman"/>
          <w:b/>
          <w:sz w:val="24"/>
          <w:szCs w:val="24"/>
        </w:rPr>
        <w:t>July 30</w:t>
      </w:r>
      <w:r w:rsidRPr="00292D4E">
        <w:rPr>
          <w:rFonts w:ascii="Times New Roman" w:eastAsia="Times New Roman" w:hAnsi="Times New Roman" w:cs="Times New Roman"/>
          <w:b/>
          <w:bCs/>
          <w:color w:val="000000"/>
          <w:sz w:val="24"/>
          <w:szCs w:val="24"/>
        </w:rPr>
        <w:t xml:space="preserve">, 2024 Deadline Reminder:  Kessler Topaz Meltzer &amp; Check, LLP Reminds </w:t>
      </w:r>
      <w:r>
        <w:rPr>
          <w:rFonts w:ascii="Times New Roman" w:eastAsia="Times New Roman" w:hAnsi="Times New Roman" w:cs="Times New Roman"/>
          <w:b/>
          <w:bCs/>
          <w:sz w:val="24"/>
          <w:szCs w:val="24"/>
        </w:rPr>
        <w:t xml:space="preserve">Hertz Global Holdings, </w:t>
      </w:r>
      <w:r w:rsidRPr="00BB1982">
        <w:rPr>
          <w:rFonts w:ascii="Times New Roman" w:hAnsi="Times New Roman" w:cs="Times New Roman"/>
          <w:b/>
          <w:bCs/>
          <w:sz w:val="24"/>
          <w:szCs w:val="24"/>
        </w:rPr>
        <w:t>Inc.</w:t>
      </w:r>
      <w:r>
        <w:rPr>
          <w:rFonts w:ascii="Times New Roman" w:hAnsi="Times New Roman" w:cs="Times New Roman"/>
          <w:b/>
          <w:bCs/>
          <w:sz w:val="24"/>
          <w:szCs w:val="24"/>
        </w:rPr>
        <w:t xml:space="preserve"> (HTZ)</w:t>
      </w:r>
      <w:r w:rsidRPr="00292D4E">
        <w:rPr>
          <w:rFonts w:ascii="Times New Roman" w:eastAsia="Times New Roman" w:hAnsi="Times New Roman" w:cs="Times New Roman"/>
          <w:b/>
          <w:bCs/>
          <w:color w:val="000000"/>
          <w:sz w:val="24"/>
          <w:szCs w:val="24"/>
        </w:rPr>
        <w:t>Investors of Securities Fraud Class Action Lawsuit</w:t>
      </w:r>
    </w:p>
    <w:p w14:paraId="56D39D9C" w14:textId="77777777" w:rsidR="00224E44" w:rsidRPr="00BB1982" w:rsidRDefault="00224E44" w:rsidP="00BB1982">
      <w:pPr>
        <w:jc w:val="both"/>
        <w:rPr>
          <w:rFonts w:ascii="Times New Roman" w:eastAsia="Times New Roman" w:hAnsi="Times New Roman" w:cs="Times New Roman"/>
          <w:b/>
          <w:bCs/>
          <w:sz w:val="24"/>
          <w:szCs w:val="24"/>
        </w:rPr>
      </w:pPr>
    </w:p>
    <w:bookmarkEnd w:id="0"/>
    <w:p w14:paraId="0B89322E" w14:textId="5D6E7C32" w:rsidR="00694BFF" w:rsidRDefault="0019314D" w:rsidP="00BB1982">
      <w:pPr>
        <w:jc w:val="both"/>
        <w:rPr>
          <w:rFonts w:ascii="Times New Roman" w:eastAsia="Times New Roman" w:hAnsi="Times New Roman" w:cs="Times New Roman"/>
          <w:bCs/>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24611">
        <w:rPr>
          <w:rFonts w:ascii="Times New Roman" w:eastAsia="Times New Roman" w:hAnsi="Times New Roman" w:cs="Times New Roman"/>
          <w:sz w:val="24"/>
          <w:szCs w:val="24"/>
        </w:rPr>
        <w:t xml:space="preserve">June </w:t>
      </w:r>
      <w:r w:rsidR="003F145B">
        <w:rPr>
          <w:rFonts w:ascii="Times New Roman" w:eastAsia="Times New Roman" w:hAnsi="Times New Roman" w:cs="Times New Roman"/>
          <w:sz w:val="24"/>
          <w:szCs w:val="24"/>
        </w:rPr>
        <w:t>20</w:t>
      </w:r>
      <w:r w:rsidR="00346FEA">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BB1982">
        <w:rPr>
          <w:rStyle w:val="Hyperlink"/>
          <w:rFonts w:ascii="Times New Roman" w:eastAsia="Times New Roman" w:hAnsi="Times New Roman" w:cs="Times New Roman"/>
          <w:color w:val="0000FF"/>
          <w:sz w:val="24"/>
          <w:szCs w:val="24"/>
        </w:rPr>
        <w:fldChar w:fldCharType="begin"/>
      </w:r>
      <w:r w:rsidR="00224E44">
        <w:rPr>
          <w:rStyle w:val="Hyperlink"/>
          <w:rFonts w:ascii="Times New Roman" w:eastAsia="Times New Roman" w:hAnsi="Times New Roman" w:cs="Times New Roman"/>
          <w:color w:val="0000FF"/>
          <w:sz w:val="24"/>
          <w:szCs w:val="24"/>
        </w:rPr>
        <w:instrText>HYPERLINK "https://www.ktmc.com/new-cases/hertz-global-holdings-inc?utm_source=PR&amp;utm_medium=link&amp;utm_campaign=htz&amp;mktm=r"</w:instrText>
      </w:r>
      <w:r w:rsidR="00B80E76" w:rsidRPr="00BB1982">
        <w:rPr>
          <w:rStyle w:val="Hyperlink"/>
          <w:rFonts w:ascii="Times New Roman" w:eastAsia="Times New Roman" w:hAnsi="Times New Roman" w:cs="Times New Roman"/>
          <w:color w:val="0000FF"/>
          <w:sz w:val="24"/>
          <w:szCs w:val="24"/>
        </w:rPr>
        <w:fldChar w:fldCharType="separate"/>
      </w:r>
      <w:r w:rsidR="004666B7" w:rsidRPr="00BB1982">
        <w:rPr>
          <w:rStyle w:val="Hyperlink"/>
          <w:rFonts w:ascii="Times New Roman" w:eastAsia="Times New Roman" w:hAnsi="Times New Roman" w:cs="Times New Roman"/>
          <w:sz w:val="24"/>
          <w:szCs w:val="24"/>
        </w:rPr>
        <w:t>Kessler Topaz Meltzer &amp; Check, LLP</w:t>
      </w:r>
      <w:r w:rsidR="00B80E76" w:rsidRPr="00BB1982">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5"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380979" w:rsidRPr="00BB1982">
        <w:rPr>
          <w:rFonts w:ascii="Times New Roman" w:eastAsia="Times New Roman" w:hAnsi="Times New Roman" w:cs="Times New Roman"/>
          <w:sz w:val="24"/>
          <w:szCs w:val="24"/>
        </w:rPr>
        <w:t xml:space="preserve">against </w:t>
      </w:r>
      <w:r w:rsidR="00380979">
        <w:rPr>
          <w:rFonts w:ascii="Times New Roman" w:eastAsia="Times New Roman" w:hAnsi="Times New Roman" w:cs="Times New Roman"/>
          <w:sz w:val="24"/>
          <w:szCs w:val="24"/>
        </w:rPr>
        <w:t>Hertz Global Holdings,</w:t>
      </w:r>
      <w:r w:rsidR="00380979" w:rsidRPr="00BB1982">
        <w:rPr>
          <w:rFonts w:ascii="Times New Roman" w:hAnsi="Times New Roman" w:cs="Times New Roman"/>
          <w:sz w:val="24"/>
          <w:szCs w:val="24"/>
        </w:rPr>
        <w:t xml:space="preserve"> Inc. (“</w:t>
      </w:r>
      <w:r w:rsidR="00380979">
        <w:rPr>
          <w:rFonts w:ascii="Times New Roman" w:hAnsi="Times New Roman" w:cs="Times New Roman"/>
          <w:sz w:val="24"/>
          <w:szCs w:val="24"/>
        </w:rPr>
        <w:t>Hertz</w:t>
      </w:r>
      <w:r w:rsidR="00380979" w:rsidRPr="00BB1982">
        <w:rPr>
          <w:rFonts w:ascii="Times New Roman" w:hAnsi="Times New Roman" w:cs="Times New Roman"/>
          <w:sz w:val="24"/>
          <w:szCs w:val="24"/>
        </w:rPr>
        <w:t>”) (</w:t>
      </w:r>
      <w:hyperlink r:id="rId6" w:history="1">
        <w:r w:rsidR="00380979" w:rsidRPr="00727639">
          <w:rPr>
            <w:rStyle w:val="Hyperlink"/>
            <w:rFonts w:ascii="Times New Roman" w:hAnsi="Times New Roman" w:cs="Times New Roman"/>
            <w:sz w:val="24"/>
            <w:szCs w:val="24"/>
          </w:rPr>
          <w:t>NASDAQ: HTZ</w:t>
        </w:r>
      </w:hyperlink>
      <w:r w:rsidR="00380979" w:rsidRPr="00BB1982">
        <w:rPr>
          <w:rFonts w:ascii="Times New Roman" w:hAnsi="Times New Roman" w:cs="Times New Roman"/>
          <w:sz w:val="24"/>
          <w:szCs w:val="24"/>
        </w:rPr>
        <w:t>)</w:t>
      </w:r>
      <w:r w:rsidR="00380979">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w:t>
      </w:r>
      <w:r w:rsidR="00D24611">
        <w:rPr>
          <w:rFonts w:ascii="Times New Roman" w:eastAsia="Times New Roman" w:hAnsi="Times New Roman" w:cs="Times New Roman"/>
          <w:sz w:val="24"/>
          <w:szCs w:val="24"/>
        </w:rPr>
        <w:t>Middle</w:t>
      </w:r>
      <w:r w:rsidR="003850AA">
        <w:rPr>
          <w:rFonts w:ascii="Times New Roman" w:eastAsia="Times New Roman" w:hAnsi="Times New Roman" w:cs="Times New Roman"/>
          <w:sz w:val="24"/>
          <w:szCs w:val="24"/>
        </w:rPr>
        <w:t xml:space="preserve"> </w:t>
      </w:r>
      <w:r w:rsidR="00F12534" w:rsidRPr="00BB1982">
        <w:rPr>
          <w:rFonts w:ascii="Times New Roman" w:eastAsia="Times New Roman" w:hAnsi="Times New Roman" w:cs="Times New Roman"/>
          <w:sz w:val="24"/>
          <w:szCs w:val="24"/>
        </w:rPr>
        <w:t>District o</w:t>
      </w:r>
      <w:r w:rsidR="003850AA">
        <w:rPr>
          <w:rFonts w:ascii="Times New Roman" w:eastAsia="Times New Roman" w:hAnsi="Times New Roman" w:cs="Times New Roman"/>
          <w:sz w:val="24"/>
          <w:szCs w:val="24"/>
        </w:rPr>
        <w:t xml:space="preserve">f </w:t>
      </w:r>
      <w:r w:rsidR="00D24611">
        <w:rPr>
          <w:rFonts w:ascii="Times New Roman" w:eastAsia="Times New Roman" w:hAnsi="Times New Roman" w:cs="Times New Roman"/>
          <w:sz w:val="24"/>
          <w:szCs w:val="24"/>
        </w:rPr>
        <w:t>Florida</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D24611">
        <w:rPr>
          <w:rFonts w:ascii="Times New Roman" w:hAnsi="Times New Roman" w:cs="Times New Roman"/>
          <w:sz w:val="24"/>
          <w:szCs w:val="24"/>
        </w:rPr>
        <w:t>Hertz</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D24611">
        <w:rPr>
          <w:rFonts w:ascii="Times New Roman" w:eastAsia="Times New Roman" w:hAnsi="Times New Roman" w:cs="Times New Roman"/>
          <w:sz w:val="24"/>
          <w:szCs w:val="24"/>
        </w:rPr>
        <w:t>Hertz</w:t>
      </w:r>
      <w:r w:rsidR="003F5BAC" w:rsidRPr="00BB1982">
        <w:rPr>
          <w:rFonts w:ascii="Times New Roman" w:hAnsi="Times New Roman" w:cs="Times New Roman"/>
          <w:sz w:val="24"/>
          <w:szCs w:val="24"/>
        </w:rPr>
        <w:t xml:space="preserve">’s materially misleading statements and omissions to the public, </w:t>
      </w:r>
      <w:r w:rsidR="00D24611">
        <w:rPr>
          <w:rFonts w:ascii="Times New Roman" w:hAnsi="Times New Roman" w:cs="Times New Roman"/>
          <w:sz w:val="24"/>
          <w:szCs w:val="24"/>
        </w:rPr>
        <w:t>Hertz</w:t>
      </w:r>
      <w:r w:rsidR="003F5BAC" w:rsidRPr="00BB1982">
        <w:rPr>
          <w:rFonts w:ascii="Times New Roman" w:hAnsi="Times New Roman" w:cs="Times New Roman"/>
          <w:sz w:val="24"/>
          <w:szCs w:val="24"/>
        </w:rPr>
        <w:t>’s investors have suffered significant losses.</w:t>
      </w:r>
      <w:r w:rsidR="00380979">
        <w:rPr>
          <w:rFonts w:ascii="Times New Roman" w:hAnsi="Times New Roman" w:cs="Times New Roman"/>
          <w:sz w:val="24"/>
          <w:szCs w:val="24"/>
        </w:rPr>
        <w:t xml:space="preserve">  </w:t>
      </w:r>
      <w:r w:rsidR="00380979" w:rsidRPr="00BB1982">
        <w:rPr>
          <w:rFonts w:ascii="Times New Roman" w:eastAsia="Times New Roman" w:hAnsi="Times New Roman" w:cs="Times New Roman"/>
          <w:bCs/>
          <w:sz w:val="24"/>
          <w:szCs w:val="24"/>
        </w:rPr>
        <w:t xml:space="preserve">The lead plaintiff deadline is </w:t>
      </w:r>
      <w:r w:rsidR="00380979">
        <w:rPr>
          <w:rFonts w:ascii="Times New Roman" w:eastAsia="Times New Roman" w:hAnsi="Times New Roman" w:cs="Times New Roman"/>
          <w:bCs/>
          <w:sz w:val="24"/>
          <w:szCs w:val="24"/>
        </w:rPr>
        <w:t>July 30</w:t>
      </w:r>
      <w:r w:rsidR="00380979" w:rsidRPr="00BB1982">
        <w:rPr>
          <w:rFonts w:ascii="Times New Roman" w:eastAsia="Times New Roman" w:hAnsi="Times New Roman" w:cs="Times New Roman"/>
          <w:bCs/>
          <w:sz w:val="24"/>
          <w:szCs w:val="24"/>
        </w:rPr>
        <w:t>, 2024.</w:t>
      </w:r>
    </w:p>
    <w:p w14:paraId="351A571E" w14:textId="77777777" w:rsidR="0032790F" w:rsidRPr="00BB1982" w:rsidRDefault="0032790F" w:rsidP="00BB1982">
      <w:pPr>
        <w:jc w:val="both"/>
        <w:rPr>
          <w:rFonts w:ascii="Times New Roman" w:hAnsi="Times New Roman" w:cs="Times New Roman"/>
          <w:sz w:val="24"/>
          <w:szCs w:val="24"/>
        </w:rPr>
      </w:pPr>
    </w:p>
    <w:p w14:paraId="7B4E89D8" w14:textId="77777777" w:rsidR="00224E44" w:rsidRDefault="0094541B" w:rsidP="00224E44">
      <w:r w:rsidRPr="00BB1982">
        <w:rPr>
          <w:rStyle w:val="Hyperlink"/>
          <w:rFonts w:ascii="Times New Roman" w:eastAsia="Times New Roman" w:hAnsi="Times New Roman" w:cs="Times New Roman"/>
          <w:bCs/>
          <w:color w:val="auto"/>
          <w:sz w:val="24"/>
          <w:szCs w:val="24"/>
          <w:u w:val="none"/>
        </w:rPr>
        <w:t xml:space="preserve">If you suffered </w:t>
      </w:r>
      <w:r w:rsidR="00D24611">
        <w:rPr>
          <w:rStyle w:val="Hyperlink"/>
          <w:rFonts w:ascii="Times New Roman" w:eastAsia="Times New Roman" w:hAnsi="Times New Roman" w:cs="Times New Roman"/>
          <w:bCs/>
          <w:color w:val="auto"/>
          <w:sz w:val="24"/>
          <w:szCs w:val="24"/>
          <w:u w:val="none"/>
        </w:rPr>
        <w:t>Hertz</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7"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AC6820">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8" w:history="1">
        <w:r w:rsidR="00224E44" w:rsidRPr="00727639">
          <w:rPr>
            <w:rStyle w:val="Hyperlink"/>
            <w:color w:val="0000FF"/>
          </w:rPr>
          <w:t>https://www.ktmc.com/new-cases/hertz-global-holdings-inc?utm_source=PR&amp;utm_medium=link&amp;utm_campaign=htz&amp;mktm=r</w:t>
        </w:r>
      </w:hyperlink>
    </w:p>
    <w:p w14:paraId="099C8520" w14:textId="77777777" w:rsidR="00224E44" w:rsidRDefault="00224E44" w:rsidP="00BB1982">
      <w:pPr>
        <w:jc w:val="both"/>
        <w:rPr>
          <w:rFonts w:ascii="Times New Roman" w:eastAsia="Times New Roman" w:hAnsi="Times New Roman" w:cs="Times New Roman"/>
          <w:bCs/>
          <w:sz w:val="24"/>
          <w:szCs w:val="24"/>
        </w:rPr>
      </w:pPr>
    </w:p>
    <w:p w14:paraId="52E3FFE8" w14:textId="388CB8DB"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9"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10" w:history="1">
        <w:r w:rsidRPr="00727639">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7AA5A927" w14:textId="77777777" w:rsidR="003850AA" w:rsidRDefault="00BC257A" w:rsidP="003850AA">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52AB5486" w14:textId="17F237FA" w:rsidR="00D24611" w:rsidRDefault="00D24611" w:rsidP="00D24611">
      <w:pPr>
        <w:pStyle w:val="NormalWeb"/>
        <w:shd w:val="clear" w:color="auto" w:fill="FFFFFF"/>
        <w:spacing w:before="0" w:beforeAutospacing="0" w:after="0" w:afterAutospacing="0"/>
        <w:jc w:val="both"/>
        <w:textAlignment w:val="baseline"/>
      </w:pPr>
      <w:r w:rsidRPr="00D24611">
        <w:t>On </w:t>
      </w:r>
      <w:r w:rsidRPr="00D24611">
        <w:rPr>
          <w:rStyle w:val="xn-chron"/>
          <w:bdr w:val="none" w:sz="0" w:space="0" w:color="auto" w:frame="1"/>
        </w:rPr>
        <w:t>January 11, 2024</w:t>
      </w:r>
      <w:r w:rsidRPr="00D24611">
        <w:t>, Hertz revealed in a filing with the SEC that it would sell approximately 20,000 electric vehicles (“EV</w:t>
      </w:r>
      <w:r w:rsidR="00380979">
        <w:t>s</w:t>
      </w:r>
      <w:r w:rsidRPr="00D24611">
        <w:t>”) from its U.S. fleet, or about one-third of its global EV fleet, "to better balance supply against expected demand of EVs." According to Hertz, this would "result in the recognition, during the fourth quarter of 2023, of approximately </w:t>
      </w:r>
      <w:r w:rsidRPr="00D24611">
        <w:rPr>
          <w:rStyle w:val="xn-money"/>
          <w:bdr w:val="none" w:sz="0" w:space="0" w:color="auto" w:frame="1"/>
        </w:rPr>
        <w:t>$245 million</w:t>
      </w:r>
      <w:r w:rsidRPr="00D24611">
        <w:t> of incremental net depreciation expense related to the sale[,]" which "represents the write down of the EVs' carrying values as of </w:t>
      </w:r>
      <w:r w:rsidRPr="00D24611">
        <w:rPr>
          <w:rStyle w:val="xn-chron"/>
          <w:bdr w:val="none" w:sz="0" w:space="0" w:color="auto" w:frame="1"/>
        </w:rPr>
        <w:t>December 31, 2023</w:t>
      </w:r>
      <w:r w:rsidRPr="00D24611">
        <w:t xml:space="preserve"> to their fair values, less related expenses associated with the disposition of the vehicles." </w:t>
      </w:r>
    </w:p>
    <w:p w14:paraId="270DC833" w14:textId="77777777" w:rsidR="00D24611" w:rsidRPr="00D24611" w:rsidRDefault="00D24611" w:rsidP="00D24611">
      <w:pPr>
        <w:pStyle w:val="NormalWeb"/>
        <w:shd w:val="clear" w:color="auto" w:fill="FFFFFF"/>
        <w:spacing w:before="0" w:beforeAutospacing="0" w:after="0" w:afterAutospacing="0"/>
        <w:jc w:val="both"/>
        <w:textAlignment w:val="baseline"/>
      </w:pPr>
    </w:p>
    <w:p w14:paraId="11D6760B" w14:textId="56C60971" w:rsidR="00D24611" w:rsidRDefault="00D24611" w:rsidP="00D24611">
      <w:pPr>
        <w:pStyle w:val="NormalWeb"/>
        <w:shd w:val="clear" w:color="auto" w:fill="FFFFFF"/>
        <w:spacing w:before="0" w:beforeAutospacing="0" w:after="0" w:afterAutospacing="0"/>
        <w:jc w:val="both"/>
        <w:textAlignment w:val="baseline"/>
      </w:pPr>
      <w:r w:rsidRPr="00D24611">
        <w:t>Following this news, Hertz's stock price fell </w:t>
      </w:r>
      <w:r w:rsidRPr="00D24611">
        <w:rPr>
          <w:rStyle w:val="xn-money"/>
          <w:bdr w:val="none" w:sz="0" w:space="0" w:color="auto" w:frame="1"/>
        </w:rPr>
        <w:t>$0.40</w:t>
      </w:r>
      <w:r w:rsidRPr="00D24611">
        <w:t> per share, or 4.28%, to close at </w:t>
      </w:r>
      <w:r w:rsidRPr="00D24611">
        <w:rPr>
          <w:rStyle w:val="xn-money"/>
          <w:bdr w:val="none" w:sz="0" w:space="0" w:color="auto" w:frame="1"/>
        </w:rPr>
        <w:t>$8.95</w:t>
      </w:r>
      <w:r w:rsidRPr="00D24611">
        <w:t> per share on </w:t>
      </w:r>
      <w:r w:rsidRPr="00D24611">
        <w:rPr>
          <w:rStyle w:val="xn-chron"/>
          <w:bdr w:val="none" w:sz="0" w:space="0" w:color="auto" w:frame="1"/>
        </w:rPr>
        <w:t>January 11, 2024</w:t>
      </w:r>
      <w:r w:rsidRPr="00D24611">
        <w:t>.</w:t>
      </w:r>
    </w:p>
    <w:p w14:paraId="066527BE" w14:textId="77777777" w:rsidR="00D24611" w:rsidRPr="00D24611" w:rsidRDefault="00D24611" w:rsidP="00D24611">
      <w:pPr>
        <w:pStyle w:val="NormalWeb"/>
        <w:shd w:val="clear" w:color="auto" w:fill="FFFFFF"/>
        <w:spacing w:before="0" w:beforeAutospacing="0" w:after="0" w:afterAutospacing="0"/>
        <w:jc w:val="both"/>
        <w:textAlignment w:val="baseline"/>
      </w:pPr>
    </w:p>
    <w:p w14:paraId="646E7D2B" w14:textId="3403F906" w:rsidR="00D24611" w:rsidRDefault="00D24611" w:rsidP="00D24611">
      <w:pPr>
        <w:pStyle w:val="NormalWeb"/>
        <w:shd w:val="clear" w:color="auto" w:fill="FFFFFF"/>
        <w:spacing w:before="0" w:beforeAutospacing="0" w:after="0" w:afterAutospacing="0"/>
        <w:jc w:val="both"/>
        <w:textAlignment w:val="baseline"/>
      </w:pPr>
      <w:r w:rsidRPr="00D24611">
        <w:t>On </w:t>
      </w:r>
      <w:r w:rsidRPr="00D24611">
        <w:rPr>
          <w:rStyle w:val="xn-chron"/>
          <w:bdr w:val="none" w:sz="0" w:space="0" w:color="auto" w:frame="1"/>
        </w:rPr>
        <w:t>March 15, 2024</w:t>
      </w:r>
      <w:r w:rsidRPr="00D24611">
        <w:t>, Hertz announced that its CEO and Chairman of its Board of Directors would resign from his roles by the end of the month, and that Hertz had subsequently appointed a new CEO.</w:t>
      </w:r>
    </w:p>
    <w:p w14:paraId="177519F9" w14:textId="77777777" w:rsidR="00D24611" w:rsidRPr="00D24611" w:rsidRDefault="00D24611" w:rsidP="00D24611">
      <w:pPr>
        <w:pStyle w:val="NormalWeb"/>
        <w:shd w:val="clear" w:color="auto" w:fill="FFFFFF"/>
        <w:spacing w:before="0" w:beforeAutospacing="0" w:after="0" w:afterAutospacing="0"/>
        <w:jc w:val="both"/>
        <w:textAlignment w:val="baseline"/>
      </w:pPr>
    </w:p>
    <w:p w14:paraId="72E91928" w14:textId="004F22E5" w:rsidR="00D24611" w:rsidRDefault="00D24611" w:rsidP="00D24611">
      <w:pPr>
        <w:pStyle w:val="NormalWeb"/>
        <w:shd w:val="clear" w:color="auto" w:fill="FFFFFF"/>
        <w:spacing w:before="0" w:beforeAutospacing="0" w:after="0" w:afterAutospacing="0"/>
        <w:jc w:val="both"/>
        <w:textAlignment w:val="baseline"/>
      </w:pPr>
      <w:r w:rsidRPr="00D24611">
        <w:t>Then, on </w:t>
      </w:r>
      <w:r w:rsidRPr="00D24611">
        <w:rPr>
          <w:rStyle w:val="xn-chron"/>
          <w:bdr w:val="none" w:sz="0" w:space="0" w:color="auto" w:frame="1"/>
        </w:rPr>
        <w:t>April 25, 2024</w:t>
      </w:r>
      <w:r w:rsidRPr="00D24611">
        <w:t>, Hertz issued a press release announcing its first quarter 2024 results. Among other items, Hertz reported EPS of -</w:t>
      </w:r>
      <w:r w:rsidRPr="00D24611">
        <w:rPr>
          <w:rStyle w:val="xn-money"/>
          <w:bdr w:val="none" w:sz="0" w:space="0" w:color="auto" w:frame="1"/>
        </w:rPr>
        <w:t>$1.28</w:t>
      </w:r>
      <w:r w:rsidRPr="00D24611">
        <w:t> for the quarter, well short of the consensus estimate of -</w:t>
      </w:r>
      <w:r w:rsidRPr="00D24611">
        <w:rPr>
          <w:rStyle w:val="xn-money"/>
          <w:bdr w:val="none" w:sz="0" w:space="0" w:color="auto" w:frame="1"/>
        </w:rPr>
        <w:t>$0.43</w:t>
      </w:r>
      <w:r w:rsidRPr="00D24611">
        <w:t>, and far worse than the adjusted diluted EPS of </w:t>
      </w:r>
      <w:r w:rsidRPr="00D24611">
        <w:rPr>
          <w:rStyle w:val="xn-money"/>
          <w:bdr w:val="none" w:sz="0" w:space="0" w:color="auto" w:frame="1"/>
        </w:rPr>
        <w:t>$0.39</w:t>
      </w:r>
      <w:r w:rsidRPr="00D24611">
        <w:t> that Hertz had achieved in the same period the year prior. In discussing these results, Hertz revealed that vehicle depreciation in the quarter increased </w:t>
      </w:r>
      <w:r w:rsidRPr="00D24611">
        <w:rPr>
          <w:rStyle w:val="xn-money"/>
          <w:bdr w:val="none" w:sz="0" w:space="0" w:color="auto" w:frame="1"/>
        </w:rPr>
        <w:t>$588 million</w:t>
      </w:r>
      <w:r w:rsidRPr="00D24611">
        <w:t>, or </w:t>
      </w:r>
      <w:r w:rsidRPr="00D24611">
        <w:rPr>
          <w:rStyle w:val="xn-money"/>
          <w:bdr w:val="none" w:sz="0" w:space="0" w:color="auto" w:frame="1"/>
        </w:rPr>
        <w:t>$339</w:t>
      </w:r>
      <w:r w:rsidRPr="00D24611">
        <w:t> on a per-unit basis, primarily driven by deterioration in estimated forward residual values and disposition losses on internal combustion engine vehicles compared to gains in the prior-year quarter. Moreover, Hertz reported a </w:t>
      </w:r>
      <w:r w:rsidRPr="00D24611">
        <w:rPr>
          <w:rStyle w:val="xn-money"/>
          <w:bdr w:val="none" w:sz="0" w:space="0" w:color="auto" w:frame="1"/>
        </w:rPr>
        <w:t>$195 million</w:t>
      </w:r>
      <w:r w:rsidRPr="00D24611">
        <w:t> charge to vehicle depreciation to write down EVs held for sale that were remaining in inventory at quarter-end to fair value and to recognize the disposition losses on EVs sold in the period.</w:t>
      </w:r>
    </w:p>
    <w:p w14:paraId="7EB35FE1" w14:textId="77777777" w:rsidR="00D24611" w:rsidRPr="00D24611" w:rsidRDefault="00D24611" w:rsidP="00D24611">
      <w:pPr>
        <w:pStyle w:val="NormalWeb"/>
        <w:shd w:val="clear" w:color="auto" w:fill="FFFFFF"/>
        <w:spacing w:before="0" w:beforeAutospacing="0" w:after="0" w:afterAutospacing="0"/>
        <w:jc w:val="both"/>
        <w:textAlignment w:val="baseline"/>
      </w:pPr>
    </w:p>
    <w:p w14:paraId="1557C92D" w14:textId="2DDEFFEF" w:rsidR="00EB1BBC" w:rsidRPr="00D24611" w:rsidRDefault="00D24611" w:rsidP="00D24611">
      <w:pPr>
        <w:pStyle w:val="NormalWeb"/>
        <w:shd w:val="clear" w:color="auto" w:fill="FFFFFF"/>
        <w:spacing w:before="0" w:beforeAutospacing="0" w:after="0" w:afterAutospacing="0"/>
        <w:jc w:val="both"/>
        <w:textAlignment w:val="baseline"/>
      </w:pPr>
      <w:r>
        <w:lastRenderedPageBreak/>
        <w:t>Following</w:t>
      </w:r>
      <w:r w:rsidRPr="00D24611">
        <w:t xml:space="preserve"> this news, Hertz's stock price fell </w:t>
      </w:r>
      <w:r w:rsidRPr="00D24611">
        <w:rPr>
          <w:rStyle w:val="xn-money"/>
          <w:bdr w:val="none" w:sz="0" w:space="0" w:color="auto" w:frame="1"/>
        </w:rPr>
        <w:t>$1.12</w:t>
      </w:r>
      <w:r w:rsidRPr="00D24611">
        <w:t> per share, or 19.31%, to close at </w:t>
      </w:r>
      <w:r w:rsidRPr="00D24611">
        <w:rPr>
          <w:rStyle w:val="xn-money"/>
          <w:bdr w:val="none" w:sz="0" w:space="0" w:color="auto" w:frame="1"/>
        </w:rPr>
        <w:t>$4.68</w:t>
      </w:r>
      <w:r w:rsidRPr="00D24611">
        <w:t> per share on </w:t>
      </w:r>
      <w:r w:rsidRPr="00D24611">
        <w:rPr>
          <w:rStyle w:val="xn-chron"/>
          <w:bdr w:val="none" w:sz="0" w:space="0" w:color="auto" w:frame="1"/>
        </w:rPr>
        <w:t>April 25, 2024</w:t>
      </w:r>
      <w:r w:rsidRPr="00D24611">
        <w:t>.</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E1FE825" w:rsidR="00CB779F" w:rsidRPr="00BB1982" w:rsidRDefault="00D24611" w:rsidP="00BB1982">
      <w:pPr>
        <w:pStyle w:val="PlainText"/>
        <w:spacing w:before="0"/>
        <w:jc w:val="both"/>
        <w:rPr>
          <w:szCs w:val="24"/>
        </w:rPr>
      </w:pPr>
      <w:r>
        <w:rPr>
          <w:noProof/>
          <w:szCs w:val="24"/>
        </w:rPr>
        <w:t>Hertz</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Pr>
          <w:b/>
          <w:i/>
          <w:szCs w:val="24"/>
          <w:u w:val="single"/>
        </w:rPr>
        <w:t>30</w:t>
      </w:r>
      <w:r w:rsidR="003F5BAC" w:rsidRPr="00BB1982">
        <w:rPr>
          <w:b/>
          <w:i/>
          <w:szCs w:val="24"/>
          <w:u w:val="single"/>
        </w:rPr>
        <w:t>, 2024,</w:t>
      </w:r>
      <w:r w:rsidR="004666B7" w:rsidRPr="00BB1982">
        <w:rPr>
          <w:szCs w:val="24"/>
        </w:rPr>
        <w:t xml:space="preserve"> seek to be appointed as a lead plaintiff representative of the class through </w:t>
      </w:r>
      <w:hyperlink r:id="rId11" w:history="1">
        <w:r w:rsidR="00224E44"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2" w:history="1">
        <w:r w:rsidR="00224E44"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Hertz</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Hertz</w:t>
      </w:r>
      <w:r w:rsidR="003F5BAC" w:rsidRPr="00BB1982">
        <w:rPr>
          <w:szCs w:val="24"/>
        </w:rPr>
        <w:t xml:space="preserve">, </w:t>
      </w:r>
      <w:r>
        <w:rPr>
          <w:i/>
          <w:szCs w:val="24"/>
        </w:rPr>
        <w:t>Doller</w:t>
      </w:r>
      <w:r w:rsidR="00AD1C94" w:rsidRPr="00BB1982">
        <w:rPr>
          <w:i/>
          <w:szCs w:val="24"/>
        </w:rPr>
        <w:t xml:space="preserve"> v.</w:t>
      </w:r>
      <w:r w:rsidR="003F5BAC" w:rsidRPr="00BB1982">
        <w:rPr>
          <w:i/>
          <w:szCs w:val="24"/>
        </w:rPr>
        <w:t xml:space="preserve"> </w:t>
      </w:r>
      <w:r>
        <w:rPr>
          <w:i/>
          <w:szCs w:val="24"/>
        </w:rPr>
        <w:t>Hertz Global Holdings</w:t>
      </w:r>
      <w:r w:rsidR="003850AA">
        <w:rPr>
          <w:i/>
          <w:szCs w:val="24"/>
        </w:rPr>
        <w:t xml:space="preserve">, </w:t>
      </w:r>
      <w:r w:rsidR="00241F72" w:rsidRPr="00BB1982">
        <w:rPr>
          <w:i/>
          <w:szCs w:val="24"/>
        </w:rPr>
        <w:t>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0513</w:t>
      </w:r>
      <w:r w:rsidR="003F5BAC" w:rsidRPr="00BB1982">
        <w:rPr>
          <w:szCs w:val="24"/>
        </w:rPr>
        <w:t xml:space="preserve">, is filed in the United States District Court for the </w:t>
      </w:r>
      <w:r>
        <w:rPr>
          <w:szCs w:val="24"/>
        </w:rPr>
        <w:t>Middle</w:t>
      </w:r>
      <w:r w:rsidR="003850AA">
        <w:rPr>
          <w:szCs w:val="24"/>
        </w:rPr>
        <w:t xml:space="preserve"> </w:t>
      </w:r>
      <w:r w:rsidR="003F5BAC" w:rsidRPr="00BB1982">
        <w:rPr>
          <w:szCs w:val="24"/>
        </w:rPr>
        <w:t xml:space="preserve">District of </w:t>
      </w:r>
      <w:r>
        <w:rPr>
          <w:szCs w:val="24"/>
        </w:rPr>
        <w:t>Florida</w:t>
      </w:r>
      <w:r w:rsidR="003F5BAC" w:rsidRPr="00BB1982">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0EA4D410" w14:textId="0BADAA25" w:rsidR="00224E44" w:rsidRDefault="0025739E" w:rsidP="00224E44">
      <w:hyperlink r:id="rId13"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001E756F" w:rsidRPr="00AC6820">
        <w:rPr>
          <w:rFonts w:ascii="Times New Roman" w:hAnsi="Times New Roman" w:cs="Times New Roman"/>
          <w:bCs/>
          <w:sz w:val="24"/>
          <w:szCs w:val="24"/>
        </w:rPr>
        <w:t>TO SIGN UP FOR THE CASE</w:t>
      </w:r>
      <w:r w:rsidR="001E756F" w:rsidRPr="00AC6820">
        <w:rPr>
          <w:rFonts w:ascii="Times New Roman" w:eastAsia="Times New Roman" w:hAnsi="Times New Roman" w:cs="Times New Roman"/>
          <w:bCs/>
          <w:sz w:val="24"/>
          <w:szCs w:val="24"/>
        </w:rPr>
        <w:t xml:space="preserve"> </w:t>
      </w:r>
      <w:r w:rsidR="0032790F" w:rsidRPr="00AC6820">
        <w:rPr>
          <w:rFonts w:ascii="Times New Roman" w:eastAsia="Times New Roman" w:hAnsi="Times New Roman" w:cs="Times New Roman"/>
          <w:bCs/>
          <w:sz w:val="24"/>
          <w:szCs w:val="24"/>
        </w:rPr>
        <w:t>OR GO TO</w:t>
      </w:r>
      <w:r w:rsidR="001E756F" w:rsidRPr="00AC6820">
        <w:rPr>
          <w:rFonts w:ascii="Times New Roman" w:eastAsia="Times New Roman" w:hAnsi="Times New Roman" w:cs="Times New Roman"/>
          <w:bCs/>
          <w:sz w:val="24"/>
          <w:szCs w:val="24"/>
        </w:rPr>
        <w:t xml:space="preserve">: </w:t>
      </w:r>
      <w:hyperlink r:id="rId14" w:history="1">
        <w:r w:rsidR="00224E44" w:rsidRPr="00727639">
          <w:rPr>
            <w:rStyle w:val="Hyperlink"/>
            <w:color w:val="0000FF"/>
          </w:rPr>
          <w:t>https://www.ktmc.com/new-cases/hertz-global-holdings-inc?utm_source=PR&amp;utm_medium=link&amp;utm_campaign=htz&amp;mktm=r</w:t>
        </w:r>
      </w:hyperlink>
    </w:p>
    <w:p w14:paraId="1FCFF8BD" w14:textId="77777777" w:rsidR="008C15B0" w:rsidRPr="00BB1982" w:rsidRDefault="0025739E" w:rsidP="00BB1982">
      <w:pPr>
        <w:jc w:val="both"/>
        <w:rPr>
          <w:rFonts w:ascii="Times New Roman" w:hAnsi="Times New Roman" w:cs="Times New Roman"/>
          <w:sz w:val="24"/>
          <w:szCs w:val="24"/>
        </w:rPr>
      </w:pPr>
    </w:p>
    <w:p w14:paraId="088634FE"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25739E">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116137" w:rsidR="008C15B0" w:rsidRPr="00B152EE" w:rsidRDefault="0025739E" w:rsidP="008F7FE8">
      <w:pPr>
        <w:jc w:val="both"/>
        <w:rPr>
          <w:rFonts w:ascii="Times New Roman" w:eastAsia="Times New Roman" w:hAnsi="Times New Roman" w:cs="Times New Roman"/>
          <w:sz w:val="24"/>
          <w:szCs w:val="24"/>
        </w:rPr>
      </w:pPr>
      <w:hyperlink r:id="rId15" w:history="1">
        <w:r w:rsidR="00224E44"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224E44"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25739E"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6D0C560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0D4DA749" w14:textId="15F6E948" w:rsidR="00380979" w:rsidRPr="00480DDC" w:rsidRDefault="00380979" w:rsidP="00480DDC">
      <w:pPr>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25739E" w:rsidP="00480DDC">
      <w:pPr>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84440"/>
    <w:rsid w:val="00095F9F"/>
    <w:rsid w:val="000B51BE"/>
    <w:rsid w:val="000C60DC"/>
    <w:rsid w:val="000C7C58"/>
    <w:rsid w:val="000D423E"/>
    <w:rsid w:val="00122458"/>
    <w:rsid w:val="00134A22"/>
    <w:rsid w:val="00160377"/>
    <w:rsid w:val="00165FE0"/>
    <w:rsid w:val="0017608E"/>
    <w:rsid w:val="0019314D"/>
    <w:rsid w:val="001A24F0"/>
    <w:rsid w:val="001E756F"/>
    <w:rsid w:val="002204A4"/>
    <w:rsid w:val="00221DCA"/>
    <w:rsid w:val="00224E44"/>
    <w:rsid w:val="00241F72"/>
    <w:rsid w:val="002511B1"/>
    <w:rsid w:val="0025739E"/>
    <w:rsid w:val="002A1226"/>
    <w:rsid w:val="002C192D"/>
    <w:rsid w:val="00303B05"/>
    <w:rsid w:val="003065E7"/>
    <w:rsid w:val="0032790F"/>
    <w:rsid w:val="00346FEA"/>
    <w:rsid w:val="00380979"/>
    <w:rsid w:val="003850AA"/>
    <w:rsid w:val="003C61A1"/>
    <w:rsid w:val="003E4CD1"/>
    <w:rsid w:val="003F145B"/>
    <w:rsid w:val="003F5BAC"/>
    <w:rsid w:val="00416CED"/>
    <w:rsid w:val="004238C2"/>
    <w:rsid w:val="00465B27"/>
    <w:rsid w:val="004666B7"/>
    <w:rsid w:val="00480DDC"/>
    <w:rsid w:val="004F1440"/>
    <w:rsid w:val="00523E74"/>
    <w:rsid w:val="00534205"/>
    <w:rsid w:val="005432A9"/>
    <w:rsid w:val="005474FE"/>
    <w:rsid w:val="00565577"/>
    <w:rsid w:val="00571079"/>
    <w:rsid w:val="005767FD"/>
    <w:rsid w:val="005A128B"/>
    <w:rsid w:val="005E1447"/>
    <w:rsid w:val="006158E1"/>
    <w:rsid w:val="006243B6"/>
    <w:rsid w:val="00672FCC"/>
    <w:rsid w:val="00694BFF"/>
    <w:rsid w:val="006D7446"/>
    <w:rsid w:val="007044A5"/>
    <w:rsid w:val="00727639"/>
    <w:rsid w:val="007507A5"/>
    <w:rsid w:val="00796C16"/>
    <w:rsid w:val="00797AE2"/>
    <w:rsid w:val="007D72E8"/>
    <w:rsid w:val="00800A16"/>
    <w:rsid w:val="00814DA6"/>
    <w:rsid w:val="008778EE"/>
    <w:rsid w:val="008A6002"/>
    <w:rsid w:val="008C4CCC"/>
    <w:rsid w:val="008D0573"/>
    <w:rsid w:val="009117DA"/>
    <w:rsid w:val="0092693C"/>
    <w:rsid w:val="00930CBF"/>
    <w:rsid w:val="009425F6"/>
    <w:rsid w:val="0094541B"/>
    <w:rsid w:val="009463CE"/>
    <w:rsid w:val="00967B01"/>
    <w:rsid w:val="009E6A5E"/>
    <w:rsid w:val="00A0599C"/>
    <w:rsid w:val="00A12612"/>
    <w:rsid w:val="00A16141"/>
    <w:rsid w:val="00A240FF"/>
    <w:rsid w:val="00A70C3A"/>
    <w:rsid w:val="00AA3FB7"/>
    <w:rsid w:val="00AB175E"/>
    <w:rsid w:val="00AC6820"/>
    <w:rsid w:val="00AD1C94"/>
    <w:rsid w:val="00B06905"/>
    <w:rsid w:val="00B372B7"/>
    <w:rsid w:val="00B46435"/>
    <w:rsid w:val="00B80E76"/>
    <w:rsid w:val="00BA362A"/>
    <w:rsid w:val="00BA5791"/>
    <w:rsid w:val="00BA7AEF"/>
    <w:rsid w:val="00BB1982"/>
    <w:rsid w:val="00BC20EC"/>
    <w:rsid w:val="00BC257A"/>
    <w:rsid w:val="00C17BC3"/>
    <w:rsid w:val="00C210CF"/>
    <w:rsid w:val="00C5022F"/>
    <w:rsid w:val="00C6761C"/>
    <w:rsid w:val="00C86AF3"/>
    <w:rsid w:val="00C92CC0"/>
    <w:rsid w:val="00CA671C"/>
    <w:rsid w:val="00CD4F7D"/>
    <w:rsid w:val="00D04509"/>
    <w:rsid w:val="00D168DA"/>
    <w:rsid w:val="00D225C3"/>
    <w:rsid w:val="00D24611"/>
    <w:rsid w:val="00D25ECC"/>
    <w:rsid w:val="00D47C9B"/>
    <w:rsid w:val="00D558C8"/>
    <w:rsid w:val="00D82DFA"/>
    <w:rsid w:val="00DA6363"/>
    <w:rsid w:val="00DA7326"/>
    <w:rsid w:val="00DC5ED3"/>
    <w:rsid w:val="00DF0441"/>
    <w:rsid w:val="00E26300"/>
    <w:rsid w:val="00E44B70"/>
    <w:rsid w:val="00E64F3F"/>
    <w:rsid w:val="00E83B59"/>
    <w:rsid w:val="00E87370"/>
    <w:rsid w:val="00EA1197"/>
    <w:rsid w:val="00EA5C12"/>
    <w:rsid w:val="00EB1BBC"/>
    <w:rsid w:val="00ED11D3"/>
    <w:rsid w:val="00EE40F2"/>
    <w:rsid w:val="00F04D77"/>
    <w:rsid w:val="00F12534"/>
    <w:rsid w:val="00F518E3"/>
    <w:rsid w:val="00F51BD8"/>
    <w:rsid w:val="00F521A9"/>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4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pPr>
    <w:rPr>
      <w:rFonts w:ascii="Times New Roman" w:eastAsia="Times New Roman" w:hAnsi="Times New Roman" w:cs="Times New Roman"/>
      <w:sz w:val="24"/>
      <w:szCs w:val="24"/>
    </w:rPr>
  </w:style>
  <w:style w:type="character" w:customStyle="1" w:styleId="xn-chron">
    <w:name w:val="xn-chron"/>
    <w:basedOn w:val="DefaultParagraphFont"/>
    <w:rsid w:val="00D24611"/>
  </w:style>
  <w:style w:type="character" w:customStyle="1" w:styleId="xn-money">
    <w:name w:val="xn-money"/>
    <w:basedOn w:val="DefaultParagraphFont"/>
    <w:rsid w:val="00D24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629626474">
      <w:bodyDiv w:val="1"/>
      <w:marLeft w:val="0"/>
      <w:marRight w:val="0"/>
      <w:marTop w:val="0"/>
      <w:marBottom w:val="0"/>
      <w:divBdr>
        <w:top w:val="none" w:sz="0" w:space="0" w:color="auto"/>
        <w:left w:val="none" w:sz="0" w:space="0" w:color="auto"/>
        <w:bottom w:val="none" w:sz="0" w:space="0" w:color="auto"/>
        <w:right w:val="none" w:sz="0" w:space="0" w:color="auto"/>
      </w:divBdr>
    </w:div>
    <w:div w:id="1652559174">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dlfMClY87VfzOQ1zCGGX0c?domain=ktmc.com" TargetMode="External"/><Relationship Id="rId13" Type="http://schemas.openxmlformats.org/officeDocument/2006/relationships/hyperlink" Target="https://www.ktmc.com/new-cases/hertz-global-holdings-inc?utm_source=PR&amp;utm_medium=link&amp;utm_campaign=htz&amp;mktm=r" TargetMode="External"/><Relationship Id="rId18" Type="http://schemas.openxmlformats.org/officeDocument/2006/relationships/hyperlink" Target="mailto:info@ktmc.com" TargetMode="External"/><Relationship Id="rId3" Type="http://schemas.openxmlformats.org/officeDocument/2006/relationships/settings" Target="settings.xml"/><Relationship Id="rId7" Type="http://schemas.openxmlformats.org/officeDocument/2006/relationships/hyperlink" Target="https://www.ktmc.com/new-cases/hertz-global-holdings-inc?utm_source=PR&amp;utm_medium=link&amp;utm_campaign=htz&amp;mktm=r" TargetMode="External"/><Relationship Id="rId12" Type="http://schemas.openxmlformats.org/officeDocument/2006/relationships/hyperlink" Target="https://www.ktmc.com/new-cases/hertz-global-holdings-inc?utm_source=PR&amp;utm_medium=link&amp;utm_campaign=htz&amp;mktm=r" TargetMode="External"/><Relationship Id="rId17" Type="http://schemas.openxmlformats.org/officeDocument/2006/relationships/hyperlink" Target="http://www.ktmc.com" TargetMode="External"/><Relationship Id="rId2" Type="http://schemas.openxmlformats.org/officeDocument/2006/relationships/styles" Target="styles.xml"/><Relationship Id="rId16" Type="http://schemas.openxmlformats.org/officeDocument/2006/relationships/hyperlink" Target="https://www.ktmc.com/new-cases/hertz-global-holdings-inc?utm_source=PR&amp;utm_medium=link&amp;utm_campaign=htz&amp;mktm=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benzinga.com/quote/HTZ" TargetMode="External"/><Relationship Id="rId11" Type="http://schemas.openxmlformats.org/officeDocument/2006/relationships/hyperlink" Target="https://www.ktmc.com/new-cases/hertz-global-holdings-inc?utm_source=PR&amp;utm_medium=link&amp;utm_campaign=htz&amp;mktm=r" TargetMode="External"/><Relationship Id="rId5" Type="http://schemas.openxmlformats.org/officeDocument/2006/relationships/hyperlink" Target="http://www.ktmc.com" TargetMode="External"/><Relationship Id="rId15" Type="http://schemas.openxmlformats.org/officeDocument/2006/relationships/hyperlink" Target="https://www.ktmc.com/new-cases/hertz-global-holdings-inc?utm_source=PR&amp;utm_medium=link&amp;utm_campaign=htz&amp;mktm=r" TargetMode="External"/><Relationship Id="rId10" Type="http://schemas.openxmlformats.org/officeDocument/2006/relationships/hyperlink" Target="mailto:info@ktmc.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url.us.m.mimecastprotect.com/s/dlfMClY87VfzOQ1zCGGX0c?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9C96-BCEE-4EDA-872A-353E3AC0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837</Words>
  <Characters>4527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3</cp:revision>
  <dcterms:created xsi:type="dcterms:W3CDTF">2024-06-20T20:02:00Z</dcterms:created>
  <dcterms:modified xsi:type="dcterms:W3CDTF">2024-06-20T20:04:00Z</dcterms:modified>
</cp:coreProperties>
</file>