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57841" w14:textId="0732B091" w:rsidR="004D643F" w:rsidRDefault="00EF3415" w:rsidP="00897BA8">
      <w:pPr>
        <w:spacing w:after="0"/>
        <w:jc w:val="both"/>
        <w:rPr>
          <w:rFonts w:ascii="Times New Roman" w:eastAsia="Times New Roman" w:hAnsi="Times New Roman" w:cs="Times New Roman"/>
          <w:b/>
          <w:bCs/>
          <w:color w:val="000000"/>
          <w:sz w:val="24"/>
          <w:szCs w:val="24"/>
        </w:rPr>
      </w:pPr>
      <w:bookmarkStart w:id="0" w:name="_Hlk156823768"/>
      <w:r>
        <w:rPr>
          <w:rFonts w:ascii="Times New Roman" w:eastAsia="Times New Roman" w:hAnsi="Times New Roman" w:cs="Times New Roman"/>
          <w:b/>
          <w:bCs/>
          <w:color w:val="000000"/>
          <w:sz w:val="24"/>
          <w:szCs w:val="24"/>
        </w:rPr>
        <w:t>F</w:t>
      </w:r>
      <w:r w:rsidRPr="00EF3415">
        <w:rPr>
          <w:rFonts w:ascii="Times New Roman" w:eastAsia="Times New Roman" w:hAnsi="Times New Roman" w:cs="Times New Roman"/>
          <w:b/>
          <w:bCs/>
          <w:color w:val="000000"/>
          <w:sz w:val="24"/>
          <w:szCs w:val="24"/>
        </w:rPr>
        <w:t xml:space="preserve">INAL DEADLINE REMINDER FOR </w:t>
      </w:r>
      <w:r>
        <w:rPr>
          <w:rFonts w:ascii="Times New Roman" w:eastAsia="Times New Roman" w:hAnsi="Times New Roman" w:cs="Times New Roman"/>
          <w:b/>
          <w:bCs/>
          <w:color w:val="000000"/>
          <w:sz w:val="24"/>
          <w:szCs w:val="24"/>
        </w:rPr>
        <w:t>BIIB</w:t>
      </w:r>
      <w:r w:rsidRPr="00EF3415">
        <w:rPr>
          <w:rFonts w:ascii="Times New Roman" w:eastAsia="Times New Roman" w:hAnsi="Times New Roman" w:cs="Times New Roman"/>
          <w:b/>
          <w:bCs/>
          <w:color w:val="000000"/>
          <w:sz w:val="24"/>
          <w:szCs w:val="24"/>
        </w:rPr>
        <w:t xml:space="preserve"> INVESTORS:  Kessler Topaz Meltzer &amp; Check, LLP Announces Final Lead Plaintiff Deadline in Securities Class Action Lawsuit Filed Against </w:t>
      </w:r>
      <w:r>
        <w:rPr>
          <w:rFonts w:ascii="Times New Roman" w:eastAsia="Times New Roman" w:hAnsi="Times New Roman" w:cs="Times New Roman"/>
          <w:b/>
          <w:bCs/>
          <w:color w:val="000000"/>
          <w:sz w:val="24"/>
          <w:szCs w:val="24"/>
        </w:rPr>
        <w:t>Biogen Inc. (BIIB)</w:t>
      </w:r>
    </w:p>
    <w:p w14:paraId="0AF8592F" w14:textId="77777777" w:rsidR="00EF3415" w:rsidRDefault="00EF3415" w:rsidP="00897BA8">
      <w:pPr>
        <w:spacing w:after="0"/>
        <w:jc w:val="both"/>
        <w:rPr>
          <w:rFonts w:ascii="Times New Roman" w:eastAsia="Times New Roman" w:hAnsi="Times New Roman" w:cs="Times New Roman"/>
          <w:b/>
          <w:bCs/>
          <w:color w:val="000000"/>
          <w:sz w:val="24"/>
          <w:szCs w:val="24"/>
        </w:rPr>
      </w:pPr>
    </w:p>
    <w:p w14:paraId="0B89322E" w14:textId="31C3B2F4" w:rsidR="00694BFF" w:rsidRDefault="0019314D" w:rsidP="00897BA8">
      <w:pPr>
        <w:spacing w:after="0"/>
        <w:jc w:val="both"/>
        <w:rPr>
          <w:rFonts w:ascii="Times New Roman" w:hAnsi="Times New Roman" w:cs="Times New Roman"/>
          <w:sz w:val="24"/>
          <w:szCs w:val="24"/>
        </w:rPr>
      </w:pPr>
      <w:r w:rsidRPr="00BB1982">
        <w:rPr>
          <w:rFonts w:ascii="Times New Roman" w:eastAsia="Times New Roman" w:hAnsi="Times New Roman" w:cs="Times New Roman"/>
          <w:sz w:val="24"/>
          <w:szCs w:val="24"/>
        </w:rPr>
        <w:t>Radnor, PA</w:t>
      </w:r>
      <w:r w:rsidR="00F6732C" w:rsidRPr="00BB1982">
        <w:rPr>
          <w:rFonts w:ascii="Times New Roman" w:eastAsia="Times New Roman" w:hAnsi="Times New Roman" w:cs="Times New Roman"/>
          <w:sz w:val="24"/>
          <w:szCs w:val="24"/>
        </w:rPr>
        <w:t>,</w:t>
      </w:r>
      <w:r w:rsidRPr="00BB1982">
        <w:rPr>
          <w:rFonts w:ascii="Times New Roman" w:eastAsia="Times New Roman" w:hAnsi="Times New Roman" w:cs="Times New Roman"/>
          <w:sz w:val="24"/>
          <w:szCs w:val="24"/>
        </w:rPr>
        <w:t xml:space="preserve"> </w:t>
      </w:r>
      <w:r w:rsidR="00C57066">
        <w:rPr>
          <w:rFonts w:ascii="Times New Roman" w:eastAsia="Times New Roman" w:hAnsi="Times New Roman" w:cs="Times New Roman"/>
          <w:sz w:val="24"/>
          <w:szCs w:val="24"/>
        </w:rPr>
        <w:t xml:space="preserve">July </w:t>
      </w:r>
      <w:r w:rsidR="00EF3415">
        <w:rPr>
          <w:rFonts w:ascii="Times New Roman" w:eastAsia="Times New Roman" w:hAnsi="Times New Roman" w:cs="Times New Roman"/>
          <w:sz w:val="24"/>
          <w:szCs w:val="24"/>
        </w:rPr>
        <w:t>21</w:t>
      </w:r>
      <w:r w:rsidR="00B80E76" w:rsidRPr="00BB1982">
        <w:rPr>
          <w:rFonts w:ascii="Times New Roman" w:eastAsia="Times New Roman" w:hAnsi="Times New Roman" w:cs="Times New Roman"/>
          <w:sz w:val="24"/>
          <w:szCs w:val="24"/>
        </w:rPr>
        <w:t xml:space="preserve">, 2024 </w:t>
      </w:r>
      <w:r w:rsidRPr="00BB1982">
        <w:rPr>
          <w:rFonts w:ascii="Times New Roman" w:hAnsi="Times New Roman" w:cs="Times New Roman"/>
          <w:sz w:val="24"/>
          <w:szCs w:val="24"/>
        </w:rPr>
        <w:t xml:space="preserve">– </w:t>
      </w:r>
      <w:r w:rsidR="004666B7" w:rsidRPr="00BB1982">
        <w:rPr>
          <w:rFonts w:ascii="Times New Roman" w:eastAsia="Times New Roman" w:hAnsi="Times New Roman" w:cs="Times New Roman"/>
          <w:sz w:val="24"/>
          <w:szCs w:val="24"/>
        </w:rPr>
        <w:t xml:space="preserve">The law firm of </w:t>
      </w:r>
      <w:bookmarkStart w:id="1" w:name="_Hlk165382587"/>
      <w:r w:rsidR="00B80E76" w:rsidRPr="00E25AD8">
        <w:rPr>
          <w:rStyle w:val="Hyperlink"/>
          <w:rFonts w:ascii="Times New Roman" w:eastAsia="Times New Roman" w:hAnsi="Times New Roman" w:cs="Times New Roman"/>
          <w:color w:val="0000FF"/>
          <w:sz w:val="24"/>
          <w:szCs w:val="24"/>
        </w:rPr>
        <w:fldChar w:fldCharType="begin"/>
      </w:r>
      <w:r w:rsidR="00EF43E2" w:rsidRPr="00E25AD8">
        <w:rPr>
          <w:rStyle w:val="Hyperlink"/>
          <w:rFonts w:ascii="Times New Roman" w:eastAsia="Times New Roman" w:hAnsi="Times New Roman" w:cs="Times New Roman"/>
          <w:color w:val="0000FF"/>
          <w:sz w:val="24"/>
          <w:szCs w:val="24"/>
        </w:rPr>
        <w:instrText>HYPERLINK "https://www.ktmc.com/new-cases/biogen-inc-1?utm_source=PR&amp;utm_medium=link&amp;utm_campaign=biib&amp;mktm=r"</w:instrText>
      </w:r>
      <w:r w:rsidR="00B80E76" w:rsidRPr="00E25AD8">
        <w:rPr>
          <w:rStyle w:val="Hyperlink"/>
          <w:rFonts w:ascii="Times New Roman" w:eastAsia="Times New Roman" w:hAnsi="Times New Roman" w:cs="Times New Roman"/>
          <w:color w:val="0000FF"/>
          <w:sz w:val="24"/>
          <w:szCs w:val="24"/>
        </w:rPr>
        <w:fldChar w:fldCharType="separate"/>
      </w:r>
      <w:r w:rsidR="004666B7" w:rsidRPr="00E25AD8">
        <w:rPr>
          <w:rStyle w:val="Hyperlink"/>
          <w:rFonts w:ascii="Times New Roman" w:eastAsia="Times New Roman" w:hAnsi="Times New Roman" w:cs="Times New Roman"/>
          <w:color w:val="0000FF"/>
          <w:sz w:val="24"/>
          <w:szCs w:val="24"/>
        </w:rPr>
        <w:t>Kessler Topaz Meltzer &amp; Check, LLP</w:t>
      </w:r>
      <w:r w:rsidR="00B80E76" w:rsidRPr="00E25AD8">
        <w:rPr>
          <w:rStyle w:val="Hyperlink"/>
          <w:rFonts w:ascii="Times New Roman" w:eastAsia="Times New Roman" w:hAnsi="Times New Roman" w:cs="Times New Roman"/>
          <w:color w:val="0000FF"/>
          <w:sz w:val="24"/>
          <w:szCs w:val="24"/>
        </w:rPr>
        <w:fldChar w:fldCharType="end"/>
      </w:r>
      <w:r w:rsidR="004238C2" w:rsidRPr="00E25AD8">
        <w:rPr>
          <w:rStyle w:val="Hyperlink"/>
          <w:rFonts w:ascii="Times New Roman" w:eastAsia="Times New Roman" w:hAnsi="Times New Roman" w:cs="Times New Roman"/>
          <w:color w:val="0000FF"/>
          <w:sz w:val="24"/>
          <w:szCs w:val="24"/>
          <w:u w:val="none"/>
        </w:rPr>
        <w:t xml:space="preserve"> </w:t>
      </w:r>
      <w:bookmarkEnd w:id="1"/>
      <w:r w:rsidR="004238C2" w:rsidRPr="00BB1982">
        <w:rPr>
          <w:rStyle w:val="Hyperlink"/>
          <w:rFonts w:ascii="Times New Roman" w:eastAsia="Times New Roman" w:hAnsi="Times New Roman" w:cs="Times New Roman"/>
          <w:color w:val="auto"/>
          <w:sz w:val="24"/>
          <w:szCs w:val="24"/>
          <w:u w:val="none"/>
        </w:rPr>
        <w:t>(</w:t>
      </w:r>
      <w:hyperlink r:id="rId4" w:history="1">
        <w:r w:rsidR="004238C2" w:rsidRPr="00BB1982">
          <w:rPr>
            <w:rStyle w:val="Hyperlink"/>
            <w:rFonts w:ascii="Times New Roman" w:eastAsia="Times New Roman" w:hAnsi="Times New Roman" w:cs="Times New Roman"/>
            <w:color w:val="0000FF"/>
            <w:sz w:val="24"/>
            <w:szCs w:val="24"/>
          </w:rPr>
          <w:t>www.ktmc.com</w:t>
        </w:r>
      </w:hyperlink>
      <w:r w:rsidR="004238C2" w:rsidRPr="00BB1982">
        <w:rPr>
          <w:rStyle w:val="Hyperlink"/>
          <w:rFonts w:ascii="Times New Roman" w:eastAsia="Times New Roman" w:hAnsi="Times New Roman" w:cs="Times New Roman"/>
          <w:color w:val="auto"/>
          <w:sz w:val="24"/>
          <w:szCs w:val="24"/>
          <w:u w:val="none"/>
        </w:rPr>
        <w:t xml:space="preserve">) </w:t>
      </w:r>
      <w:r w:rsidR="004666B7" w:rsidRPr="00BB1982">
        <w:rPr>
          <w:rFonts w:ascii="Times New Roman" w:eastAsia="Times New Roman" w:hAnsi="Times New Roman" w:cs="Times New Roman"/>
          <w:sz w:val="24"/>
          <w:szCs w:val="24"/>
        </w:rPr>
        <w:t xml:space="preserve"> informs investors that a </w:t>
      </w:r>
      <w:r w:rsidR="00221DCA" w:rsidRPr="00BB1982">
        <w:rPr>
          <w:rFonts w:ascii="Times New Roman" w:eastAsia="Times New Roman" w:hAnsi="Times New Roman" w:cs="Times New Roman"/>
          <w:sz w:val="24"/>
          <w:szCs w:val="24"/>
        </w:rPr>
        <w:t xml:space="preserve">securities </w:t>
      </w:r>
      <w:r w:rsidR="004666B7" w:rsidRPr="00BB1982">
        <w:rPr>
          <w:rFonts w:ascii="Times New Roman" w:eastAsia="Times New Roman" w:hAnsi="Times New Roman" w:cs="Times New Roman"/>
          <w:sz w:val="24"/>
          <w:szCs w:val="24"/>
        </w:rPr>
        <w:t>class action lawsuit has been filed</w:t>
      </w:r>
      <w:r w:rsidR="00F12534" w:rsidRPr="00BB1982">
        <w:rPr>
          <w:rFonts w:ascii="Times New Roman" w:hAnsi="Times New Roman" w:cs="Times New Roman"/>
          <w:sz w:val="24"/>
          <w:szCs w:val="24"/>
        </w:rPr>
        <w:t xml:space="preserve"> </w:t>
      </w:r>
      <w:r w:rsidR="00F12534" w:rsidRPr="00BB1982">
        <w:rPr>
          <w:rFonts w:ascii="Times New Roman" w:eastAsia="Times New Roman" w:hAnsi="Times New Roman" w:cs="Times New Roman"/>
          <w:sz w:val="24"/>
          <w:szCs w:val="24"/>
        </w:rPr>
        <w:t xml:space="preserve">in the </w:t>
      </w:r>
      <w:r w:rsidR="004666B7" w:rsidRPr="00BB1982">
        <w:rPr>
          <w:rFonts w:ascii="Times New Roman" w:eastAsia="Times New Roman" w:hAnsi="Times New Roman" w:cs="Times New Roman"/>
          <w:sz w:val="24"/>
          <w:szCs w:val="24"/>
        </w:rPr>
        <w:t>against</w:t>
      </w:r>
      <w:r w:rsidR="00E83B59" w:rsidRPr="00BB1982">
        <w:rPr>
          <w:rFonts w:ascii="Times New Roman" w:eastAsia="Times New Roman" w:hAnsi="Times New Roman" w:cs="Times New Roman"/>
          <w:sz w:val="24"/>
          <w:szCs w:val="24"/>
        </w:rPr>
        <w:t xml:space="preserve"> </w:t>
      </w:r>
      <w:r w:rsidR="009463CE">
        <w:rPr>
          <w:rFonts w:ascii="Times New Roman" w:eastAsia="Times New Roman" w:hAnsi="Times New Roman" w:cs="Times New Roman"/>
          <w:sz w:val="24"/>
          <w:szCs w:val="24"/>
        </w:rPr>
        <w:t>Biogen</w:t>
      </w:r>
      <w:r w:rsidR="007D72E8" w:rsidRPr="00BB1982">
        <w:rPr>
          <w:rFonts w:ascii="Times New Roman" w:hAnsi="Times New Roman" w:cs="Times New Roman"/>
          <w:sz w:val="24"/>
          <w:szCs w:val="24"/>
        </w:rPr>
        <w:t xml:space="preserve"> Inc.</w:t>
      </w:r>
      <w:r w:rsidR="00A0599C" w:rsidRPr="00BB1982">
        <w:rPr>
          <w:rFonts w:ascii="Times New Roman" w:hAnsi="Times New Roman" w:cs="Times New Roman"/>
          <w:sz w:val="24"/>
          <w:szCs w:val="24"/>
        </w:rPr>
        <w:t xml:space="preserve"> (“</w:t>
      </w:r>
      <w:r w:rsidR="009463CE">
        <w:rPr>
          <w:rFonts w:ascii="Times New Roman" w:hAnsi="Times New Roman" w:cs="Times New Roman"/>
          <w:sz w:val="24"/>
          <w:szCs w:val="24"/>
        </w:rPr>
        <w:t>Biogen</w:t>
      </w:r>
      <w:r w:rsidR="00A0599C" w:rsidRPr="00BB1982">
        <w:rPr>
          <w:rFonts w:ascii="Times New Roman" w:hAnsi="Times New Roman" w:cs="Times New Roman"/>
          <w:sz w:val="24"/>
          <w:szCs w:val="24"/>
        </w:rPr>
        <w:t>”) (</w:t>
      </w:r>
      <w:hyperlink r:id="rId5" w:history="1">
        <w:r w:rsidR="00EB1BBC" w:rsidRPr="00E25AD8">
          <w:rPr>
            <w:rStyle w:val="Hyperlink"/>
            <w:rFonts w:ascii="Times New Roman" w:hAnsi="Times New Roman" w:cs="Times New Roman"/>
            <w:color w:val="0000FF"/>
            <w:sz w:val="24"/>
            <w:szCs w:val="24"/>
          </w:rPr>
          <w:t>N</w:t>
        </w:r>
        <w:r w:rsidR="009463CE" w:rsidRPr="00E25AD8">
          <w:rPr>
            <w:rStyle w:val="Hyperlink"/>
            <w:rFonts w:ascii="Times New Roman" w:hAnsi="Times New Roman" w:cs="Times New Roman"/>
            <w:color w:val="0000FF"/>
            <w:sz w:val="24"/>
            <w:szCs w:val="24"/>
          </w:rPr>
          <w:t>ASDAQ</w:t>
        </w:r>
        <w:r w:rsidR="00EB1BBC" w:rsidRPr="00E25AD8">
          <w:rPr>
            <w:rStyle w:val="Hyperlink"/>
            <w:rFonts w:ascii="Times New Roman" w:hAnsi="Times New Roman" w:cs="Times New Roman"/>
            <w:color w:val="0000FF"/>
            <w:sz w:val="24"/>
            <w:szCs w:val="24"/>
          </w:rPr>
          <w:t xml:space="preserve">: </w:t>
        </w:r>
        <w:r w:rsidR="009463CE" w:rsidRPr="00E25AD8">
          <w:rPr>
            <w:rStyle w:val="Hyperlink"/>
            <w:rFonts w:ascii="Times New Roman" w:hAnsi="Times New Roman" w:cs="Times New Roman"/>
            <w:color w:val="0000FF"/>
            <w:sz w:val="24"/>
            <w:szCs w:val="24"/>
          </w:rPr>
          <w:t>BIIB</w:t>
        </w:r>
      </w:hyperlink>
      <w:r w:rsidR="00A0599C" w:rsidRPr="00BB1982">
        <w:rPr>
          <w:rFonts w:ascii="Times New Roman" w:hAnsi="Times New Roman" w:cs="Times New Roman"/>
          <w:sz w:val="24"/>
          <w:szCs w:val="24"/>
        </w:rPr>
        <w:t>)</w:t>
      </w:r>
      <w:r w:rsidR="00F12534" w:rsidRPr="00BB1982">
        <w:rPr>
          <w:rFonts w:ascii="Times New Roman" w:hAnsi="Times New Roman" w:cs="Times New Roman"/>
          <w:sz w:val="24"/>
          <w:szCs w:val="24"/>
        </w:rPr>
        <w:t>.</w:t>
      </w:r>
      <w:r w:rsidR="003F5BAC" w:rsidRPr="00BB1982">
        <w:rPr>
          <w:rFonts w:ascii="Times New Roman" w:hAnsi="Times New Roman" w:cs="Times New Roman"/>
          <w:sz w:val="24"/>
          <w:szCs w:val="24"/>
        </w:rPr>
        <w:t xml:space="preserve"> The action charges</w:t>
      </w:r>
      <w:r w:rsidR="007D72E8" w:rsidRPr="00BB1982">
        <w:rPr>
          <w:rFonts w:ascii="Times New Roman" w:hAnsi="Times New Roman" w:cs="Times New Roman"/>
          <w:sz w:val="24"/>
          <w:szCs w:val="24"/>
        </w:rPr>
        <w:t xml:space="preserve"> </w:t>
      </w:r>
      <w:r w:rsidR="009463CE">
        <w:rPr>
          <w:rFonts w:ascii="Times New Roman" w:hAnsi="Times New Roman" w:cs="Times New Roman"/>
          <w:sz w:val="24"/>
          <w:szCs w:val="24"/>
        </w:rPr>
        <w:t>Biogen</w:t>
      </w:r>
      <w:r w:rsidR="003F5BAC" w:rsidRPr="00BB1982">
        <w:rPr>
          <w:rFonts w:ascii="Times New Roman" w:hAnsi="Times New Roman" w:cs="Times New Roman"/>
          <w:sz w:val="24"/>
          <w:szCs w:val="24"/>
        </w:rPr>
        <w:t xml:space="preserve"> with violations of the federal securities laws, including</w:t>
      </w:r>
      <w:r w:rsidR="003F5BAC" w:rsidRPr="00BB1982">
        <w:rPr>
          <w:rFonts w:ascii="Times New Roman" w:eastAsia="Times New Roman" w:hAnsi="Times New Roman" w:cs="Times New Roman"/>
          <w:sz w:val="24"/>
          <w:szCs w:val="24"/>
        </w:rPr>
        <w:t xml:space="preserve"> omissions and fraudulent misrepresentations relating to the company’s business, operations, and prospects.  As a result of </w:t>
      </w:r>
      <w:r w:rsidR="009463CE">
        <w:rPr>
          <w:rFonts w:ascii="Times New Roman" w:eastAsia="Times New Roman" w:hAnsi="Times New Roman" w:cs="Times New Roman"/>
          <w:sz w:val="24"/>
          <w:szCs w:val="24"/>
        </w:rPr>
        <w:t>Biogen</w:t>
      </w:r>
      <w:r w:rsidR="003F5BAC" w:rsidRPr="00BB1982">
        <w:rPr>
          <w:rFonts w:ascii="Times New Roman" w:hAnsi="Times New Roman" w:cs="Times New Roman"/>
          <w:sz w:val="24"/>
          <w:szCs w:val="24"/>
        </w:rPr>
        <w:t xml:space="preserve">’s materially misleading statements and omissions to the public, </w:t>
      </w:r>
      <w:r w:rsidR="009463CE">
        <w:rPr>
          <w:rFonts w:ascii="Times New Roman" w:hAnsi="Times New Roman" w:cs="Times New Roman"/>
          <w:sz w:val="24"/>
          <w:szCs w:val="24"/>
        </w:rPr>
        <w:t>Biogen</w:t>
      </w:r>
      <w:r w:rsidR="003F5BAC" w:rsidRPr="00BB1982">
        <w:rPr>
          <w:rFonts w:ascii="Times New Roman" w:hAnsi="Times New Roman" w:cs="Times New Roman"/>
          <w:sz w:val="24"/>
          <w:szCs w:val="24"/>
        </w:rPr>
        <w:t>’s investors have suffered significant losses.</w:t>
      </w:r>
    </w:p>
    <w:p w14:paraId="31D4A032" w14:textId="77777777" w:rsidR="00897BA8" w:rsidRPr="00BB1982" w:rsidRDefault="00897BA8" w:rsidP="00683D21">
      <w:pPr>
        <w:spacing w:after="0"/>
        <w:jc w:val="both"/>
        <w:rPr>
          <w:rFonts w:ascii="Times New Roman" w:hAnsi="Times New Roman" w:cs="Times New Roman"/>
          <w:sz w:val="24"/>
          <w:szCs w:val="24"/>
        </w:rPr>
      </w:pPr>
    </w:p>
    <w:p w14:paraId="6A630BD3" w14:textId="378AADB7" w:rsidR="00EF43E2" w:rsidRPr="001E58D4" w:rsidRDefault="0094541B" w:rsidP="00EF43E2">
      <w:pPr>
        <w:rPr>
          <w:rFonts w:ascii="Times New Roman" w:hAnsi="Times New Roman" w:cs="Times New Roman"/>
        </w:rPr>
      </w:pPr>
      <w:r w:rsidRPr="00BB1982">
        <w:rPr>
          <w:rStyle w:val="Hyperlink"/>
          <w:rFonts w:ascii="Times New Roman" w:eastAsia="Times New Roman" w:hAnsi="Times New Roman" w:cs="Times New Roman"/>
          <w:bCs/>
          <w:color w:val="auto"/>
          <w:sz w:val="24"/>
          <w:szCs w:val="24"/>
          <w:u w:val="none"/>
        </w:rPr>
        <w:t xml:space="preserve">If you suffered </w:t>
      </w:r>
      <w:r w:rsidR="009463CE">
        <w:rPr>
          <w:rStyle w:val="Hyperlink"/>
          <w:rFonts w:ascii="Times New Roman" w:eastAsia="Times New Roman" w:hAnsi="Times New Roman" w:cs="Times New Roman"/>
          <w:bCs/>
          <w:color w:val="auto"/>
          <w:sz w:val="24"/>
          <w:szCs w:val="24"/>
          <w:u w:val="none"/>
        </w:rPr>
        <w:t>Biogen</w:t>
      </w:r>
      <w:r w:rsidRPr="00BB1982">
        <w:rPr>
          <w:rStyle w:val="Hyperlink"/>
          <w:rFonts w:ascii="Times New Roman" w:eastAsia="Times New Roman" w:hAnsi="Times New Roman" w:cs="Times New Roman"/>
          <w:bCs/>
          <w:color w:val="auto"/>
          <w:sz w:val="24"/>
          <w:szCs w:val="24"/>
          <w:u w:val="none"/>
        </w:rPr>
        <w:t xml:space="preserve"> losses, </w:t>
      </w:r>
      <w:r w:rsidRPr="00BB1982">
        <w:rPr>
          <w:rFonts w:ascii="Times New Roman" w:hAnsi="Times New Roman" w:cs="Times New Roman"/>
          <w:sz w:val="24"/>
          <w:szCs w:val="24"/>
        </w:rPr>
        <w:t xml:space="preserve">you may </w:t>
      </w:r>
      <w:hyperlink r:id="rId6" w:history="1">
        <w:r w:rsidR="001E756F" w:rsidRPr="00E25AD8">
          <w:rPr>
            <w:rStyle w:val="Hyperlink"/>
            <w:rFonts w:ascii="Times New Roman" w:hAnsi="Times New Roman" w:cs="Times New Roman"/>
            <w:b/>
            <w:color w:val="0000FF"/>
            <w:sz w:val="24"/>
            <w:szCs w:val="24"/>
          </w:rPr>
          <w:t>CLICK HERE</w:t>
        </w:r>
      </w:hyperlink>
      <w:r w:rsidR="001E756F" w:rsidRPr="00E25AD8">
        <w:rPr>
          <w:rFonts w:ascii="Times New Roman" w:hAnsi="Times New Roman" w:cs="Times New Roman"/>
          <w:b/>
          <w:color w:val="0000FF"/>
          <w:sz w:val="24"/>
          <w:szCs w:val="24"/>
        </w:rPr>
        <w:t xml:space="preserve"> </w:t>
      </w:r>
      <w:r w:rsidRPr="00BB1982">
        <w:rPr>
          <w:rFonts w:ascii="Times New Roman" w:eastAsia="Times New Roman" w:hAnsi="Times New Roman" w:cs="Times New Roman"/>
          <w:b/>
          <w:sz w:val="24"/>
          <w:szCs w:val="24"/>
        </w:rPr>
        <w:t xml:space="preserve">or go to: </w:t>
      </w:r>
      <w:hyperlink r:id="rId7" w:history="1">
        <w:r w:rsidR="00EF43E2" w:rsidRPr="001E58D4">
          <w:rPr>
            <w:rStyle w:val="Hyperlink"/>
            <w:rFonts w:ascii="Times New Roman" w:hAnsi="Times New Roman" w:cs="Times New Roman"/>
            <w:color w:val="0000FF"/>
          </w:rPr>
          <w:t>https://www.ktmc.com/new-cases/biogen-inc-1?utm_source=PR&amp;utm_medium=link&amp;utm_campaign=biib&amp;mktm=r</w:t>
        </w:r>
      </w:hyperlink>
    </w:p>
    <w:p w14:paraId="52E3FFE8" w14:textId="68A40025" w:rsidR="0094541B" w:rsidRPr="00BB1982" w:rsidRDefault="0094541B" w:rsidP="00BB1982">
      <w:pPr>
        <w:spacing w:after="0" w:line="240" w:lineRule="auto"/>
        <w:jc w:val="both"/>
        <w:rPr>
          <w:rFonts w:ascii="Times New Roman" w:eastAsia="Times New Roman" w:hAnsi="Times New Roman" w:cs="Times New Roman"/>
          <w:bCs/>
          <w:color w:val="0000FF"/>
          <w:sz w:val="24"/>
          <w:szCs w:val="24"/>
        </w:rPr>
      </w:pPr>
      <w:r w:rsidRPr="00BB1982">
        <w:rPr>
          <w:rFonts w:ascii="Times New Roman" w:eastAsia="Times New Roman" w:hAnsi="Times New Roman" w:cs="Times New Roman"/>
          <w:bCs/>
          <w:sz w:val="24"/>
          <w:szCs w:val="24"/>
        </w:rPr>
        <w:t xml:space="preserve">You can also contact attorney </w:t>
      </w:r>
      <w:hyperlink r:id="rId8" w:history="1">
        <w:r w:rsidRPr="00BB1982">
          <w:rPr>
            <w:rStyle w:val="Hyperlink"/>
            <w:rFonts w:ascii="Times New Roman" w:eastAsia="Times New Roman" w:hAnsi="Times New Roman" w:cs="Times New Roman"/>
            <w:bCs/>
            <w:color w:val="auto"/>
            <w:sz w:val="24"/>
            <w:szCs w:val="24"/>
          </w:rPr>
          <w:t>Jonathan Naji, Esq.</w:t>
        </w:r>
      </w:hyperlink>
      <w:r w:rsidRPr="00BB1982">
        <w:rPr>
          <w:rStyle w:val="Hyperlink"/>
          <w:rFonts w:ascii="Times New Roman" w:eastAsia="Times New Roman" w:hAnsi="Times New Roman" w:cs="Times New Roman"/>
          <w:bCs/>
          <w:color w:val="auto"/>
          <w:sz w:val="24"/>
          <w:szCs w:val="24"/>
        </w:rPr>
        <w:t xml:space="preserve"> </w:t>
      </w:r>
      <w:r w:rsidRPr="00BB1982">
        <w:rPr>
          <w:rFonts w:ascii="Times New Roman" w:eastAsia="Times New Roman" w:hAnsi="Times New Roman" w:cs="Times New Roman"/>
          <w:bCs/>
          <w:sz w:val="24"/>
          <w:szCs w:val="24"/>
        </w:rPr>
        <w:t xml:space="preserve">of Kessler Topaz by calling (484) 270-1453 or by email at </w:t>
      </w:r>
      <w:hyperlink r:id="rId9" w:history="1">
        <w:r w:rsidRPr="00E25AD8">
          <w:rPr>
            <w:rStyle w:val="Hyperlink"/>
            <w:rFonts w:ascii="Times New Roman" w:eastAsia="Times New Roman" w:hAnsi="Times New Roman" w:cs="Times New Roman"/>
            <w:bCs/>
            <w:color w:val="0000FF"/>
            <w:sz w:val="24"/>
            <w:szCs w:val="24"/>
          </w:rPr>
          <w:t>info@ktmc.com</w:t>
        </w:r>
      </w:hyperlink>
      <w:r w:rsidRPr="00BB1982">
        <w:rPr>
          <w:rFonts w:ascii="Times New Roman" w:eastAsia="Times New Roman" w:hAnsi="Times New Roman" w:cs="Times New Roman"/>
          <w:bCs/>
          <w:color w:val="0000FF"/>
          <w:sz w:val="24"/>
          <w:szCs w:val="24"/>
        </w:rPr>
        <w:t xml:space="preserve">.  </w:t>
      </w:r>
      <w:r w:rsidRPr="00BB1982">
        <w:rPr>
          <w:rFonts w:ascii="Times New Roman" w:eastAsia="Times New Roman" w:hAnsi="Times New Roman" w:cs="Times New Roman"/>
          <w:bCs/>
          <w:sz w:val="24"/>
          <w:szCs w:val="24"/>
        </w:rPr>
        <w:t xml:space="preserve">The lead plaintiff deadline is </w:t>
      </w:r>
      <w:r w:rsidR="00897BA8">
        <w:rPr>
          <w:rFonts w:ascii="Times New Roman" w:eastAsia="Times New Roman" w:hAnsi="Times New Roman" w:cs="Times New Roman"/>
          <w:bCs/>
          <w:sz w:val="24"/>
          <w:szCs w:val="24"/>
        </w:rPr>
        <w:t>July 22</w:t>
      </w:r>
      <w:r w:rsidRPr="00BB1982">
        <w:rPr>
          <w:rFonts w:ascii="Times New Roman" w:eastAsia="Times New Roman" w:hAnsi="Times New Roman" w:cs="Times New Roman"/>
          <w:bCs/>
          <w:sz w:val="24"/>
          <w:szCs w:val="24"/>
        </w:rPr>
        <w:t xml:space="preserve">, 2024. </w:t>
      </w:r>
    </w:p>
    <w:p w14:paraId="451378C2" w14:textId="77777777" w:rsidR="00F56A80" w:rsidRPr="00BB1982" w:rsidRDefault="00F56A80" w:rsidP="00BB1982">
      <w:pPr>
        <w:spacing w:after="0"/>
        <w:jc w:val="both"/>
        <w:rPr>
          <w:rFonts w:ascii="Times New Roman" w:eastAsia="Times New Roman" w:hAnsi="Times New Roman" w:cs="Times New Roman"/>
          <w:sz w:val="24"/>
          <w:szCs w:val="24"/>
        </w:rPr>
      </w:pPr>
    </w:p>
    <w:p w14:paraId="0ED177DF" w14:textId="26A48348" w:rsidR="0017608E" w:rsidRPr="00BB1982" w:rsidRDefault="00BC257A" w:rsidP="00BB1982">
      <w:pPr>
        <w:spacing w:after="0"/>
        <w:jc w:val="both"/>
        <w:rPr>
          <w:rFonts w:ascii="Times New Roman" w:eastAsia="Times New Roman" w:hAnsi="Times New Roman" w:cs="Times New Roman"/>
          <w:b/>
          <w:sz w:val="24"/>
          <w:szCs w:val="24"/>
        </w:rPr>
      </w:pPr>
      <w:r w:rsidRPr="00BB1982">
        <w:rPr>
          <w:rFonts w:ascii="Times New Roman" w:eastAsia="Times New Roman" w:hAnsi="Times New Roman" w:cs="Times New Roman"/>
          <w:b/>
          <w:sz w:val="24"/>
          <w:szCs w:val="24"/>
        </w:rPr>
        <w:t>DEFENDANTS’ ALLEGED MISCONDUCT</w:t>
      </w:r>
    </w:p>
    <w:p w14:paraId="6C58937D" w14:textId="1DA5F11D" w:rsidR="00897BA8" w:rsidRDefault="00897BA8">
      <w:pPr>
        <w:pStyle w:val="NoSpacing"/>
        <w:spacing w:line="240" w:lineRule="exact"/>
        <w:ind w:right="0"/>
        <w:contextualSpacing/>
        <w:rPr>
          <w:sz w:val="24"/>
          <w:szCs w:val="24"/>
        </w:rPr>
      </w:pPr>
      <w:r w:rsidRPr="00683D21">
        <w:rPr>
          <w:sz w:val="24"/>
          <w:szCs w:val="24"/>
        </w:rPr>
        <w:t xml:space="preserve">The Class Period begins on February 3, 2022, when Biogen issued a press release announcing the company’s Q4 and FY 2021 results.  In its release, the company stated that it “continued to execute well in [Q4] despite the challenges we have faced,” and that “[w]e </w:t>
      </w:r>
      <w:proofErr w:type="gramStart"/>
      <w:r w:rsidRPr="00683D21">
        <w:rPr>
          <w:sz w:val="24"/>
          <w:szCs w:val="24"/>
        </w:rPr>
        <w:t>have</w:t>
      </w:r>
      <w:proofErr w:type="gramEnd"/>
      <w:r w:rsidRPr="00683D21">
        <w:rPr>
          <w:sz w:val="24"/>
          <w:szCs w:val="24"/>
        </w:rPr>
        <w:t xml:space="preserve"> introduced the first FDA approved treatment for [Alzheimer’s disease] in nearly 20 years, and we are engaging with the Centers for Medicare and Medicaid Services with the hope of finding a path for immediate patient access.”</w:t>
      </w:r>
    </w:p>
    <w:p w14:paraId="021FAA2C" w14:textId="77777777" w:rsidR="00897BA8" w:rsidRPr="00683D21" w:rsidRDefault="00897BA8" w:rsidP="00683D21">
      <w:pPr>
        <w:pStyle w:val="NoSpacing"/>
        <w:spacing w:line="240" w:lineRule="exact"/>
        <w:ind w:right="0"/>
        <w:contextualSpacing/>
        <w:rPr>
          <w:sz w:val="24"/>
          <w:szCs w:val="24"/>
        </w:rPr>
      </w:pPr>
    </w:p>
    <w:p w14:paraId="1D1F023F" w14:textId="77777777" w:rsidR="00897BA8" w:rsidRPr="00683D21" w:rsidRDefault="00897BA8" w:rsidP="00683D21">
      <w:pPr>
        <w:pStyle w:val="mdc-article-paragraph"/>
        <w:shd w:val="clear" w:color="auto" w:fill="FFFFFF"/>
        <w:spacing w:before="0" w:beforeAutospacing="0" w:after="0" w:afterAutospacing="0" w:line="240" w:lineRule="exact"/>
        <w:jc w:val="both"/>
        <w:rPr>
          <w:color w:val="000000"/>
          <w:shd w:val="clear" w:color="auto" w:fill="FFFFFF"/>
        </w:rPr>
      </w:pPr>
      <w:r w:rsidRPr="00683D21">
        <w:t xml:space="preserve">Throughout the Class Period, Defendants </w:t>
      </w:r>
      <w:r w:rsidRPr="00683D21">
        <w:rPr>
          <w:color w:val="000000"/>
          <w:shd w:val="clear" w:color="auto" w:fill="FFFFFF"/>
        </w:rPr>
        <w:t xml:space="preserve">made materially false and misleading statements regarding the company's business, operations, and compliance policies. Specifically, Defendants made false and/or misleading statements and/or failed to disclose that: (1) Biogen had overstated its efforts to enhance its transparency, corporate governance, and compliance controls and procedures, as well as the efficacy of those controls and procedures; (2) accordingly, Biogen maintained inadequate compliance controls and procedures in connection with its business operations in foreign countries; (3) Biogen and/or its employees were engaged in unlawful or otherwise improper conduct in several foreign countries; (4) the foregoing subjected the company to a heightened risk of governmental and/or regulatory scrutiny and enforcement action, as well as significant legal, financial, and reputational harm; (5) Biogen overstated the strength of its </w:t>
      </w:r>
      <w:r w:rsidRPr="00683D21">
        <w:t>Alzheimer’s disease</w:t>
      </w:r>
      <w:r w:rsidRPr="00683D21">
        <w:rPr>
          <w:color w:val="000000"/>
          <w:shd w:val="clear" w:color="auto" w:fill="FFFFFF"/>
        </w:rPr>
        <w:t xml:space="preserve">-related product portfolio, including the company's and Eisai's efforts and success in launching and providing access to </w:t>
      </w:r>
      <w:proofErr w:type="spellStart"/>
      <w:r w:rsidRPr="00683D21">
        <w:rPr>
          <w:color w:val="000000"/>
          <w:shd w:val="clear" w:color="auto" w:fill="FFFFFF"/>
        </w:rPr>
        <w:t>Leqembi</w:t>
      </w:r>
      <w:proofErr w:type="spellEnd"/>
      <w:r w:rsidRPr="00683D21">
        <w:rPr>
          <w:color w:val="000000"/>
          <w:shd w:val="clear" w:color="auto" w:fill="FFFFFF"/>
        </w:rPr>
        <w:t>; (6) Biogen also downplayed the negative impact that the Reata Acquisition would have on its FY 2023 non-GAAP diluted EPS; (7) all the foregoing were likely to have a significant negative impact on Biogen's 2023 results; and (8) as a result, the company's public statements were materially false and misleading at all relevant times.</w:t>
      </w:r>
    </w:p>
    <w:p w14:paraId="49A5EAA7" w14:textId="77777777" w:rsidR="00897BA8" w:rsidRPr="00683D21" w:rsidRDefault="00897BA8" w:rsidP="00683D21">
      <w:pPr>
        <w:pStyle w:val="mdc-article-paragraph"/>
        <w:shd w:val="clear" w:color="auto" w:fill="FFFFFF"/>
        <w:spacing w:before="0" w:beforeAutospacing="0" w:afterLines="80" w:after="192" w:afterAutospacing="0" w:line="240" w:lineRule="exact"/>
        <w:jc w:val="both"/>
        <w:rPr>
          <w:color w:val="1E1E1E"/>
        </w:rPr>
      </w:pPr>
      <w:r w:rsidRPr="00683D21">
        <w:rPr>
          <w:color w:val="1E1E1E"/>
        </w:rPr>
        <w:t>The truth began to emerge on November 8, 2023, when Biogen negatively revised its non-GAAP diluted EPS guidance for fiscal year 2023 in a range of $14.50 to $15.00 per share, significantly below its previous guidance of fiscal year 2023 non-GAAP diluted EPS of $15.00 to $16.00 per share, citing approximately $0.75 of dilution from its acquisition of Reata. On this news, the price of Biogen shares declined by $13.92 per share to close at $231.69 per share on November 8, 2023.</w:t>
      </w:r>
    </w:p>
    <w:p w14:paraId="7D27D23F" w14:textId="77777777" w:rsidR="00897BA8" w:rsidRPr="00683D21" w:rsidRDefault="00897BA8" w:rsidP="00683D21">
      <w:pPr>
        <w:pStyle w:val="mdc-article-paragraph"/>
        <w:shd w:val="clear" w:color="auto" w:fill="FFFFFF"/>
        <w:spacing w:before="0" w:beforeAutospacing="0" w:afterLines="80" w:after="192" w:afterAutospacing="0" w:line="240" w:lineRule="exact"/>
        <w:jc w:val="both"/>
        <w:rPr>
          <w:color w:val="1E1E1E"/>
        </w:rPr>
      </w:pPr>
      <w:r w:rsidRPr="00683D21">
        <w:rPr>
          <w:color w:val="1E1E1E"/>
        </w:rPr>
        <w:t xml:space="preserve">After several additional disclosures in January 2024 and early February 2024 which were followed by drops in Biogen’s stock price, the final truth was revealed on February 14, 2024, when Biogen disclosed in an SEC filing that it had received a subpoena from the DOJ “seeking information relating to [Biogen’s] business operations in several foreign countries” and that “[t]he Company </w:t>
      </w:r>
      <w:r w:rsidRPr="00683D21">
        <w:rPr>
          <w:color w:val="1E1E1E"/>
        </w:rPr>
        <w:lastRenderedPageBreak/>
        <w:t>is also providing information relating to [its] business operations in several foreign countries to the SEC.” On this news, Biogen’s stock price fell $5.91 per share, or 2.61%, to close at $220.74 per share on February 14, 2024.</w:t>
      </w:r>
    </w:p>
    <w:p w14:paraId="1142F172" w14:textId="77777777" w:rsidR="00D225C3" w:rsidRPr="00BB1982" w:rsidRDefault="00D225C3" w:rsidP="00D225C3">
      <w:pPr>
        <w:pStyle w:val="mdc-article-paragraph"/>
        <w:shd w:val="clear" w:color="auto" w:fill="FFFFFF"/>
        <w:spacing w:before="0" w:beforeAutospacing="0" w:after="0" w:afterAutospacing="0"/>
        <w:jc w:val="both"/>
      </w:pPr>
    </w:p>
    <w:p w14:paraId="7637AF8E" w14:textId="61891D3D" w:rsidR="008C15B0" w:rsidRPr="00BB1982" w:rsidRDefault="004666B7" w:rsidP="00BB1982">
      <w:pPr>
        <w:pStyle w:val="PlainText"/>
        <w:spacing w:before="0"/>
        <w:jc w:val="both"/>
        <w:rPr>
          <w:b/>
          <w:noProof/>
          <w:szCs w:val="24"/>
        </w:rPr>
      </w:pPr>
      <w:r w:rsidRPr="00BB1982">
        <w:rPr>
          <w:b/>
          <w:noProof/>
          <w:szCs w:val="24"/>
        </w:rPr>
        <w:t>WHAT CAN I DO?</w:t>
      </w:r>
    </w:p>
    <w:p w14:paraId="5156D039" w14:textId="4F8625B8" w:rsidR="00CB779F" w:rsidRPr="00BB1982" w:rsidRDefault="009463CE" w:rsidP="00BB1982">
      <w:pPr>
        <w:pStyle w:val="PlainText"/>
        <w:spacing w:before="0"/>
        <w:jc w:val="both"/>
        <w:rPr>
          <w:szCs w:val="24"/>
        </w:rPr>
      </w:pPr>
      <w:r>
        <w:rPr>
          <w:noProof/>
          <w:szCs w:val="24"/>
        </w:rPr>
        <w:t>Biogen</w:t>
      </w:r>
      <w:r w:rsidR="004666B7" w:rsidRPr="00BB1982">
        <w:rPr>
          <w:b/>
          <w:i/>
          <w:szCs w:val="24"/>
        </w:rPr>
        <w:t xml:space="preserve"> </w:t>
      </w:r>
      <w:r w:rsidR="004666B7" w:rsidRPr="00BB1982">
        <w:rPr>
          <w:szCs w:val="24"/>
        </w:rPr>
        <w:t xml:space="preserve">investors may, </w:t>
      </w:r>
      <w:r w:rsidR="004666B7" w:rsidRPr="00BB1982">
        <w:rPr>
          <w:b/>
          <w:i/>
          <w:szCs w:val="24"/>
          <w:u w:val="single"/>
        </w:rPr>
        <w:t>no later tha</w:t>
      </w:r>
      <w:r w:rsidR="003F5BAC" w:rsidRPr="00BB1982">
        <w:rPr>
          <w:b/>
          <w:i/>
          <w:szCs w:val="24"/>
          <w:u w:val="single"/>
        </w:rPr>
        <w:t xml:space="preserve">n </w:t>
      </w:r>
      <w:r w:rsidR="003E4CD1" w:rsidRPr="00BB1982">
        <w:rPr>
          <w:b/>
          <w:i/>
          <w:szCs w:val="24"/>
          <w:u w:val="single"/>
        </w:rPr>
        <w:t>Ju</w:t>
      </w:r>
      <w:r w:rsidR="00EB1BBC" w:rsidRPr="00BB1982">
        <w:rPr>
          <w:b/>
          <w:i/>
          <w:szCs w:val="24"/>
          <w:u w:val="single"/>
        </w:rPr>
        <w:t>ly</w:t>
      </w:r>
      <w:r w:rsidR="003E4CD1" w:rsidRPr="00BB1982">
        <w:rPr>
          <w:b/>
          <w:i/>
          <w:szCs w:val="24"/>
          <w:u w:val="single"/>
        </w:rPr>
        <w:t xml:space="preserve"> </w:t>
      </w:r>
      <w:r w:rsidR="00D225C3">
        <w:rPr>
          <w:b/>
          <w:i/>
          <w:szCs w:val="24"/>
          <w:u w:val="single"/>
        </w:rPr>
        <w:t>2</w:t>
      </w:r>
      <w:r>
        <w:rPr>
          <w:b/>
          <w:i/>
          <w:szCs w:val="24"/>
          <w:u w:val="single"/>
        </w:rPr>
        <w:t>2</w:t>
      </w:r>
      <w:r w:rsidR="003F5BAC" w:rsidRPr="00BB1982">
        <w:rPr>
          <w:b/>
          <w:i/>
          <w:szCs w:val="24"/>
          <w:u w:val="single"/>
        </w:rPr>
        <w:t>, 2024,</w:t>
      </w:r>
      <w:r w:rsidR="004666B7" w:rsidRPr="00BB1982">
        <w:rPr>
          <w:szCs w:val="24"/>
        </w:rPr>
        <w:t xml:space="preserve"> seek to be appointed as a lead plaintiff representative of the class through </w:t>
      </w:r>
      <w:hyperlink r:id="rId10" w:history="1">
        <w:r w:rsidR="00EF43E2" w:rsidRPr="00E25AD8">
          <w:rPr>
            <w:rStyle w:val="Hyperlink"/>
            <w:color w:val="0000FF"/>
            <w:szCs w:val="24"/>
          </w:rPr>
          <w:t>Kessler Topaz Meltzer &amp; Check, LLP</w:t>
        </w:r>
      </w:hyperlink>
      <w:r w:rsidR="00EF43E2" w:rsidRPr="00BB1982">
        <w:rPr>
          <w:rStyle w:val="Hyperlink"/>
          <w:color w:val="0000FF"/>
          <w:szCs w:val="24"/>
          <w:u w:val="none"/>
        </w:rPr>
        <w:t xml:space="preserve"> </w:t>
      </w:r>
      <w:r w:rsidR="004666B7" w:rsidRPr="00BB1982">
        <w:rPr>
          <w:szCs w:val="24"/>
        </w:rPr>
        <w:t>or other counsel, or may choose to do nothing and remain an absent class member</w:t>
      </w:r>
      <w:r w:rsidR="003F5BAC" w:rsidRPr="00BB1982">
        <w:rPr>
          <w:szCs w:val="24"/>
        </w:rPr>
        <w:t>.</w:t>
      </w:r>
      <w:r w:rsidR="0019314D" w:rsidRPr="00BB1982">
        <w:rPr>
          <w:szCs w:val="24"/>
        </w:rPr>
        <w:t xml:space="preserve"> </w:t>
      </w:r>
      <w:hyperlink r:id="rId11" w:history="1">
        <w:r w:rsidR="00EF43E2" w:rsidRPr="00E25AD8">
          <w:rPr>
            <w:rStyle w:val="Hyperlink"/>
            <w:color w:val="0000FF"/>
            <w:szCs w:val="24"/>
          </w:rPr>
          <w:t>Kessler Topaz Meltzer &amp; Check, LLP</w:t>
        </w:r>
      </w:hyperlink>
      <w:r w:rsidR="00B80E76" w:rsidRPr="00E25AD8">
        <w:rPr>
          <w:rStyle w:val="Hyperlink"/>
          <w:color w:val="0000FF"/>
          <w:szCs w:val="24"/>
          <w:u w:val="none"/>
        </w:rPr>
        <w:t xml:space="preserve"> </w:t>
      </w:r>
      <w:r w:rsidR="004666B7" w:rsidRPr="00BB1982">
        <w:rPr>
          <w:szCs w:val="24"/>
        </w:rPr>
        <w:t xml:space="preserve">encourages </w:t>
      </w:r>
      <w:r>
        <w:rPr>
          <w:szCs w:val="24"/>
        </w:rPr>
        <w:t>Biogen</w:t>
      </w:r>
      <w:r w:rsidR="004666B7" w:rsidRPr="00BB1982">
        <w:rPr>
          <w:szCs w:val="24"/>
        </w:rPr>
        <w:t xml:space="preserve"> investors who have suffered significant losses to contact the firm directly to acquire more information.</w:t>
      </w:r>
      <w:r w:rsidR="003F5BAC" w:rsidRPr="00BB1982">
        <w:rPr>
          <w:szCs w:val="24"/>
        </w:rPr>
        <w:t xml:space="preserve"> The class action complaint against</w:t>
      </w:r>
      <w:r w:rsidR="003E4CD1" w:rsidRPr="00BB1982">
        <w:rPr>
          <w:szCs w:val="24"/>
        </w:rPr>
        <w:t xml:space="preserve"> </w:t>
      </w:r>
      <w:r>
        <w:rPr>
          <w:szCs w:val="24"/>
        </w:rPr>
        <w:t>Biogen</w:t>
      </w:r>
      <w:r w:rsidR="003F5BAC" w:rsidRPr="00BB1982">
        <w:rPr>
          <w:szCs w:val="24"/>
        </w:rPr>
        <w:t xml:space="preserve">, </w:t>
      </w:r>
      <w:r>
        <w:rPr>
          <w:i/>
          <w:szCs w:val="24"/>
        </w:rPr>
        <w:t>Gray</w:t>
      </w:r>
      <w:r w:rsidR="00AD1C94" w:rsidRPr="00BB1982">
        <w:rPr>
          <w:i/>
          <w:szCs w:val="24"/>
        </w:rPr>
        <w:t xml:space="preserve"> v.</w:t>
      </w:r>
      <w:r w:rsidR="003F5BAC" w:rsidRPr="00BB1982">
        <w:rPr>
          <w:i/>
          <w:szCs w:val="24"/>
        </w:rPr>
        <w:t xml:space="preserve"> </w:t>
      </w:r>
      <w:r>
        <w:rPr>
          <w:i/>
          <w:szCs w:val="24"/>
        </w:rPr>
        <w:t>Biogen</w:t>
      </w:r>
      <w:r w:rsidR="00241F72" w:rsidRPr="00BB1982">
        <w:rPr>
          <w:i/>
          <w:szCs w:val="24"/>
        </w:rPr>
        <w:t xml:space="preserve"> Inc.,</w:t>
      </w:r>
      <w:r w:rsidR="003F5BAC" w:rsidRPr="00BB1982">
        <w:rPr>
          <w:i/>
          <w:szCs w:val="24"/>
        </w:rPr>
        <w:t xml:space="preserve"> et al., </w:t>
      </w:r>
      <w:r w:rsidR="003F5BAC" w:rsidRPr="00BB1982">
        <w:rPr>
          <w:iCs/>
          <w:szCs w:val="24"/>
        </w:rPr>
        <w:t>Case No.</w:t>
      </w:r>
      <w:r w:rsidR="003F5BAC" w:rsidRPr="00BB1982">
        <w:rPr>
          <w:i/>
          <w:szCs w:val="24"/>
        </w:rPr>
        <w:t xml:space="preserve"> </w:t>
      </w:r>
      <w:r w:rsidR="003F5BAC" w:rsidRPr="00BB1982">
        <w:rPr>
          <w:szCs w:val="24"/>
        </w:rPr>
        <w:t>24-cv-0</w:t>
      </w:r>
      <w:r>
        <w:rPr>
          <w:szCs w:val="24"/>
        </w:rPr>
        <w:t>1444</w:t>
      </w:r>
      <w:r w:rsidR="003F5BAC" w:rsidRPr="00BB1982">
        <w:rPr>
          <w:szCs w:val="24"/>
        </w:rPr>
        <w:t xml:space="preserve">, is filed in the United States District Court for the District of </w:t>
      </w:r>
      <w:r w:rsidR="00D225C3">
        <w:rPr>
          <w:szCs w:val="24"/>
        </w:rPr>
        <w:t>C</w:t>
      </w:r>
      <w:r>
        <w:rPr>
          <w:szCs w:val="24"/>
        </w:rPr>
        <w:t>olorado</w:t>
      </w:r>
      <w:r w:rsidR="003F5BAC" w:rsidRPr="00BB1982">
        <w:rPr>
          <w:szCs w:val="24"/>
        </w:rPr>
        <w:t xml:space="preserve">. </w:t>
      </w:r>
    </w:p>
    <w:p w14:paraId="7914B8F7" w14:textId="77777777" w:rsidR="001E756F" w:rsidRPr="00E25AD8" w:rsidRDefault="001E756F" w:rsidP="00BB1982">
      <w:pPr>
        <w:spacing w:after="0" w:line="240" w:lineRule="auto"/>
        <w:jc w:val="both"/>
        <w:rPr>
          <w:rStyle w:val="Hyperlink"/>
          <w:rFonts w:ascii="Times New Roman" w:hAnsi="Times New Roman" w:cs="Times New Roman"/>
          <w:b/>
          <w:color w:val="0000FF"/>
          <w:sz w:val="24"/>
          <w:szCs w:val="24"/>
        </w:rPr>
      </w:pPr>
    </w:p>
    <w:p w14:paraId="77C4C449" w14:textId="6B5500C4" w:rsidR="001E756F" w:rsidRPr="001E58D4" w:rsidRDefault="001E58D4" w:rsidP="00BB1982">
      <w:pPr>
        <w:spacing w:after="0" w:line="240" w:lineRule="auto"/>
        <w:jc w:val="both"/>
        <w:rPr>
          <w:rFonts w:ascii="Times New Roman" w:hAnsi="Times New Roman" w:cs="Times New Roman"/>
          <w:b/>
          <w:sz w:val="24"/>
          <w:szCs w:val="24"/>
        </w:rPr>
      </w:pPr>
      <w:hyperlink r:id="rId12" w:history="1">
        <w:r w:rsidR="001E756F" w:rsidRPr="00E25AD8">
          <w:rPr>
            <w:rStyle w:val="Hyperlink"/>
            <w:rFonts w:ascii="Times New Roman" w:hAnsi="Times New Roman" w:cs="Times New Roman"/>
            <w:b/>
            <w:color w:val="0000FF"/>
            <w:sz w:val="24"/>
            <w:szCs w:val="24"/>
          </w:rPr>
          <w:t>CLICK HERE</w:t>
        </w:r>
      </w:hyperlink>
      <w:r w:rsidR="001E756F" w:rsidRPr="00BB1982">
        <w:rPr>
          <w:rFonts w:ascii="Times New Roman" w:hAnsi="Times New Roman" w:cs="Times New Roman"/>
          <w:b/>
          <w:sz w:val="24"/>
          <w:szCs w:val="24"/>
        </w:rPr>
        <w:t xml:space="preserve"> TO SIGN UP FOR THE CASE</w:t>
      </w:r>
      <w:r w:rsidR="001E756F" w:rsidRPr="00BB1982">
        <w:rPr>
          <w:rFonts w:ascii="Times New Roman" w:eastAsia="Times New Roman" w:hAnsi="Times New Roman" w:cs="Times New Roman"/>
          <w:b/>
          <w:sz w:val="24"/>
          <w:szCs w:val="24"/>
        </w:rPr>
        <w:t xml:space="preserve"> or go to: </w:t>
      </w:r>
      <w:hyperlink r:id="rId13" w:history="1">
        <w:r w:rsidR="00EF43E2" w:rsidRPr="001E58D4">
          <w:rPr>
            <w:rStyle w:val="Hyperlink"/>
            <w:rFonts w:ascii="Times New Roman" w:hAnsi="Times New Roman" w:cs="Times New Roman"/>
            <w:color w:val="0000FF"/>
          </w:rPr>
          <w:t>https://www.ktmc.com/new-cases/biogen-inc-1?utm_source=PR&amp;utm_medium=link&amp;utm_campaign=biib&amp;mktm=r</w:t>
        </w:r>
      </w:hyperlink>
    </w:p>
    <w:p w14:paraId="1FCFF8BD" w14:textId="77777777" w:rsidR="008C15B0" w:rsidRPr="00BB1982" w:rsidRDefault="001E58D4" w:rsidP="00BB1982">
      <w:pPr>
        <w:spacing w:after="0" w:line="240" w:lineRule="auto"/>
        <w:jc w:val="both"/>
        <w:rPr>
          <w:rFonts w:ascii="Times New Roman" w:hAnsi="Times New Roman" w:cs="Times New Roman"/>
          <w:sz w:val="24"/>
          <w:szCs w:val="24"/>
        </w:rPr>
      </w:pPr>
    </w:p>
    <w:p w14:paraId="088634FE" w14:textId="77777777" w:rsidR="008C15B0" w:rsidRPr="00BB1982" w:rsidRDefault="004666B7" w:rsidP="00BB1982">
      <w:pPr>
        <w:spacing w:after="0" w:line="240" w:lineRule="auto"/>
        <w:jc w:val="both"/>
        <w:rPr>
          <w:rFonts w:ascii="Times New Roman" w:hAnsi="Times New Roman" w:cs="Times New Roman"/>
          <w:sz w:val="24"/>
          <w:szCs w:val="24"/>
        </w:rPr>
      </w:pPr>
      <w:r w:rsidRPr="00BB1982">
        <w:rPr>
          <w:rFonts w:ascii="Times New Roman" w:hAnsi="Times New Roman" w:cs="Times New Roman"/>
          <w:b/>
          <w:sz w:val="24"/>
          <w:szCs w:val="24"/>
        </w:rPr>
        <w:t>WHO CAN BE A LEAD PLAINTIFF?</w:t>
      </w:r>
    </w:p>
    <w:p w14:paraId="1FABAEF2" w14:textId="77777777" w:rsidR="008C15B0" w:rsidRPr="00BB1982" w:rsidRDefault="004666B7" w:rsidP="009463CE">
      <w:pPr>
        <w:spacing w:after="0" w:line="240" w:lineRule="auto"/>
        <w:jc w:val="both"/>
        <w:rPr>
          <w:rFonts w:ascii="Times New Roman" w:hAnsi="Times New Roman" w:cs="Times New Roman"/>
          <w:sz w:val="24"/>
          <w:szCs w:val="24"/>
        </w:rPr>
      </w:pPr>
      <w:r w:rsidRPr="00BB1982">
        <w:rPr>
          <w:rFonts w:ascii="Times New Roman" w:hAnsi="Times New Roman" w:cs="Times New Roman"/>
          <w:sz w:val="24"/>
          <w:szCs w:val="24"/>
        </w:rPr>
        <w:t>A lead plaintiff is a representative party who acts on behalf of all class members in directing the litigation.  The lead plaintiff is usually the investor or small group of investors who have the largest financial interest and who are also adequate and typical of the proposed class of investors. The lead plaintiff selects counsel to represent the lead plaintiff and the class and these attorneys, if approved by the cou</w:t>
      </w:r>
      <w:r w:rsidR="00DC5ED3" w:rsidRPr="00BB1982">
        <w:rPr>
          <w:rFonts w:ascii="Times New Roman" w:hAnsi="Times New Roman" w:cs="Times New Roman"/>
          <w:sz w:val="24"/>
          <w:szCs w:val="24"/>
        </w:rPr>
        <w:t xml:space="preserve">rt, are lead or class counsel. </w:t>
      </w:r>
      <w:r w:rsidRPr="00BB1982">
        <w:rPr>
          <w:rFonts w:ascii="Times New Roman" w:hAnsi="Times New Roman" w:cs="Times New Roman"/>
          <w:sz w:val="24"/>
          <w:szCs w:val="24"/>
        </w:rPr>
        <w:t>Your ability to share in any recovery is not affected by the decision of whether or not to serve as a lead plaintiff.</w:t>
      </w:r>
    </w:p>
    <w:p w14:paraId="18633602" w14:textId="77777777" w:rsidR="007F1BE8" w:rsidRPr="00E06E9C" w:rsidRDefault="001E58D4">
      <w:pPr>
        <w:spacing w:after="0" w:line="240" w:lineRule="auto"/>
        <w:jc w:val="both"/>
        <w:rPr>
          <w:szCs w:val="24"/>
        </w:rPr>
      </w:pPr>
    </w:p>
    <w:p w14:paraId="311BB821" w14:textId="77777777" w:rsidR="008C15B0" w:rsidRDefault="004666B7" w:rsidP="008F7FE8">
      <w:pPr>
        <w:spacing w:after="0" w:line="240" w:lineRule="auto"/>
        <w:jc w:val="both"/>
        <w:rPr>
          <w:rFonts w:ascii="Times New Roman" w:eastAsia="Times New Roman" w:hAnsi="Times New Roman" w:cs="Times New Roman"/>
          <w:b/>
          <w:sz w:val="24"/>
          <w:szCs w:val="24"/>
        </w:rPr>
      </w:pPr>
      <w:r w:rsidRPr="00B152EE">
        <w:rPr>
          <w:rFonts w:ascii="Times New Roman" w:eastAsia="Times New Roman" w:hAnsi="Times New Roman" w:cs="Times New Roman"/>
          <w:b/>
          <w:sz w:val="24"/>
          <w:szCs w:val="24"/>
        </w:rPr>
        <w:t xml:space="preserve">ABOUT </w:t>
      </w:r>
      <w:r w:rsidRPr="007507A5">
        <w:rPr>
          <w:rFonts w:ascii="Times New Roman" w:eastAsia="Times New Roman" w:hAnsi="Times New Roman" w:cs="Times New Roman"/>
          <w:b/>
          <w:sz w:val="24"/>
          <w:szCs w:val="24"/>
        </w:rPr>
        <w:t>KESSLER TOPAZ MELTZER &amp; CHECK, LLP</w:t>
      </w:r>
      <w:r w:rsidRPr="00B152EE">
        <w:rPr>
          <w:rFonts w:ascii="Times New Roman" w:eastAsia="Times New Roman" w:hAnsi="Times New Roman" w:cs="Times New Roman"/>
          <w:b/>
          <w:sz w:val="24"/>
          <w:szCs w:val="24"/>
        </w:rPr>
        <w:t xml:space="preserve">     </w:t>
      </w:r>
    </w:p>
    <w:p w14:paraId="0F7395D2" w14:textId="5EBFB47A" w:rsidR="008C15B0" w:rsidRPr="00B152EE" w:rsidRDefault="001E58D4" w:rsidP="008F7FE8">
      <w:pPr>
        <w:spacing w:after="0" w:line="240" w:lineRule="auto"/>
        <w:jc w:val="both"/>
        <w:rPr>
          <w:rFonts w:ascii="Times New Roman" w:eastAsia="Times New Roman" w:hAnsi="Times New Roman" w:cs="Times New Roman"/>
          <w:sz w:val="24"/>
          <w:szCs w:val="24"/>
        </w:rPr>
      </w:pPr>
      <w:hyperlink r:id="rId14" w:history="1">
        <w:r w:rsidR="00EF43E2" w:rsidRPr="00E25AD8">
          <w:rPr>
            <w:rStyle w:val="Hyperlink"/>
            <w:rFonts w:ascii="Times New Roman" w:eastAsia="Times New Roman" w:hAnsi="Times New Roman" w:cs="Times New Roman"/>
            <w:color w:val="0000FF"/>
            <w:sz w:val="24"/>
            <w:szCs w:val="24"/>
          </w:rPr>
          <w:t>Kessler Topaz Meltzer &amp; Check, LLP</w:t>
        </w:r>
      </w:hyperlink>
      <w:r w:rsidR="00B80E76">
        <w:rPr>
          <w:rStyle w:val="Hyperlink"/>
          <w:rFonts w:ascii="Times New Roman" w:eastAsia="Times New Roman" w:hAnsi="Times New Roman" w:cs="Times New Roman"/>
          <w:color w:val="0000FF"/>
          <w:sz w:val="24"/>
          <w:szCs w:val="24"/>
          <w:u w:val="none"/>
        </w:rPr>
        <w:t xml:space="preserve"> </w:t>
      </w:r>
      <w:r w:rsidR="004666B7" w:rsidRPr="007F6603">
        <w:rPr>
          <w:rFonts w:ascii="Times New Roman" w:eastAsia="Times New Roman" w:hAnsi="Times New Roman" w:cs="Times New Roman"/>
          <w:sz w:val="24"/>
          <w:szCs w:val="24"/>
        </w:rPr>
        <w:t>prosecutes class actions in state and federal courts throughout the country and around the world</w:t>
      </w:r>
      <w:r w:rsidR="004666B7">
        <w:rPr>
          <w:rFonts w:ascii="Times New Roman" w:eastAsia="Times New Roman" w:hAnsi="Times New Roman" w:cs="Times New Roman"/>
          <w:sz w:val="24"/>
          <w:szCs w:val="24"/>
        </w:rPr>
        <w:t>.  The firm</w:t>
      </w:r>
      <w:r w:rsidR="004666B7" w:rsidRPr="007F6603">
        <w:rPr>
          <w:rFonts w:ascii="Times New Roman" w:eastAsia="Times New Roman" w:hAnsi="Times New Roman" w:cs="Times New Roman"/>
          <w:sz w:val="24"/>
          <w:szCs w:val="24"/>
        </w:rPr>
        <w:t xml:space="preserve"> has developed a global reputation for excellence and has recovered billions of dollars for victims of fraud and other corporate misconduct.</w:t>
      </w:r>
      <w:r w:rsidR="004666B7">
        <w:rPr>
          <w:rFonts w:ascii="Times New Roman" w:eastAsia="Times New Roman" w:hAnsi="Times New Roman" w:cs="Times New Roman"/>
          <w:sz w:val="24"/>
          <w:szCs w:val="24"/>
        </w:rPr>
        <w:t xml:space="preserve"> </w:t>
      </w:r>
      <w:r w:rsidR="004666B7" w:rsidRPr="00B152EE">
        <w:rPr>
          <w:rFonts w:ascii="Times New Roman" w:eastAsia="Times New Roman" w:hAnsi="Times New Roman" w:cs="Times New Roman"/>
          <w:sz w:val="24"/>
          <w:szCs w:val="24"/>
        </w:rPr>
        <w:t xml:space="preserve">All of our work is driven by a common goal: to protect investors, consumers, employees and others from fraud, abuse, misconduct and negligence by businesses and fiduciaries. </w:t>
      </w:r>
      <w:r w:rsidR="004666B7" w:rsidRPr="007F6603">
        <w:rPr>
          <w:rFonts w:ascii="Times New Roman" w:eastAsia="Times New Roman" w:hAnsi="Times New Roman" w:cs="Times New Roman"/>
          <w:sz w:val="24"/>
          <w:szCs w:val="24"/>
        </w:rPr>
        <w:t xml:space="preserve">The complaint in this action was not filed by </w:t>
      </w:r>
      <w:r w:rsidR="004666B7" w:rsidRPr="0019314D">
        <w:rPr>
          <w:rStyle w:val="Hyperlink"/>
          <w:rFonts w:ascii="Times New Roman" w:eastAsia="Times New Roman" w:hAnsi="Times New Roman" w:cs="Times New Roman"/>
          <w:color w:val="auto"/>
          <w:sz w:val="24"/>
          <w:szCs w:val="24"/>
          <w:u w:val="none"/>
        </w:rPr>
        <w:t>Kessler Topaz Meltzer &amp; Check, LLP</w:t>
      </w:r>
      <w:r w:rsidR="004666B7" w:rsidRPr="007F6603">
        <w:rPr>
          <w:rFonts w:ascii="Times New Roman" w:eastAsia="Times New Roman" w:hAnsi="Times New Roman" w:cs="Times New Roman"/>
          <w:sz w:val="24"/>
          <w:szCs w:val="24"/>
        </w:rPr>
        <w:t xml:space="preserve">. For more information about </w:t>
      </w:r>
      <w:hyperlink r:id="rId15" w:history="1">
        <w:r w:rsidR="00EF43E2" w:rsidRPr="00E25AD8">
          <w:rPr>
            <w:rStyle w:val="Hyperlink"/>
            <w:rFonts w:ascii="Times New Roman" w:eastAsia="Times New Roman" w:hAnsi="Times New Roman" w:cs="Times New Roman"/>
            <w:color w:val="0000FF"/>
            <w:sz w:val="24"/>
            <w:szCs w:val="24"/>
          </w:rPr>
          <w:t>Kessler Topaz Meltzer &amp; Check, LLP</w:t>
        </w:r>
      </w:hyperlink>
      <w:r w:rsidR="00B80E76">
        <w:rPr>
          <w:rStyle w:val="Hyperlink"/>
          <w:rFonts w:ascii="Times New Roman" w:eastAsia="Times New Roman" w:hAnsi="Times New Roman" w:cs="Times New Roman"/>
          <w:color w:val="0000FF"/>
          <w:sz w:val="24"/>
          <w:szCs w:val="24"/>
          <w:u w:val="none"/>
        </w:rPr>
        <w:t xml:space="preserve"> </w:t>
      </w:r>
      <w:r w:rsidR="004666B7" w:rsidRPr="007F6603">
        <w:rPr>
          <w:rFonts w:ascii="Times New Roman" w:eastAsia="Times New Roman" w:hAnsi="Times New Roman" w:cs="Times New Roman"/>
          <w:sz w:val="24"/>
          <w:szCs w:val="24"/>
        </w:rPr>
        <w:t xml:space="preserve">please visit </w:t>
      </w:r>
      <w:hyperlink r:id="rId16" w:history="1">
        <w:r w:rsidR="0019314D" w:rsidRPr="0019314D">
          <w:rPr>
            <w:rStyle w:val="Hyperlink"/>
            <w:rFonts w:ascii="Times New Roman" w:eastAsia="Times New Roman" w:hAnsi="Times New Roman" w:cs="Times New Roman"/>
            <w:color w:val="0000FF"/>
            <w:sz w:val="24"/>
            <w:szCs w:val="24"/>
          </w:rPr>
          <w:t>www.ktmc.com</w:t>
        </w:r>
      </w:hyperlink>
      <w:r w:rsidR="004666B7" w:rsidRPr="007F6603">
        <w:rPr>
          <w:rFonts w:ascii="Times New Roman" w:eastAsia="Times New Roman" w:hAnsi="Times New Roman" w:cs="Times New Roman"/>
          <w:sz w:val="24"/>
          <w:szCs w:val="24"/>
        </w:rPr>
        <w:t>.</w:t>
      </w:r>
      <w:r w:rsidR="0019314D">
        <w:rPr>
          <w:rFonts w:ascii="Times New Roman" w:eastAsia="Times New Roman" w:hAnsi="Times New Roman" w:cs="Times New Roman"/>
          <w:sz w:val="24"/>
          <w:szCs w:val="24"/>
        </w:rPr>
        <w:t xml:space="preserve"> </w:t>
      </w:r>
    </w:p>
    <w:p w14:paraId="604745DF" w14:textId="77777777" w:rsidR="008C15B0" w:rsidRDefault="001E58D4" w:rsidP="008F7FE8">
      <w:pPr>
        <w:spacing w:after="0" w:line="240" w:lineRule="auto"/>
        <w:jc w:val="both"/>
        <w:rPr>
          <w:rFonts w:ascii="Times New Roman" w:eastAsia="Times New Roman" w:hAnsi="Times New Roman" w:cs="Times New Roman"/>
          <w:b/>
          <w:sz w:val="24"/>
          <w:szCs w:val="24"/>
        </w:rPr>
      </w:pPr>
    </w:p>
    <w:p w14:paraId="295058C6" w14:textId="6282A79B" w:rsidR="008C15B0" w:rsidRDefault="004666B7" w:rsidP="00B152EE">
      <w:pPr>
        <w:pStyle w:val="PlainText"/>
        <w:keepLines/>
        <w:spacing w:before="0"/>
        <w:rPr>
          <w:b/>
        </w:rPr>
      </w:pPr>
      <w:r w:rsidRPr="00B152EE">
        <w:rPr>
          <w:b/>
        </w:rPr>
        <w:t>CONTACT:</w:t>
      </w:r>
    </w:p>
    <w:p w14:paraId="0A6A78D4" w14:textId="02EED6F2" w:rsidR="00480DDC" w:rsidRDefault="00480DDC" w:rsidP="00480DDC">
      <w:pPr>
        <w:spacing w:after="0" w:line="240" w:lineRule="auto"/>
        <w:jc w:val="both"/>
        <w:rPr>
          <w:rFonts w:ascii="Times New Roman" w:eastAsia="Times New Roman" w:hAnsi="Times New Roman" w:cs="Times New Roman"/>
          <w:sz w:val="24"/>
          <w:szCs w:val="21"/>
        </w:rPr>
      </w:pPr>
      <w:r w:rsidRPr="00480DDC">
        <w:rPr>
          <w:rFonts w:ascii="Times New Roman" w:eastAsia="Times New Roman" w:hAnsi="Times New Roman" w:cs="Times New Roman"/>
          <w:sz w:val="24"/>
          <w:szCs w:val="21"/>
        </w:rPr>
        <w:t>Kessler Topaz Meltzer &amp; Check, LLP</w:t>
      </w:r>
    </w:p>
    <w:p w14:paraId="1FB8BC10" w14:textId="0D13637F" w:rsidR="00F83599" w:rsidRPr="00480DDC" w:rsidRDefault="001E58D4" w:rsidP="00480DDC">
      <w:pPr>
        <w:spacing w:after="0" w:line="240" w:lineRule="auto"/>
        <w:jc w:val="both"/>
        <w:rPr>
          <w:rFonts w:ascii="Times New Roman" w:eastAsia="Times New Roman" w:hAnsi="Times New Roman" w:cs="Times New Roman"/>
          <w:sz w:val="24"/>
          <w:szCs w:val="21"/>
        </w:rPr>
      </w:pPr>
      <w:hyperlink r:id="rId17" w:history="1">
        <w:r w:rsidR="00F83599" w:rsidRPr="00BB1982">
          <w:rPr>
            <w:rStyle w:val="Hyperlink"/>
            <w:rFonts w:ascii="Times New Roman" w:eastAsia="Times New Roman" w:hAnsi="Times New Roman" w:cs="Times New Roman"/>
            <w:bCs/>
            <w:color w:val="auto"/>
            <w:sz w:val="24"/>
            <w:szCs w:val="24"/>
          </w:rPr>
          <w:t>Jonathan Naji, Esq.</w:t>
        </w:r>
      </w:hyperlink>
    </w:p>
    <w:p w14:paraId="31AA08C6" w14:textId="77777777" w:rsidR="00480DDC" w:rsidRPr="00480DDC" w:rsidRDefault="00480DDC" w:rsidP="00480DDC">
      <w:pPr>
        <w:spacing w:after="0" w:line="240" w:lineRule="auto"/>
        <w:jc w:val="both"/>
        <w:rPr>
          <w:rFonts w:ascii="Times New Roman" w:eastAsia="Times New Roman" w:hAnsi="Times New Roman" w:cs="Times New Roman"/>
          <w:sz w:val="24"/>
          <w:szCs w:val="21"/>
        </w:rPr>
      </w:pPr>
      <w:r w:rsidRPr="00480DDC">
        <w:rPr>
          <w:rFonts w:ascii="Times New Roman" w:eastAsia="Times New Roman" w:hAnsi="Times New Roman" w:cs="Times New Roman"/>
          <w:sz w:val="24"/>
          <w:szCs w:val="21"/>
        </w:rPr>
        <w:t>(484) 270-1453</w:t>
      </w:r>
    </w:p>
    <w:p w14:paraId="631F70C4" w14:textId="77777777" w:rsidR="00480DDC" w:rsidRPr="00480DDC" w:rsidRDefault="00480DDC" w:rsidP="00480DDC">
      <w:pPr>
        <w:spacing w:after="0" w:line="240" w:lineRule="auto"/>
        <w:jc w:val="both"/>
        <w:rPr>
          <w:rFonts w:ascii="Times New Roman" w:eastAsia="Times New Roman" w:hAnsi="Times New Roman" w:cs="Times New Roman"/>
          <w:sz w:val="24"/>
          <w:szCs w:val="21"/>
        </w:rPr>
      </w:pPr>
      <w:r w:rsidRPr="00480DDC">
        <w:rPr>
          <w:rFonts w:ascii="Times New Roman" w:eastAsia="Times New Roman" w:hAnsi="Times New Roman" w:cs="Times New Roman"/>
          <w:sz w:val="24"/>
          <w:szCs w:val="21"/>
        </w:rPr>
        <w:t>280 King of Prussia Road</w:t>
      </w:r>
    </w:p>
    <w:p w14:paraId="4835EB11" w14:textId="77777777" w:rsidR="00480DDC" w:rsidRPr="00480DDC" w:rsidRDefault="00480DDC" w:rsidP="00480DDC">
      <w:pPr>
        <w:spacing w:after="0" w:line="240" w:lineRule="auto"/>
        <w:jc w:val="both"/>
        <w:rPr>
          <w:rFonts w:ascii="Times New Roman" w:eastAsia="Times New Roman" w:hAnsi="Times New Roman" w:cs="Times New Roman"/>
          <w:sz w:val="24"/>
          <w:szCs w:val="21"/>
        </w:rPr>
      </w:pPr>
      <w:r w:rsidRPr="00480DDC">
        <w:rPr>
          <w:rFonts w:ascii="Times New Roman" w:eastAsia="Times New Roman" w:hAnsi="Times New Roman" w:cs="Times New Roman"/>
          <w:sz w:val="24"/>
          <w:szCs w:val="21"/>
        </w:rPr>
        <w:t>Radnor, PA 19087</w:t>
      </w:r>
    </w:p>
    <w:p w14:paraId="5787B92D" w14:textId="79487166" w:rsidR="00FC75DA" w:rsidRDefault="001E58D4" w:rsidP="00480DDC">
      <w:pPr>
        <w:spacing w:after="0" w:line="240" w:lineRule="auto"/>
        <w:jc w:val="both"/>
        <w:rPr>
          <w:rFonts w:ascii="Times New Roman" w:eastAsia="Times New Roman" w:hAnsi="Times New Roman" w:cs="Times New Roman"/>
          <w:color w:val="0000FF"/>
          <w:sz w:val="24"/>
          <w:szCs w:val="21"/>
        </w:rPr>
      </w:pPr>
      <w:hyperlink r:id="rId18" w:history="1">
        <w:r w:rsidR="00480DDC" w:rsidRPr="00480DDC">
          <w:rPr>
            <w:rStyle w:val="Hyperlink"/>
            <w:rFonts w:ascii="Times New Roman" w:eastAsia="Times New Roman" w:hAnsi="Times New Roman" w:cs="Times New Roman"/>
            <w:color w:val="0000FF"/>
            <w:sz w:val="24"/>
            <w:szCs w:val="21"/>
          </w:rPr>
          <w:t>info@ktmc.com</w:t>
        </w:r>
      </w:hyperlink>
      <w:r w:rsidR="00480DDC" w:rsidRPr="00480DDC">
        <w:rPr>
          <w:rFonts w:ascii="Times New Roman" w:eastAsia="Times New Roman" w:hAnsi="Times New Roman" w:cs="Times New Roman"/>
          <w:color w:val="0000FF"/>
          <w:sz w:val="24"/>
          <w:szCs w:val="21"/>
        </w:rPr>
        <w:t xml:space="preserve"> </w:t>
      </w:r>
      <w:bookmarkEnd w:id="0"/>
    </w:p>
    <w:p w14:paraId="6B334ED6" w14:textId="2A646074" w:rsidR="0017608E" w:rsidRDefault="0017608E" w:rsidP="00480DDC">
      <w:pPr>
        <w:spacing w:after="0" w:line="240" w:lineRule="auto"/>
        <w:jc w:val="both"/>
        <w:rPr>
          <w:rFonts w:ascii="Times New Roman" w:eastAsia="Times New Roman" w:hAnsi="Times New Roman" w:cs="Times New Roman"/>
          <w:color w:val="0000FF"/>
          <w:sz w:val="24"/>
          <w:szCs w:val="21"/>
        </w:rPr>
      </w:pPr>
    </w:p>
    <w:p w14:paraId="67D50D97" w14:textId="444568F1" w:rsidR="0017608E" w:rsidRPr="0017608E" w:rsidRDefault="0017608E" w:rsidP="0017608E">
      <w:pPr>
        <w:rPr>
          <w:rFonts w:ascii="Times New Roman" w:hAnsi="Times New Roman" w:cs="Times New Roman"/>
          <w:sz w:val="24"/>
          <w:szCs w:val="24"/>
        </w:rPr>
      </w:pPr>
      <w:bookmarkStart w:id="2" w:name="_Hlk165382615"/>
      <w:r w:rsidRPr="00B80E76">
        <w:rPr>
          <w:rFonts w:ascii="Times New Roman" w:hAnsi="Times New Roman" w:cs="Times New Roman"/>
          <w:sz w:val="24"/>
          <w:szCs w:val="24"/>
        </w:rPr>
        <w:t>May be considered attorney advertising in certain jurisdictions.  Past results do not guarantee future outcomes.</w:t>
      </w:r>
      <w:bookmarkEnd w:id="2"/>
    </w:p>
    <w:sectPr w:rsidR="0017608E" w:rsidRPr="0017608E" w:rsidSect="004A7F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32C"/>
    <w:rsid w:val="00033B7C"/>
    <w:rsid w:val="0004726F"/>
    <w:rsid w:val="00095F9F"/>
    <w:rsid w:val="000B51BE"/>
    <w:rsid w:val="000C7C58"/>
    <w:rsid w:val="001003C6"/>
    <w:rsid w:val="001050D0"/>
    <w:rsid w:val="00114AED"/>
    <w:rsid w:val="00122458"/>
    <w:rsid w:val="00134A22"/>
    <w:rsid w:val="00157D62"/>
    <w:rsid w:val="00160377"/>
    <w:rsid w:val="00165FE0"/>
    <w:rsid w:val="0017608E"/>
    <w:rsid w:val="00185962"/>
    <w:rsid w:val="0019314D"/>
    <w:rsid w:val="001A24F0"/>
    <w:rsid w:val="001A667B"/>
    <w:rsid w:val="001E529E"/>
    <w:rsid w:val="001E58D4"/>
    <w:rsid w:val="001E756F"/>
    <w:rsid w:val="001F7A47"/>
    <w:rsid w:val="00207781"/>
    <w:rsid w:val="002204A4"/>
    <w:rsid w:val="00221648"/>
    <w:rsid w:val="00221DCA"/>
    <w:rsid w:val="00241F72"/>
    <w:rsid w:val="00251642"/>
    <w:rsid w:val="00270886"/>
    <w:rsid w:val="002A1226"/>
    <w:rsid w:val="002C192D"/>
    <w:rsid w:val="002C5918"/>
    <w:rsid w:val="003065E7"/>
    <w:rsid w:val="00312A42"/>
    <w:rsid w:val="00316F24"/>
    <w:rsid w:val="00330AAE"/>
    <w:rsid w:val="003C61A1"/>
    <w:rsid w:val="003E4CD1"/>
    <w:rsid w:val="003F5BAC"/>
    <w:rsid w:val="00416CED"/>
    <w:rsid w:val="004238C2"/>
    <w:rsid w:val="00465B27"/>
    <w:rsid w:val="004666B7"/>
    <w:rsid w:val="00480DDC"/>
    <w:rsid w:val="004D643F"/>
    <w:rsid w:val="004F1440"/>
    <w:rsid w:val="00515094"/>
    <w:rsid w:val="00523E74"/>
    <w:rsid w:val="00534205"/>
    <w:rsid w:val="00536048"/>
    <w:rsid w:val="005432A9"/>
    <w:rsid w:val="00545180"/>
    <w:rsid w:val="00546E3E"/>
    <w:rsid w:val="005474FE"/>
    <w:rsid w:val="00561171"/>
    <w:rsid w:val="00565577"/>
    <w:rsid w:val="00571079"/>
    <w:rsid w:val="005767FD"/>
    <w:rsid w:val="005A128B"/>
    <w:rsid w:val="005E1447"/>
    <w:rsid w:val="00612C32"/>
    <w:rsid w:val="00616B27"/>
    <w:rsid w:val="006243B6"/>
    <w:rsid w:val="00627580"/>
    <w:rsid w:val="00672FCC"/>
    <w:rsid w:val="00675044"/>
    <w:rsid w:val="00683D21"/>
    <w:rsid w:val="00694BFF"/>
    <w:rsid w:val="006D7446"/>
    <w:rsid w:val="007044A5"/>
    <w:rsid w:val="007507A5"/>
    <w:rsid w:val="007935EC"/>
    <w:rsid w:val="00796C16"/>
    <w:rsid w:val="00797AE2"/>
    <w:rsid w:val="007D72E8"/>
    <w:rsid w:val="00814DA6"/>
    <w:rsid w:val="008238C4"/>
    <w:rsid w:val="008778EE"/>
    <w:rsid w:val="00881098"/>
    <w:rsid w:val="00896D5D"/>
    <w:rsid w:val="00897BA8"/>
    <w:rsid w:val="008A6002"/>
    <w:rsid w:val="008C00FA"/>
    <w:rsid w:val="008C4CCC"/>
    <w:rsid w:val="008D0573"/>
    <w:rsid w:val="008E3890"/>
    <w:rsid w:val="009117DA"/>
    <w:rsid w:val="00924092"/>
    <w:rsid w:val="0092693C"/>
    <w:rsid w:val="00930CBF"/>
    <w:rsid w:val="009425F6"/>
    <w:rsid w:val="0094541B"/>
    <w:rsid w:val="009463CE"/>
    <w:rsid w:val="00967B01"/>
    <w:rsid w:val="009B512B"/>
    <w:rsid w:val="009E6A5E"/>
    <w:rsid w:val="00A0599C"/>
    <w:rsid w:val="00A12612"/>
    <w:rsid w:val="00A129CD"/>
    <w:rsid w:val="00A15C17"/>
    <w:rsid w:val="00A16141"/>
    <w:rsid w:val="00A240FF"/>
    <w:rsid w:val="00A31F0A"/>
    <w:rsid w:val="00A40842"/>
    <w:rsid w:val="00A70C3A"/>
    <w:rsid w:val="00A743B5"/>
    <w:rsid w:val="00AA3FB7"/>
    <w:rsid w:val="00AC00D7"/>
    <w:rsid w:val="00AD1C94"/>
    <w:rsid w:val="00B06905"/>
    <w:rsid w:val="00B16990"/>
    <w:rsid w:val="00B372B7"/>
    <w:rsid w:val="00B46435"/>
    <w:rsid w:val="00B46590"/>
    <w:rsid w:val="00B80E76"/>
    <w:rsid w:val="00BA5791"/>
    <w:rsid w:val="00BA7AEF"/>
    <w:rsid w:val="00BB1982"/>
    <w:rsid w:val="00BC20EC"/>
    <w:rsid w:val="00BC257A"/>
    <w:rsid w:val="00C17BC3"/>
    <w:rsid w:val="00C210CF"/>
    <w:rsid w:val="00C5022F"/>
    <w:rsid w:val="00C57066"/>
    <w:rsid w:val="00C60D04"/>
    <w:rsid w:val="00C6761C"/>
    <w:rsid w:val="00C67AC8"/>
    <w:rsid w:val="00C755C2"/>
    <w:rsid w:val="00C86AF3"/>
    <w:rsid w:val="00C92CC0"/>
    <w:rsid w:val="00CA671C"/>
    <w:rsid w:val="00CB16E6"/>
    <w:rsid w:val="00CD4F7D"/>
    <w:rsid w:val="00D04509"/>
    <w:rsid w:val="00D07B68"/>
    <w:rsid w:val="00D168DA"/>
    <w:rsid w:val="00D225C3"/>
    <w:rsid w:val="00D25ECC"/>
    <w:rsid w:val="00D82DFA"/>
    <w:rsid w:val="00DA6363"/>
    <w:rsid w:val="00DA7326"/>
    <w:rsid w:val="00DC5ED3"/>
    <w:rsid w:val="00DD1F72"/>
    <w:rsid w:val="00DF0441"/>
    <w:rsid w:val="00E17511"/>
    <w:rsid w:val="00E25AD8"/>
    <w:rsid w:val="00E44B70"/>
    <w:rsid w:val="00E64F3F"/>
    <w:rsid w:val="00E83B59"/>
    <w:rsid w:val="00E87370"/>
    <w:rsid w:val="00EA1197"/>
    <w:rsid w:val="00EA5C12"/>
    <w:rsid w:val="00EB1BBC"/>
    <w:rsid w:val="00EE40F2"/>
    <w:rsid w:val="00EF3415"/>
    <w:rsid w:val="00EF43E2"/>
    <w:rsid w:val="00F04D77"/>
    <w:rsid w:val="00F12534"/>
    <w:rsid w:val="00F521A9"/>
    <w:rsid w:val="00F56A80"/>
    <w:rsid w:val="00F64CD3"/>
    <w:rsid w:val="00F6732C"/>
    <w:rsid w:val="00F70B71"/>
    <w:rsid w:val="00F83599"/>
    <w:rsid w:val="00F8540E"/>
    <w:rsid w:val="00F90ED2"/>
    <w:rsid w:val="00F934FB"/>
    <w:rsid w:val="00FD51DD"/>
    <w:rsid w:val="00FE2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B4A5"/>
  <w15:docId w15:val="{5EEF3924-8004-4A68-9E66-C98C1529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974"/>
    <w:rPr>
      <w:rFonts w:ascii="Segoe UI" w:hAnsi="Segoe UI" w:cs="Segoe UI"/>
      <w:sz w:val="18"/>
      <w:szCs w:val="18"/>
    </w:rPr>
  </w:style>
  <w:style w:type="character" w:styleId="Hyperlink">
    <w:name w:val="Hyperlink"/>
    <w:basedOn w:val="DefaultParagraphFont"/>
    <w:uiPriority w:val="99"/>
    <w:unhideWhenUsed/>
    <w:rsid w:val="008C15B0"/>
    <w:rPr>
      <w:color w:val="0563C1" w:themeColor="hyperlink"/>
      <w:u w:val="single"/>
    </w:rPr>
  </w:style>
  <w:style w:type="paragraph" w:styleId="PlainText">
    <w:name w:val="Plain Text"/>
    <w:basedOn w:val="Normal"/>
    <w:link w:val="PlainTextChar"/>
    <w:uiPriority w:val="99"/>
    <w:unhideWhenUsed/>
    <w:rsid w:val="008C15B0"/>
    <w:pPr>
      <w:spacing w:before="240" w:after="0" w:line="240" w:lineRule="auto"/>
    </w:pPr>
    <w:rPr>
      <w:rFonts w:ascii="Times New Roman" w:eastAsia="Times New Roman" w:hAnsi="Times New Roman" w:cs="Times New Roman"/>
      <w:sz w:val="24"/>
      <w:szCs w:val="21"/>
    </w:rPr>
  </w:style>
  <w:style w:type="character" w:customStyle="1" w:styleId="PlainTextChar">
    <w:name w:val="Plain Text Char"/>
    <w:basedOn w:val="DefaultParagraphFont"/>
    <w:link w:val="PlainText"/>
    <w:uiPriority w:val="99"/>
    <w:rsid w:val="008C15B0"/>
    <w:rPr>
      <w:rFonts w:ascii="Times New Roman" w:eastAsia="Times New Roman" w:hAnsi="Times New Roman" w:cs="Times New Roman"/>
      <w:sz w:val="24"/>
      <w:szCs w:val="21"/>
    </w:rPr>
  </w:style>
  <w:style w:type="character" w:customStyle="1" w:styleId="UnresolvedMention1">
    <w:name w:val="Unresolved Mention1"/>
    <w:basedOn w:val="DefaultParagraphFont"/>
    <w:uiPriority w:val="99"/>
    <w:semiHidden/>
    <w:unhideWhenUsed/>
    <w:rsid w:val="00C27191"/>
    <w:rPr>
      <w:color w:val="605E5C"/>
      <w:shd w:val="clear" w:color="auto" w:fill="E1DFDD"/>
    </w:rPr>
  </w:style>
  <w:style w:type="character" w:styleId="FollowedHyperlink">
    <w:name w:val="FollowedHyperlink"/>
    <w:basedOn w:val="DefaultParagraphFont"/>
    <w:uiPriority w:val="99"/>
    <w:semiHidden/>
    <w:unhideWhenUsed/>
    <w:rsid w:val="00C27191"/>
    <w:rPr>
      <w:color w:val="954F72" w:themeColor="followedHyperlink"/>
      <w:u w:val="single"/>
    </w:rPr>
  </w:style>
  <w:style w:type="paragraph" w:styleId="Revision">
    <w:name w:val="Revision"/>
    <w:hidden/>
    <w:uiPriority w:val="99"/>
    <w:semiHidden/>
    <w:rsid w:val="00E44B70"/>
    <w:pPr>
      <w:spacing w:after="0" w:line="240" w:lineRule="auto"/>
    </w:pPr>
  </w:style>
  <w:style w:type="character" w:styleId="Strong">
    <w:name w:val="Strong"/>
    <w:basedOn w:val="DefaultParagraphFont"/>
    <w:uiPriority w:val="22"/>
    <w:qFormat/>
    <w:rsid w:val="00672FCC"/>
    <w:rPr>
      <w:b/>
      <w:bCs/>
    </w:rPr>
  </w:style>
  <w:style w:type="paragraph" w:customStyle="1" w:styleId="xmsonormal">
    <w:name w:val="x_msonormal"/>
    <w:basedOn w:val="Normal"/>
    <w:rsid w:val="0094541B"/>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B80E76"/>
    <w:rPr>
      <w:color w:val="605E5C"/>
      <w:shd w:val="clear" w:color="auto" w:fill="E1DFDD"/>
    </w:rPr>
  </w:style>
  <w:style w:type="paragraph" w:customStyle="1" w:styleId="mdc-article-paragraph">
    <w:name w:val="mdc-article-paragraph"/>
    <w:basedOn w:val="Normal"/>
    <w:rsid w:val="00D225C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225C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link w:val="NoSpacingChar"/>
    <w:uiPriority w:val="1"/>
    <w:qFormat/>
    <w:rsid w:val="00897BA8"/>
    <w:pPr>
      <w:tabs>
        <w:tab w:val="left" w:pos="9000"/>
      </w:tabs>
      <w:spacing w:after="0" w:line="240" w:lineRule="auto"/>
      <w:ind w:right="-270"/>
      <w:jc w:val="both"/>
    </w:pPr>
    <w:rPr>
      <w:rFonts w:ascii="Times New Roman" w:eastAsia="Times New Roman" w:hAnsi="Times New Roman" w:cs="Times New Roman"/>
      <w:sz w:val="20"/>
      <w:szCs w:val="20"/>
      <w:lang w:bidi="en-US"/>
    </w:rPr>
  </w:style>
  <w:style w:type="character" w:customStyle="1" w:styleId="NoSpacingChar">
    <w:name w:val="No Spacing Char"/>
    <w:basedOn w:val="DefaultParagraphFont"/>
    <w:link w:val="NoSpacing"/>
    <w:uiPriority w:val="1"/>
    <w:rsid w:val="00897BA8"/>
    <w:rPr>
      <w:rFonts w:ascii="Times New Roman" w:eastAsia="Times New Roman" w:hAnsi="Times New Roman"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950014">
      <w:bodyDiv w:val="1"/>
      <w:marLeft w:val="0"/>
      <w:marRight w:val="0"/>
      <w:marTop w:val="0"/>
      <w:marBottom w:val="0"/>
      <w:divBdr>
        <w:top w:val="none" w:sz="0" w:space="0" w:color="auto"/>
        <w:left w:val="none" w:sz="0" w:space="0" w:color="auto"/>
        <w:bottom w:val="none" w:sz="0" w:space="0" w:color="auto"/>
        <w:right w:val="none" w:sz="0" w:space="0" w:color="auto"/>
      </w:divBdr>
    </w:div>
    <w:div w:id="723214490">
      <w:bodyDiv w:val="1"/>
      <w:marLeft w:val="0"/>
      <w:marRight w:val="0"/>
      <w:marTop w:val="0"/>
      <w:marBottom w:val="0"/>
      <w:divBdr>
        <w:top w:val="none" w:sz="0" w:space="0" w:color="auto"/>
        <w:left w:val="none" w:sz="0" w:space="0" w:color="auto"/>
        <w:bottom w:val="none" w:sz="0" w:space="0" w:color="auto"/>
        <w:right w:val="none" w:sz="0" w:space="0" w:color="auto"/>
      </w:divBdr>
    </w:div>
    <w:div w:id="798574968">
      <w:bodyDiv w:val="1"/>
      <w:marLeft w:val="0"/>
      <w:marRight w:val="0"/>
      <w:marTop w:val="0"/>
      <w:marBottom w:val="0"/>
      <w:divBdr>
        <w:top w:val="none" w:sz="0" w:space="0" w:color="auto"/>
        <w:left w:val="none" w:sz="0" w:space="0" w:color="auto"/>
        <w:bottom w:val="none" w:sz="0" w:space="0" w:color="auto"/>
        <w:right w:val="none" w:sz="0" w:space="0" w:color="auto"/>
      </w:divBdr>
    </w:div>
    <w:div w:id="1473593648">
      <w:bodyDiv w:val="1"/>
      <w:marLeft w:val="0"/>
      <w:marRight w:val="0"/>
      <w:marTop w:val="0"/>
      <w:marBottom w:val="0"/>
      <w:divBdr>
        <w:top w:val="none" w:sz="0" w:space="0" w:color="auto"/>
        <w:left w:val="none" w:sz="0" w:space="0" w:color="auto"/>
        <w:bottom w:val="none" w:sz="0" w:space="0" w:color="auto"/>
        <w:right w:val="none" w:sz="0" w:space="0" w:color="auto"/>
      </w:divBdr>
    </w:div>
    <w:div w:id="1602180527">
      <w:bodyDiv w:val="1"/>
      <w:marLeft w:val="0"/>
      <w:marRight w:val="0"/>
      <w:marTop w:val="0"/>
      <w:marBottom w:val="0"/>
      <w:divBdr>
        <w:top w:val="none" w:sz="0" w:space="0" w:color="auto"/>
        <w:left w:val="none" w:sz="0" w:space="0" w:color="auto"/>
        <w:bottom w:val="none" w:sz="0" w:space="0" w:color="auto"/>
        <w:right w:val="none" w:sz="0" w:space="0" w:color="auto"/>
      </w:divBdr>
    </w:div>
    <w:div w:id="1718967227">
      <w:bodyDiv w:val="1"/>
      <w:marLeft w:val="0"/>
      <w:marRight w:val="0"/>
      <w:marTop w:val="0"/>
      <w:marBottom w:val="0"/>
      <w:divBdr>
        <w:top w:val="none" w:sz="0" w:space="0" w:color="auto"/>
        <w:left w:val="none" w:sz="0" w:space="0" w:color="auto"/>
        <w:bottom w:val="none" w:sz="0" w:space="0" w:color="auto"/>
        <w:right w:val="none" w:sz="0" w:space="0" w:color="auto"/>
      </w:divBdr>
    </w:div>
    <w:div w:id="177787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tmc.com/people/jon-naji" TargetMode="External"/><Relationship Id="rId13" Type="http://schemas.openxmlformats.org/officeDocument/2006/relationships/hyperlink" Target="https://url.us.m.mimecastprotect.com/s/PlLBCM871mS6x68YhwvyTA?domain=ktmc.com" TargetMode="External"/><Relationship Id="rId18" Type="http://schemas.openxmlformats.org/officeDocument/2006/relationships/hyperlink" Target="mailto:info@ktmc.com" TargetMode="External"/><Relationship Id="rId3" Type="http://schemas.openxmlformats.org/officeDocument/2006/relationships/webSettings" Target="webSettings.xml"/><Relationship Id="rId7" Type="http://schemas.openxmlformats.org/officeDocument/2006/relationships/hyperlink" Target="https://url.us.m.mimecastprotect.com/s/PlLBCM871mS6x68YhwvyTA?domain=ktmc.com" TargetMode="External"/><Relationship Id="rId12" Type="http://schemas.openxmlformats.org/officeDocument/2006/relationships/hyperlink" Target="https://www.ktmc.com/new-cases/biogen-inc-1?utm_source=PR&amp;utm_medium=link&amp;utm_campaign=biib&amp;mktm=r" TargetMode="External"/><Relationship Id="rId17" Type="http://schemas.openxmlformats.org/officeDocument/2006/relationships/hyperlink" Target="https://ktmc.com/people/jon-naji" TargetMode="External"/><Relationship Id="rId2" Type="http://schemas.openxmlformats.org/officeDocument/2006/relationships/settings" Target="settings.xml"/><Relationship Id="rId16" Type="http://schemas.openxmlformats.org/officeDocument/2006/relationships/hyperlink" Target="http://www.ktmc.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ktmc.com/new-cases/biogen-inc-1?utm_source=PR&amp;utm_medium=link&amp;utm_campaign=biib&amp;mktm=r" TargetMode="External"/><Relationship Id="rId11" Type="http://schemas.openxmlformats.org/officeDocument/2006/relationships/hyperlink" Target="https://www.ktmc.com/new-cases/biogen-inc-1?utm_source=PR&amp;utm_medium=link&amp;utm_campaign=biib&amp;mktm=r" TargetMode="External"/><Relationship Id="rId5" Type="http://schemas.openxmlformats.org/officeDocument/2006/relationships/hyperlink" Target="https://www.benzinga.com/quote/BIIB" TargetMode="External"/><Relationship Id="rId15" Type="http://schemas.openxmlformats.org/officeDocument/2006/relationships/hyperlink" Target="https://www.ktmc.com/new-cases/biogen-inc-1?utm_source=PR&amp;utm_medium=link&amp;utm_campaign=biib&amp;mktm=r" TargetMode="External"/><Relationship Id="rId10" Type="http://schemas.openxmlformats.org/officeDocument/2006/relationships/hyperlink" Target="https://www.ktmc.com/new-cases/biogen-inc-1?utm_source=PR&amp;utm_medium=link&amp;utm_campaign=biib&amp;mktm=r" TargetMode="External"/><Relationship Id="rId19" Type="http://schemas.openxmlformats.org/officeDocument/2006/relationships/fontTable" Target="fontTable.xml"/><Relationship Id="rId4" Type="http://schemas.openxmlformats.org/officeDocument/2006/relationships/hyperlink" Target="http://www.ktmc.com" TargetMode="External"/><Relationship Id="rId9" Type="http://schemas.openxmlformats.org/officeDocument/2006/relationships/hyperlink" Target="mailto:info@ktmc.com" TargetMode="External"/><Relationship Id="rId14" Type="http://schemas.openxmlformats.org/officeDocument/2006/relationships/hyperlink" Target="https://www.ktmc.com/new-cases/biogen-inc-1?utm_source=PR&amp;utm_medium=link&amp;utm_campaign=biib&amp;mktm=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968</Words>
  <Characters>5377</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Naji</dc:creator>
  <cp:lastModifiedBy>Alyssa Cahill</cp:lastModifiedBy>
  <cp:revision>3</cp:revision>
  <dcterms:created xsi:type="dcterms:W3CDTF">2024-07-03T13:21:00Z</dcterms:created>
  <dcterms:modified xsi:type="dcterms:W3CDTF">2024-07-03T13:22:00Z</dcterms:modified>
</cp:coreProperties>
</file>