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0416BA" w14:textId="54885AD9" w:rsidR="00AD6CF5" w:rsidRDefault="00720A9A" w:rsidP="00832127">
      <w:pPr>
        <w:spacing w:before="240"/>
        <w:jc w:val="both"/>
        <w:rPr>
          <w:b/>
        </w:rPr>
      </w:pPr>
      <w:r>
        <w:rPr>
          <w:b/>
        </w:rPr>
        <w:t>N</w:t>
      </w:r>
      <w:r w:rsidR="003D6D42">
        <w:rPr>
          <w:b/>
        </w:rPr>
        <w:t>ASDAQ</w:t>
      </w:r>
      <w:r>
        <w:rPr>
          <w:b/>
        </w:rPr>
        <w:t xml:space="preserve">: </w:t>
      </w:r>
      <w:r w:rsidR="004F5CC0">
        <w:rPr>
          <w:b/>
        </w:rPr>
        <w:t>AVDX</w:t>
      </w:r>
      <w:r w:rsidR="00E32A56">
        <w:rPr>
          <w:b/>
        </w:rPr>
        <w:t xml:space="preserve"> </w:t>
      </w:r>
      <w:r w:rsidR="009A31DF">
        <w:rPr>
          <w:b/>
        </w:rPr>
        <w:t xml:space="preserve">Investigation:  Kessler Topaz Meltzer &amp; Check, LLP </w:t>
      </w:r>
      <w:r w:rsidR="004B766B">
        <w:rPr>
          <w:b/>
        </w:rPr>
        <w:t>Encourages</w:t>
      </w:r>
      <w:r w:rsidR="0001744A">
        <w:rPr>
          <w:b/>
        </w:rPr>
        <w:t xml:space="preserve"> </w:t>
      </w:r>
      <w:r w:rsidR="004F5CC0">
        <w:rPr>
          <w:b/>
        </w:rPr>
        <w:t>AvidXchange Holdings</w:t>
      </w:r>
      <w:r w:rsidR="00582461">
        <w:rPr>
          <w:b/>
        </w:rPr>
        <w:t>, Inc.</w:t>
      </w:r>
      <w:r w:rsidR="004B766B">
        <w:rPr>
          <w:b/>
        </w:rPr>
        <w:t xml:space="preserve"> (N</w:t>
      </w:r>
      <w:r w:rsidR="003D6D42">
        <w:rPr>
          <w:b/>
        </w:rPr>
        <w:t>ASDAQ</w:t>
      </w:r>
      <w:r w:rsidR="004B766B">
        <w:rPr>
          <w:b/>
        </w:rPr>
        <w:t xml:space="preserve">: </w:t>
      </w:r>
      <w:r w:rsidR="004F5CC0">
        <w:rPr>
          <w:b/>
        </w:rPr>
        <w:t>AVDX</w:t>
      </w:r>
      <w:r w:rsidR="004B766B">
        <w:rPr>
          <w:b/>
        </w:rPr>
        <w:t>)</w:t>
      </w:r>
      <w:r w:rsidR="004B766B" w:rsidRPr="00407027">
        <w:rPr>
          <w:b/>
        </w:rPr>
        <w:t xml:space="preserve"> </w:t>
      </w:r>
      <w:r w:rsidR="004B766B">
        <w:rPr>
          <w:b/>
        </w:rPr>
        <w:t xml:space="preserve">Investors with Significant Losses to Contact the Firm </w:t>
      </w:r>
    </w:p>
    <w:p w14:paraId="7CD0A705" w14:textId="52BA6A2E" w:rsidR="009623C5" w:rsidRDefault="009A31DF" w:rsidP="009623C5">
      <w:pPr>
        <w:spacing w:before="240"/>
        <w:jc w:val="both"/>
        <w:rPr>
          <w:rFonts w:eastAsia="Times New Roman"/>
          <w:szCs w:val="21"/>
        </w:rPr>
      </w:pPr>
      <w:r w:rsidRPr="00F70547">
        <w:rPr>
          <w:rFonts w:eastAsia="Times New Roman"/>
          <w:szCs w:val="21"/>
        </w:rPr>
        <w:t>RADNOR, PA,</w:t>
      </w:r>
      <w:r w:rsidR="001936FE">
        <w:rPr>
          <w:rFonts w:eastAsia="Times New Roman"/>
          <w:szCs w:val="21"/>
        </w:rPr>
        <w:t xml:space="preserve"> </w:t>
      </w:r>
      <w:r w:rsidR="004F5CC0">
        <w:rPr>
          <w:rFonts w:eastAsia="Times New Roman"/>
          <w:szCs w:val="21"/>
        </w:rPr>
        <w:t>August 1</w:t>
      </w:r>
      <w:r w:rsidR="008D4C85">
        <w:rPr>
          <w:rFonts w:eastAsia="Times New Roman"/>
          <w:szCs w:val="21"/>
        </w:rPr>
        <w:t>5</w:t>
      </w:r>
      <w:r w:rsidR="000975B4">
        <w:rPr>
          <w:rFonts w:eastAsia="Times New Roman"/>
          <w:szCs w:val="21"/>
        </w:rPr>
        <w:t>, 202</w:t>
      </w:r>
      <w:r w:rsidR="000C542B">
        <w:rPr>
          <w:rFonts w:eastAsia="Times New Roman"/>
          <w:szCs w:val="21"/>
        </w:rPr>
        <w:t>4</w:t>
      </w:r>
      <w:r w:rsidR="00B917FC">
        <w:rPr>
          <w:rFonts w:eastAsia="Times New Roman"/>
          <w:szCs w:val="21"/>
        </w:rPr>
        <w:t xml:space="preserve"> </w:t>
      </w:r>
      <w:r w:rsidRPr="00F70547">
        <w:rPr>
          <w:rFonts w:eastAsia="Times New Roman"/>
          <w:szCs w:val="21"/>
        </w:rPr>
        <w:t xml:space="preserve">– The law firm of </w:t>
      </w:r>
      <w:hyperlink r:id="rId6" w:history="1">
        <w:r w:rsidRPr="00DF082A">
          <w:rPr>
            <w:rStyle w:val="Hyperlink"/>
            <w:rFonts w:eastAsia="Times New Roman"/>
            <w:color w:val="0000FF"/>
            <w:szCs w:val="21"/>
          </w:rPr>
          <w:t>Kessler Topaz Meltzer &amp; Check, LLP</w:t>
        </w:r>
      </w:hyperlink>
      <w:r w:rsidR="00596591">
        <w:rPr>
          <w:rFonts w:eastAsia="Times New Roman"/>
          <w:szCs w:val="21"/>
        </w:rPr>
        <w:t xml:space="preserve"> (</w:t>
      </w:r>
      <w:hyperlink r:id="rId7" w:history="1">
        <w:r w:rsidR="00596591" w:rsidRPr="00596591">
          <w:rPr>
            <w:rStyle w:val="Hyperlink"/>
            <w:rFonts w:eastAsia="Times New Roman"/>
            <w:color w:val="0000FF"/>
            <w:szCs w:val="21"/>
          </w:rPr>
          <w:t>www.ktmc.com</w:t>
        </w:r>
      </w:hyperlink>
      <w:r w:rsidR="00596591">
        <w:rPr>
          <w:rFonts w:eastAsia="Times New Roman"/>
          <w:szCs w:val="21"/>
        </w:rPr>
        <w:t xml:space="preserve">) </w:t>
      </w:r>
      <w:r>
        <w:rPr>
          <w:rFonts w:eastAsia="Times New Roman"/>
          <w:szCs w:val="21"/>
        </w:rPr>
        <w:t xml:space="preserve">is currently investigating potential violations of the federal securities laws </w:t>
      </w:r>
      <w:r w:rsidRPr="003A49B6">
        <w:rPr>
          <w:rFonts w:eastAsia="Times New Roman"/>
          <w:szCs w:val="21"/>
        </w:rPr>
        <w:t xml:space="preserve">on behalf of </w:t>
      </w:r>
      <w:r w:rsidR="00F54DA9">
        <w:rPr>
          <w:rFonts w:eastAsia="Times New Roman"/>
          <w:szCs w:val="21"/>
        </w:rPr>
        <w:t>investors</w:t>
      </w:r>
      <w:r w:rsidR="00DC3A38">
        <w:rPr>
          <w:rFonts w:eastAsia="Times New Roman"/>
          <w:szCs w:val="21"/>
        </w:rPr>
        <w:t xml:space="preserve"> o</w:t>
      </w:r>
      <w:r w:rsidR="001936FE">
        <w:rPr>
          <w:rFonts w:eastAsia="Times New Roman"/>
          <w:szCs w:val="21"/>
        </w:rPr>
        <w:t xml:space="preserve">f </w:t>
      </w:r>
      <w:r w:rsidR="004F5CC0">
        <w:rPr>
          <w:rFonts w:eastAsia="Times New Roman"/>
          <w:szCs w:val="21"/>
        </w:rPr>
        <w:t>AvidXchange Holdings</w:t>
      </w:r>
      <w:r w:rsidR="00582461">
        <w:rPr>
          <w:rFonts w:eastAsia="Times New Roman"/>
          <w:szCs w:val="21"/>
        </w:rPr>
        <w:t>, Inc.</w:t>
      </w:r>
      <w:r w:rsidR="001936FE">
        <w:rPr>
          <w:rFonts w:eastAsia="Times New Roman"/>
          <w:szCs w:val="21"/>
        </w:rPr>
        <w:t xml:space="preserve"> (</w:t>
      </w:r>
      <w:r w:rsidR="00FF2571">
        <w:rPr>
          <w:rFonts w:eastAsia="Times New Roman"/>
          <w:szCs w:val="21"/>
        </w:rPr>
        <w:t>N</w:t>
      </w:r>
      <w:r w:rsidR="003D6D42">
        <w:rPr>
          <w:rFonts w:eastAsia="Times New Roman"/>
          <w:szCs w:val="21"/>
        </w:rPr>
        <w:t>ASDAQ</w:t>
      </w:r>
      <w:r w:rsidR="00FF2571">
        <w:rPr>
          <w:rFonts w:eastAsia="Times New Roman"/>
          <w:szCs w:val="21"/>
        </w:rPr>
        <w:t xml:space="preserve">: </w:t>
      </w:r>
      <w:r w:rsidR="004F5CC0">
        <w:rPr>
          <w:rFonts w:eastAsia="Times New Roman"/>
          <w:szCs w:val="21"/>
        </w:rPr>
        <w:t>AVDX</w:t>
      </w:r>
      <w:r w:rsidR="00E153A5">
        <w:rPr>
          <w:rFonts w:eastAsia="Times New Roman"/>
          <w:szCs w:val="21"/>
        </w:rPr>
        <w:t>)</w:t>
      </w:r>
      <w:r w:rsidR="0085763F">
        <w:rPr>
          <w:rFonts w:eastAsia="Times New Roman"/>
          <w:szCs w:val="21"/>
        </w:rPr>
        <w:t xml:space="preserve"> (“</w:t>
      </w:r>
      <w:r w:rsidR="004F5CC0">
        <w:rPr>
          <w:rFonts w:eastAsia="Times New Roman"/>
          <w:szCs w:val="21"/>
        </w:rPr>
        <w:t>AvidXchange</w:t>
      </w:r>
      <w:r w:rsidR="00267CAC">
        <w:rPr>
          <w:rFonts w:eastAsia="Times New Roman"/>
          <w:szCs w:val="21"/>
        </w:rPr>
        <w:t>”</w:t>
      </w:r>
      <w:r w:rsidR="00BF66AD">
        <w:rPr>
          <w:rFonts w:eastAsia="Times New Roman"/>
          <w:szCs w:val="21"/>
        </w:rPr>
        <w:t>)</w:t>
      </w:r>
      <w:r w:rsidRPr="00F70547">
        <w:rPr>
          <w:rFonts w:eastAsia="Times New Roman"/>
          <w:szCs w:val="21"/>
        </w:rPr>
        <w:t>.</w:t>
      </w:r>
      <w:r w:rsidR="00C3403B">
        <w:rPr>
          <w:rFonts w:eastAsia="Times New Roman"/>
          <w:szCs w:val="21"/>
        </w:rPr>
        <w:t xml:space="preserve"> </w:t>
      </w:r>
    </w:p>
    <w:p w14:paraId="4F90F106" w14:textId="77777777" w:rsidR="003D6D42" w:rsidRDefault="003D6D42" w:rsidP="003D6D42"/>
    <w:p w14:paraId="3BDA989C" w14:textId="1977E8CE" w:rsidR="004F5CC0" w:rsidRDefault="004F5CC0" w:rsidP="004F5CC0">
      <w:pPr>
        <w:jc w:val="both"/>
      </w:pPr>
      <w:r>
        <w:t>On or around October 12, 2021, AvidXchange conducted its IPO, selling 26.4 million shares priced at $25.00. On July 31, 2024, AvidXchange issued a press release announcing its financial results for the second quarter of 2024. In the results, AvidXchange reported revenue of $105.13 million, missing consensus estimates by $1.75 million, and revised its fiscal year 2024 revenue guidance downward to a range of $436 million to $439 million, compared to previous guidance of $442 million to $448 million.</w:t>
      </w:r>
    </w:p>
    <w:p w14:paraId="4C1D6CF7" w14:textId="77777777" w:rsidR="004F5CC0" w:rsidRDefault="004F5CC0" w:rsidP="004F5CC0">
      <w:pPr>
        <w:jc w:val="both"/>
      </w:pPr>
    </w:p>
    <w:p w14:paraId="0EEDECA6" w14:textId="1FEA26D6" w:rsidR="00582461" w:rsidRPr="003D6D42" w:rsidRDefault="004F5CC0" w:rsidP="004F5CC0">
      <w:pPr>
        <w:jc w:val="both"/>
      </w:pPr>
      <w:r>
        <w:t>On this news, AvidXchange's stock price fell $3.78 per share, or 29.72%, to close at $8.94 per share on July 31, 2024.</w:t>
      </w:r>
    </w:p>
    <w:p w14:paraId="0E4A2408" w14:textId="69B10E74" w:rsidR="004D7F3A" w:rsidRPr="00E70282" w:rsidRDefault="00F54DA9" w:rsidP="00832127">
      <w:pPr>
        <w:spacing w:before="240"/>
        <w:jc w:val="both"/>
        <w:rPr>
          <w:rStyle w:val="Hyperlink"/>
          <w:rFonts w:eastAsia="Times New Roman"/>
          <w:color w:val="auto"/>
          <w:szCs w:val="21"/>
          <w:u w:val="none"/>
        </w:rPr>
      </w:pPr>
      <w:r>
        <w:rPr>
          <w:rFonts w:eastAsia="Times New Roman"/>
          <w:b/>
          <w:i/>
          <w:szCs w:val="21"/>
        </w:rPr>
        <w:t xml:space="preserve">If you </w:t>
      </w:r>
      <w:r w:rsidR="00802CEA">
        <w:rPr>
          <w:rFonts w:eastAsia="Times New Roman"/>
          <w:b/>
          <w:i/>
          <w:szCs w:val="21"/>
        </w:rPr>
        <w:t>a</w:t>
      </w:r>
      <w:r w:rsidR="000C182D">
        <w:rPr>
          <w:rFonts w:eastAsia="Times New Roman"/>
          <w:b/>
          <w:i/>
          <w:szCs w:val="21"/>
        </w:rPr>
        <w:t>r</w:t>
      </w:r>
      <w:r w:rsidR="00521CC6">
        <w:rPr>
          <w:rFonts w:eastAsia="Times New Roman"/>
          <w:b/>
          <w:i/>
          <w:szCs w:val="21"/>
        </w:rPr>
        <w:t>e a</w:t>
      </w:r>
      <w:r w:rsidR="004F5CC0">
        <w:rPr>
          <w:rFonts w:eastAsia="Times New Roman"/>
          <w:b/>
          <w:i/>
          <w:szCs w:val="21"/>
        </w:rPr>
        <w:t>n AvidXchange</w:t>
      </w:r>
      <w:r w:rsidR="005332E1">
        <w:rPr>
          <w:rFonts w:eastAsia="Times New Roman"/>
          <w:b/>
          <w:i/>
          <w:szCs w:val="21"/>
        </w:rPr>
        <w:t xml:space="preserve"> investor </w:t>
      </w:r>
      <w:r w:rsidR="009A31DF" w:rsidRPr="006B725E">
        <w:rPr>
          <w:rFonts w:eastAsia="Times New Roman"/>
          <w:b/>
          <w:i/>
          <w:szCs w:val="21"/>
        </w:rPr>
        <w:t xml:space="preserve">and would like to learn more about our investigation, please </w:t>
      </w:r>
      <w:hyperlink r:id="rId8" w:history="1">
        <w:r w:rsidR="007B2CDD" w:rsidRPr="00DF082A">
          <w:rPr>
            <w:rStyle w:val="Hyperlink"/>
            <w:rFonts w:eastAsia="Times New Roman"/>
            <w:b/>
            <w:i/>
            <w:color w:val="0000FF"/>
            <w:szCs w:val="21"/>
          </w:rPr>
          <w:t>CLICK HERE</w:t>
        </w:r>
      </w:hyperlink>
      <w:r w:rsidR="007B2CDD">
        <w:rPr>
          <w:rFonts w:eastAsia="Times New Roman"/>
          <w:b/>
          <w:i/>
          <w:szCs w:val="21"/>
        </w:rPr>
        <w:t xml:space="preserve"> to fill out our online form or </w:t>
      </w:r>
      <w:r w:rsidR="009A31DF" w:rsidRPr="006B725E">
        <w:rPr>
          <w:rFonts w:eastAsia="Times New Roman"/>
          <w:b/>
          <w:i/>
          <w:szCs w:val="21"/>
        </w:rPr>
        <w:t xml:space="preserve">contact </w:t>
      </w:r>
      <w:r w:rsidR="009A31DF" w:rsidRPr="000A6E42">
        <w:rPr>
          <w:b/>
          <w:i/>
        </w:rPr>
        <w:t>Kessler Topaz Meltzer &amp; Check, LLP:  J</w:t>
      </w:r>
      <w:r w:rsidR="00BF66AD">
        <w:rPr>
          <w:b/>
          <w:i/>
        </w:rPr>
        <w:t>onathan Naji</w:t>
      </w:r>
      <w:r w:rsidR="00EC725E">
        <w:rPr>
          <w:b/>
          <w:i/>
        </w:rPr>
        <w:t xml:space="preserve">, Esq. (484) 270-1453 or </w:t>
      </w:r>
      <w:r w:rsidR="007B2CDD">
        <w:rPr>
          <w:b/>
          <w:i/>
        </w:rPr>
        <w:t>E</w:t>
      </w:r>
      <w:r w:rsidR="009A31DF" w:rsidRPr="000A6E42">
        <w:rPr>
          <w:b/>
          <w:i/>
        </w:rPr>
        <w:t xml:space="preserve">-mail at </w:t>
      </w:r>
      <w:hyperlink r:id="rId9" w:history="1">
        <w:r w:rsidR="00596591" w:rsidRPr="00596591">
          <w:rPr>
            <w:rStyle w:val="Hyperlink"/>
            <w:b/>
            <w:i/>
            <w:color w:val="0000FF"/>
          </w:rPr>
          <w:t>info@ktmc.com</w:t>
        </w:r>
      </w:hyperlink>
      <w:r w:rsidR="007B2CDD">
        <w:rPr>
          <w:b/>
          <w:i/>
        </w:rPr>
        <w:t>.</w:t>
      </w:r>
      <w:r w:rsidR="00596591">
        <w:rPr>
          <w:b/>
          <w:i/>
        </w:rPr>
        <w:t xml:space="preserve"> </w:t>
      </w:r>
      <w:r w:rsidR="00596591" w:rsidRPr="00D51A3C">
        <w:rPr>
          <w:rFonts w:eastAsia="Times New Roman"/>
          <w:b/>
          <w:i/>
          <w:szCs w:val="21"/>
        </w:rPr>
        <w:t>You can also click on the following link</w:t>
      </w:r>
      <w:r w:rsidR="00596591">
        <w:rPr>
          <w:rFonts w:eastAsia="Times New Roman"/>
          <w:b/>
          <w:i/>
          <w:szCs w:val="21"/>
        </w:rPr>
        <w:t xml:space="preserve"> or paste it in your browser</w:t>
      </w:r>
      <w:r w:rsidR="00596591" w:rsidRPr="00DF082A">
        <w:rPr>
          <w:rFonts w:eastAsia="Times New Roman"/>
          <w:bCs/>
          <w:i/>
          <w:szCs w:val="21"/>
        </w:rPr>
        <w:t>:</w:t>
      </w:r>
      <w:r w:rsidR="00596591" w:rsidRPr="00DF082A">
        <w:rPr>
          <w:rFonts w:eastAsia="Times New Roman"/>
          <w:bCs/>
          <w:szCs w:val="21"/>
        </w:rPr>
        <w:t xml:space="preserve"> </w:t>
      </w:r>
      <w:r w:rsidR="00596591" w:rsidRPr="00DF082A">
        <w:rPr>
          <w:bCs/>
          <w:i/>
        </w:rPr>
        <w:t xml:space="preserve"> </w:t>
      </w:r>
      <w:r w:rsidR="00E70282" w:rsidRPr="00DF082A">
        <w:rPr>
          <w:rFonts w:eastAsia="Times New Roman"/>
          <w:bCs/>
          <w:szCs w:val="21"/>
        </w:rPr>
        <w:t xml:space="preserve"> </w:t>
      </w:r>
      <w:hyperlink r:id="rId10" w:history="1">
        <w:r w:rsidR="00DF082A" w:rsidRPr="00DF082A">
          <w:rPr>
            <w:rStyle w:val="Hyperlink"/>
            <w:rFonts w:eastAsia="Times New Roman"/>
            <w:bCs/>
            <w:color w:val="0000FF"/>
            <w:szCs w:val="21"/>
          </w:rPr>
          <w:t>https://www.ktmc.com/avidxchange-holdings-inc-investigation?utm_source=PR&amp;utm_medium=link&amp;utm_campaign=avdx&amp;mktm=r</w:t>
        </w:r>
      </w:hyperlink>
      <w:r w:rsidR="00DF082A">
        <w:rPr>
          <w:rFonts w:eastAsia="Times New Roman"/>
          <w:b/>
          <w:szCs w:val="21"/>
        </w:rPr>
        <w:t xml:space="preserve"> </w:t>
      </w:r>
    </w:p>
    <w:p w14:paraId="4D550DDD" w14:textId="77777777" w:rsidR="00802D1F" w:rsidRDefault="008D4C85" w:rsidP="00832127">
      <w:pPr>
        <w:jc w:val="both"/>
        <w:rPr>
          <w:rStyle w:val="Hyperlink"/>
          <w:color w:val="0000FF"/>
        </w:rPr>
      </w:pPr>
    </w:p>
    <w:p w14:paraId="5301B1A6" w14:textId="682BE147" w:rsidR="00F70547" w:rsidRDefault="008D4C85" w:rsidP="00832127">
      <w:pPr>
        <w:jc w:val="both"/>
        <w:rPr>
          <w:rFonts w:eastAsia="Times New Roman"/>
          <w:szCs w:val="21"/>
        </w:rPr>
      </w:pPr>
      <w:hyperlink r:id="rId11" w:history="1">
        <w:r w:rsidR="00DF082A" w:rsidRPr="00DF082A">
          <w:rPr>
            <w:rStyle w:val="Hyperlink"/>
            <w:rFonts w:eastAsia="Times New Roman"/>
            <w:color w:val="0000FF"/>
            <w:szCs w:val="21"/>
          </w:rPr>
          <w:t>Kessler Topaz Meltzer &amp; Check, LLP</w:t>
        </w:r>
      </w:hyperlink>
      <w:r w:rsidR="009A31DF" w:rsidRPr="00F70547">
        <w:rPr>
          <w:rFonts w:eastAsia="Times New Roman"/>
          <w:szCs w:val="21"/>
        </w:rPr>
        <w:t xml:space="preserve"> prosecutes class actions in state and federal courts throughout the country involving securities fraud, breaches of fiduciary duties and other violations of state and federal law. Kessler Topaz Meltzer &amp; Check</w:t>
      </w:r>
      <w:r w:rsidR="009A31DF">
        <w:rPr>
          <w:rFonts w:eastAsia="Times New Roman"/>
          <w:szCs w:val="21"/>
        </w:rPr>
        <w:t>, LLP</w:t>
      </w:r>
      <w:r w:rsidR="009A31DF" w:rsidRPr="00F70547">
        <w:rPr>
          <w:rFonts w:eastAsia="Times New Roman"/>
          <w:szCs w:val="21"/>
        </w:rPr>
        <w:t xml:space="preserve"> is a driving force behind corporate governance reform, and has recovered billions of dollars on behalf of institutional and individual investors from the United States and around the world.  The firm represents investors, consumers and whistleblowers (private citizens who report fraudulent practices against the government and share in the recovery of government dollars).  For more information </w:t>
      </w:r>
      <w:hyperlink r:id="rId12" w:history="1">
        <w:r w:rsidR="00DF082A" w:rsidRPr="00DF082A">
          <w:rPr>
            <w:rStyle w:val="Hyperlink"/>
            <w:rFonts w:eastAsia="Times New Roman"/>
            <w:color w:val="0000FF"/>
            <w:szCs w:val="21"/>
          </w:rPr>
          <w:t>Kessler Topaz Meltzer &amp; Check, LLP</w:t>
        </w:r>
      </w:hyperlink>
      <w:r w:rsidR="009A31DF">
        <w:rPr>
          <w:rFonts w:eastAsia="Times New Roman"/>
          <w:szCs w:val="21"/>
        </w:rPr>
        <w:t xml:space="preserve">, </w:t>
      </w:r>
      <w:r w:rsidR="009A31DF" w:rsidRPr="00F70547">
        <w:rPr>
          <w:rFonts w:eastAsia="Times New Roman"/>
          <w:szCs w:val="21"/>
        </w:rPr>
        <w:t>please visit</w:t>
      </w:r>
      <w:r w:rsidR="003B0C24">
        <w:rPr>
          <w:rFonts w:eastAsia="Times New Roman"/>
          <w:szCs w:val="21"/>
        </w:rPr>
        <w:t xml:space="preserve"> </w:t>
      </w:r>
      <w:hyperlink r:id="rId13" w:history="1">
        <w:r w:rsidR="007A0FB3" w:rsidRPr="007A0FB3">
          <w:rPr>
            <w:rStyle w:val="Hyperlink"/>
            <w:rFonts w:eastAsia="Times New Roman"/>
            <w:color w:val="0000FF"/>
            <w:szCs w:val="21"/>
          </w:rPr>
          <w:t>www.ktmc.com</w:t>
        </w:r>
      </w:hyperlink>
      <w:r w:rsidR="003B0C24">
        <w:rPr>
          <w:rFonts w:eastAsia="Times New Roman"/>
          <w:szCs w:val="21"/>
        </w:rPr>
        <w:t>.</w:t>
      </w:r>
      <w:r w:rsidR="007A0FB3">
        <w:rPr>
          <w:rFonts w:eastAsia="Times New Roman"/>
          <w:szCs w:val="21"/>
        </w:rPr>
        <w:t xml:space="preserve"> </w:t>
      </w:r>
      <w:r w:rsidR="003B0C24">
        <w:rPr>
          <w:rFonts w:eastAsia="Times New Roman"/>
          <w:szCs w:val="21"/>
        </w:rPr>
        <w:t xml:space="preserve"> </w:t>
      </w:r>
    </w:p>
    <w:p w14:paraId="03090965" w14:textId="77777777" w:rsidR="006B725E" w:rsidRDefault="009A31DF" w:rsidP="00832127">
      <w:pPr>
        <w:keepLines/>
        <w:spacing w:before="240"/>
        <w:rPr>
          <w:rFonts w:eastAsia="Times New Roman"/>
          <w:szCs w:val="21"/>
        </w:rPr>
      </w:pPr>
      <w:r w:rsidRPr="00F70547">
        <w:rPr>
          <w:rFonts w:eastAsia="Times New Roman"/>
          <w:szCs w:val="21"/>
        </w:rPr>
        <w:t>CONTACT:</w:t>
      </w:r>
    </w:p>
    <w:p w14:paraId="0CBA243D" w14:textId="29125C79" w:rsidR="0044724C" w:rsidRDefault="009A31DF" w:rsidP="00832127">
      <w:pPr>
        <w:keepLines/>
        <w:spacing w:before="240"/>
        <w:rPr>
          <w:rFonts w:eastAsia="Times New Roman"/>
          <w:color w:val="0000FF"/>
          <w:szCs w:val="21"/>
          <w:u w:val="single"/>
        </w:rPr>
      </w:pPr>
      <w:r w:rsidRPr="00F70547">
        <w:rPr>
          <w:rFonts w:eastAsia="Times New Roman"/>
          <w:szCs w:val="21"/>
        </w:rPr>
        <w:t>Kessler Topaz Melt</w:t>
      </w:r>
      <w:r w:rsidR="00BF66AD">
        <w:rPr>
          <w:rFonts w:eastAsia="Times New Roman"/>
          <w:szCs w:val="21"/>
        </w:rPr>
        <w:t>zer &amp; Check, LLP</w:t>
      </w:r>
      <w:r w:rsidR="00BF66AD">
        <w:rPr>
          <w:rFonts w:eastAsia="Times New Roman"/>
          <w:szCs w:val="21"/>
        </w:rPr>
        <w:br/>
        <w:t>Jonathan Naji</w:t>
      </w:r>
      <w:r w:rsidRPr="00F70547">
        <w:rPr>
          <w:rFonts w:eastAsia="Times New Roman"/>
          <w:szCs w:val="21"/>
        </w:rPr>
        <w:t>, Esq.</w:t>
      </w:r>
      <w:r w:rsidRPr="00F70547">
        <w:rPr>
          <w:rFonts w:eastAsia="Times New Roman"/>
          <w:szCs w:val="21"/>
        </w:rPr>
        <w:br/>
        <w:t>280 King of Prussia Road</w:t>
      </w:r>
      <w:r w:rsidRPr="00F70547">
        <w:rPr>
          <w:rFonts w:eastAsia="Times New Roman"/>
          <w:szCs w:val="21"/>
        </w:rPr>
        <w:br/>
        <w:t>Radnor, PA 19087</w:t>
      </w:r>
      <w:r w:rsidRPr="00F70547">
        <w:rPr>
          <w:rFonts w:eastAsia="Times New Roman"/>
          <w:szCs w:val="21"/>
        </w:rPr>
        <w:br/>
      </w:r>
      <w:r w:rsidR="00EC725E">
        <w:rPr>
          <w:rFonts w:eastAsia="Times New Roman"/>
          <w:szCs w:val="21"/>
        </w:rPr>
        <w:t>(484) 270-1453</w:t>
      </w:r>
      <w:r w:rsidRPr="00F70547">
        <w:rPr>
          <w:rFonts w:eastAsia="Times New Roman"/>
          <w:szCs w:val="21"/>
        </w:rPr>
        <w:br/>
      </w:r>
      <w:hyperlink r:id="rId14" w:tgtFrame="_blank" w:history="1">
        <w:r w:rsidRPr="00F70547">
          <w:rPr>
            <w:rFonts w:eastAsia="Times New Roman"/>
            <w:color w:val="0000FF"/>
            <w:szCs w:val="21"/>
            <w:u w:val="single"/>
          </w:rPr>
          <w:t>info@ktmc.com</w:t>
        </w:r>
      </w:hyperlink>
    </w:p>
    <w:p w14:paraId="09568E01" w14:textId="77777777" w:rsidR="007664EF" w:rsidRDefault="007664EF" w:rsidP="007664EF">
      <w:bookmarkStart w:id="0" w:name="_Hlk165382615"/>
    </w:p>
    <w:p w14:paraId="4072671F" w14:textId="78F5D0C2" w:rsidR="007664EF" w:rsidRDefault="007664EF" w:rsidP="007664EF">
      <w:r w:rsidRPr="00B80E76">
        <w:t>May be considered attorney advertising in certain jurisdictions.  Past results do not guarantee future outcomes.</w:t>
      </w:r>
      <w:bookmarkEnd w:id="0"/>
    </w:p>
    <w:sectPr w:rsidR="007664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50D27"/>
    <w:multiLevelType w:val="hybridMultilevel"/>
    <w:tmpl w:val="63FAC218"/>
    <w:lvl w:ilvl="0" w:tplc="F98C2F06">
      <w:start w:val="1"/>
      <w:numFmt w:val="decimal"/>
      <w:pStyle w:val="Heading1"/>
      <w:lvlText w:val="%1."/>
      <w:lvlJc w:val="left"/>
      <w:pPr>
        <w:ind w:left="720" w:hanging="360"/>
      </w:pPr>
    </w:lvl>
    <w:lvl w:ilvl="1" w:tplc="6128AB84" w:tentative="1">
      <w:start w:val="1"/>
      <w:numFmt w:val="lowerLetter"/>
      <w:lvlText w:val="%2."/>
      <w:lvlJc w:val="left"/>
      <w:pPr>
        <w:ind w:left="1440" w:hanging="360"/>
      </w:pPr>
    </w:lvl>
    <w:lvl w:ilvl="2" w:tplc="947827BC" w:tentative="1">
      <w:start w:val="1"/>
      <w:numFmt w:val="lowerRoman"/>
      <w:lvlText w:val="%3."/>
      <w:lvlJc w:val="right"/>
      <w:pPr>
        <w:ind w:left="2160" w:hanging="180"/>
      </w:pPr>
    </w:lvl>
    <w:lvl w:ilvl="3" w:tplc="ABFC7C5C" w:tentative="1">
      <w:start w:val="1"/>
      <w:numFmt w:val="decimal"/>
      <w:lvlText w:val="%4."/>
      <w:lvlJc w:val="left"/>
      <w:pPr>
        <w:ind w:left="2880" w:hanging="360"/>
      </w:pPr>
    </w:lvl>
    <w:lvl w:ilvl="4" w:tplc="3968C05A" w:tentative="1">
      <w:start w:val="1"/>
      <w:numFmt w:val="lowerLetter"/>
      <w:lvlText w:val="%5."/>
      <w:lvlJc w:val="left"/>
      <w:pPr>
        <w:ind w:left="3600" w:hanging="360"/>
      </w:pPr>
    </w:lvl>
    <w:lvl w:ilvl="5" w:tplc="F27C3226" w:tentative="1">
      <w:start w:val="1"/>
      <w:numFmt w:val="lowerRoman"/>
      <w:lvlText w:val="%6."/>
      <w:lvlJc w:val="right"/>
      <w:pPr>
        <w:ind w:left="4320" w:hanging="180"/>
      </w:pPr>
    </w:lvl>
    <w:lvl w:ilvl="6" w:tplc="68DA1170" w:tentative="1">
      <w:start w:val="1"/>
      <w:numFmt w:val="decimal"/>
      <w:lvlText w:val="%7."/>
      <w:lvlJc w:val="left"/>
      <w:pPr>
        <w:ind w:left="5040" w:hanging="360"/>
      </w:pPr>
    </w:lvl>
    <w:lvl w:ilvl="7" w:tplc="38B2821A" w:tentative="1">
      <w:start w:val="1"/>
      <w:numFmt w:val="lowerLetter"/>
      <w:lvlText w:val="%8."/>
      <w:lvlJc w:val="left"/>
      <w:pPr>
        <w:ind w:left="5760" w:hanging="360"/>
      </w:pPr>
    </w:lvl>
    <w:lvl w:ilvl="8" w:tplc="9BA6A66E" w:tentative="1">
      <w:start w:val="1"/>
      <w:numFmt w:val="lowerRoman"/>
      <w:lvlText w:val="%9."/>
      <w:lvlJc w:val="right"/>
      <w:pPr>
        <w:ind w:left="6480" w:hanging="180"/>
      </w:pPr>
    </w:lvl>
  </w:abstractNum>
  <w:abstractNum w:abstractNumId="1" w15:restartNumberingAfterBreak="0">
    <w:nsid w:val="1F5A79C7"/>
    <w:multiLevelType w:val="multilevel"/>
    <w:tmpl w:val="7B2CBD84"/>
    <w:lvl w:ilvl="0">
      <w:start w:val="1"/>
      <w:numFmt w:val="decimal"/>
      <w:lvlText w:val="%1."/>
      <w:lvlJc w:val="left"/>
      <w:pPr>
        <w:ind w:left="0" w:firstLine="720"/>
      </w:pPr>
      <w:rPr>
        <w:rFonts w:cs="Times New Roman" w:hint="default"/>
      </w:rPr>
    </w:lvl>
    <w:lvl w:ilvl="1">
      <w:start w:val="1"/>
      <w:numFmt w:val="lowerLetter"/>
      <w:lvlText w:val="%2."/>
      <w:lvlJc w:val="left"/>
      <w:pPr>
        <w:ind w:left="0" w:firstLine="1440"/>
      </w:pPr>
      <w:rPr>
        <w:rFonts w:cs="Times New Roman" w:hint="default"/>
      </w:rPr>
    </w:lvl>
    <w:lvl w:ilvl="2">
      <w:start w:val="1"/>
      <w:numFmt w:val="lowerRoman"/>
      <w:lvlText w:val="%3."/>
      <w:lvlJc w:val="right"/>
      <w:pPr>
        <w:ind w:left="2347" w:firstLine="173"/>
      </w:pPr>
      <w:rPr>
        <w:rFonts w:cs="Times New Roman" w:hint="default"/>
      </w:rPr>
    </w:lvl>
    <w:lvl w:ilvl="3">
      <w:start w:val="1"/>
      <w:numFmt w:val="upperLetter"/>
      <w:lvlText w:val="%4."/>
      <w:lvlJc w:val="left"/>
      <w:pPr>
        <w:ind w:left="3600" w:hanging="720"/>
      </w:pPr>
      <w:rPr>
        <w:rFonts w:cs="Times New Roman" w:hint="default"/>
      </w:rPr>
    </w:lvl>
    <w:lvl w:ilvl="4">
      <w:start w:val="1"/>
      <w:numFmt w:val="decimal"/>
      <w:lvlText w:val="%5."/>
      <w:lvlJc w:val="left"/>
      <w:pPr>
        <w:ind w:left="4320" w:hanging="720"/>
      </w:pPr>
      <w:rPr>
        <w:rFonts w:cs="Times New Roman" w:hint="default"/>
      </w:rPr>
    </w:lvl>
    <w:lvl w:ilvl="5">
      <w:start w:val="1"/>
      <w:numFmt w:val="lowerRoman"/>
      <w:lvlText w:val="%6."/>
      <w:lvlJc w:val="right"/>
      <w:pPr>
        <w:ind w:left="4320" w:firstLine="0"/>
      </w:pPr>
      <w:rPr>
        <w:rFonts w:cs="Times New Roman" w:hint="default"/>
      </w:rPr>
    </w:lvl>
    <w:lvl w:ilvl="6">
      <w:start w:val="1"/>
      <w:numFmt w:val="decimal"/>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right"/>
      <w:pPr>
        <w:ind w:left="6480" w:firstLine="0"/>
      </w:pPr>
      <w:rPr>
        <w:rFonts w:cs="Times New Roman" w:hint="default"/>
      </w:rPr>
    </w:lvl>
  </w:abstractNum>
  <w:abstractNum w:abstractNumId="2" w15:restartNumberingAfterBreak="0">
    <w:nsid w:val="268E51A2"/>
    <w:multiLevelType w:val="hybridMultilevel"/>
    <w:tmpl w:val="56AEA3E2"/>
    <w:lvl w:ilvl="0" w:tplc="22709A70">
      <w:start w:val="1"/>
      <w:numFmt w:val="lowerRoman"/>
      <w:pStyle w:val="Heading3"/>
      <w:lvlText w:val="%1."/>
      <w:lvlJc w:val="left"/>
      <w:pPr>
        <w:ind w:left="2520" w:hanging="360"/>
      </w:pPr>
      <w:rPr>
        <w:rFonts w:hint="default"/>
      </w:rPr>
    </w:lvl>
    <w:lvl w:ilvl="1" w:tplc="20C0D504" w:tentative="1">
      <w:start w:val="1"/>
      <w:numFmt w:val="lowerLetter"/>
      <w:lvlText w:val="%2."/>
      <w:lvlJc w:val="left"/>
      <w:pPr>
        <w:ind w:left="1440" w:hanging="360"/>
      </w:pPr>
    </w:lvl>
    <w:lvl w:ilvl="2" w:tplc="BBEA78DC" w:tentative="1">
      <w:start w:val="1"/>
      <w:numFmt w:val="lowerRoman"/>
      <w:lvlText w:val="%3."/>
      <w:lvlJc w:val="right"/>
      <w:pPr>
        <w:ind w:left="2160" w:hanging="180"/>
      </w:pPr>
    </w:lvl>
    <w:lvl w:ilvl="3" w:tplc="0D82853C" w:tentative="1">
      <w:start w:val="1"/>
      <w:numFmt w:val="decimal"/>
      <w:lvlText w:val="%4."/>
      <w:lvlJc w:val="left"/>
      <w:pPr>
        <w:ind w:left="2880" w:hanging="360"/>
      </w:pPr>
    </w:lvl>
    <w:lvl w:ilvl="4" w:tplc="D38E98F2" w:tentative="1">
      <w:start w:val="1"/>
      <w:numFmt w:val="lowerLetter"/>
      <w:lvlText w:val="%5."/>
      <w:lvlJc w:val="left"/>
      <w:pPr>
        <w:ind w:left="3600" w:hanging="360"/>
      </w:pPr>
    </w:lvl>
    <w:lvl w:ilvl="5" w:tplc="15E094FA" w:tentative="1">
      <w:start w:val="1"/>
      <w:numFmt w:val="lowerRoman"/>
      <w:lvlText w:val="%6."/>
      <w:lvlJc w:val="right"/>
      <w:pPr>
        <w:ind w:left="4320" w:hanging="180"/>
      </w:pPr>
    </w:lvl>
    <w:lvl w:ilvl="6" w:tplc="D5C46F20" w:tentative="1">
      <w:start w:val="1"/>
      <w:numFmt w:val="decimal"/>
      <w:lvlText w:val="%7."/>
      <w:lvlJc w:val="left"/>
      <w:pPr>
        <w:ind w:left="5040" w:hanging="360"/>
      </w:pPr>
    </w:lvl>
    <w:lvl w:ilvl="7" w:tplc="97A631DA" w:tentative="1">
      <w:start w:val="1"/>
      <w:numFmt w:val="lowerLetter"/>
      <w:lvlText w:val="%8."/>
      <w:lvlJc w:val="left"/>
      <w:pPr>
        <w:ind w:left="5760" w:hanging="360"/>
      </w:pPr>
    </w:lvl>
    <w:lvl w:ilvl="8" w:tplc="FDDC873A" w:tentative="1">
      <w:start w:val="1"/>
      <w:numFmt w:val="lowerRoman"/>
      <w:lvlText w:val="%9."/>
      <w:lvlJc w:val="right"/>
      <w:pPr>
        <w:ind w:left="6480" w:hanging="180"/>
      </w:pPr>
    </w:lvl>
  </w:abstractNum>
  <w:abstractNum w:abstractNumId="3" w15:restartNumberingAfterBreak="0">
    <w:nsid w:val="66B2749B"/>
    <w:multiLevelType w:val="hybridMultilevel"/>
    <w:tmpl w:val="600E8DB8"/>
    <w:lvl w:ilvl="0" w:tplc="2A148EA6">
      <w:start w:val="1"/>
      <w:numFmt w:val="lowerLetter"/>
      <w:pStyle w:val="Heading2"/>
      <w:lvlText w:val="%1."/>
      <w:lvlJc w:val="left"/>
      <w:pPr>
        <w:ind w:left="2160" w:hanging="360"/>
      </w:pPr>
    </w:lvl>
    <w:lvl w:ilvl="1" w:tplc="0FD0EA92" w:tentative="1">
      <w:start w:val="1"/>
      <w:numFmt w:val="lowerLetter"/>
      <w:lvlText w:val="%2."/>
      <w:lvlJc w:val="left"/>
      <w:pPr>
        <w:ind w:left="2880" w:hanging="360"/>
      </w:pPr>
    </w:lvl>
    <w:lvl w:ilvl="2" w:tplc="6A1E9500" w:tentative="1">
      <w:start w:val="1"/>
      <w:numFmt w:val="lowerRoman"/>
      <w:lvlText w:val="%3."/>
      <w:lvlJc w:val="right"/>
      <w:pPr>
        <w:ind w:left="3600" w:hanging="180"/>
      </w:pPr>
    </w:lvl>
    <w:lvl w:ilvl="3" w:tplc="95042D7E" w:tentative="1">
      <w:start w:val="1"/>
      <w:numFmt w:val="decimal"/>
      <w:lvlText w:val="%4."/>
      <w:lvlJc w:val="left"/>
      <w:pPr>
        <w:ind w:left="4320" w:hanging="360"/>
      </w:pPr>
    </w:lvl>
    <w:lvl w:ilvl="4" w:tplc="C59216EC" w:tentative="1">
      <w:start w:val="1"/>
      <w:numFmt w:val="lowerLetter"/>
      <w:lvlText w:val="%5."/>
      <w:lvlJc w:val="left"/>
      <w:pPr>
        <w:ind w:left="5040" w:hanging="360"/>
      </w:pPr>
    </w:lvl>
    <w:lvl w:ilvl="5" w:tplc="C9E01852" w:tentative="1">
      <w:start w:val="1"/>
      <w:numFmt w:val="lowerRoman"/>
      <w:lvlText w:val="%6."/>
      <w:lvlJc w:val="right"/>
      <w:pPr>
        <w:ind w:left="5760" w:hanging="180"/>
      </w:pPr>
    </w:lvl>
    <w:lvl w:ilvl="6" w:tplc="488E0788" w:tentative="1">
      <w:start w:val="1"/>
      <w:numFmt w:val="decimal"/>
      <w:lvlText w:val="%7."/>
      <w:lvlJc w:val="left"/>
      <w:pPr>
        <w:ind w:left="6480" w:hanging="360"/>
      </w:pPr>
    </w:lvl>
    <w:lvl w:ilvl="7" w:tplc="4800B6A2" w:tentative="1">
      <w:start w:val="1"/>
      <w:numFmt w:val="lowerLetter"/>
      <w:lvlText w:val="%8."/>
      <w:lvlJc w:val="left"/>
      <w:pPr>
        <w:ind w:left="7200" w:hanging="360"/>
      </w:pPr>
    </w:lvl>
    <w:lvl w:ilvl="8" w:tplc="E36C4FB0" w:tentative="1">
      <w:start w:val="1"/>
      <w:numFmt w:val="lowerRoman"/>
      <w:lvlText w:val="%9."/>
      <w:lvlJc w:val="right"/>
      <w:pPr>
        <w:ind w:left="7920" w:hanging="180"/>
      </w:p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1"/>
  </w:num>
  <w:num w:numId="16">
    <w:abstractNumId w:val="1"/>
  </w:num>
  <w:num w:numId="17">
    <w:abstractNumId w:val="1"/>
  </w:num>
  <w:num w:numId="18">
    <w:abstractNumId w:val="0"/>
  </w:num>
  <w:num w:numId="19">
    <w:abstractNumId w:val="3"/>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31DF"/>
    <w:rsid w:val="00005036"/>
    <w:rsid w:val="0001744A"/>
    <w:rsid w:val="00046262"/>
    <w:rsid w:val="00051145"/>
    <w:rsid w:val="00053669"/>
    <w:rsid w:val="00060BC6"/>
    <w:rsid w:val="00063591"/>
    <w:rsid w:val="0007529D"/>
    <w:rsid w:val="000975B4"/>
    <w:rsid w:val="000C182D"/>
    <w:rsid w:val="000C542B"/>
    <w:rsid w:val="000E4C7C"/>
    <w:rsid w:val="001041EE"/>
    <w:rsid w:val="00124C31"/>
    <w:rsid w:val="00132963"/>
    <w:rsid w:val="00134C4B"/>
    <w:rsid w:val="0014535B"/>
    <w:rsid w:val="00152162"/>
    <w:rsid w:val="001564BF"/>
    <w:rsid w:val="00165CD1"/>
    <w:rsid w:val="001936FE"/>
    <w:rsid w:val="001B20C6"/>
    <w:rsid w:val="001B55F4"/>
    <w:rsid w:val="001C23B0"/>
    <w:rsid w:val="001D2EE1"/>
    <w:rsid w:val="001E5A15"/>
    <w:rsid w:val="001E6E14"/>
    <w:rsid w:val="001F657D"/>
    <w:rsid w:val="00231EDC"/>
    <w:rsid w:val="002402E3"/>
    <w:rsid w:val="002437BF"/>
    <w:rsid w:val="0025450F"/>
    <w:rsid w:val="00265A58"/>
    <w:rsid w:val="00267CAC"/>
    <w:rsid w:val="00276824"/>
    <w:rsid w:val="002876AA"/>
    <w:rsid w:val="002B79B4"/>
    <w:rsid w:val="002D52B1"/>
    <w:rsid w:val="002E666F"/>
    <w:rsid w:val="002F7782"/>
    <w:rsid w:val="003023F0"/>
    <w:rsid w:val="0030365E"/>
    <w:rsid w:val="003114B2"/>
    <w:rsid w:val="00316372"/>
    <w:rsid w:val="00326C15"/>
    <w:rsid w:val="00375662"/>
    <w:rsid w:val="003875D7"/>
    <w:rsid w:val="003878FA"/>
    <w:rsid w:val="00391084"/>
    <w:rsid w:val="003B0C24"/>
    <w:rsid w:val="003C568D"/>
    <w:rsid w:val="003C705B"/>
    <w:rsid w:val="003D6D42"/>
    <w:rsid w:val="003F033E"/>
    <w:rsid w:val="003F2531"/>
    <w:rsid w:val="003F4512"/>
    <w:rsid w:val="00405298"/>
    <w:rsid w:val="00407027"/>
    <w:rsid w:val="00447E36"/>
    <w:rsid w:val="00457D6A"/>
    <w:rsid w:val="0049413C"/>
    <w:rsid w:val="004B38B8"/>
    <w:rsid w:val="004B766B"/>
    <w:rsid w:val="004C39EE"/>
    <w:rsid w:val="004C6C8D"/>
    <w:rsid w:val="004E1711"/>
    <w:rsid w:val="004E2C1C"/>
    <w:rsid w:val="004F5CC0"/>
    <w:rsid w:val="00521CC6"/>
    <w:rsid w:val="00524332"/>
    <w:rsid w:val="005332E1"/>
    <w:rsid w:val="00536422"/>
    <w:rsid w:val="00544050"/>
    <w:rsid w:val="00544693"/>
    <w:rsid w:val="0057473D"/>
    <w:rsid w:val="00582461"/>
    <w:rsid w:val="00596591"/>
    <w:rsid w:val="005C6D59"/>
    <w:rsid w:val="005E7ADD"/>
    <w:rsid w:val="005F045D"/>
    <w:rsid w:val="005F54D8"/>
    <w:rsid w:val="0066485A"/>
    <w:rsid w:val="00676BC7"/>
    <w:rsid w:val="006E15EA"/>
    <w:rsid w:val="00720A9A"/>
    <w:rsid w:val="007409CF"/>
    <w:rsid w:val="00745B44"/>
    <w:rsid w:val="007604C3"/>
    <w:rsid w:val="007664EF"/>
    <w:rsid w:val="007A0E83"/>
    <w:rsid w:val="007A0FB3"/>
    <w:rsid w:val="007A1677"/>
    <w:rsid w:val="007B16C6"/>
    <w:rsid w:val="007B2CDD"/>
    <w:rsid w:val="007B5C14"/>
    <w:rsid w:val="007E345C"/>
    <w:rsid w:val="007E4509"/>
    <w:rsid w:val="007F2D28"/>
    <w:rsid w:val="00802CEA"/>
    <w:rsid w:val="00817E8F"/>
    <w:rsid w:val="00832127"/>
    <w:rsid w:val="00846940"/>
    <w:rsid w:val="00847250"/>
    <w:rsid w:val="0085763F"/>
    <w:rsid w:val="008908A4"/>
    <w:rsid w:val="00892E57"/>
    <w:rsid w:val="008972D2"/>
    <w:rsid w:val="008B2547"/>
    <w:rsid w:val="008C0A7B"/>
    <w:rsid w:val="008D4C85"/>
    <w:rsid w:val="008D626D"/>
    <w:rsid w:val="008E2816"/>
    <w:rsid w:val="008E6FAE"/>
    <w:rsid w:val="008F4A0C"/>
    <w:rsid w:val="009623C5"/>
    <w:rsid w:val="009733DB"/>
    <w:rsid w:val="00993BFE"/>
    <w:rsid w:val="009A31DF"/>
    <w:rsid w:val="009F1129"/>
    <w:rsid w:val="00A106BA"/>
    <w:rsid w:val="00A22FDD"/>
    <w:rsid w:val="00A24310"/>
    <w:rsid w:val="00A34CEF"/>
    <w:rsid w:val="00A43BE9"/>
    <w:rsid w:val="00A50B6D"/>
    <w:rsid w:val="00A71C4E"/>
    <w:rsid w:val="00A85A9B"/>
    <w:rsid w:val="00AA6BCD"/>
    <w:rsid w:val="00AB6FDF"/>
    <w:rsid w:val="00AC447F"/>
    <w:rsid w:val="00AD1EE6"/>
    <w:rsid w:val="00AD52D3"/>
    <w:rsid w:val="00AF38C3"/>
    <w:rsid w:val="00B0618C"/>
    <w:rsid w:val="00B10EC0"/>
    <w:rsid w:val="00B21C68"/>
    <w:rsid w:val="00B41CCB"/>
    <w:rsid w:val="00B41E1F"/>
    <w:rsid w:val="00B436B1"/>
    <w:rsid w:val="00B72BFB"/>
    <w:rsid w:val="00B75955"/>
    <w:rsid w:val="00B774D2"/>
    <w:rsid w:val="00B9173B"/>
    <w:rsid w:val="00B917FC"/>
    <w:rsid w:val="00BF66AD"/>
    <w:rsid w:val="00C05DAD"/>
    <w:rsid w:val="00C14C62"/>
    <w:rsid w:val="00C203A7"/>
    <w:rsid w:val="00C3403B"/>
    <w:rsid w:val="00C451E1"/>
    <w:rsid w:val="00C515F1"/>
    <w:rsid w:val="00C72CC9"/>
    <w:rsid w:val="00C80767"/>
    <w:rsid w:val="00CA7301"/>
    <w:rsid w:val="00CF53E0"/>
    <w:rsid w:val="00D2583E"/>
    <w:rsid w:val="00D37CB8"/>
    <w:rsid w:val="00D41E4A"/>
    <w:rsid w:val="00D47C7D"/>
    <w:rsid w:val="00D54EBB"/>
    <w:rsid w:val="00D70D64"/>
    <w:rsid w:val="00D94ABB"/>
    <w:rsid w:val="00DC3A38"/>
    <w:rsid w:val="00DF082A"/>
    <w:rsid w:val="00E153A5"/>
    <w:rsid w:val="00E2151D"/>
    <w:rsid w:val="00E2589E"/>
    <w:rsid w:val="00E32A56"/>
    <w:rsid w:val="00E346D7"/>
    <w:rsid w:val="00E54071"/>
    <w:rsid w:val="00E5587D"/>
    <w:rsid w:val="00E70282"/>
    <w:rsid w:val="00E7689E"/>
    <w:rsid w:val="00EA0517"/>
    <w:rsid w:val="00EB676C"/>
    <w:rsid w:val="00EC45C5"/>
    <w:rsid w:val="00EC68BC"/>
    <w:rsid w:val="00EC725E"/>
    <w:rsid w:val="00F05FB9"/>
    <w:rsid w:val="00F42F1A"/>
    <w:rsid w:val="00F54DA9"/>
    <w:rsid w:val="00F54F35"/>
    <w:rsid w:val="00F67A0C"/>
    <w:rsid w:val="00F92AE5"/>
    <w:rsid w:val="00F97A08"/>
    <w:rsid w:val="00FC4804"/>
    <w:rsid w:val="00FE6D69"/>
    <w:rsid w:val="00FF2571"/>
    <w:rsid w:val="00FF48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FC465"/>
  <w15:docId w15:val="{CBA6FEA7-CEF2-4B03-BF69-9FAB955A3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before="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9" w:unhideWhenUsed="1" w:qFormat="1"/>
    <w:lsdException w:name="Signature" w:semiHidden="1" w:uiPriority="14" w:unhideWhenUsed="1" w:qFormat="1"/>
    <w:lsdException w:name="Default Paragraph Font" w:semiHidden="1" w:uiPriority="1" w:unhideWhenUsed="1"/>
    <w:lsdException w:name="Body Tex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iPriority="19" w:unhideWhenUsed="1"/>
    <w:lsdException w:name="Date" w:semiHidden="1" w:uiPriority="24" w:unhideWhenUsed="1"/>
    <w:lsdException w:name="Body Text First Indent" w:semiHidden="1" w:uiPriority="0" w:unhideWhenUsed="1" w:qFormat="1"/>
    <w:lsdException w:name="Body Text First Indent 2" w:uiPriority="0" w:qFormat="1"/>
    <w:lsdException w:name="Body Text 2" w:semiHidden="1" w:uiPriority="0" w:unhideWhenUsed="1" w:qFormat="1"/>
    <w:lsdException w:name="Body Text 3"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84"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0"/>
    </w:pPr>
  </w:style>
  <w:style w:type="paragraph" w:styleId="Heading1">
    <w:name w:val="heading 1"/>
    <w:basedOn w:val="Normal"/>
    <w:next w:val="Normal"/>
    <w:link w:val="Heading1Char"/>
    <w:uiPriority w:val="9"/>
    <w:qFormat/>
    <w:pPr>
      <w:keepNext/>
      <w:keepLines/>
      <w:numPr>
        <w:numId w:val="18"/>
      </w:numPr>
      <w:spacing w:after="240"/>
      <w:outlineLvl w:val="0"/>
    </w:pPr>
    <w:rPr>
      <w:rFonts w:eastAsiaTheme="majorEastAsia" w:cstheme="majorBidi"/>
      <w:bCs/>
      <w:szCs w:val="28"/>
    </w:rPr>
  </w:style>
  <w:style w:type="paragraph" w:styleId="Heading2">
    <w:name w:val="heading 2"/>
    <w:basedOn w:val="Normal"/>
    <w:link w:val="Heading2Char"/>
    <w:uiPriority w:val="9"/>
    <w:qFormat/>
    <w:pPr>
      <w:keepNext/>
      <w:keepLines/>
      <w:numPr>
        <w:numId w:val="19"/>
      </w:numPr>
      <w:spacing w:after="240"/>
      <w:outlineLvl w:val="1"/>
    </w:pPr>
    <w:rPr>
      <w:rFonts w:eastAsiaTheme="majorEastAsia" w:cstheme="majorBidi"/>
      <w:bCs/>
      <w:szCs w:val="26"/>
    </w:rPr>
  </w:style>
  <w:style w:type="paragraph" w:styleId="Heading3">
    <w:name w:val="heading 3"/>
    <w:basedOn w:val="Normal"/>
    <w:next w:val="Normal"/>
    <w:link w:val="Heading3Char"/>
    <w:uiPriority w:val="9"/>
    <w:qFormat/>
    <w:pPr>
      <w:keepNext/>
      <w:keepLines/>
      <w:numPr>
        <w:numId w:val="20"/>
      </w:numPr>
      <w:spacing w:after="240"/>
      <w:outlineLvl w:val="2"/>
    </w:pPr>
    <w:rPr>
      <w:rFonts w:eastAsiaTheme="majorEastAsia" w:cstheme="majorBidi"/>
      <w:bCs/>
    </w:rPr>
  </w:style>
  <w:style w:type="paragraph" w:styleId="Heading4">
    <w:name w:val="heading 4"/>
    <w:basedOn w:val="Normal"/>
    <w:next w:val="Normal"/>
    <w:link w:val="Heading4Char"/>
    <w:uiPriority w:val="9"/>
    <w:unhideWhenUsed/>
    <w:qFormat/>
    <w:pPr>
      <w:keepNext/>
      <w:keepLines/>
      <w:spacing w:before="200"/>
      <w:outlineLvl w:val="3"/>
    </w:pPr>
    <w:rPr>
      <w:rFonts w:eastAsiaTheme="majorEastAsia" w:cstheme="majorBidi"/>
      <w:b/>
      <w:bCs/>
      <w:i/>
      <w:iCs/>
    </w:rPr>
  </w:style>
  <w:style w:type="paragraph" w:styleId="Heading5">
    <w:name w:val="heading 5"/>
    <w:basedOn w:val="Normal"/>
    <w:next w:val="Normal"/>
    <w:link w:val="Heading5Char"/>
    <w:uiPriority w:val="9"/>
    <w:unhideWhenUsed/>
    <w:qFormat/>
    <w:pPr>
      <w:keepNext/>
      <w:keepLines/>
      <w:spacing w:before="200"/>
      <w:outlineLvl w:val="4"/>
    </w:pPr>
    <w:rPr>
      <w:rFonts w:eastAsiaTheme="majorEastAsia" w:cstheme="majorBidi"/>
    </w:rPr>
  </w:style>
  <w:style w:type="paragraph" w:styleId="Heading6">
    <w:name w:val="heading 6"/>
    <w:basedOn w:val="Normal"/>
    <w:next w:val="Normal"/>
    <w:link w:val="Heading6Char"/>
    <w:uiPriority w:val="9"/>
    <w:semiHidden/>
    <w:unhideWhenUsed/>
    <w:qFormat/>
    <w:pPr>
      <w:keepNext/>
      <w:keepLines/>
      <w:spacing w:before="200"/>
      <w:outlineLvl w:val="5"/>
    </w:pPr>
    <w:rPr>
      <w:rFonts w:eastAsiaTheme="majorEastAsia" w:cstheme="majorBidi"/>
      <w:i/>
      <w:iCs/>
    </w:rPr>
  </w:style>
  <w:style w:type="paragraph" w:styleId="Heading7">
    <w:name w:val="heading 7"/>
    <w:basedOn w:val="Normal"/>
    <w:next w:val="Normal"/>
    <w:link w:val="Heading7Char"/>
    <w:uiPriority w:val="9"/>
    <w:semiHidden/>
    <w:unhideWhenUsed/>
    <w:qFormat/>
    <w:pPr>
      <w:keepNext/>
      <w:keepLines/>
      <w:spacing w:before="200"/>
      <w:outlineLvl w:val="6"/>
    </w:pPr>
    <w:rPr>
      <w:rFonts w:eastAsiaTheme="majorEastAsia" w:cstheme="majorBidi"/>
      <w:i/>
      <w:iCs/>
    </w:rPr>
  </w:style>
  <w:style w:type="paragraph" w:styleId="Heading8">
    <w:name w:val="heading 8"/>
    <w:basedOn w:val="Normal"/>
    <w:next w:val="Normal"/>
    <w:link w:val="Heading8Char"/>
    <w:uiPriority w:val="9"/>
    <w:semiHidden/>
    <w:unhideWhenUsed/>
    <w:qFormat/>
    <w:pPr>
      <w:keepNext/>
      <w:keepLines/>
      <w:spacing w:before="200"/>
      <w:outlineLvl w:val="7"/>
    </w:pPr>
    <w:rPr>
      <w:rFonts w:eastAsiaTheme="majorEastAsia" w:cstheme="majorBidi"/>
    </w:rPr>
  </w:style>
  <w:style w:type="paragraph" w:styleId="Heading9">
    <w:name w:val="heading 9"/>
    <w:basedOn w:val="Normal"/>
    <w:next w:val="Normal"/>
    <w:link w:val="Heading9Char"/>
    <w:uiPriority w:val="9"/>
    <w:semiHidden/>
    <w:unhideWhenUsed/>
    <w:qFormat/>
    <w:pPr>
      <w:keepNext/>
      <w:keepLines/>
      <w:spacing w:before="200"/>
      <w:outlineLvl w:val="8"/>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link w:val="BodyTextChar"/>
    <w:qFormat/>
    <w:pPr>
      <w:spacing w:before="0" w:after="240"/>
    </w:pPr>
  </w:style>
  <w:style w:type="character" w:customStyle="1" w:styleId="BodyTextChar">
    <w:name w:val="Body Text Char"/>
    <w:basedOn w:val="DefaultParagraphFont"/>
    <w:link w:val="BodyText"/>
  </w:style>
  <w:style w:type="paragraph" w:styleId="BodyText2">
    <w:name w:val="Body Text 2"/>
    <w:basedOn w:val="Normal"/>
    <w:link w:val="BodyText2Char"/>
    <w:qFormat/>
    <w:pPr>
      <w:spacing w:after="240" w:line="480" w:lineRule="auto"/>
    </w:pPr>
  </w:style>
  <w:style w:type="character" w:customStyle="1" w:styleId="BodyText2Char">
    <w:name w:val="Body Text 2 Char"/>
    <w:basedOn w:val="DefaultParagraphFont"/>
    <w:link w:val="BodyText2"/>
  </w:style>
  <w:style w:type="paragraph" w:styleId="BodyTextFirstIndent">
    <w:name w:val="Body Text First Indent"/>
    <w:basedOn w:val="BodyText"/>
    <w:link w:val="BodyTextFirstIndentChar"/>
    <w:qFormat/>
    <w:pPr>
      <w:ind w:firstLine="720"/>
    </w:pPr>
  </w:style>
  <w:style w:type="character" w:customStyle="1" w:styleId="BodyTextFirstIndentChar">
    <w:name w:val="Body Text First Indent Char"/>
    <w:basedOn w:val="BodyTextChar"/>
    <w:link w:val="BodyTextFirstIndent"/>
  </w:style>
  <w:style w:type="character" w:customStyle="1" w:styleId="Heading1Char">
    <w:name w:val="Heading 1 Char"/>
    <w:basedOn w:val="DefaultParagraphFont"/>
    <w:link w:val="Heading1"/>
    <w:uiPriority w:val="9"/>
    <w:rPr>
      <w:rFonts w:eastAsiaTheme="majorEastAsia" w:cstheme="majorBidi"/>
      <w:bCs/>
      <w:szCs w:val="28"/>
    </w:rPr>
  </w:style>
  <w:style w:type="character" w:customStyle="1" w:styleId="Heading2Char">
    <w:name w:val="Heading 2 Char"/>
    <w:basedOn w:val="DefaultParagraphFont"/>
    <w:link w:val="Heading2"/>
    <w:uiPriority w:val="9"/>
    <w:rPr>
      <w:rFonts w:eastAsiaTheme="majorEastAsia" w:cstheme="majorBidi"/>
      <w:bCs/>
      <w:szCs w:val="26"/>
    </w:rPr>
  </w:style>
  <w:style w:type="character" w:customStyle="1" w:styleId="Heading3Char">
    <w:name w:val="Heading 3 Char"/>
    <w:basedOn w:val="DefaultParagraphFont"/>
    <w:link w:val="Heading3"/>
    <w:uiPriority w:val="9"/>
    <w:rPr>
      <w:rFonts w:eastAsiaTheme="majorEastAsia" w:cstheme="majorBidi"/>
      <w:bCs/>
    </w:rPr>
  </w:style>
  <w:style w:type="character" w:customStyle="1" w:styleId="Heading4Char">
    <w:name w:val="Heading 4 Char"/>
    <w:basedOn w:val="DefaultParagraphFont"/>
    <w:link w:val="Heading4"/>
    <w:uiPriority w:val="9"/>
    <w:rPr>
      <w:rFonts w:eastAsiaTheme="majorEastAsia" w:cstheme="majorBidi"/>
      <w:b/>
      <w:bCs/>
      <w:i/>
      <w:iCs/>
    </w:rPr>
  </w:style>
  <w:style w:type="character" w:customStyle="1" w:styleId="Heading5Char">
    <w:name w:val="Heading 5 Char"/>
    <w:basedOn w:val="DefaultParagraphFont"/>
    <w:link w:val="Heading5"/>
    <w:uiPriority w:val="9"/>
    <w:rPr>
      <w:rFonts w:eastAsiaTheme="majorEastAsia" w:cstheme="majorBidi"/>
    </w:rPr>
  </w:style>
  <w:style w:type="character" w:customStyle="1" w:styleId="Heading6Char">
    <w:name w:val="Heading 6 Char"/>
    <w:basedOn w:val="DefaultParagraphFont"/>
    <w:link w:val="Heading6"/>
    <w:uiPriority w:val="9"/>
    <w:semiHidden/>
    <w:rPr>
      <w:rFonts w:eastAsiaTheme="majorEastAsia" w:cstheme="majorBidi"/>
      <w:i/>
      <w:iCs/>
    </w:rPr>
  </w:style>
  <w:style w:type="paragraph" w:customStyle="1" w:styleId="BlockText5">
    <w:name w:val="Block Text .5"/>
    <w:basedOn w:val="Normal"/>
    <w:qFormat/>
    <w:pPr>
      <w:spacing w:after="240"/>
      <w:ind w:left="720" w:right="720"/>
    </w:pPr>
    <w:rPr>
      <w:rFonts w:eastAsia="Times New Roman"/>
    </w:rPr>
  </w:style>
  <w:style w:type="paragraph" w:customStyle="1" w:styleId="BlockIndent1">
    <w:name w:val="Block Indent 1"/>
    <w:basedOn w:val="BlockText5"/>
    <w:qFormat/>
    <w:pPr>
      <w:ind w:left="1440" w:right="1440"/>
    </w:pPr>
  </w:style>
  <w:style w:type="paragraph" w:customStyle="1" w:styleId="BlockIndent10">
    <w:name w:val="Block Indent 1.0"/>
    <w:basedOn w:val="BlockText5"/>
    <w:autoRedefine/>
    <w:semiHidden/>
    <w:pPr>
      <w:ind w:left="1440" w:right="1440"/>
    </w:pPr>
  </w:style>
  <w:style w:type="paragraph" w:styleId="BodyTextIndent">
    <w:name w:val="Body Text Indent"/>
    <w:basedOn w:val="Normal"/>
    <w:link w:val="BodyTextIndentChar"/>
    <w:uiPriority w:val="99"/>
    <w:unhideWhenUsed/>
    <w:pPr>
      <w:spacing w:after="120"/>
      <w:ind w:left="360"/>
    </w:pPr>
  </w:style>
  <w:style w:type="character" w:customStyle="1" w:styleId="BodyTextIndentChar">
    <w:name w:val="Body Text Indent Char"/>
    <w:basedOn w:val="DefaultParagraphFont"/>
    <w:link w:val="BodyTextIndent"/>
    <w:uiPriority w:val="99"/>
  </w:style>
  <w:style w:type="paragraph" w:styleId="BodyTextFirstIndent2">
    <w:name w:val="Body Text First Indent 2"/>
    <w:basedOn w:val="BodyTextIndent"/>
    <w:link w:val="BodyTextFirstIndent2Char"/>
    <w:qFormat/>
    <w:pPr>
      <w:spacing w:after="240" w:line="480" w:lineRule="auto"/>
      <w:ind w:left="0" w:firstLine="720"/>
    </w:pPr>
  </w:style>
  <w:style w:type="character" w:customStyle="1" w:styleId="BodyTextFirstIndent2Char">
    <w:name w:val="Body Text First Indent 2 Char"/>
    <w:basedOn w:val="BodyTextIndentChar"/>
    <w:link w:val="BodyTextFirstIndent2"/>
  </w:style>
  <w:style w:type="paragraph" w:customStyle="1" w:styleId="CenterBold">
    <w:name w:val="Center Bold"/>
    <w:basedOn w:val="Normal"/>
    <w:qFormat/>
    <w:pPr>
      <w:spacing w:after="240"/>
      <w:jc w:val="center"/>
    </w:pPr>
    <w:rPr>
      <w:rFonts w:eastAsia="Times New Roman"/>
      <w:b/>
    </w:rPr>
  </w:style>
  <w:style w:type="paragraph" w:customStyle="1" w:styleId="CenterBoldUnderline">
    <w:name w:val="Center Bold &amp; Underline"/>
    <w:basedOn w:val="CenterBold"/>
    <w:qFormat/>
    <w:rPr>
      <w:u w:val="single"/>
    </w:rPr>
  </w:style>
  <w:style w:type="paragraph" w:styleId="Closing">
    <w:name w:val="Closing"/>
    <w:basedOn w:val="Normal"/>
    <w:link w:val="ClosingChar"/>
    <w:uiPriority w:val="9"/>
    <w:qFormat/>
    <w:pPr>
      <w:spacing w:after="720"/>
      <w:ind w:left="4320"/>
    </w:pPr>
  </w:style>
  <w:style w:type="character" w:customStyle="1" w:styleId="ClosingChar">
    <w:name w:val="Closing Char"/>
    <w:basedOn w:val="DefaultParagraphFont"/>
    <w:link w:val="Closing"/>
    <w:uiPriority w:val="9"/>
  </w:style>
  <w:style w:type="paragraph" w:styleId="Date">
    <w:name w:val="Date"/>
    <w:basedOn w:val="Normal"/>
    <w:next w:val="Normal"/>
    <w:link w:val="DateChar"/>
    <w:uiPriority w:val="24"/>
  </w:style>
  <w:style w:type="character" w:customStyle="1" w:styleId="DateChar">
    <w:name w:val="Date Char"/>
    <w:basedOn w:val="DefaultParagraphFont"/>
    <w:link w:val="Date"/>
    <w:uiPriority w:val="24"/>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character" w:customStyle="1" w:styleId="Heading7Char">
    <w:name w:val="Heading 7 Char"/>
    <w:basedOn w:val="DefaultParagraphFont"/>
    <w:link w:val="Heading7"/>
    <w:uiPriority w:val="9"/>
    <w:semiHidden/>
    <w:rPr>
      <w:rFonts w:eastAsiaTheme="majorEastAsia" w:cstheme="majorBidi"/>
      <w:i/>
      <w:iCs/>
    </w:rPr>
  </w:style>
  <w:style w:type="character" w:customStyle="1" w:styleId="Heading8Char">
    <w:name w:val="Heading 8 Char"/>
    <w:basedOn w:val="DefaultParagraphFont"/>
    <w:link w:val="Heading8"/>
    <w:uiPriority w:val="9"/>
    <w:semiHidden/>
    <w:rPr>
      <w:rFonts w:eastAsiaTheme="majorEastAsia" w:cstheme="majorBidi"/>
    </w:rPr>
  </w:style>
  <w:style w:type="character" w:customStyle="1" w:styleId="Heading9Char">
    <w:name w:val="Heading 9 Char"/>
    <w:basedOn w:val="DefaultParagraphFont"/>
    <w:link w:val="Heading9"/>
    <w:uiPriority w:val="9"/>
    <w:semiHidden/>
    <w:rPr>
      <w:rFonts w:eastAsiaTheme="majorEastAsia" w:cstheme="majorBidi"/>
      <w:i/>
      <w:iCs/>
    </w:rPr>
  </w:style>
  <w:style w:type="paragraph" w:styleId="IntenseQuote">
    <w:name w:val="Intense Quote"/>
    <w:basedOn w:val="Normal"/>
    <w:next w:val="Normal"/>
    <w:link w:val="IntenseQuoteChar"/>
    <w:uiPriority w:val="84"/>
    <w:unhideWhenUsed/>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84"/>
    <w:rPr>
      <w:b/>
      <w:bCs/>
      <w:i/>
      <w:iCs/>
      <w:color w:val="5B9BD5" w:themeColor="accent1"/>
    </w:rPr>
  </w:style>
  <w:style w:type="paragraph" w:customStyle="1" w:styleId="LeftBold">
    <w:name w:val="Left Bold"/>
    <w:basedOn w:val="Normal"/>
    <w:qFormat/>
    <w:pPr>
      <w:spacing w:after="240"/>
    </w:pPr>
    <w:rPr>
      <w:rFonts w:eastAsia="Times New Roman"/>
      <w:b/>
    </w:rPr>
  </w:style>
  <w:style w:type="paragraph" w:customStyle="1" w:styleId="LeftBoldUnderline">
    <w:name w:val="Left Bold &amp; Underline"/>
    <w:basedOn w:val="Normal"/>
    <w:qFormat/>
    <w:pPr>
      <w:spacing w:after="240"/>
    </w:pPr>
    <w:rPr>
      <w:rFonts w:eastAsia="Times New Roman"/>
      <w:b/>
      <w:u w:val="single"/>
    </w:rPr>
  </w:style>
  <w:style w:type="paragraph" w:styleId="ListParagraph">
    <w:name w:val="List Paragraph"/>
    <w:basedOn w:val="Normal"/>
    <w:uiPriority w:val="34"/>
    <w:qFormat/>
    <w:pPr>
      <w:ind w:left="720"/>
      <w:contextualSpacing/>
    </w:pPr>
  </w:style>
  <w:style w:type="paragraph" w:customStyle="1" w:styleId="ReLine">
    <w:name w:val="Re: Line"/>
    <w:basedOn w:val="Normal"/>
    <w:qFormat/>
    <w:pPr>
      <w:ind w:left="1440" w:hanging="720"/>
    </w:pPr>
    <w:rPr>
      <w:rFonts w:eastAsia="Times New Roman"/>
    </w:rPr>
  </w:style>
  <w:style w:type="paragraph" w:styleId="Salutation">
    <w:name w:val="Salutation"/>
    <w:basedOn w:val="Normal"/>
    <w:next w:val="Normal"/>
    <w:link w:val="SalutationChar"/>
    <w:uiPriority w:val="19"/>
  </w:style>
  <w:style w:type="character" w:customStyle="1" w:styleId="SalutationChar">
    <w:name w:val="Salutation Char"/>
    <w:basedOn w:val="DefaultParagraphFont"/>
    <w:link w:val="Salutation"/>
    <w:uiPriority w:val="19"/>
  </w:style>
  <w:style w:type="paragraph" w:styleId="Signature">
    <w:name w:val="Signature"/>
    <w:basedOn w:val="Normal"/>
    <w:link w:val="SignatureChar"/>
    <w:uiPriority w:val="14"/>
    <w:qFormat/>
    <w:pPr>
      <w:ind w:left="4320"/>
    </w:pPr>
  </w:style>
  <w:style w:type="character" w:customStyle="1" w:styleId="SignatureChar">
    <w:name w:val="Signature Char"/>
    <w:basedOn w:val="DefaultParagraphFont"/>
    <w:link w:val="Signature"/>
    <w:uiPriority w:val="14"/>
  </w:style>
  <w:style w:type="paragraph" w:customStyle="1" w:styleId="SingleLine">
    <w:name w:val="Single Line"/>
    <w:basedOn w:val="BodyText"/>
    <w:qFormat/>
    <w:pPr>
      <w:spacing w:after="0"/>
    </w:pPr>
    <w:rPr>
      <w:rFonts w:eastAsia="Times New Roman"/>
    </w:rPr>
  </w:style>
  <w:style w:type="paragraph" w:styleId="TOAHeading">
    <w:name w:val="toa heading"/>
    <w:basedOn w:val="Normal"/>
    <w:next w:val="Normal"/>
    <w:uiPriority w:val="99"/>
    <w:semiHidden/>
    <w:unhideWhenUsed/>
    <w:pPr>
      <w:spacing w:before="120"/>
    </w:pPr>
    <w:rPr>
      <w:rFonts w:eastAsiaTheme="majorEastAsia" w:cstheme="majorBidi"/>
      <w:b/>
      <w:bCs/>
    </w:rPr>
  </w:style>
  <w:style w:type="paragraph" w:styleId="TOC1">
    <w:name w:val="toc 1"/>
    <w:basedOn w:val="Normal"/>
    <w:next w:val="Normal"/>
    <w:autoRedefine/>
    <w:uiPriority w:val="39"/>
    <w:semiHidden/>
    <w:unhideWhenUsed/>
    <w:pPr>
      <w:spacing w:after="100"/>
    </w:pPr>
  </w:style>
  <w:style w:type="paragraph" w:styleId="TOCHeading">
    <w:name w:val="TOC Heading"/>
    <w:basedOn w:val="Normal"/>
    <w:next w:val="TOC1"/>
    <w:uiPriority w:val="39"/>
    <w:semiHidden/>
    <w:unhideWhenUsed/>
    <w:qFormat/>
    <w:pPr>
      <w:keepNext/>
      <w:keepLines/>
      <w:spacing w:before="480"/>
    </w:pPr>
    <w:rPr>
      <w:rFonts w:asciiTheme="majorHAnsi" w:eastAsiaTheme="majorEastAsia" w:hAnsiTheme="majorHAnsi" w:cstheme="majorBidi"/>
      <w:b/>
      <w:bCs/>
      <w:sz w:val="28"/>
      <w:szCs w:val="28"/>
    </w:rPr>
  </w:style>
  <w:style w:type="paragraph" w:styleId="BalloonText">
    <w:name w:val="Balloon Text"/>
    <w:basedOn w:val="Normal"/>
    <w:link w:val="BalloonTextChar"/>
    <w:uiPriority w:val="99"/>
    <w:semiHidden/>
    <w:unhideWhenUsed/>
    <w:rsid w:val="00FE678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6785"/>
    <w:rPr>
      <w:rFonts w:ascii="Segoe UI" w:hAnsi="Segoe UI" w:cs="Segoe UI"/>
      <w:sz w:val="18"/>
      <w:szCs w:val="18"/>
    </w:rPr>
  </w:style>
  <w:style w:type="character" w:styleId="Hyperlink">
    <w:name w:val="Hyperlink"/>
    <w:basedOn w:val="DefaultParagraphFont"/>
    <w:uiPriority w:val="99"/>
    <w:unhideWhenUsed/>
    <w:rsid w:val="008E671F"/>
    <w:rPr>
      <w:color w:val="0563C1" w:themeColor="hyperlink"/>
      <w:u w:val="single"/>
    </w:rPr>
  </w:style>
  <w:style w:type="character" w:styleId="FollowedHyperlink">
    <w:name w:val="FollowedHyperlink"/>
    <w:basedOn w:val="DefaultParagraphFont"/>
    <w:uiPriority w:val="99"/>
    <w:semiHidden/>
    <w:unhideWhenUsed/>
    <w:rsid w:val="00CB5B21"/>
    <w:rPr>
      <w:color w:val="954F72" w:themeColor="followedHyperlink"/>
      <w:u w:val="single"/>
    </w:rPr>
  </w:style>
  <w:style w:type="paragraph" w:styleId="NormalWeb">
    <w:name w:val="Normal (Web)"/>
    <w:basedOn w:val="Normal"/>
    <w:uiPriority w:val="99"/>
    <w:unhideWhenUsed/>
    <w:rsid w:val="000975B4"/>
    <w:pPr>
      <w:spacing w:before="100" w:beforeAutospacing="1" w:after="100" w:afterAutospacing="1"/>
    </w:pPr>
    <w:rPr>
      <w:rFonts w:eastAsia="Times New Roman"/>
    </w:rPr>
  </w:style>
  <w:style w:type="character" w:styleId="UnresolvedMention">
    <w:name w:val="Unresolved Mention"/>
    <w:basedOn w:val="DefaultParagraphFont"/>
    <w:uiPriority w:val="99"/>
    <w:semiHidden/>
    <w:unhideWhenUsed/>
    <w:rsid w:val="00DF08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151934">
      <w:bodyDiv w:val="1"/>
      <w:marLeft w:val="0"/>
      <w:marRight w:val="0"/>
      <w:marTop w:val="0"/>
      <w:marBottom w:val="0"/>
      <w:divBdr>
        <w:top w:val="none" w:sz="0" w:space="0" w:color="auto"/>
        <w:left w:val="none" w:sz="0" w:space="0" w:color="auto"/>
        <w:bottom w:val="none" w:sz="0" w:space="0" w:color="auto"/>
        <w:right w:val="none" w:sz="0" w:space="0" w:color="auto"/>
      </w:divBdr>
    </w:div>
    <w:div w:id="728000356">
      <w:bodyDiv w:val="1"/>
      <w:marLeft w:val="0"/>
      <w:marRight w:val="0"/>
      <w:marTop w:val="0"/>
      <w:marBottom w:val="0"/>
      <w:divBdr>
        <w:top w:val="none" w:sz="0" w:space="0" w:color="auto"/>
        <w:left w:val="none" w:sz="0" w:space="0" w:color="auto"/>
        <w:bottom w:val="none" w:sz="0" w:space="0" w:color="auto"/>
        <w:right w:val="none" w:sz="0" w:space="0" w:color="auto"/>
      </w:divBdr>
    </w:div>
    <w:div w:id="1206988366">
      <w:bodyDiv w:val="1"/>
      <w:marLeft w:val="0"/>
      <w:marRight w:val="0"/>
      <w:marTop w:val="0"/>
      <w:marBottom w:val="0"/>
      <w:divBdr>
        <w:top w:val="none" w:sz="0" w:space="0" w:color="auto"/>
        <w:left w:val="none" w:sz="0" w:space="0" w:color="auto"/>
        <w:bottom w:val="none" w:sz="0" w:space="0" w:color="auto"/>
        <w:right w:val="none" w:sz="0" w:space="0" w:color="auto"/>
      </w:divBdr>
    </w:div>
    <w:div w:id="1239560351">
      <w:bodyDiv w:val="1"/>
      <w:marLeft w:val="0"/>
      <w:marRight w:val="0"/>
      <w:marTop w:val="0"/>
      <w:marBottom w:val="0"/>
      <w:divBdr>
        <w:top w:val="none" w:sz="0" w:space="0" w:color="auto"/>
        <w:left w:val="none" w:sz="0" w:space="0" w:color="auto"/>
        <w:bottom w:val="none" w:sz="0" w:space="0" w:color="auto"/>
        <w:right w:val="none" w:sz="0" w:space="0" w:color="auto"/>
      </w:divBdr>
    </w:div>
    <w:div w:id="1850244887">
      <w:bodyDiv w:val="1"/>
      <w:marLeft w:val="0"/>
      <w:marRight w:val="0"/>
      <w:marTop w:val="0"/>
      <w:marBottom w:val="0"/>
      <w:divBdr>
        <w:top w:val="none" w:sz="0" w:space="0" w:color="auto"/>
        <w:left w:val="none" w:sz="0" w:space="0" w:color="auto"/>
        <w:bottom w:val="none" w:sz="0" w:space="0" w:color="auto"/>
        <w:right w:val="none" w:sz="0" w:space="0" w:color="auto"/>
      </w:divBdr>
    </w:div>
    <w:div w:id="2034378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tmc.com/avidxchange-holdings-inc-investigation?utm_source=PR&amp;utm_medium=link&amp;utm_campaign=avdx&amp;mktm=r" TargetMode="External"/><Relationship Id="rId13" Type="http://schemas.openxmlformats.org/officeDocument/2006/relationships/hyperlink" Target="http://www.ktmc.com" TargetMode="External"/><Relationship Id="rId3" Type="http://schemas.openxmlformats.org/officeDocument/2006/relationships/styles" Target="styles.xml"/><Relationship Id="rId7" Type="http://schemas.openxmlformats.org/officeDocument/2006/relationships/hyperlink" Target="http://www.ktmc.com" TargetMode="External"/><Relationship Id="rId12" Type="http://schemas.openxmlformats.org/officeDocument/2006/relationships/hyperlink" Target="https://www.ktmc.com/avidxchange-holdings-inc-investigation?utm_source=PR&amp;utm_medium=link&amp;utm_campaign=avdx&amp;mktm=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www.ktmc.com/avidxchange-holdings-inc-investigation?utm_source=PR&amp;utm_medium=link&amp;utm_campaign=avdx&amp;mktm=r" TargetMode="External"/><Relationship Id="rId11" Type="http://schemas.openxmlformats.org/officeDocument/2006/relationships/hyperlink" Target="https://www.ktmc.com/avidxchange-holdings-inc-investigation?utm_source=PR&amp;utm_medium=link&amp;utm_campaign=avdx&amp;mktm=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ktmc.com/avidxchange-holdings-inc-investigation?utm_source=PR&amp;utm_medium=link&amp;utm_campaign=avdx&amp;mktm=r" TargetMode="External"/><Relationship Id="rId4" Type="http://schemas.openxmlformats.org/officeDocument/2006/relationships/settings" Target="settings.xml"/><Relationship Id="rId9" Type="http://schemas.openxmlformats.org/officeDocument/2006/relationships/hyperlink" Target="mailto:info@ktmc.com" TargetMode="External"/><Relationship Id="rId14" Type="http://schemas.openxmlformats.org/officeDocument/2006/relationships/hyperlink" Target="mailto:info@ktm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87BA3C-E810-47E1-920E-01E6B9DBCA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487</Words>
  <Characters>2778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 Naji</dc:creator>
  <cp:lastModifiedBy>Alyssa Cahill</cp:lastModifiedBy>
  <cp:revision>2</cp:revision>
  <dcterms:created xsi:type="dcterms:W3CDTF">2024-08-15T21:00:00Z</dcterms:created>
  <dcterms:modified xsi:type="dcterms:W3CDTF">2024-08-15T21:00:00Z</dcterms:modified>
</cp:coreProperties>
</file>