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2873D6DF" w14:textId="77777777" w:rsidR="006B5AE1" w:rsidRDefault="006B5AE1" w:rsidP="006B5AE1">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MongoDB (MDB) Investors with Substantial Losses Encouraged to Contact Hagens Berman By Sept. 9th Deadline in Securities Class Action</w:t>
      </w:r>
    </w:p>
    <w:p w14:paraId="1DC5559A" w14:textId="0EDA989D" w:rsidR="00355936" w:rsidRDefault="0061294D"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Aug. </w:t>
      </w:r>
      <w:r w:rsidR="000A10E0">
        <w:rPr>
          <w:rFonts w:ascii="Times New Roman" w:hAnsi="Times New Roman" w:cs="Times New Roman"/>
          <w:bCs/>
          <w:szCs w:val="22"/>
        </w:rPr>
        <w:t>31</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3763FD7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E63FC1">
        <w:rPr>
          <w:rFonts w:ascii="Times New Roman" w:hAnsi="Times New Roman" w:cs="Times New Roman"/>
          <w:bCs/>
          <w:szCs w:val="22"/>
        </w:rPr>
        <w:t>MongoDB</w:t>
      </w:r>
      <w:r w:rsidR="00F6751E">
        <w:rPr>
          <w:rFonts w:ascii="Times New Roman" w:hAnsi="Times New Roman" w:cs="Times New Roman"/>
          <w:bCs/>
          <w:szCs w:val="22"/>
        </w:rPr>
        <w:t xml:space="preserve">, Inc. </w:t>
      </w:r>
      <w:r w:rsidR="009D7628" w:rsidRPr="00A36103">
        <w:rPr>
          <w:rFonts w:ascii="Times New Roman" w:hAnsi="Times New Roman" w:cs="Times New Roman"/>
          <w:b/>
          <w:szCs w:val="22"/>
        </w:rPr>
        <w:t>(</w:t>
      </w:r>
      <w:r w:rsidR="00E675AB">
        <w:rPr>
          <w:rFonts w:ascii="Times New Roman" w:hAnsi="Times New Roman" w:cs="Times New Roman"/>
          <w:b/>
          <w:szCs w:val="22"/>
        </w:rPr>
        <w:t>NASDAQ</w:t>
      </w:r>
      <w:r w:rsidR="003046D3">
        <w:rPr>
          <w:rFonts w:ascii="Times New Roman" w:hAnsi="Times New Roman" w:cs="Times New Roman"/>
          <w:b/>
          <w:szCs w:val="22"/>
        </w:rPr>
        <w:t xml:space="preserve">: </w:t>
      </w:r>
      <w:r w:rsidR="00E63FC1">
        <w:rPr>
          <w:rFonts w:ascii="Times New Roman" w:hAnsi="Times New Roman" w:cs="Times New Roman"/>
          <w:b/>
          <w:szCs w:val="22"/>
        </w:rPr>
        <w:t>MDB</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4284B99C" w14:textId="11FFFBE1" w:rsidR="00E63FC1" w:rsidRPr="001B1660" w:rsidRDefault="00E63FC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Aug</w:t>
      </w:r>
      <w:r w:rsidR="0012418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31, 2023 – May 30, 2024</w:t>
      </w:r>
    </w:p>
    <w:p w14:paraId="6B8BC18A" w14:textId="246E8FF3" w:rsidR="00E63FC1" w:rsidRPr="001B1660" w:rsidRDefault="00E63FC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Sept</w:t>
      </w:r>
      <w:r w:rsidR="0012418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9, 2024</w:t>
      </w:r>
    </w:p>
    <w:p w14:paraId="75DEA591" w14:textId="3445217C"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E63FC1" w:rsidRPr="006B34CF">
          <w:rPr>
            <w:rStyle w:val="Hyperlink"/>
            <w:rFonts w:ascii="Times New Roman" w:hAnsi="Times New Roman" w:cs="Times New Roman"/>
            <w:bCs/>
            <w:szCs w:val="22"/>
          </w:rPr>
          <w:t>www.hbsslaw.com/investor-fraud/mdb</w:t>
        </w:r>
      </w:hyperlink>
      <w:r w:rsidR="00E63FC1">
        <w:rPr>
          <w:rStyle w:val="Hyperlink"/>
          <w:rFonts w:ascii="Times New Roman" w:hAnsi="Times New Roman" w:cs="Times New Roman"/>
          <w:bCs/>
          <w:szCs w:val="22"/>
        </w:rPr>
        <w:t xml:space="preserve"> </w:t>
      </w:r>
    </w:p>
    <w:p w14:paraId="798298FE" w14:textId="5163E2B7"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E63FC1" w:rsidRPr="006B34CF">
          <w:rPr>
            <w:rStyle w:val="Hyperlink"/>
            <w:rFonts w:ascii="Times New Roman" w:hAnsi="Times New Roman" w:cs="Times New Roman"/>
          </w:rPr>
          <w:t>MDB@hbsslaw.com</w:t>
        </w:r>
      </w:hyperlink>
      <w:r w:rsidR="00E63FC1">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5EBE625A" w:rsidR="005165F2" w:rsidRPr="00AC0574" w:rsidRDefault="00E80A6E"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Class Action Lawsuit Against MongoDB</w:t>
      </w:r>
      <w:r w:rsidR="00F6751E">
        <w:rPr>
          <w:rFonts w:ascii="Times New Roman" w:eastAsia="Times New Roman" w:hAnsi="Times New Roman" w:cs="Times New Roman"/>
          <w:b/>
          <w:bCs/>
          <w:color w:val="111111"/>
          <w:szCs w:val="24"/>
        </w:rPr>
        <w:t xml:space="preserve">, Inc. </w:t>
      </w:r>
      <w:r w:rsidR="005165F2" w:rsidRPr="00AC0574">
        <w:rPr>
          <w:rFonts w:ascii="Times New Roman" w:eastAsia="Times New Roman" w:hAnsi="Times New Roman" w:cs="Times New Roman"/>
          <w:b/>
          <w:bCs/>
          <w:color w:val="111111"/>
          <w:szCs w:val="24"/>
        </w:rPr>
        <w:t>(</w:t>
      </w:r>
      <w:r>
        <w:rPr>
          <w:rFonts w:ascii="Times New Roman" w:eastAsia="Times New Roman" w:hAnsi="Times New Roman" w:cs="Times New Roman"/>
          <w:b/>
          <w:bCs/>
          <w:color w:val="111111"/>
          <w:szCs w:val="24"/>
        </w:rPr>
        <w:t>MDB</w:t>
      </w:r>
      <w:r w:rsidR="005165F2" w:rsidRPr="00AC0574">
        <w:rPr>
          <w:rFonts w:ascii="Times New Roman" w:eastAsia="Times New Roman" w:hAnsi="Times New Roman" w:cs="Times New Roman"/>
          <w:b/>
          <w:bCs/>
          <w:color w:val="111111"/>
          <w:szCs w:val="24"/>
        </w:rPr>
        <w:t>):</w:t>
      </w:r>
    </w:p>
    <w:p w14:paraId="0C13B22E" w14:textId="2BFDB62A" w:rsidR="00425AB7"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 xml:space="preserve">MongoDB Inc., a provider of document-database software, </w:t>
      </w:r>
      <w:r>
        <w:rPr>
          <w:rFonts w:ascii="Times New Roman" w:eastAsia="Times New Roman" w:hAnsi="Times New Roman" w:cs="Times New Roman"/>
          <w:color w:val="111111"/>
          <w:szCs w:val="24"/>
        </w:rPr>
        <w:t>now faces an investor class action</w:t>
      </w:r>
      <w:r w:rsidRPr="00C41500">
        <w:rPr>
          <w:rFonts w:ascii="Times New Roman" w:eastAsia="Times New Roman" w:hAnsi="Times New Roman" w:cs="Times New Roman"/>
          <w:color w:val="111111"/>
          <w:szCs w:val="24"/>
        </w:rPr>
        <w:t xml:space="preserve"> after revising its fiscal year 2025 revenue guidance twice in recent months. </w:t>
      </w:r>
    </w:p>
    <w:p w14:paraId="34FF9905" w14:textId="76541E77" w:rsidR="00E80A6E"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Previously, MongoDB management expressed confidence in its ability to achieve its FY 2025 revenue targets. This confidence stemmed from initiatives such as restructuring sales force incentives and reducing pressure on upfront customer commitments. Additionally, management emphasized efforts to mitigate risks associated with seasonal trends and broader economic factors</w:t>
      </w:r>
      <w:r w:rsidR="00EA4A49">
        <w:rPr>
          <w:rFonts w:ascii="Times New Roman" w:eastAsia="Times New Roman" w:hAnsi="Times New Roman" w:cs="Times New Roman"/>
          <w:color w:val="111111"/>
          <w:szCs w:val="24"/>
        </w:rPr>
        <w:t>.</w:t>
      </w:r>
    </w:p>
    <w:p w14:paraId="7940C249" w14:textId="0619F776" w:rsidR="00A3414E"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However, on March 7, 2024, MongoDB surprised investors with a downward revision of its full-year guidance. The company attributed the decrease to a restructuring of its sales force compensation model, which it said led to a decline in upfront customer commitments and revenue from multi-year licensing deals. Notably, management acknowledged this change could have resulted in higher guidance if sales capacity had not been impacted. This news led to a significant decline in MongoDB's stock price</w:t>
      </w:r>
      <w:r w:rsidR="00A3414E">
        <w:rPr>
          <w:rFonts w:ascii="Times New Roman" w:eastAsia="Times New Roman" w:hAnsi="Times New Roman" w:cs="Times New Roman"/>
          <w:color w:val="111111"/>
          <w:szCs w:val="24"/>
        </w:rPr>
        <w:t>.</w:t>
      </w:r>
    </w:p>
    <w:p w14:paraId="7E4BDD4A" w14:textId="2D3717CD" w:rsidR="007220EB" w:rsidRPr="00AC0574" w:rsidRDefault="00C41500" w:rsidP="005165F2">
      <w:pPr>
        <w:spacing w:before="180" w:after="0" w:line="240" w:lineRule="auto"/>
        <w:rPr>
          <w:rFonts w:ascii="Times New Roman" w:eastAsia="Times New Roman" w:hAnsi="Times New Roman" w:cs="Times New Roman"/>
          <w:color w:val="111111"/>
          <w:szCs w:val="24"/>
        </w:rPr>
      </w:pPr>
      <w:r w:rsidRPr="00C41500">
        <w:rPr>
          <w:rFonts w:ascii="Times New Roman" w:eastAsia="Times New Roman" w:hAnsi="Times New Roman" w:cs="Times New Roman"/>
          <w:color w:val="111111"/>
          <w:szCs w:val="24"/>
        </w:rPr>
        <w:t>Despite these revisions, management maintained its view that the overall business environment for FY 2025 would be similar to the previous year.</w:t>
      </w:r>
    </w:p>
    <w:p w14:paraId="1752C483" w14:textId="36EAB2C4" w:rsidR="00FC408F" w:rsidRDefault="00C41500"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Then, o</w:t>
      </w:r>
      <w:r w:rsidRPr="00C41500">
        <w:rPr>
          <w:rFonts w:ascii="Times New Roman" w:eastAsia="Times New Roman" w:hAnsi="Times New Roman" w:cs="Times New Roman"/>
          <w:color w:val="111111"/>
          <w:szCs w:val="24"/>
        </w:rPr>
        <w:t>n May 30, 2024, MongoDB further revised its FY 2025 guidance downward. This time, the company cited macroeconomic factors affecting customer adoption of its MongoDB Atlas product, along with the ongoing impact of the sales force restructuring. These disclosures resulted in another substantial drop in the company's share price</w:t>
      </w:r>
      <w:r w:rsidR="00051535">
        <w:rPr>
          <w:rFonts w:ascii="Times New Roman" w:eastAsia="Times New Roman" w:hAnsi="Times New Roman" w:cs="Times New Roman"/>
          <w:color w:val="111111"/>
          <w:szCs w:val="24"/>
        </w:rPr>
        <w:t>.</w:t>
      </w:r>
    </w:p>
    <w:p w14:paraId="1DC1F0E6" w14:textId="7AFCB304" w:rsidR="005165F2" w:rsidRDefault="005165F2" w:rsidP="00104BFB">
      <w:pPr>
        <w:pStyle w:val="NormalWeb"/>
        <w:spacing w:before="0" w:beforeAutospacing="0" w:after="0" w:afterAutospacing="0"/>
        <w:rPr>
          <w:rFonts w:ascii="Times New Roman" w:hAnsi="Times New Roman" w:cs="Times New Roman"/>
          <w:b/>
        </w:rPr>
      </w:pPr>
    </w:p>
    <w:p w14:paraId="4B6C8BFA" w14:textId="6BB99AA3" w:rsidR="00051535" w:rsidRDefault="00C41500" w:rsidP="00104BFB">
      <w:pPr>
        <w:pStyle w:val="NormalWeb"/>
        <w:spacing w:before="0" w:beforeAutospacing="0" w:after="0" w:afterAutospacing="0"/>
        <w:rPr>
          <w:rFonts w:ascii="Times New Roman" w:hAnsi="Times New Roman" w:cs="Times New Roman"/>
          <w:bCs/>
        </w:rPr>
      </w:pPr>
      <w:r w:rsidRPr="00C41500">
        <w:rPr>
          <w:rFonts w:ascii="Times New Roman" w:hAnsi="Times New Roman" w:cs="Times New Roman"/>
          <w:bCs/>
        </w:rPr>
        <w:lastRenderedPageBreak/>
        <w:t>The cumulative effect of these revisions has eroded shareholder value by an estimated $7.5 billion</w:t>
      </w:r>
      <w:r w:rsidR="00051535">
        <w:rPr>
          <w:rFonts w:ascii="Times New Roman" w:hAnsi="Times New Roman" w:cs="Times New Roman"/>
          <w:bCs/>
        </w:rPr>
        <w:t>.</w:t>
      </w:r>
    </w:p>
    <w:p w14:paraId="628B50BC" w14:textId="77777777" w:rsidR="00C41500" w:rsidRDefault="00C41500" w:rsidP="00104BFB">
      <w:pPr>
        <w:pStyle w:val="NormalWeb"/>
        <w:spacing w:before="0" w:beforeAutospacing="0" w:after="0" w:afterAutospacing="0"/>
        <w:rPr>
          <w:rFonts w:ascii="Times New Roman" w:hAnsi="Times New Roman" w:cs="Times New Roman"/>
          <w:bCs/>
        </w:rPr>
      </w:pPr>
    </w:p>
    <w:p w14:paraId="35DE16F0" w14:textId="787E157E" w:rsidR="00C41500" w:rsidRPr="001B1660" w:rsidRDefault="00C41500" w:rsidP="00104BFB">
      <w:pPr>
        <w:pStyle w:val="NormalWeb"/>
        <w:spacing w:before="0" w:beforeAutospacing="0" w:after="0" w:afterAutospacing="0"/>
        <w:rPr>
          <w:rFonts w:ascii="Times New Roman" w:hAnsi="Times New Roman" w:cs="Times New Roman"/>
          <w:bCs/>
        </w:rPr>
      </w:pPr>
      <w:r>
        <w:rPr>
          <w:rFonts w:ascii="Times New Roman" w:hAnsi="Times New Roman" w:cs="Times New Roman"/>
          <w:bCs/>
        </w:rPr>
        <w:t>Investors have now brought suit against MongoDB and its most senior executives alleging they gave</w:t>
      </w:r>
      <w:r w:rsidRPr="00C41500">
        <w:rPr>
          <w:rFonts w:ascii="Times New Roman" w:hAnsi="Times New Roman" w:cs="Times New Roman"/>
          <w:bCs/>
        </w:rPr>
        <w:t xml:space="preserve"> the false impression that they possessed reliable information pertaining to the Company’s projected revenue outlook and anticipated growth</w:t>
      </w:r>
      <w:r>
        <w:rPr>
          <w:rFonts w:ascii="Times New Roman" w:hAnsi="Times New Roman" w:cs="Times New Roman"/>
          <w:bCs/>
        </w:rPr>
        <w:t>,</w:t>
      </w:r>
      <w:r w:rsidRPr="00C41500">
        <w:rPr>
          <w:rFonts w:ascii="Times New Roman" w:hAnsi="Times New Roman" w:cs="Times New Roman"/>
          <w:bCs/>
        </w:rPr>
        <w:t xml:space="preserve"> while also minimizing risk from seasonality and macroeconomic fluctuations. </w:t>
      </w:r>
      <w:r>
        <w:rPr>
          <w:rFonts w:ascii="Times New Roman" w:hAnsi="Times New Roman" w:cs="Times New Roman"/>
          <w:bCs/>
        </w:rPr>
        <w:t>The complaint alleges</w:t>
      </w:r>
      <w:r w:rsidR="005D4A54">
        <w:rPr>
          <w:rFonts w:ascii="Times New Roman" w:hAnsi="Times New Roman" w:cs="Times New Roman"/>
          <w:bCs/>
        </w:rPr>
        <w:t xml:space="preserve"> that when making these statements,</w:t>
      </w:r>
      <w:r>
        <w:rPr>
          <w:rFonts w:ascii="Times New Roman" w:hAnsi="Times New Roman" w:cs="Times New Roman"/>
          <w:bCs/>
        </w:rPr>
        <w:t xml:space="preserve"> executives knew that</w:t>
      </w:r>
      <w:r w:rsidRPr="00C41500">
        <w:rPr>
          <w:rFonts w:ascii="Times New Roman" w:hAnsi="Times New Roman" w:cs="Times New Roman"/>
          <w:bCs/>
        </w:rPr>
        <w:t xml:space="preserve"> macro headwinds were worsening </w:t>
      </w:r>
      <w:r>
        <w:rPr>
          <w:rFonts w:ascii="Times New Roman" w:hAnsi="Times New Roman" w:cs="Times New Roman"/>
          <w:bCs/>
        </w:rPr>
        <w:t xml:space="preserve">and that </w:t>
      </w:r>
      <w:r w:rsidRPr="00C41500">
        <w:rPr>
          <w:rFonts w:ascii="Times New Roman" w:hAnsi="Times New Roman" w:cs="Times New Roman"/>
          <w:bCs/>
        </w:rPr>
        <w:t xml:space="preserve">MongoDB’s sales force incentive restructure </w:t>
      </w:r>
      <w:r>
        <w:rPr>
          <w:rFonts w:ascii="Times New Roman" w:hAnsi="Times New Roman" w:cs="Times New Roman"/>
          <w:bCs/>
        </w:rPr>
        <w:t>were reducing</w:t>
      </w:r>
      <w:r w:rsidRPr="00C41500">
        <w:rPr>
          <w:rFonts w:ascii="Times New Roman" w:hAnsi="Times New Roman" w:cs="Times New Roman"/>
          <w:bCs/>
        </w:rPr>
        <w:t xml:space="preserve"> new enrollments</w:t>
      </w:r>
      <w:r>
        <w:rPr>
          <w:rFonts w:ascii="Times New Roman" w:hAnsi="Times New Roman" w:cs="Times New Roman"/>
          <w:bCs/>
        </w:rPr>
        <w:t>.</w:t>
      </w:r>
    </w:p>
    <w:p w14:paraId="1E35302E" w14:textId="63D1C7E3"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t>“</w:t>
      </w:r>
      <w:r w:rsidR="00504D68">
        <w:rPr>
          <w:rFonts w:ascii="Times New Roman" w:hAnsi="Times New Roman" w:cs="Times New Roman"/>
          <w:bCs/>
          <w:szCs w:val="22"/>
        </w:rPr>
        <w:t>We’re investigating whether</w:t>
      </w:r>
      <w:r w:rsidR="009A38BE">
        <w:rPr>
          <w:rFonts w:ascii="Times New Roman" w:hAnsi="Times New Roman" w:cs="Times New Roman"/>
          <w:bCs/>
          <w:szCs w:val="22"/>
        </w:rPr>
        <w:t xml:space="preserve"> </w:t>
      </w:r>
      <w:r w:rsidR="00051535">
        <w:rPr>
          <w:rFonts w:ascii="Times New Roman" w:hAnsi="Times New Roman" w:cs="Times New Roman"/>
          <w:bCs/>
          <w:szCs w:val="22"/>
        </w:rPr>
        <w:t xml:space="preserve">MongoDB </w:t>
      </w:r>
      <w:r w:rsidR="003B7498">
        <w:rPr>
          <w:rFonts w:ascii="Times New Roman" w:hAnsi="Times New Roman" w:cs="Times New Roman"/>
          <w:bCs/>
          <w:szCs w:val="22"/>
        </w:rPr>
        <w:t>may have</w:t>
      </w:r>
      <w:r w:rsidR="00C70DA9">
        <w:rPr>
          <w:rFonts w:ascii="Times New Roman" w:hAnsi="Times New Roman" w:cs="Times New Roman"/>
          <w:bCs/>
          <w:szCs w:val="22"/>
        </w:rPr>
        <w:t xml:space="preserve"> </w:t>
      </w:r>
      <w:r w:rsidR="005D4A54">
        <w:rPr>
          <w:rFonts w:ascii="Times New Roman" w:hAnsi="Times New Roman" w:cs="Times New Roman"/>
          <w:bCs/>
          <w:szCs w:val="22"/>
        </w:rPr>
        <w:t xml:space="preserve">downplayed known risks posed by </w:t>
      </w:r>
      <w:r w:rsidR="00051535">
        <w:rPr>
          <w:rFonts w:ascii="Times New Roman" w:hAnsi="Times New Roman" w:cs="Times New Roman"/>
          <w:bCs/>
          <w:szCs w:val="22"/>
        </w:rPr>
        <w:t xml:space="preserve">its sales incentive restructure and macroeconomic factors,” </w:t>
      </w:r>
      <w:r w:rsidR="00D657F1">
        <w:rPr>
          <w:rFonts w:ascii="Times New Roman" w:hAnsi="Times New Roman" w:cs="Times New Roman"/>
          <w:bCs/>
          <w:szCs w:val="22"/>
        </w:rPr>
        <w:t xml:space="preserve"> </w:t>
      </w:r>
      <w:r w:rsidR="00791B6D">
        <w:rPr>
          <w:rFonts w:ascii="Times New Roman" w:hAnsi="Times New Roman" w:cs="Times New Roman"/>
          <w:bCs/>
          <w:szCs w:val="22"/>
        </w:rPr>
        <w:t xml:space="preserve">said Reed Kathrein, the Hagens Berman partner leading the investigation. </w:t>
      </w:r>
    </w:p>
    <w:p w14:paraId="0E1C8F67" w14:textId="01EE4003" w:rsidR="000606BD" w:rsidRDefault="00181AF2" w:rsidP="000606BD">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51535">
        <w:rPr>
          <w:rFonts w:ascii="Times New Roman" w:hAnsi="Times New Roman" w:cs="Times New Roman"/>
          <w:szCs w:val="22"/>
        </w:rPr>
        <w:t xml:space="preserve">MongoDB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0606BD" w:rsidRPr="00D30FA0">
        <w:rPr>
          <w:rStyle w:val="Hyperlink"/>
          <w:rFonts w:ascii="Times New Roman" w:hAnsi="Times New Roman" w:cs="Times New Roman"/>
          <w:szCs w:val="22"/>
          <w:u w:val="none"/>
        </w:rPr>
        <w:t xml:space="preserve"> </w:t>
      </w:r>
      <w:r w:rsidR="000606BD" w:rsidRPr="0041759F">
        <w:rPr>
          <w:rStyle w:val="Hyperlink"/>
          <w:rFonts w:ascii="Times New Roman" w:hAnsi="Times New Roman" w:cs="Times New Roman"/>
          <w:color w:val="auto"/>
          <w:szCs w:val="22"/>
          <w:u w:val="none"/>
        </w:rPr>
        <w:t>»</w:t>
      </w:r>
    </w:p>
    <w:p w14:paraId="78B615E4" w14:textId="723A99D1" w:rsidR="000606BD" w:rsidRDefault="000606BD" w:rsidP="000606BD">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MongoDB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6B5AE1" w:rsidP="007A620A">
      <w:pPr>
        <w:rPr>
          <w:rFonts w:ascii="Times New Roman" w:hAnsi="Times New Roman" w:cs="Times New Roman"/>
          <w:color w:val="000000"/>
        </w:rPr>
      </w:pPr>
      <w:hyperlink r:id="rId18"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19"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0"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97FDB" w14:textId="77777777" w:rsidR="008557D6" w:rsidRDefault="008557D6" w:rsidP="00D579AD">
      <w:pPr>
        <w:spacing w:after="0" w:line="240" w:lineRule="auto"/>
      </w:pPr>
      <w:r>
        <w:separator/>
      </w:r>
    </w:p>
  </w:endnote>
  <w:endnote w:type="continuationSeparator" w:id="0">
    <w:p w14:paraId="3D1C27BB" w14:textId="77777777" w:rsidR="008557D6" w:rsidRDefault="008557D6"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EDF01" w14:textId="77777777" w:rsidR="008557D6" w:rsidRDefault="008557D6" w:rsidP="00D579AD">
      <w:pPr>
        <w:spacing w:after="0" w:line="240" w:lineRule="auto"/>
      </w:pPr>
      <w:r>
        <w:separator/>
      </w:r>
    </w:p>
  </w:footnote>
  <w:footnote w:type="continuationSeparator" w:id="0">
    <w:p w14:paraId="6EDB2F1C" w14:textId="77777777" w:rsidR="008557D6" w:rsidRDefault="008557D6"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073F"/>
    <w:rsid w:val="0002171F"/>
    <w:rsid w:val="000219F3"/>
    <w:rsid w:val="000228E1"/>
    <w:rsid w:val="00022E0F"/>
    <w:rsid w:val="00023406"/>
    <w:rsid w:val="00023ED5"/>
    <w:rsid w:val="000247C5"/>
    <w:rsid w:val="00025501"/>
    <w:rsid w:val="000255B4"/>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755"/>
    <w:rsid w:val="00036F84"/>
    <w:rsid w:val="000377E1"/>
    <w:rsid w:val="00037A86"/>
    <w:rsid w:val="000402A2"/>
    <w:rsid w:val="000406FC"/>
    <w:rsid w:val="00042519"/>
    <w:rsid w:val="00043169"/>
    <w:rsid w:val="000441A4"/>
    <w:rsid w:val="00044BD2"/>
    <w:rsid w:val="000460CD"/>
    <w:rsid w:val="00047A23"/>
    <w:rsid w:val="000505C7"/>
    <w:rsid w:val="00050D59"/>
    <w:rsid w:val="00051535"/>
    <w:rsid w:val="00051ED9"/>
    <w:rsid w:val="00053EC4"/>
    <w:rsid w:val="00054914"/>
    <w:rsid w:val="00055992"/>
    <w:rsid w:val="00055A46"/>
    <w:rsid w:val="000567A3"/>
    <w:rsid w:val="00056DB9"/>
    <w:rsid w:val="00057378"/>
    <w:rsid w:val="000573AA"/>
    <w:rsid w:val="00060291"/>
    <w:rsid w:val="000606BD"/>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0E0"/>
    <w:rsid w:val="000A123C"/>
    <w:rsid w:val="000A1C38"/>
    <w:rsid w:val="000A2C19"/>
    <w:rsid w:val="000A321E"/>
    <w:rsid w:val="000A34AE"/>
    <w:rsid w:val="000A4877"/>
    <w:rsid w:val="000A4E24"/>
    <w:rsid w:val="000A508E"/>
    <w:rsid w:val="000A56DD"/>
    <w:rsid w:val="000B03EE"/>
    <w:rsid w:val="000B05FC"/>
    <w:rsid w:val="000B19A0"/>
    <w:rsid w:val="000B2A2B"/>
    <w:rsid w:val="000B317E"/>
    <w:rsid w:val="000B57AC"/>
    <w:rsid w:val="000B5E31"/>
    <w:rsid w:val="000B6214"/>
    <w:rsid w:val="000B6E26"/>
    <w:rsid w:val="000B7072"/>
    <w:rsid w:val="000B72E1"/>
    <w:rsid w:val="000C05BF"/>
    <w:rsid w:val="000C0990"/>
    <w:rsid w:val="000C0CE3"/>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169"/>
    <w:rsid w:val="00116988"/>
    <w:rsid w:val="00116AEA"/>
    <w:rsid w:val="00116FFC"/>
    <w:rsid w:val="001178BC"/>
    <w:rsid w:val="00120EA0"/>
    <w:rsid w:val="001218AD"/>
    <w:rsid w:val="00121F53"/>
    <w:rsid w:val="001225AD"/>
    <w:rsid w:val="001234AB"/>
    <w:rsid w:val="001239BC"/>
    <w:rsid w:val="00123A24"/>
    <w:rsid w:val="00123F92"/>
    <w:rsid w:val="0012418C"/>
    <w:rsid w:val="0012418E"/>
    <w:rsid w:val="0012539E"/>
    <w:rsid w:val="00125BA9"/>
    <w:rsid w:val="00127FD6"/>
    <w:rsid w:val="001304DF"/>
    <w:rsid w:val="00130629"/>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7709A"/>
    <w:rsid w:val="00180389"/>
    <w:rsid w:val="00181102"/>
    <w:rsid w:val="001812A7"/>
    <w:rsid w:val="0018176B"/>
    <w:rsid w:val="00181AF2"/>
    <w:rsid w:val="001826D2"/>
    <w:rsid w:val="00182791"/>
    <w:rsid w:val="0018300A"/>
    <w:rsid w:val="00183411"/>
    <w:rsid w:val="00184030"/>
    <w:rsid w:val="001844A9"/>
    <w:rsid w:val="00184C33"/>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660"/>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B6F"/>
    <w:rsid w:val="001D5DCB"/>
    <w:rsid w:val="001D6F4A"/>
    <w:rsid w:val="001D7B58"/>
    <w:rsid w:val="001E0108"/>
    <w:rsid w:val="001E1DED"/>
    <w:rsid w:val="001E2F66"/>
    <w:rsid w:val="001E368D"/>
    <w:rsid w:val="001E4795"/>
    <w:rsid w:val="001E55E6"/>
    <w:rsid w:val="001E5EE6"/>
    <w:rsid w:val="001E6070"/>
    <w:rsid w:val="001E619D"/>
    <w:rsid w:val="001F06E4"/>
    <w:rsid w:val="001F13A2"/>
    <w:rsid w:val="001F27DB"/>
    <w:rsid w:val="001F2DCA"/>
    <w:rsid w:val="001F48AF"/>
    <w:rsid w:val="001F4B9B"/>
    <w:rsid w:val="0020119E"/>
    <w:rsid w:val="0020219C"/>
    <w:rsid w:val="002023B0"/>
    <w:rsid w:val="00203918"/>
    <w:rsid w:val="00203C2A"/>
    <w:rsid w:val="0020416E"/>
    <w:rsid w:val="00204264"/>
    <w:rsid w:val="0020520A"/>
    <w:rsid w:val="00206826"/>
    <w:rsid w:val="002072A0"/>
    <w:rsid w:val="002105FC"/>
    <w:rsid w:val="00210FA3"/>
    <w:rsid w:val="00211859"/>
    <w:rsid w:val="00212446"/>
    <w:rsid w:val="00213395"/>
    <w:rsid w:val="00213DE0"/>
    <w:rsid w:val="0021452C"/>
    <w:rsid w:val="0021480F"/>
    <w:rsid w:val="00214C36"/>
    <w:rsid w:val="00215774"/>
    <w:rsid w:val="00215F8E"/>
    <w:rsid w:val="00220DFF"/>
    <w:rsid w:val="002241F0"/>
    <w:rsid w:val="00224253"/>
    <w:rsid w:val="00224371"/>
    <w:rsid w:val="00230EF6"/>
    <w:rsid w:val="00231E18"/>
    <w:rsid w:val="00232401"/>
    <w:rsid w:val="00233FDF"/>
    <w:rsid w:val="00234E4A"/>
    <w:rsid w:val="00235C57"/>
    <w:rsid w:val="00235C6F"/>
    <w:rsid w:val="00236A1A"/>
    <w:rsid w:val="00236B04"/>
    <w:rsid w:val="002405C9"/>
    <w:rsid w:val="00242288"/>
    <w:rsid w:val="002436DC"/>
    <w:rsid w:val="00243E1E"/>
    <w:rsid w:val="00244020"/>
    <w:rsid w:val="0024493F"/>
    <w:rsid w:val="00244B7C"/>
    <w:rsid w:val="00245468"/>
    <w:rsid w:val="002454CF"/>
    <w:rsid w:val="00246217"/>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5F77"/>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4BA"/>
    <w:rsid w:val="002C288C"/>
    <w:rsid w:val="002C495D"/>
    <w:rsid w:val="002C4CA9"/>
    <w:rsid w:val="002C5DAC"/>
    <w:rsid w:val="002C5F5C"/>
    <w:rsid w:val="002C691B"/>
    <w:rsid w:val="002C731E"/>
    <w:rsid w:val="002D004C"/>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4A4A"/>
    <w:rsid w:val="00325F1A"/>
    <w:rsid w:val="003268F7"/>
    <w:rsid w:val="00327276"/>
    <w:rsid w:val="003274F4"/>
    <w:rsid w:val="00327BDB"/>
    <w:rsid w:val="00327CB6"/>
    <w:rsid w:val="00330F81"/>
    <w:rsid w:val="0033155A"/>
    <w:rsid w:val="00331E49"/>
    <w:rsid w:val="00332275"/>
    <w:rsid w:val="0033354A"/>
    <w:rsid w:val="00333920"/>
    <w:rsid w:val="00333C13"/>
    <w:rsid w:val="00334A94"/>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1F6"/>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B7EF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85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5C1"/>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CB6"/>
    <w:rsid w:val="0042535F"/>
    <w:rsid w:val="00425AB7"/>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5307"/>
    <w:rsid w:val="0046626B"/>
    <w:rsid w:val="004679F4"/>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1B8E"/>
    <w:rsid w:val="004C25E1"/>
    <w:rsid w:val="004C4826"/>
    <w:rsid w:val="004C4E9A"/>
    <w:rsid w:val="004C5D19"/>
    <w:rsid w:val="004C6E75"/>
    <w:rsid w:val="004C72F4"/>
    <w:rsid w:val="004C7B93"/>
    <w:rsid w:val="004C7C21"/>
    <w:rsid w:val="004D01BB"/>
    <w:rsid w:val="004D065F"/>
    <w:rsid w:val="004D0880"/>
    <w:rsid w:val="004D2902"/>
    <w:rsid w:val="004D3C73"/>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C42"/>
    <w:rsid w:val="00531FCA"/>
    <w:rsid w:val="00532942"/>
    <w:rsid w:val="00533C9E"/>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29DE"/>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0EAE"/>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0D4F"/>
    <w:rsid w:val="0059326B"/>
    <w:rsid w:val="0059393A"/>
    <w:rsid w:val="0059445A"/>
    <w:rsid w:val="00595442"/>
    <w:rsid w:val="00596132"/>
    <w:rsid w:val="005965F4"/>
    <w:rsid w:val="00596B68"/>
    <w:rsid w:val="00597217"/>
    <w:rsid w:val="005975D5"/>
    <w:rsid w:val="005A0807"/>
    <w:rsid w:val="005A0809"/>
    <w:rsid w:val="005A092D"/>
    <w:rsid w:val="005A0B20"/>
    <w:rsid w:val="005A1225"/>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A54"/>
    <w:rsid w:val="005D4B1D"/>
    <w:rsid w:val="005D5D89"/>
    <w:rsid w:val="005D5F28"/>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6836"/>
    <w:rsid w:val="005F0772"/>
    <w:rsid w:val="005F213C"/>
    <w:rsid w:val="005F6D7E"/>
    <w:rsid w:val="005F6DF7"/>
    <w:rsid w:val="005F76BF"/>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294D"/>
    <w:rsid w:val="006151F3"/>
    <w:rsid w:val="0061529B"/>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1E68"/>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BFB"/>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96651"/>
    <w:rsid w:val="006A0AD1"/>
    <w:rsid w:val="006A5DDE"/>
    <w:rsid w:val="006A7B98"/>
    <w:rsid w:val="006A7E3F"/>
    <w:rsid w:val="006B00B4"/>
    <w:rsid w:val="006B215D"/>
    <w:rsid w:val="006B2B77"/>
    <w:rsid w:val="006B3678"/>
    <w:rsid w:val="006B3C27"/>
    <w:rsid w:val="006B5AE1"/>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20EB"/>
    <w:rsid w:val="00725C66"/>
    <w:rsid w:val="00726250"/>
    <w:rsid w:val="00726669"/>
    <w:rsid w:val="00727346"/>
    <w:rsid w:val="0072738C"/>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871"/>
    <w:rsid w:val="007B1BCF"/>
    <w:rsid w:val="007B2704"/>
    <w:rsid w:val="007B3FF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012"/>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3150"/>
    <w:rsid w:val="0085442E"/>
    <w:rsid w:val="0085525A"/>
    <w:rsid w:val="008557D6"/>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75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887"/>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AC1"/>
    <w:rsid w:val="00935890"/>
    <w:rsid w:val="00936BA4"/>
    <w:rsid w:val="0093738A"/>
    <w:rsid w:val="009373CB"/>
    <w:rsid w:val="009400B0"/>
    <w:rsid w:val="00940C77"/>
    <w:rsid w:val="00940CA8"/>
    <w:rsid w:val="00940E4C"/>
    <w:rsid w:val="0094382A"/>
    <w:rsid w:val="00944E25"/>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270D"/>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5F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14E"/>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739"/>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5A79"/>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44CE"/>
    <w:rsid w:val="00B552D6"/>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A12"/>
    <w:rsid w:val="00BB7549"/>
    <w:rsid w:val="00BB76FC"/>
    <w:rsid w:val="00BC0C9B"/>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7AC6"/>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4CD9"/>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500"/>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4DB6"/>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0FA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7D3"/>
    <w:rsid w:val="00D50979"/>
    <w:rsid w:val="00D5173D"/>
    <w:rsid w:val="00D519C1"/>
    <w:rsid w:val="00D51EEA"/>
    <w:rsid w:val="00D51FCB"/>
    <w:rsid w:val="00D5204B"/>
    <w:rsid w:val="00D52932"/>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7F1"/>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0F5"/>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2CA3"/>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3FC1"/>
    <w:rsid w:val="00E64014"/>
    <w:rsid w:val="00E64A8F"/>
    <w:rsid w:val="00E64C92"/>
    <w:rsid w:val="00E65409"/>
    <w:rsid w:val="00E66ACF"/>
    <w:rsid w:val="00E675AB"/>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A6E"/>
    <w:rsid w:val="00E80FF1"/>
    <w:rsid w:val="00E8137A"/>
    <w:rsid w:val="00E813C4"/>
    <w:rsid w:val="00E815D1"/>
    <w:rsid w:val="00E81704"/>
    <w:rsid w:val="00E83D8E"/>
    <w:rsid w:val="00E8471D"/>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4A49"/>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AC0"/>
    <w:rsid w:val="00F52CBA"/>
    <w:rsid w:val="00F54802"/>
    <w:rsid w:val="00F554CF"/>
    <w:rsid w:val="00F5558E"/>
    <w:rsid w:val="00F55989"/>
    <w:rsid w:val="00F5665E"/>
    <w:rsid w:val="00F56824"/>
    <w:rsid w:val="00F5764B"/>
    <w:rsid w:val="00F606D1"/>
    <w:rsid w:val="00F6286F"/>
    <w:rsid w:val="00F62C46"/>
    <w:rsid w:val="00F66206"/>
    <w:rsid w:val="00F6625A"/>
    <w:rsid w:val="00F6751E"/>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768"/>
    <w:rsid w:val="00FD5B46"/>
    <w:rsid w:val="00FD62F6"/>
    <w:rsid w:val="00FD630D"/>
    <w:rsid w:val="00FD6D33"/>
    <w:rsid w:val="00FD75D7"/>
    <w:rsid w:val="00FD7876"/>
    <w:rsid w:val="00FD79FB"/>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mdb"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mongodb-inc-mdb-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mdb"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MDB@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md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638</Words>
  <Characters>3474</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2024-08-31T18:40:00Z</dcterms:created>
  <dcterms:modified xsi:type="dcterms:W3CDTF">2024-08-31T18:41:00Z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