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BE3B0" w14:textId="77777777" w:rsidR="00DA4C45" w:rsidRDefault="00DA4C45" w:rsidP="00DA4C45">
      <w:pPr>
        <w:spacing w:after="0"/>
        <w:jc w:val="center"/>
        <w:rPr>
          <w:b/>
        </w:rPr>
      </w:pPr>
      <w:r>
        <w:rPr>
          <w:noProof/>
        </w:rPr>
        <w:drawing>
          <wp:inline distT="0" distB="0" distL="0" distR="0" wp14:anchorId="287DFD16" wp14:editId="4A379E4B">
            <wp:extent cx="1796995" cy="294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44544" cy="335297"/>
                    </a:xfrm>
                    <a:prstGeom prst="rect">
                      <a:avLst/>
                    </a:prstGeom>
                    <a:noFill/>
                    <a:ln>
                      <a:noFill/>
                    </a:ln>
                  </pic:spPr>
                </pic:pic>
              </a:graphicData>
            </a:graphic>
          </wp:inline>
        </w:drawing>
      </w:r>
      <w:r w:rsidRPr="00813C1C">
        <w:rPr>
          <w:b/>
        </w:rPr>
        <w:t xml:space="preserve"> </w:t>
      </w:r>
    </w:p>
    <w:p w14:paraId="2A71B7CD" w14:textId="1FE53C38" w:rsidR="003C66CB" w:rsidRPr="00813C1C" w:rsidRDefault="003C66CB" w:rsidP="003C66CB">
      <w:pPr>
        <w:spacing w:after="0"/>
        <w:jc w:val="center"/>
        <w:rPr>
          <w:b/>
          <w:lang w:val="en"/>
        </w:rPr>
      </w:pPr>
      <w:r w:rsidRPr="00813C1C">
        <w:rPr>
          <w:b/>
        </w:rPr>
        <w:t xml:space="preserve">Reports </w:t>
      </w:r>
      <w:r w:rsidR="00FE628C">
        <w:rPr>
          <w:b/>
        </w:rPr>
        <w:t>Third</w:t>
      </w:r>
      <w:r>
        <w:rPr>
          <w:b/>
        </w:rPr>
        <w:t xml:space="preserve"> Quarter </w:t>
      </w:r>
      <w:r w:rsidRPr="00813C1C">
        <w:rPr>
          <w:b/>
        </w:rPr>
        <w:t>20</w:t>
      </w:r>
      <w:r>
        <w:rPr>
          <w:b/>
        </w:rPr>
        <w:t>24</w:t>
      </w:r>
      <w:r w:rsidRPr="00813C1C">
        <w:rPr>
          <w:b/>
        </w:rPr>
        <w:t xml:space="preserve"> </w:t>
      </w:r>
      <w:r>
        <w:rPr>
          <w:b/>
        </w:rPr>
        <w:t xml:space="preserve">Financial </w:t>
      </w:r>
      <w:r w:rsidRPr="00813C1C">
        <w:rPr>
          <w:b/>
        </w:rPr>
        <w:t>Results</w:t>
      </w:r>
    </w:p>
    <w:p w14:paraId="49455380" w14:textId="77777777" w:rsidR="00DA4C45" w:rsidRPr="003C66CB" w:rsidRDefault="00DA4C45" w:rsidP="000126F9">
      <w:pPr>
        <w:jc w:val="both"/>
        <w:rPr>
          <w:lang w:val="en"/>
        </w:rPr>
      </w:pPr>
    </w:p>
    <w:p w14:paraId="6ABF28EA" w14:textId="6B219762" w:rsidR="00127C56" w:rsidRDefault="00C53492" w:rsidP="000126F9">
      <w:pPr>
        <w:jc w:val="both"/>
      </w:pPr>
      <w:r>
        <w:t>Lynnwood</w:t>
      </w:r>
      <w:r w:rsidR="00105D38" w:rsidRPr="00CB6B9B">
        <w:t xml:space="preserve">, </w:t>
      </w:r>
      <w:r w:rsidR="007547F4">
        <w:t xml:space="preserve">WA / </w:t>
      </w:r>
      <w:proofErr w:type="spellStart"/>
      <w:r w:rsidR="007547F4">
        <w:t>Accesswire</w:t>
      </w:r>
      <w:proofErr w:type="spellEnd"/>
      <w:r w:rsidR="007547F4">
        <w:t xml:space="preserve"> / </w:t>
      </w:r>
      <w:r w:rsidR="00FE628C">
        <w:t>October</w:t>
      </w:r>
      <w:r w:rsidR="00127C56">
        <w:t xml:space="preserve"> </w:t>
      </w:r>
      <w:r w:rsidR="00DF774F">
        <w:t>3</w:t>
      </w:r>
      <w:r w:rsidR="00050692">
        <w:t>1</w:t>
      </w:r>
      <w:r w:rsidR="007547F4" w:rsidRPr="00857889">
        <w:t>, 20</w:t>
      </w:r>
      <w:r w:rsidR="00FB40C9" w:rsidRPr="00857889">
        <w:t>2</w:t>
      </w:r>
      <w:r w:rsidR="00A23814">
        <w:t>4</w:t>
      </w:r>
      <w:r w:rsidR="007547F4">
        <w:t xml:space="preserve"> /</w:t>
      </w:r>
      <w:r w:rsidR="00105D38">
        <w:t xml:space="preserve"> </w:t>
      </w:r>
      <w:r>
        <w:t>U &amp; I Financial Corp</w:t>
      </w:r>
      <w:r w:rsidRPr="00813C1C">
        <w:t>.</w:t>
      </w:r>
      <w:r w:rsidR="00D8336E">
        <w:t xml:space="preserve"> </w:t>
      </w:r>
      <w:r w:rsidR="004812F3">
        <w:t>(OTCQX</w:t>
      </w:r>
      <w:r w:rsidR="00105D38" w:rsidRPr="00813C1C">
        <w:t>:</w:t>
      </w:r>
      <w:r w:rsidRPr="00813C1C">
        <w:t xml:space="preserve"> UNIF</w:t>
      </w:r>
      <w:r w:rsidR="00105D38" w:rsidRPr="00813C1C">
        <w:t xml:space="preserve">), </w:t>
      </w:r>
      <w:r w:rsidR="003C66CB" w:rsidRPr="00813C1C">
        <w:t>the holding company</w:t>
      </w:r>
      <w:r w:rsidR="00E0555E">
        <w:t xml:space="preserve"> (“Company</w:t>
      </w:r>
      <w:r w:rsidR="0081223E">
        <w:t xml:space="preserve">”) </w:t>
      </w:r>
      <w:r w:rsidR="0081223E" w:rsidRPr="00813C1C">
        <w:t>for</w:t>
      </w:r>
      <w:r w:rsidR="003C66CB" w:rsidRPr="00813C1C">
        <w:t xml:space="preserve"> </w:t>
      </w:r>
      <w:proofErr w:type="spellStart"/>
      <w:r w:rsidR="003C66CB" w:rsidRPr="00813C1C">
        <w:t>UniBank</w:t>
      </w:r>
      <w:proofErr w:type="spellEnd"/>
      <w:r w:rsidR="00E0555E">
        <w:t xml:space="preserve"> (“Bank”)</w:t>
      </w:r>
      <w:r w:rsidR="003C66CB" w:rsidRPr="00813C1C">
        <w:t xml:space="preserve">, today reported </w:t>
      </w:r>
      <w:r w:rsidR="00DD4369">
        <w:t xml:space="preserve">a </w:t>
      </w:r>
      <w:r w:rsidR="003C66CB">
        <w:t xml:space="preserve">quarterly </w:t>
      </w:r>
      <w:r w:rsidR="00C5785E">
        <w:t>N</w:t>
      </w:r>
      <w:r w:rsidR="003D40E1">
        <w:t xml:space="preserve">et </w:t>
      </w:r>
      <w:r w:rsidR="00C5785E">
        <w:t>Loss</w:t>
      </w:r>
      <w:r w:rsidR="003C66CB" w:rsidRPr="00813C1C">
        <w:t xml:space="preserve"> of $</w:t>
      </w:r>
      <w:r w:rsidR="000C6B1D">
        <w:t>15.0 million</w:t>
      </w:r>
      <w:r w:rsidR="003C66CB" w:rsidRPr="00813C1C">
        <w:t xml:space="preserve"> or </w:t>
      </w:r>
      <w:r w:rsidR="00C8137E">
        <w:t xml:space="preserve">a </w:t>
      </w:r>
      <w:r w:rsidR="00D54D92">
        <w:t>loss</w:t>
      </w:r>
      <w:r w:rsidR="00D54D92" w:rsidRPr="00813C1C">
        <w:t xml:space="preserve"> </w:t>
      </w:r>
      <w:r w:rsidR="00D54D92">
        <w:t xml:space="preserve">of </w:t>
      </w:r>
      <w:r w:rsidR="003C66CB" w:rsidRPr="00813C1C">
        <w:t>$</w:t>
      </w:r>
      <w:r w:rsidR="000C6B1D">
        <w:t>2</w:t>
      </w:r>
      <w:r w:rsidR="003C66CB" w:rsidRPr="00813C1C">
        <w:t>.</w:t>
      </w:r>
      <w:r w:rsidR="000C6B1D">
        <w:t>73</w:t>
      </w:r>
      <w:r w:rsidR="00C5785E">
        <w:t xml:space="preserve"> </w:t>
      </w:r>
      <w:r w:rsidR="003C66CB">
        <w:t xml:space="preserve">per share in the </w:t>
      </w:r>
      <w:r w:rsidR="000C6B1D">
        <w:t>third</w:t>
      </w:r>
      <w:r w:rsidR="003C66CB">
        <w:t xml:space="preserve"> quarter</w:t>
      </w:r>
      <w:r w:rsidR="00C478ED">
        <w:t xml:space="preserve"> of 2024</w:t>
      </w:r>
      <w:r w:rsidR="003C66CB" w:rsidRPr="00813C1C">
        <w:t xml:space="preserve">, compared to </w:t>
      </w:r>
      <w:r w:rsidR="00D81E88">
        <w:t xml:space="preserve">the </w:t>
      </w:r>
      <w:r w:rsidR="00D54D92">
        <w:t xml:space="preserve">Net Income of </w:t>
      </w:r>
      <w:r w:rsidR="003C66CB" w:rsidRPr="00813C1C">
        <w:t>$</w:t>
      </w:r>
      <w:r w:rsidR="003C66CB">
        <w:t>2.</w:t>
      </w:r>
      <w:r w:rsidR="00EE26ED">
        <w:t>4</w:t>
      </w:r>
      <w:r w:rsidR="003C66CB">
        <w:t xml:space="preserve"> million</w:t>
      </w:r>
      <w:r w:rsidR="00DD4369">
        <w:t xml:space="preserve"> </w:t>
      </w:r>
      <w:r w:rsidR="003C66CB" w:rsidRPr="00813C1C">
        <w:t xml:space="preserve">or </w:t>
      </w:r>
      <w:r w:rsidR="00C5785E">
        <w:t xml:space="preserve">earnings </w:t>
      </w:r>
      <w:r w:rsidR="00C8137E">
        <w:t xml:space="preserve">of </w:t>
      </w:r>
      <w:r w:rsidR="00C8137E" w:rsidRPr="00813C1C">
        <w:t>$0.</w:t>
      </w:r>
      <w:r w:rsidR="00C8137E">
        <w:t>43</w:t>
      </w:r>
      <w:r w:rsidR="00C8137E" w:rsidRPr="00813C1C">
        <w:t xml:space="preserve"> </w:t>
      </w:r>
      <w:r w:rsidR="003C66CB" w:rsidRPr="00813C1C">
        <w:t xml:space="preserve">per share for the </w:t>
      </w:r>
      <w:r w:rsidR="003C66CB">
        <w:t>same quarter of 2023</w:t>
      </w:r>
      <w:r w:rsidR="000C6B1D">
        <w:t>, primarily due to the Provision for Credit Losses of $19.</w:t>
      </w:r>
      <w:r w:rsidR="007363CE">
        <w:t>5</w:t>
      </w:r>
      <w:r w:rsidR="000C6B1D">
        <w:t xml:space="preserve"> million recognized during the third quarter of this year</w:t>
      </w:r>
      <w:r w:rsidR="00B36631">
        <w:t xml:space="preserve">.  </w:t>
      </w:r>
      <w:r w:rsidR="00C8137E">
        <w:t>For the nine months ended September 30, 2024</w:t>
      </w:r>
      <w:r w:rsidR="000C6B1D">
        <w:t xml:space="preserve">, the </w:t>
      </w:r>
      <w:r w:rsidR="00B36631">
        <w:t xml:space="preserve">Net </w:t>
      </w:r>
      <w:r w:rsidR="000C6B1D">
        <w:t xml:space="preserve">Loss was $14.5 million or </w:t>
      </w:r>
      <w:r w:rsidR="00D81E88">
        <w:t xml:space="preserve">a </w:t>
      </w:r>
      <w:r w:rsidR="00C8137E">
        <w:t xml:space="preserve">loss of </w:t>
      </w:r>
      <w:r w:rsidR="000C6B1D">
        <w:t>$2.65  per share</w:t>
      </w:r>
      <w:r w:rsidR="00A52CE2">
        <w:t xml:space="preserve">, </w:t>
      </w:r>
      <w:r w:rsidR="00C8137E">
        <w:t>as a result of</w:t>
      </w:r>
      <w:r w:rsidR="00A52CE2">
        <w:t xml:space="preserve"> the $22.4 million Provision for Credit Losses</w:t>
      </w:r>
      <w:r w:rsidR="00D538F3">
        <w:t xml:space="preserve">, compared to the Net Income of $7.4 million or earnings </w:t>
      </w:r>
      <w:r w:rsidR="00D54D92">
        <w:t xml:space="preserve">of $1.36 </w:t>
      </w:r>
      <w:r w:rsidR="00D538F3">
        <w:t>per share for the same period of 2023</w:t>
      </w:r>
      <w:r w:rsidR="000C6B1D">
        <w:t xml:space="preserve">. </w:t>
      </w:r>
    </w:p>
    <w:p w14:paraId="49D49424" w14:textId="43A9BBEF" w:rsidR="00EE26ED" w:rsidRDefault="00B76708" w:rsidP="003C66CB">
      <w:pPr>
        <w:jc w:val="both"/>
      </w:pPr>
      <w:r>
        <w:t>At</w:t>
      </w:r>
      <w:r w:rsidR="003C66CB">
        <w:t xml:space="preserve"> </w:t>
      </w:r>
      <w:r w:rsidR="00056E45">
        <w:t>September</w:t>
      </w:r>
      <w:r w:rsidR="00EE26ED">
        <w:t xml:space="preserve"> 30</w:t>
      </w:r>
      <w:r w:rsidR="003C66CB">
        <w:t>, 2024</w:t>
      </w:r>
      <w:r w:rsidR="00EE26ED">
        <w:t>,</w:t>
      </w:r>
      <w:r w:rsidR="00EB794E">
        <w:t xml:space="preserve"> </w:t>
      </w:r>
      <w:r w:rsidR="00EE26ED">
        <w:t xml:space="preserve">Total Assets </w:t>
      </w:r>
      <w:r>
        <w:t>were</w:t>
      </w:r>
      <w:r w:rsidR="00EE26ED">
        <w:t xml:space="preserve"> $</w:t>
      </w:r>
      <w:r w:rsidR="007363CE">
        <w:t>569.6</w:t>
      </w:r>
      <w:r w:rsidR="00EE26ED">
        <w:t xml:space="preserve"> million, </w:t>
      </w:r>
      <w:r w:rsidR="00B36631">
        <w:t>a decrease of</w:t>
      </w:r>
      <w:r w:rsidR="00EE26ED">
        <w:t xml:space="preserve"> $</w:t>
      </w:r>
      <w:r w:rsidR="00056E45">
        <w:t>42.6</w:t>
      </w:r>
      <w:r w:rsidR="00EE26ED">
        <w:t xml:space="preserve"> million or </w:t>
      </w:r>
      <w:r w:rsidR="00056E45">
        <w:t>7.0</w:t>
      </w:r>
      <w:r w:rsidR="00EE26ED">
        <w:t>% from $</w:t>
      </w:r>
      <w:r w:rsidR="00056E45">
        <w:t>612.2</w:t>
      </w:r>
      <w:r w:rsidR="00EE26ED">
        <w:t xml:space="preserve"> million</w:t>
      </w:r>
      <w:r w:rsidR="00B36631">
        <w:t xml:space="preserve"> at </w:t>
      </w:r>
      <w:r w:rsidR="00056E45">
        <w:t>September</w:t>
      </w:r>
      <w:r w:rsidR="00B36631">
        <w:t xml:space="preserve"> 30, 2023</w:t>
      </w:r>
      <w:r w:rsidR="00EE26ED">
        <w:t xml:space="preserve">. Net Loans </w:t>
      </w:r>
      <w:r w:rsidR="00B36631">
        <w:t>were</w:t>
      </w:r>
      <w:r w:rsidR="00EE26ED">
        <w:t xml:space="preserve"> $</w:t>
      </w:r>
      <w:r w:rsidR="00056E45">
        <w:t>410.3</w:t>
      </w:r>
      <w:r w:rsidR="00EE26ED">
        <w:t xml:space="preserve"> million</w:t>
      </w:r>
      <w:r w:rsidR="00B36631">
        <w:t xml:space="preserve"> at </w:t>
      </w:r>
      <w:r w:rsidR="00056E45">
        <w:t>September</w:t>
      </w:r>
      <w:r w:rsidR="00B36631">
        <w:t xml:space="preserve"> 30, 2024</w:t>
      </w:r>
      <w:r w:rsidR="00EE26ED">
        <w:t>, decreasing by $</w:t>
      </w:r>
      <w:r w:rsidR="00056E45">
        <w:t>66.6</w:t>
      </w:r>
      <w:r w:rsidR="00EE26ED">
        <w:t xml:space="preserve"> million or </w:t>
      </w:r>
      <w:r w:rsidR="00056E45">
        <w:t>14.0</w:t>
      </w:r>
      <w:r w:rsidR="00EE26ED">
        <w:t>% from $</w:t>
      </w:r>
      <w:r w:rsidR="00056E45">
        <w:t>476.9</w:t>
      </w:r>
      <w:r w:rsidR="00EE26ED">
        <w:t xml:space="preserve"> million</w:t>
      </w:r>
      <w:r w:rsidR="00AE31BD">
        <w:t xml:space="preserve"> at </w:t>
      </w:r>
      <w:r w:rsidR="00056E45">
        <w:t>September</w:t>
      </w:r>
      <w:r w:rsidR="00AE31BD">
        <w:t xml:space="preserve"> 30, 2023</w:t>
      </w:r>
      <w:r w:rsidR="00EE26ED">
        <w:t>.  Total Deposits decreased by $</w:t>
      </w:r>
      <w:r w:rsidR="00056E45">
        <w:t>54</w:t>
      </w:r>
      <w:r w:rsidR="00EE26ED">
        <w:t xml:space="preserve">.0 million or </w:t>
      </w:r>
      <w:r w:rsidR="00056E45">
        <w:t>10.3</w:t>
      </w:r>
      <w:r w:rsidR="00EE26ED">
        <w:t>% to $</w:t>
      </w:r>
      <w:r w:rsidR="00056E45">
        <w:t>468.2</w:t>
      </w:r>
      <w:r w:rsidR="00EE26ED">
        <w:t xml:space="preserve"> million </w:t>
      </w:r>
      <w:r w:rsidR="00AE31BD">
        <w:t xml:space="preserve">at </w:t>
      </w:r>
      <w:r w:rsidR="00056E45">
        <w:t>September</w:t>
      </w:r>
      <w:r w:rsidR="00AE31BD">
        <w:t xml:space="preserve"> 30, 2024 compared to </w:t>
      </w:r>
      <w:r w:rsidR="00C5785E">
        <w:t>$</w:t>
      </w:r>
      <w:r w:rsidR="00056E45">
        <w:t>522.1</w:t>
      </w:r>
      <w:r w:rsidR="00EE26ED">
        <w:t xml:space="preserve"> million</w:t>
      </w:r>
      <w:r w:rsidR="00AE31BD">
        <w:t xml:space="preserve"> a year earlier</w:t>
      </w:r>
      <w:r w:rsidR="00EE26ED">
        <w:t xml:space="preserve">. </w:t>
      </w:r>
    </w:p>
    <w:p w14:paraId="188C3628" w14:textId="39D6D3B9" w:rsidR="00E370F5" w:rsidRDefault="00056D18" w:rsidP="007562AF">
      <w:pPr>
        <w:jc w:val="both"/>
      </w:pPr>
      <w:r>
        <w:t>T</w:t>
      </w:r>
      <w:r w:rsidR="00C204F0">
        <w:t>he Bank has experienced credit deterioration</w:t>
      </w:r>
      <w:r w:rsidR="00C26254">
        <w:t xml:space="preserve"> </w:t>
      </w:r>
      <w:r w:rsidR="00C204F0">
        <w:t xml:space="preserve">from </w:t>
      </w:r>
      <w:r w:rsidR="00AE31BD">
        <w:t xml:space="preserve">Bank </w:t>
      </w:r>
      <w:r w:rsidR="001E447C">
        <w:t xml:space="preserve">borrowers </w:t>
      </w:r>
      <w:r w:rsidR="00AE31BD">
        <w:t>with</w:t>
      </w:r>
      <w:r w:rsidR="001E447C">
        <w:t xml:space="preserve"> “commercial-equipment” loans</w:t>
      </w:r>
      <w:r w:rsidR="00AE31BD">
        <w:t>.</w:t>
      </w:r>
      <w:r w:rsidR="00CD0FA0">
        <w:t xml:space="preserve"> </w:t>
      </w:r>
      <w:r w:rsidR="00C204F0" w:rsidRPr="00703C2B">
        <w:t xml:space="preserve">As of </w:t>
      </w:r>
      <w:r w:rsidR="00056E45">
        <w:t>September</w:t>
      </w:r>
      <w:r w:rsidR="00C204F0" w:rsidRPr="00703C2B">
        <w:t xml:space="preserve"> 30, 2024, t</w:t>
      </w:r>
      <w:r w:rsidR="00DF774F" w:rsidRPr="00703C2B">
        <w:t>he</w:t>
      </w:r>
      <w:r>
        <w:t>se loans totaled $38.3 million as compared to $49.3 million as of June 30, 2024. The</w:t>
      </w:r>
      <w:r w:rsidR="00C705A9" w:rsidRPr="00703C2B">
        <w:t xml:space="preserve"> </w:t>
      </w:r>
      <w:r w:rsidR="003421B0">
        <w:t>Allowance for Credit Losses (</w:t>
      </w:r>
      <w:r w:rsidR="00C705A9" w:rsidRPr="00703C2B">
        <w:t>ACL</w:t>
      </w:r>
      <w:r w:rsidR="003421B0">
        <w:t>)</w:t>
      </w:r>
      <w:r w:rsidR="00C705A9" w:rsidRPr="00703C2B">
        <w:t xml:space="preserve"> on Loans and ACL on Off-Balance Sheet Credit Exposure </w:t>
      </w:r>
      <w:r w:rsidR="00C204F0" w:rsidRPr="00703C2B">
        <w:t>w</w:t>
      </w:r>
      <w:r w:rsidR="00C807A5">
        <w:t>ere</w:t>
      </w:r>
      <w:r w:rsidR="00DF774F" w:rsidRPr="00703C2B">
        <w:t xml:space="preserve"> </w:t>
      </w:r>
      <w:r w:rsidR="00C705A9" w:rsidRPr="00703C2B">
        <w:t>$</w:t>
      </w:r>
      <w:r w:rsidR="00056E45">
        <w:t>24.1</w:t>
      </w:r>
      <w:r w:rsidR="00C705A9" w:rsidRPr="00703C2B">
        <w:t xml:space="preserve"> million and $</w:t>
      </w:r>
      <w:r w:rsidR="005B519C">
        <w:t>1</w:t>
      </w:r>
      <w:r w:rsidR="00C204F0" w:rsidRPr="00703C2B">
        <w:t>.</w:t>
      </w:r>
      <w:r w:rsidR="005B519C">
        <w:t>7</w:t>
      </w:r>
      <w:r w:rsidR="00C705A9" w:rsidRPr="00703C2B">
        <w:t xml:space="preserve"> million, respectively</w:t>
      </w:r>
      <w:r w:rsidR="00F7772D" w:rsidRPr="00703C2B">
        <w:t xml:space="preserve">, as </w:t>
      </w:r>
      <w:r>
        <w:t xml:space="preserve">of September 30, 2024, </w:t>
      </w:r>
      <w:r w:rsidR="00F7772D" w:rsidRPr="00703C2B">
        <w:t>compared to $</w:t>
      </w:r>
      <w:r w:rsidR="005B519C">
        <w:t>13.1</w:t>
      </w:r>
      <w:r w:rsidR="00F7772D" w:rsidRPr="00703C2B">
        <w:t xml:space="preserve"> million and $</w:t>
      </w:r>
      <w:r w:rsidR="005B519C">
        <w:t>2.2 million</w:t>
      </w:r>
      <w:r w:rsidR="00F7772D" w:rsidRPr="00703C2B">
        <w:t xml:space="preserve">, respectively, as of </w:t>
      </w:r>
      <w:r w:rsidR="005B519C">
        <w:t xml:space="preserve">June </w:t>
      </w:r>
      <w:r w:rsidR="00703C2B" w:rsidRPr="00703C2B">
        <w:t>30</w:t>
      </w:r>
      <w:r w:rsidR="00F7772D" w:rsidRPr="00703C2B">
        <w:t>, 202</w:t>
      </w:r>
      <w:r w:rsidR="005B519C">
        <w:t>4</w:t>
      </w:r>
      <w:r w:rsidR="00F7772D" w:rsidRPr="00703C2B">
        <w:t>.</w:t>
      </w:r>
      <w:r w:rsidR="00E370F5">
        <w:t xml:space="preserve"> </w:t>
      </w:r>
      <w:r w:rsidR="00703C2B">
        <w:t xml:space="preserve">Additional </w:t>
      </w:r>
      <w:r w:rsidR="00DD4369">
        <w:t>information</w:t>
      </w:r>
      <w:r w:rsidR="00703C2B">
        <w:t xml:space="preserve"> on credit quality </w:t>
      </w:r>
      <w:r w:rsidR="00DD4369">
        <w:t>is</w:t>
      </w:r>
      <w:r w:rsidR="00703C2B">
        <w:t xml:space="preserve"> presented in the tables below.</w:t>
      </w:r>
    </w:p>
    <w:p w14:paraId="3A8C16FD" w14:textId="4BC3738E" w:rsidR="00056D18" w:rsidRDefault="00056D18" w:rsidP="00056D18">
      <w:pPr>
        <w:jc w:val="both"/>
      </w:pPr>
      <w:r>
        <w:t>The Bank</w:t>
      </w:r>
      <w:r w:rsidR="00E97A84">
        <w:t>’s</w:t>
      </w:r>
      <w:r>
        <w:t xml:space="preserve"> capital ratios remained above the regulatory </w:t>
      </w:r>
      <w:r w:rsidR="00695878">
        <w:t xml:space="preserve">“well capitalized” </w:t>
      </w:r>
      <w:r>
        <w:t>minimums  at 7.5</w:t>
      </w:r>
      <w:r w:rsidR="009308EF">
        <w:t>3</w:t>
      </w:r>
      <w:r>
        <w:t>%, 9.</w:t>
      </w:r>
      <w:r w:rsidR="009308EF">
        <w:t>5</w:t>
      </w:r>
      <w:r>
        <w:t>6% and 1</w:t>
      </w:r>
      <w:r w:rsidR="009308EF">
        <w:t>0</w:t>
      </w:r>
      <w:r>
        <w:t>.</w:t>
      </w:r>
      <w:r w:rsidR="009308EF">
        <w:t>87</w:t>
      </w:r>
      <w:r>
        <w:t>% for Tier 1 Leverage Ratio, Tier 1 Risk-Based Capital Ratio and Total Risk-Based Capital Ratio, respectively, as of September 30, 2024.</w:t>
      </w:r>
    </w:p>
    <w:p w14:paraId="7F1F1DD3" w14:textId="6336D934" w:rsidR="00695878" w:rsidRPr="00695878" w:rsidRDefault="001C236E" w:rsidP="00695878">
      <w:pPr>
        <w:spacing w:after="0"/>
        <w:jc w:val="both"/>
      </w:pPr>
      <w:bookmarkStart w:id="0" w:name="_Hlk161219528"/>
      <w:r w:rsidRPr="00C26254">
        <w:t>“</w:t>
      </w:r>
      <w:r w:rsidR="00EA0018">
        <w:t>As a result of</w:t>
      </w:r>
      <w:r w:rsidR="00517856">
        <w:t xml:space="preserve"> the ongoing issues with commercial equipment loans, it was necessary</w:t>
      </w:r>
      <w:r w:rsidR="005B519C">
        <w:t xml:space="preserve"> to</w:t>
      </w:r>
      <w:r w:rsidR="00810CA3">
        <w:t xml:space="preserve"> </w:t>
      </w:r>
      <w:r w:rsidR="00056D18">
        <w:t>recognize</w:t>
      </w:r>
      <w:r w:rsidR="00810CA3">
        <w:t xml:space="preserve"> </w:t>
      </w:r>
      <w:r w:rsidR="0046025B">
        <w:t>a</w:t>
      </w:r>
      <w:r w:rsidR="00316C7E">
        <w:t xml:space="preserve"> </w:t>
      </w:r>
      <w:r w:rsidR="007363CE">
        <w:t>large</w:t>
      </w:r>
      <w:r w:rsidR="00810CA3">
        <w:t xml:space="preserve"> provision</w:t>
      </w:r>
      <w:r w:rsidR="00056D18">
        <w:t xml:space="preserve"> in the third quarter</w:t>
      </w:r>
      <w:r w:rsidR="00810CA3">
        <w:t xml:space="preserve">. </w:t>
      </w:r>
      <w:r w:rsidR="00517856">
        <w:t xml:space="preserve">Although </w:t>
      </w:r>
      <w:r w:rsidR="00810CA3">
        <w:t xml:space="preserve">the Bank </w:t>
      </w:r>
      <w:r w:rsidR="00517856">
        <w:t xml:space="preserve">has </w:t>
      </w:r>
      <w:r w:rsidR="00810CA3">
        <w:t xml:space="preserve">charged off $23 million of these loans and </w:t>
      </w:r>
      <w:r w:rsidR="00056D18">
        <w:t xml:space="preserve">has </w:t>
      </w:r>
      <w:r w:rsidR="00810CA3">
        <w:t>reserved</w:t>
      </w:r>
      <w:r w:rsidR="00056D18">
        <w:t xml:space="preserve"> for</w:t>
      </w:r>
      <w:r w:rsidR="00810CA3">
        <w:t xml:space="preserve"> 63% </w:t>
      </w:r>
      <w:r w:rsidR="00A71D51">
        <w:t>of</w:t>
      </w:r>
      <w:r w:rsidR="00810CA3">
        <w:t xml:space="preserve"> the </w:t>
      </w:r>
      <w:r w:rsidR="00056D18">
        <w:t xml:space="preserve">remaining </w:t>
      </w:r>
      <w:r w:rsidR="00DC0AD7">
        <w:t>$38 million</w:t>
      </w:r>
      <w:r w:rsidR="00517856">
        <w:t xml:space="preserve">, </w:t>
      </w:r>
      <w:r w:rsidR="00316C7E">
        <w:t>it</w:t>
      </w:r>
      <w:r w:rsidR="006E7828">
        <w:t>s capital ratios are</w:t>
      </w:r>
      <w:r w:rsidR="00316C7E">
        <w:t xml:space="preserve"> still</w:t>
      </w:r>
      <w:r w:rsidR="00517856">
        <w:t xml:space="preserve"> </w:t>
      </w:r>
      <w:r w:rsidR="00316C7E">
        <w:t xml:space="preserve">above </w:t>
      </w:r>
      <w:r w:rsidR="00695878">
        <w:t xml:space="preserve">regulatory </w:t>
      </w:r>
      <w:r w:rsidR="00517856">
        <w:t xml:space="preserve">‘well capitalized’ </w:t>
      </w:r>
      <w:r w:rsidR="00316C7E">
        <w:t>minimum ratios</w:t>
      </w:r>
      <w:r w:rsidRPr="00C26254">
        <w:t xml:space="preserve">,” said </w:t>
      </w:r>
      <w:r w:rsidR="001410C0">
        <w:t xml:space="preserve">President &amp; CEO </w:t>
      </w:r>
      <w:r w:rsidRPr="00C26254">
        <w:t>Stephanie Yoon.</w:t>
      </w:r>
      <w:r w:rsidR="00961C06" w:rsidRPr="00C26254">
        <w:t xml:space="preserve"> </w:t>
      </w:r>
      <w:r w:rsidR="006C0569" w:rsidRPr="00C26254">
        <w:t>“</w:t>
      </w:r>
      <w:r w:rsidR="00695878">
        <w:t>While we are disappointed to recognize another large provision in the third quarter due to these loans, we are encouraged by the work of our new,</w:t>
      </w:r>
      <w:r w:rsidR="00A90FE9">
        <w:t xml:space="preserve"> solid</w:t>
      </w:r>
      <w:r w:rsidR="007363CE">
        <w:t xml:space="preserve"> credit</w:t>
      </w:r>
      <w:r w:rsidR="00A90FE9">
        <w:t xml:space="preserve"> team </w:t>
      </w:r>
      <w:r w:rsidR="00E4296B">
        <w:t xml:space="preserve">as they actively </w:t>
      </w:r>
      <w:r w:rsidR="00695878">
        <w:t>work to resolve these issues</w:t>
      </w:r>
      <w:r w:rsidR="00A90FE9">
        <w:t>.</w:t>
      </w:r>
      <w:r w:rsidR="00806359" w:rsidRPr="00C26254">
        <w:t>”</w:t>
      </w:r>
    </w:p>
    <w:p w14:paraId="5A948938" w14:textId="77777777" w:rsidR="00695878" w:rsidRPr="00C26254" w:rsidRDefault="00695878" w:rsidP="00CB3F5C">
      <w:pPr>
        <w:spacing w:after="0"/>
        <w:jc w:val="both"/>
      </w:pPr>
    </w:p>
    <w:bookmarkEnd w:id="0"/>
    <w:p w14:paraId="69DFE4FA" w14:textId="77777777" w:rsidR="00E370F5" w:rsidRDefault="00E370F5" w:rsidP="008B1C13">
      <w:pPr>
        <w:spacing w:after="0"/>
        <w:jc w:val="both"/>
      </w:pPr>
    </w:p>
    <w:p w14:paraId="7BFFF02C" w14:textId="77777777" w:rsidR="000616F5" w:rsidRDefault="000616F5">
      <w:pPr>
        <w:rPr>
          <w:b/>
          <w:bCs/>
          <w:lang w:val="en"/>
        </w:rPr>
      </w:pPr>
      <w:r>
        <w:rPr>
          <w:b/>
          <w:bCs/>
          <w:lang w:val="en"/>
        </w:rPr>
        <w:br w:type="page"/>
      </w:r>
    </w:p>
    <w:p w14:paraId="13AFCC55" w14:textId="3B7B15CB" w:rsidR="00AC7128" w:rsidRPr="00AC7128" w:rsidRDefault="00AC7128" w:rsidP="00AC7128">
      <w:pPr>
        <w:rPr>
          <w:b/>
          <w:bCs/>
          <w:lang w:val="en"/>
        </w:rPr>
      </w:pPr>
      <w:r w:rsidRPr="00AC7128">
        <w:rPr>
          <w:b/>
          <w:bCs/>
          <w:lang w:val="en"/>
        </w:rPr>
        <w:lastRenderedPageBreak/>
        <w:t>Non-GAAP Financial Metrics</w:t>
      </w:r>
    </w:p>
    <w:p w14:paraId="4A75E2C2" w14:textId="4AA4B3A9" w:rsidR="003A65C6" w:rsidRPr="00AC7128" w:rsidRDefault="00AC7128" w:rsidP="00AC7128">
      <w:pPr>
        <w:spacing w:after="0"/>
        <w:jc w:val="both"/>
        <w:rPr>
          <w:lang w:val="en"/>
        </w:rPr>
      </w:pPr>
      <w:r w:rsidRPr="00AC7128">
        <w:rPr>
          <w:lang w:val="en"/>
        </w:rPr>
        <w:t>This news release contains certain non-GAAP financial measure disclosures. Management believes these non-GAAP financial measures provide meaningful supplemental information regarding the Company’s operational performance</w:t>
      </w:r>
      <w:r>
        <w:rPr>
          <w:lang w:val="en"/>
        </w:rPr>
        <w:t>, credit quality</w:t>
      </w:r>
      <w:r w:rsidRPr="00AC7128">
        <w:rPr>
          <w:lang w:val="en"/>
        </w:rPr>
        <w:t xml:space="preserve"> and capital levels. </w:t>
      </w:r>
    </w:p>
    <w:p w14:paraId="75C767FC" w14:textId="77777777" w:rsidR="00AC7128" w:rsidRDefault="00AC7128" w:rsidP="00AC7128">
      <w:pPr>
        <w:spacing w:after="0"/>
        <w:rPr>
          <w:b/>
        </w:rPr>
      </w:pPr>
    </w:p>
    <w:p w14:paraId="617A7CF1" w14:textId="3A1C48CD" w:rsidR="006557B5" w:rsidRDefault="006557B5" w:rsidP="003A65C6">
      <w:pPr>
        <w:rPr>
          <w:b/>
        </w:rPr>
      </w:pPr>
      <w:r w:rsidRPr="00105D38">
        <w:rPr>
          <w:b/>
        </w:rPr>
        <w:t xml:space="preserve">About </w:t>
      </w:r>
      <w:r>
        <w:rPr>
          <w:b/>
        </w:rPr>
        <w:t>U &amp; I Financial Corp.</w:t>
      </w:r>
      <w:r w:rsidRPr="00105D38">
        <w:rPr>
          <w:b/>
        </w:rPr>
        <w:t xml:space="preserve"> </w:t>
      </w:r>
    </w:p>
    <w:p w14:paraId="33181932" w14:textId="1DA0B85D" w:rsidR="006557B5" w:rsidRDefault="006D7BF5" w:rsidP="000126F9">
      <w:pPr>
        <w:jc w:val="both"/>
        <w:rPr>
          <w:lang w:val="en"/>
        </w:rPr>
      </w:pPr>
      <w:proofErr w:type="spellStart"/>
      <w:r w:rsidRPr="00CC35C6">
        <w:rPr>
          <w:lang w:val="en"/>
        </w:rPr>
        <w:t>UniBank</w:t>
      </w:r>
      <w:proofErr w:type="spellEnd"/>
      <w:r w:rsidRPr="00CC35C6">
        <w:rPr>
          <w:lang w:val="en"/>
        </w:rPr>
        <w:t>, the wholly</w:t>
      </w:r>
      <w:r w:rsidR="00842A13">
        <w:rPr>
          <w:lang w:val="en"/>
        </w:rPr>
        <w:t xml:space="preserve"> </w:t>
      </w:r>
      <w:r w:rsidRPr="00CC35C6">
        <w:rPr>
          <w:lang w:val="en"/>
        </w:rPr>
        <w:t>owned subsidia</w:t>
      </w:r>
      <w:r>
        <w:rPr>
          <w:lang w:val="en"/>
        </w:rPr>
        <w:t>ry of U &amp; I Financial Corp. (OTCQX</w:t>
      </w:r>
      <w:r w:rsidRPr="00CC35C6">
        <w:rPr>
          <w:lang w:val="en"/>
        </w:rPr>
        <w:t xml:space="preserve">: UNIF). </w:t>
      </w:r>
      <w:r w:rsidRPr="00AB346D">
        <w:rPr>
          <w:lang w:val="en"/>
        </w:rPr>
        <w:t xml:space="preserve">Founded in 2006 and based in Lynnwood, Washington, the Bank serves small to medium-sized businesses, professionals, and </w:t>
      </w:r>
      <w:r>
        <w:rPr>
          <w:lang w:val="en"/>
        </w:rPr>
        <w:t>individuals</w:t>
      </w:r>
      <w:r w:rsidRPr="00AB346D">
        <w:rPr>
          <w:lang w:val="en"/>
        </w:rPr>
        <w:t xml:space="preserve"> </w:t>
      </w:r>
      <w:r>
        <w:rPr>
          <w:lang w:val="en"/>
        </w:rPr>
        <w:t xml:space="preserve">across the United States </w:t>
      </w:r>
      <w:r w:rsidRPr="00AB346D">
        <w:rPr>
          <w:lang w:val="en"/>
        </w:rPr>
        <w:t xml:space="preserve">with a particular </w:t>
      </w:r>
      <w:r w:rsidRPr="00961C06">
        <w:rPr>
          <w:lang w:val="en"/>
        </w:rPr>
        <w:t>emphasis on government guaranteed loan programs.</w:t>
      </w:r>
      <w:r w:rsidRPr="00AB346D">
        <w:rPr>
          <w:lang w:val="en"/>
        </w:rPr>
        <w:t xml:space="preserve"> </w:t>
      </w:r>
      <w:r w:rsidRPr="00CC35C6">
        <w:rPr>
          <w:lang w:val="en"/>
        </w:rPr>
        <w:t xml:space="preserve">Customers can access their accounts in any of the </w:t>
      </w:r>
      <w:r w:rsidR="0036531C">
        <w:rPr>
          <w:lang w:val="en"/>
        </w:rPr>
        <w:t>four</w:t>
      </w:r>
      <w:r w:rsidRPr="00CC35C6">
        <w:rPr>
          <w:lang w:val="en"/>
        </w:rPr>
        <w:t xml:space="preserve"> branches – Lynnwood, Bellevue, Federal Way and Tacoma – online, or through the Bank’s ATM network.</w:t>
      </w:r>
    </w:p>
    <w:p w14:paraId="3E8B5F5E" w14:textId="77777777" w:rsidR="006557B5" w:rsidRDefault="006557B5" w:rsidP="000126F9">
      <w:pPr>
        <w:jc w:val="both"/>
        <w:rPr>
          <w:lang w:val="en"/>
        </w:rPr>
      </w:pPr>
      <w:r w:rsidRPr="00CC35C6">
        <w:rPr>
          <w:lang w:val="en"/>
        </w:rPr>
        <w:t xml:space="preserve">For more information visit </w:t>
      </w:r>
      <w:hyperlink r:id="rId6" w:history="1">
        <w:r w:rsidRPr="00CC35C6">
          <w:rPr>
            <w:rStyle w:val="Hyperlink"/>
            <w:lang w:val="en"/>
          </w:rPr>
          <w:t>www.unibankusa.com</w:t>
        </w:r>
      </w:hyperlink>
      <w:r w:rsidRPr="00CC35C6">
        <w:rPr>
          <w:lang w:val="en"/>
        </w:rPr>
        <w:t xml:space="preserve"> or call (425) 275-9700. </w:t>
      </w:r>
    </w:p>
    <w:p w14:paraId="03D66894" w14:textId="3E90FAD3" w:rsidR="00105D38" w:rsidRDefault="006557B5" w:rsidP="000126F9">
      <w:pPr>
        <w:jc w:val="both"/>
      </w:pPr>
      <w:r w:rsidRPr="00CB6B9B">
        <w:t xml:space="preserve">Forward-Looking Statement Safe Harbor: This news release contains comments or information that constitutes forward-looking statements (within the meaning of the Private Securities Litigation Reform Act of 1995) that are based on current expectations that involve a number of risks and uncertainties. Forward-looking statements describe </w:t>
      </w:r>
      <w:r w:rsidR="008B1C13">
        <w:t>the Company</w:t>
      </w:r>
      <w:r w:rsidRPr="00CB6B9B">
        <w:t xml:space="preserve">’s projections, estimates, plans and expectations of future results and can be identified by words such as “believe,” “intend,” “estimate,” “likely,” “anticipate,” “expect,” “looking forward,” and other similar expressions. They are not guarantees of future performance. Actual results may differ materially from the results expressed in these forward-looking statements, which because of their forward-looking nature, are difficult to predict. Investors should not place undue reliance on any forward-looking statement, and should consider factors that might cause differences including but not limited to the degree of competition by traditional and nontraditional competitors, declines in real estate markets, an increase in unemployment or sustained high levels of unemployment; changes in interest rates; adverse changes in local, national and international economies; changes in the Federal Reserve’s actions that affect monetary and fiscal policies; changes in legislative or regulatory actions or reform, including without limitation, the Dodd-Frank Wall Street Reform and Consumer Protection Act; demand for products and services; </w:t>
      </w:r>
      <w:r w:rsidR="007562AF">
        <w:t>further declines in</w:t>
      </w:r>
      <w:r w:rsidRPr="00CB6B9B">
        <w:t xml:space="preserve"> the quality of the loan portfolio </w:t>
      </w:r>
      <w:r w:rsidR="00F17BF4">
        <w:t xml:space="preserve">that results in continued losses </w:t>
      </w:r>
      <w:r w:rsidRPr="00CB6B9B">
        <w:t>and our ability to succeed in our problem-asset resolution efforts;</w:t>
      </w:r>
      <w:r w:rsidR="00E06593">
        <w:t xml:space="preserve"> </w:t>
      </w:r>
      <w:r w:rsidR="001269BB">
        <w:t xml:space="preserve">including, but not limited to, continued credit deterioration of commercial-equipment loans and future increases in the Provision for Credit Losses, </w:t>
      </w:r>
      <w:r w:rsidRPr="00CB6B9B">
        <w:t xml:space="preserve">the impact of technological advances; changes in tax laws; and other risk factors. </w:t>
      </w:r>
      <w:r>
        <w:t>U &amp; I Financial Corp.</w:t>
      </w:r>
      <w:r w:rsidRPr="00CB6B9B">
        <w:t xml:space="preserve"> undertakes no obligation to publicly update or clarify any forward-looking statement to reflect the impact of events or circumstances that may arise after the date of this release.</w:t>
      </w:r>
    </w:p>
    <w:p w14:paraId="493C8A94" w14:textId="5BA6AF47" w:rsidR="00347D52" w:rsidRDefault="00FE628C" w:rsidP="00FE628C">
      <w:pPr>
        <w:ind w:left="-90"/>
        <w:jc w:val="center"/>
      </w:pPr>
      <w:r w:rsidRPr="00FE628C">
        <w:rPr>
          <w:noProof/>
        </w:rPr>
        <w:lastRenderedPageBreak/>
        <w:drawing>
          <wp:inline distT="0" distB="0" distL="0" distR="0" wp14:anchorId="37E56979" wp14:editId="6FD70F9D">
            <wp:extent cx="6049671" cy="7883319"/>
            <wp:effectExtent l="0" t="0" r="8255" b="3810"/>
            <wp:docPr id="2003086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78108" cy="7920375"/>
                    </a:xfrm>
                    <a:prstGeom prst="rect">
                      <a:avLst/>
                    </a:prstGeom>
                    <a:noFill/>
                    <a:ln>
                      <a:noFill/>
                    </a:ln>
                  </pic:spPr>
                </pic:pic>
              </a:graphicData>
            </a:graphic>
          </wp:inline>
        </w:drawing>
      </w:r>
    </w:p>
    <w:p w14:paraId="702E5C32" w14:textId="362DDB53" w:rsidR="00380036" w:rsidRDefault="00380036" w:rsidP="00880F35">
      <w:pPr>
        <w:ind w:left="-270"/>
        <w:jc w:val="center"/>
      </w:pPr>
    </w:p>
    <w:p w14:paraId="7CC5E13B" w14:textId="13A60073" w:rsidR="004F41DD" w:rsidRDefault="004F41DD" w:rsidP="00703C2B">
      <w:pPr>
        <w:ind w:left="-270"/>
        <w:jc w:val="center"/>
        <w:rPr>
          <w:noProof/>
        </w:rPr>
      </w:pPr>
    </w:p>
    <w:p w14:paraId="32F7A0B8" w14:textId="1215F51A" w:rsidR="00BE4F32" w:rsidRDefault="009308EF" w:rsidP="00FE628C">
      <w:pPr>
        <w:ind w:left="-90"/>
        <w:jc w:val="center"/>
        <w:rPr>
          <w:noProof/>
        </w:rPr>
      </w:pPr>
      <w:r w:rsidRPr="009308EF">
        <w:rPr>
          <w:noProof/>
        </w:rPr>
        <w:lastRenderedPageBreak/>
        <w:drawing>
          <wp:inline distT="0" distB="0" distL="0" distR="0" wp14:anchorId="35388D43" wp14:editId="1726E7E4">
            <wp:extent cx="5943600" cy="3755390"/>
            <wp:effectExtent l="0" t="0" r="0" b="0"/>
            <wp:docPr id="1168300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755390"/>
                    </a:xfrm>
                    <a:prstGeom prst="rect">
                      <a:avLst/>
                    </a:prstGeom>
                    <a:noFill/>
                    <a:ln>
                      <a:noFill/>
                    </a:ln>
                  </pic:spPr>
                </pic:pic>
              </a:graphicData>
            </a:graphic>
          </wp:inline>
        </w:drawing>
      </w:r>
    </w:p>
    <w:p w14:paraId="50156C23" w14:textId="77777777" w:rsidR="00703C2B" w:rsidRPr="00401303" w:rsidRDefault="00703C2B" w:rsidP="00703C2B">
      <w:pPr>
        <w:pStyle w:val="NoteTextLinespacingMultiple11"/>
        <w:snapToGrid w:val="0"/>
        <w:spacing w:before="120" w:line="276" w:lineRule="auto"/>
        <w:rPr>
          <w:rFonts w:asciiTheme="minorHAnsi" w:hAnsiTheme="minorHAnsi" w:cstheme="minorHAnsi"/>
          <w:b/>
          <w:bCs/>
          <w:sz w:val="22"/>
          <w:szCs w:val="22"/>
        </w:rPr>
      </w:pPr>
      <w:r w:rsidRPr="00401303">
        <w:rPr>
          <w:rFonts w:asciiTheme="minorHAnsi" w:hAnsiTheme="minorHAnsi" w:cstheme="minorHAnsi"/>
          <w:b/>
          <w:bCs/>
          <w:sz w:val="22"/>
          <w:szCs w:val="22"/>
        </w:rPr>
        <w:t>Additional Credit Disclosures</w:t>
      </w:r>
    </w:p>
    <w:p w14:paraId="60E26509" w14:textId="397B469C" w:rsidR="00703C2B" w:rsidRPr="001707E8" w:rsidRDefault="00703C2B" w:rsidP="00FE628C">
      <w:pPr>
        <w:pStyle w:val="NoteTextLinespacingMultiple11"/>
        <w:snapToGrid w:val="0"/>
        <w:spacing w:before="120" w:line="276" w:lineRule="auto"/>
        <w:jc w:val="both"/>
        <w:rPr>
          <w:rFonts w:asciiTheme="minorHAnsi" w:hAnsiTheme="minorHAnsi" w:cstheme="minorHAnsi"/>
          <w:sz w:val="22"/>
          <w:szCs w:val="22"/>
        </w:rPr>
      </w:pPr>
      <w:r w:rsidRPr="001707E8">
        <w:rPr>
          <w:rFonts w:asciiTheme="minorHAnsi" w:hAnsiTheme="minorHAnsi" w:cstheme="minorHAnsi"/>
          <w:b/>
          <w:bCs/>
          <w:sz w:val="22"/>
          <w:szCs w:val="22"/>
        </w:rPr>
        <w:t>Loan Segmentation</w:t>
      </w:r>
      <w:r w:rsidRPr="001707E8">
        <w:rPr>
          <w:rFonts w:asciiTheme="minorHAnsi" w:hAnsiTheme="minorHAnsi" w:cstheme="minorHAnsi"/>
          <w:sz w:val="22"/>
          <w:szCs w:val="22"/>
        </w:rPr>
        <w:t xml:space="preserve"> - The following table</w:t>
      </w:r>
      <w:r w:rsidR="001269BB">
        <w:rPr>
          <w:rFonts w:asciiTheme="minorHAnsi" w:hAnsiTheme="minorHAnsi" w:cstheme="minorHAnsi"/>
          <w:sz w:val="22"/>
          <w:szCs w:val="22"/>
        </w:rPr>
        <w:t>s</w:t>
      </w:r>
      <w:r w:rsidRPr="001707E8">
        <w:rPr>
          <w:rFonts w:asciiTheme="minorHAnsi" w:hAnsiTheme="minorHAnsi" w:cstheme="minorHAnsi"/>
          <w:sz w:val="22"/>
          <w:szCs w:val="22"/>
        </w:rPr>
        <w:t xml:space="preserve"> present the Bank’s total loans outstanding </w:t>
      </w:r>
      <w:r>
        <w:rPr>
          <w:rFonts w:asciiTheme="minorHAnsi" w:hAnsiTheme="minorHAnsi" w:cstheme="minorHAnsi"/>
          <w:sz w:val="22"/>
          <w:szCs w:val="22"/>
        </w:rPr>
        <w:t xml:space="preserve">at amortized cost </w:t>
      </w:r>
      <w:r w:rsidRPr="001707E8">
        <w:rPr>
          <w:rFonts w:asciiTheme="minorHAnsi" w:hAnsiTheme="minorHAnsi" w:cstheme="minorHAnsi"/>
          <w:sz w:val="22"/>
          <w:szCs w:val="22"/>
        </w:rPr>
        <w:t>by portfolio segment and by internally assigned grades a</w:t>
      </w:r>
      <w:r>
        <w:rPr>
          <w:rFonts w:asciiTheme="minorHAnsi" w:hAnsiTheme="minorHAnsi" w:cstheme="minorHAnsi"/>
          <w:sz w:val="22"/>
          <w:szCs w:val="22"/>
        </w:rPr>
        <w:t>s of</w:t>
      </w:r>
      <w:r w:rsidRPr="001707E8">
        <w:rPr>
          <w:rFonts w:asciiTheme="minorHAnsi" w:hAnsiTheme="minorHAnsi" w:cstheme="minorHAnsi"/>
          <w:sz w:val="22"/>
          <w:szCs w:val="22"/>
        </w:rPr>
        <w:t xml:space="preserve"> </w:t>
      </w:r>
      <w:r w:rsidR="00C91041">
        <w:rPr>
          <w:rFonts w:asciiTheme="minorHAnsi" w:hAnsiTheme="minorHAnsi" w:cstheme="minorHAnsi"/>
          <w:sz w:val="22"/>
          <w:szCs w:val="22"/>
          <w:lang w:eastAsia="ko-KR"/>
        </w:rPr>
        <w:t>September</w:t>
      </w:r>
      <w:r w:rsidR="00C91041">
        <w:rPr>
          <w:rFonts w:asciiTheme="minorHAnsi" w:hAnsiTheme="minorHAnsi" w:cstheme="minorHAnsi" w:hint="eastAsia"/>
          <w:sz w:val="22"/>
          <w:szCs w:val="22"/>
          <w:lang w:eastAsia="ko-KR"/>
        </w:rPr>
        <w:t xml:space="preserve"> </w:t>
      </w:r>
      <w:r>
        <w:rPr>
          <w:rFonts w:asciiTheme="minorHAnsi" w:hAnsiTheme="minorHAnsi" w:cstheme="minorHAnsi"/>
          <w:sz w:val="22"/>
          <w:szCs w:val="22"/>
        </w:rPr>
        <w:t>30</w:t>
      </w:r>
      <w:r w:rsidRPr="001707E8">
        <w:rPr>
          <w:rFonts w:asciiTheme="minorHAnsi" w:hAnsiTheme="minorHAnsi" w:cstheme="minorHAnsi"/>
          <w:sz w:val="22"/>
          <w:szCs w:val="22"/>
        </w:rPr>
        <w:t>, 202</w:t>
      </w:r>
      <w:r>
        <w:rPr>
          <w:rFonts w:asciiTheme="minorHAnsi" w:hAnsiTheme="minorHAnsi" w:cstheme="minorHAnsi"/>
          <w:sz w:val="22"/>
          <w:szCs w:val="22"/>
        </w:rPr>
        <w:t xml:space="preserve">4 and </w:t>
      </w:r>
      <w:r w:rsidR="00C91041">
        <w:rPr>
          <w:rFonts w:asciiTheme="minorHAnsi" w:hAnsiTheme="minorHAnsi" w:cstheme="minorHAnsi"/>
          <w:sz w:val="22"/>
          <w:szCs w:val="22"/>
        </w:rPr>
        <w:t>June</w:t>
      </w:r>
      <w:r>
        <w:rPr>
          <w:rFonts w:asciiTheme="minorHAnsi" w:hAnsiTheme="minorHAnsi" w:cstheme="minorHAnsi"/>
          <w:sz w:val="22"/>
          <w:szCs w:val="22"/>
        </w:rPr>
        <w:t xml:space="preserve"> 3</w:t>
      </w:r>
      <w:r w:rsidR="00C91041">
        <w:rPr>
          <w:rFonts w:asciiTheme="minorHAnsi" w:hAnsiTheme="minorHAnsi" w:cstheme="minorHAnsi" w:hint="eastAsia"/>
          <w:sz w:val="22"/>
          <w:szCs w:val="22"/>
          <w:lang w:eastAsia="ko-KR"/>
        </w:rPr>
        <w:t>0</w:t>
      </w:r>
      <w:r>
        <w:rPr>
          <w:rFonts w:asciiTheme="minorHAnsi" w:hAnsiTheme="minorHAnsi" w:cstheme="minorHAnsi"/>
          <w:sz w:val="22"/>
          <w:szCs w:val="22"/>
        </w:rPr>
        <w:t>, 2024</w:t>
      </w:r>
      <w:r w:rsidRPr="001707E8">
        <w:rPr>
          <w:rFonts w:asciiTheme="minorHAnsi" w:hAnsiTheme="minorHAnsi" w:cstheme="minorHAnsi"/>
          <w:sz w:val="22"/>
          <w:szCs w:val="22"/>
        </w:rPr>
        <w:t xml:space="preserve"> (in thousands):</w:t>
      </w:r>
    </w:p>
    <w:p w14:paraId="684B00CE" w14:textId="102DEBFC" w:rsidR="00703C2B" w:rsidRPr="001707E8" w:rsidRDefault="00C91041" w:rsidP="00703C2B">
      <w:pPr>
        <w:pStyle w:val="NoteTextLinespacingMultiple11"/>
        <w:snapToGrid w:val="0"/>
        <w:spacing w:before="120" w:line="276" w:lineRule="auto"/>
        <w:rPr>
          <w:rFonts w:asciiTheme="minorHAnsi" w:hAnsiTheme="minorHAnsi" w:cstheme="minorHAnsi"/>
          <w:sz w:val="22"/>
          <w:szCs w:val="22"/>
        </w:rPr>
      </w:pPr>
      <w:r w:rsidRPr="00C91041">
        <w:rPr>
          <w:noProof/>
        </w:rPr>
        <w:drawing>
          <wp:inline distT="0" distB="0" distL="0" distR="0" wp14:anchorId="009B6813" wp14:editId="3B00C908">
            <wp:extent cx="5943600" cy="3680460"/>
            <wp:effectExtent l="0" t="0" r="0" b="0"/>
            <wp:docPr id="790644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680460"/>
                    </a:xfrm>
                    <a:prstGeom prst="rect">
                      <a:avLst/>
                    </a:prstGeom>
                    <a:noFill/>
                    <a:ln>
                      <a:noFill/>
                    </a:ln>
                  </pic:spPr>
                </pic:pic>
              </a:graphicData>
            </a:graphic>
          </wp:inline>
        </w:drawing>
      </w:r>
    </w:p>
    <w:p w14:paraId="206AC650" w14:textId="141B929C" w:rsidR="00703C2B" w:rsidRPr="007004BD" w:rsidRDefault="00F13832" w:rsidP="00FE628C">
      <w:pPr>
        <w:rPr>
          <w:rFonts w:cstheme="minorHAnsi"/>
        </w:rPr>
      </w:pPr>
      <w:r>
        <w:rPr>
          <w:rFonts w:cstheme="minorHAnsi"/>
          <w:b/>
          <w:bCs/>
        </w:rPr>
        <w:br w:type="page"/>
      </w:r>
      <w:r w:rsidR="00703C2B" w:rsidRPr="00BD53A2">
        <w:rPr>
          <w:rFonts w:cstheme="minorHAnsi"/>
          <w:b/>
          <w:bCs/>
        </w:rPr>
        <w:lastRenderedPageBreak/>
        <w:t>Descriptions of the various risk grades are as follows</w:t>
      </w:r>
      <w:r w:rsidR="00703C2B" w:rsidRPr="007004BD">
        <w:rPr>
          <w:rFonts w:cstheme="minorHAnsi"/>
        </w:rPr>
        <w:t>:</w:t>
      </w:r>
    </w:p>
    <w:p w14:paraId="3B46BEFC" w14:textId="77777777" w:rsidR="00703C2B" w:rsidRPr="007004BD" w:rsidRDefault="00703C2B" w:rsidP="00703C2B">
      <w:pPr>
        <w:pStyle w:val="NoteTextNoSpace"/>
        <w:jc w:val="both"/>
        <w:rPr>
          <w:rFonts w:asciiTheme="minorHAnsi" w:hAnsiTheme="minorHAnsi" w:cstheme="minorHAnsi"/>
          <w:sz w:val="22"/>
          <w:szCs w:val="22"/>
        </w:rPr>
      </w:pPr>
      <w:r w:rsidRPr="007004BD">
        <w:rPr>
          <w:rFonts w:asciiTheme="minorHAnsi" w:hAnsiTheme="minorHAnsi" w:cstheme="minorHAnsi"/>
          <w:sz w:val="22"/>
          <w:szCs w:val="22"/>
        </w:rPr>
        <w:t>Special Mention: Assets having potential weaknesses that if left uncorrected, may result in decline in borrower’s repayment ability. However, these assets are not adversely classified and do not expose the Bank to sufficent risk to warrant adverse classificaiton.</w:t>
      </w:r>
    </w:p>
    <w:p w14:paraId="24198DCF" w14:textId="77777777" w:rsidR="00703C2B" w:rsidRPr="007004BD" w:rsidRDefault="00703C2B" w:rsidP="00703C2B">
      <w:pPr>
        <w:pStyle w:val="NoteTextNoSpace"/>
        <w:jc w:val="both"/>
        <w:rPr>
          <w:rFonts w:asciiTheme="minorHAnsi" w:hAnsiTheme="minorHAnsi" w:cstheme="minorHAnsi"/>
          <w:sz w:val="22"/>
          <w:szCs w:val="22"/>
        </w:rPr>
      </w:pPr>
    </w:p>
    <w:p w14:paraId="036203E3" w14:textId="77777777" w:rsidR="00703C2B" w:rsidRPr="007004BD" w:rsidRDefault="00703C2B" w:rsidP="00703C2B">
      <w:pPr>
        <w:pStyle w:val="NoteTextNoSpace"/>
        <w:jc w:val="both"/>
        <w:rPr>
          <w:rFonts w:asciiTheme="minorHAnsi" w:hAnsiTheme="minorHAnsi" w:cstheme="minorHAnsi"/>
          <w:sz w:val="22"/>
          <w:szCs w:val="22"/>
        </w:rPr>
      </w:pPr>
      <w:r w:rsidRPr="007004BD">
        <w:rPr>
          <w:rFonts w:asciiTheme="minorHAnsi" w:hAnsiTheme="minorHAnsi" w:cstheme="minorHAnsi"/>
          <w:sz w:val="22"/>
          <w:szCs w:val="22"/>
        </w:rPr>
        <w:t xml:space="preserve">Substandard: An asset is considered substandard if it is inadequately protected by the current net worth and pay capacity of the borrower or of any collateral pledged. Substandard assets include those characterized by the distinct possibility that the Bank will sustain some loss if the deficiencies are not corrected. </w:t>
      </w:r>
    </w:p>
    <w:p w14:paraId="623BCC17" w14:textId="77777777" w:rsidR="00703C2B" w:rsidRPr="007004BD" w:rsidRDefault="00703C2B" w:rsidP="00703C2B">
      <w:pPr>
        <w:pStyle w:val="NoteTextNoSpace"/>
        <w:jc w:val="both"/>
        <w:rPr>
          <w:rFonts w:asciiTheme="minorHAnsi" w:hAnsiTheme="minorHAnsi" w:cstheme="minorHAnsi"/>
          <w:sz w:val="22"/>
          <w:szCs w:val="22"/>
        </w:rPr>
      </w:pPr>
    </w:p>
    <w:p w14:paraId="2B118A23" w14:textId="77777777" w:rsidR="00703C2B" w:rsidRPr="007004BD" w:rsidRDefault="00703C2B" w:rsidP="00703C2B">
      <w:pPr>
        <w:pStyle w:val="NoteTextNoSpace"/>
        <w:jc w:val="both"/>
        <w:rPr>
          <w:rFonts w:asciiTheme="minorHAnsi" w:hAnsiTheme="minorHAnsi" w:cstheme="minorHAnsi"/>
          <w:sz w:val="22"/>
          <w:szCs w:val="22"/>
        </w:rPr>
      </w:pPr>
      <w:r w:rsidRPr="007004BD">
        <w:rPr>
          <w:rFonts w:asciiTheme="minorHAnsi" w:hAnsiTheme="minorHAnsi" w:cstheme="minorHAnsi"/>
          <w:sz w:val="22"/>
          <w:szCs w:val="22"/>
        </w:rPr>
        <w:t xml:space="preserve">Doubtful: Assets classified as doubtful have all the weaknesses inherent in those classified substandard, with the added characteristic that the weaknesses present make collection or liquidation in full highly questionable and improbable on the basis of currently existing facts, conditions, and values. </w:t>
      </w:r>
    </w:p>
    <w:p w14:paraId="5AED3D40" w14:textId="77777777" w:rsidR="00703C2B" w:rsidRPr="007004BD" w:rsidRDefault="00703C2B" w:rsidP="00703C2B">
      <w:pPr>
        <w:pStyle w:val="NoteTextNoSpace"/>
        <w:jc w:val="both"/>
        <w:rPr>
          <w:rFonts w:asciiTheme="minorHAnsi" w:hAnsiTheme="minorHAnsi" w:cstheme="minorHAnsi"/>
          <w:sz w:val="22"/>
          <w:szCs w:val="22"/>
        </w:rPr>
      </w:pPr>
    </w:p>
    <w:p w14:paraId="5A53A69A" w14:textId="77777777" w:rsidR="00703C2B" w:rsidRPr="001707E8" w:rsidRDefault="00703C2B" w:rsidP="00703C2B">
      <w:pPr>
        <w:pStyle w:val="NoteTextNoSpace"/>
        <w:jc w:val="both"/>
        <w:rPr>
          <w:rFonts w:asciiTheme="minorHAnsi" w:hAnsiTheme="minorHAnsi" w:cstheme="minorHAnsi"/>
          <w:sz w:val="22"/>
          <w:szCs w:val="22"/>
        </w:rPr>
      </w:pPr>
      <w:r w:rsidRPr="007004BD">
        <w:rPr>
          <w:rFonts w:asciiTheme="minorHAnsi" w:hAnsiTheme="minorHAnsi" w:cstheme="minorHAnsi"/>
          <w:sz w:val="22"/>
          <w:szCs w:val="22"/>
        </w:rPr>
        <w:t>Loss: Assets classified as loss are those considered uncollectible and of such little value that their continuance as assets without the establishment of a specific loss reserve is not warranted. Any loans downgraded to this category are generally charged off soon after.</w:t>
      </w:r>
    </w:p>
    <w:p w14:paraId="562B406E" w14:textId="77777777" w:rsidR="00703C2B" w:rsidRPr="001707E8" w:rsidRDefault="00703C2B" w:rsidP="00703C2B">
      <w:pPr>
        <w:pStyle w:val="NoteText"/>
        <w:spacing w:before="0"/>
        <w:rPr>
          <w:rFonts w:asciiTheme="minorHAnsi" w:hAnsiTheme="minorHAnsi" w:cstheme="minorHAnsi"/>
          <w:sz w:val="22"/>
          <w:szCs w:val="22"/>
        </w:rPr>
      </w:pPr>
      <w:bookmarkStart w:id="1" w:name="_Hlk161757346"/>
    </w:p>
    <w:bookmarkEnd w:id="1"/>
    <w:p w14:paraId="545397AC" w14:textId="6454F809" w:rsidR="00703C2B" w:rsidRDefault="00703C2B" w:rsidP="00703C2B">
      <w:pPr>
        <w:pStyle w:val="NoteText"/>
        <w:spacing w:before="0"/>
        <w:rPr>
          <w:rFonts w:asciiTheme="minorHAnsi" w:hAnsiTheme="minorHAnsi" w:cstheme="minorHAnsi"/>
          <w:sz w:val="22"/>
          <w:szCs w:val="22"/>
        </w:rPr>
      </w:pPr>
      <w:r w:rsidRPr="001707E8">
        <w:rPr>
          <w:rFonts w:asciiTheme="minorHAnsi" w:hAnsiTheme="minorHAnsi" w:cstheme="minorHAnsi"/>
          <w:b/>
          <w:bCs/>
          <w:sz w:val="22"/>
          <w:szCs w:val="22"/>
        </w:rPr>
        <w:t xml:space="preserve">Allowance for Credit </w:t>
      </w:r>
      <w:r w:rsidRPr="00B665F0">
        <w:rPr>
          <w:rFonts w:asciiTheme="minorHAnsi" w:hAnsiTheme="minorHAnsi" w:cstheme="minorHAnsi"/>
          <w:b/>
          <w:bCs/>
          <w:sz w:val="22"/>
          <w:szCs w:val="22"/>
        </w:rPr>
        <w:t>Losses on Loans</w:t>
      </w:r>
      <w:r>
        <w:rPr>
          <w:rFonts w:asciiTheme="minorHAnsi" w:hAnsiTheme="minorHAnsi" w:cstheme="minorHAnsi"/>
          <w:sz w:val="22"/>
          <w:szCs w:val="22"/>
        </w:rPr>
        <w:t xml:space="preserve"> </w:t>
      </w:r>
      <w:r w:rsidRPr="001707E8">
        <w:rPr>
          <w:rFonts w:asciiTheme="minorHAnsi" w:hAnsiTheme="minorHAnsi" w:cstheme="minorHAnsi"/>
          <w:sz w:val="22"/>
          <w:szCs w:val="22"/>
        </w:rPr>
        <w:t>– The following table</w:t>
      </w:r>
      <w:r w:rsidR="001269BB">
        <w:rPr>
          <w:rFonts w:asciiTheme="minorHAnsi" w:hAnsiTheme="minorHAnsi" w:cstheme="minorHAnsi"/>
          <w:sz w:val="22"/>
          <w:szCs w:val="22"/>
        </w:rPr>
        <w:t>s</w:t>
      </w:r>
      <w:r w:rsidRPr="001707E8">
        <w:rPr>
          <w:rFonts w:asciiTheme="minorHAnsi" w:hAnsiTheme="minorHAnsi" w:cstheme="minorHAnsi"/>
          <w:sz w:val="22"/>
          <w:szCs w:val="22"/>
        </w:rPr>
        <w:t xml:space="preserve"> present the allowance for credit losses under ASC 326,</w:t>
      </w:r>
      <w:r w:rsidRPr="001707E8">
        <w:rPr>
          <w:rFonts w:asciiTheme="minorHAnsi" w:hAnsiTheme="minorHAnsi" w:cstheme="minorHAnsi"/>
          <w:i/>
          <w:sz w:val="22"/>
          <w:szCs w:val="22"/>
        </w:rPr>
        <w:t xml:space="preserve"> Financial Instruments – Credit Losses</w:t>
      </w:r>
      <w:r w:rsidRPr="001707E8">
        <w:rPr>
          <w:rFonts w:asciiTheme="minorHAnsi" w:hAnsiTheme="minorHAnsi" w:cstheme="minorHAnsi"/>
          <w:sz w:val="22"/>
          <w:szCs w:val="22"/>
        </w:rPr>
        <w:t xml:space="preserve"> by portfolio segment and by internally assigned grades a</w:t>
      </w:r>
      <w:r>
        <w:rPr>
          <w:rFonts w:asciiTheme="minorHAnsi" w:hAnsiTheme="minorHAnsi" w:cstheme="minorHAnsi"/>
          <w:sz w:val="22"/>
          <w:szCs w:val="22"/>
        </w:rPr>
        <w:t>s of</w:t>
      </w:r>
      <w:r w:rsidRPr="001707E8">
        <w:rPr>
          <w:rFonts w:asciiTheme="minorHAnsi" w:hAnsiTheme="minorHAnsi" w:cstheme="minorHAnsi"/>
          <w:sz w:val="22"/>
          <w:szCs w:val="22"/>
        </w:rPr>
        <w:t xml:space="preserve"> </w:t>
      </w:r>
      <w:r w:rsidR="00C91041">
        <w:rPr>
          <w:rFonts w:asciiTheme="minorHAnsi" w:hAnsiTheme="minorHAnsi" w:cstheme="minorHAnsi"/>
          <w:sz w:val="22"/>
          <w:szCs w:val="22"/>
          <w:lang w:eastAsia="ko-KR"/>
        </w:rPr>
        <w:t>September</w:t>
      </w:r>
      <w:r w:rsidR="00C91041">
        <w:rPr>
          <w:rFonts w:asciiTheme="minorHAnsi" w:hAnsiTheme="minorHAnsi" w:cstheme="minorHAnsi" w:hint="eastAsia"/>
          <w:sz w:val="22"/>
          <w:szCs w:val="22"/>
          <w:lang w:eastAsia="ko-KR"/>
        </w:rPr>
        <w:t xml:space="preserve"> </w:t>
      </w:r>
      <w:r w:rsidR="00C91041">
        <w:rPr>
          <w:rFonts w:asciiTheme="minorHAnsi" w:hAnsiTheme="minorHAnsi" w:cstheme="minorHAnsi"/>
          <w:sz w:val="22"/>
          <w:szCs w:val="22"/>
        </w:rPr>
        <w:t>30</w:t>
      </w:r>
      <w:r w:rsidR="00C91041" w:rsidRPr="001707E8">
        <w:rPr>
          <w:rFonts w:asciiTheme="minorHAnsi" w:hAnsiTheme="minorHAnsi" w:cstheme="minorHAnsi"/>
          <w:sz w:val="22"/>
          <w:szCs w:val="22"/>
        </w:rPr>
        <w:t>, 202</w:t>
      </w:r>
      <w:r w:rsidR="00C91041">
        <w:rPr>
          <w:rFonts w:asciiTheme="minorHAnsi" w:hAnsiTheme="minorHAnsi" w:cstheme="minorHAnsi"/>
          <w:sz w:val="22"/>
          <w:szCs w:val="22"/>
        </w:rPr>
        <w:t>4 and June 3</w:t>
      </w:r>
      <w:r w:rsidR="00C91041">
        <w:rPr>
          <w:rFonts w:asciiTheme="minorHAnsi" w:hAnsiTheme="minorHAnsi" w:cstheme="minorHAnsi" w:hint="eastAsia"/>
          <w:sz w:val="22"/>
          <w:szCs w:val="22"/>
          <w:lang w:eastAsia="ko-KR"/>
        </w:rPr>
        <w:t>0</w:t>
      </w:r>
      <w:r w:rsidR="00C91041">
        <w:rPr>
          <w:rFonts w:asciiTheme="minorHAnsi" w:hAnsiTheme="minorHAnsi" w:cstheme="minorHAnsi"/>
          <w:sz w:val="22"/>
          <w:szCs w:val="22"/>
        </w:rPr>
        <w:t>, 2024</w:t>
      </w:r>
      <w:r w:rsidR="00C91041" w:rsidRPr="001707E8">
        <w:rPr>
          <w:rFonts w:asciiTheme="minorHAnsi" w:hAnsiTheme="minorHAnsi" w:cstheme="minorHAnsi"/>
          <w:sz w:val="22"/>
          <w:szCs w:val="22"/>
        </w:rPr>
        <w:t xml:space="preserve"> </w:t>
      </w:r>
      <w:r w:rsidRPr="001707E8">
        <w:rPr>
          <w:rFonts w:asciiTheme="minorHAnsi" w:hAnsiTheme="minorHAnsi" w:cstheme="minorHAnsi"/>
          <w:sz w:val="22"/>
          <w:szCs w:val="22"/>
        </w:rPr>
        <w:t>(in thousands):</w:t>
      </w:r>
    </w:p>
    <w:p w14:paraId="25EE87EA" w14:textId="77777777" w:rsidR="00703C2B" w:rsidRDefault="00703C2B" w:rsidP="00703C2B">
      <w:pPr>
        <w:pStyle w:val="NoteText"/>
        <w:spacing w:before="0"/>
        <w:rPr>
          <w:rFonts w:asciiTheme="minorHAnsi" w:hAnsiTheme="minorHAnsi" w:cstheme="minorHAnsi"/>
          <w:sz w:val="22"/>
          <w:szCs w:val="22"/>
        </w:rPr>
      </w:pPr>
    </w:p>
    <w:p w14:paraId="4AE0DB19" w14:textId="42277AF1" w:rsidR="00703C2B" w:rsidRDefault="00FE628C" w:rsidP="00703C2B">
      <w:pPr>
        <w:pStyle w:val="NoteText"/>
        <w:spacing w:before="0"/>
        <w:rPr>
          <w:rFonts w:asciiTheme="minorHAnsi" w:hAnsiTheme="minorHAnsi" w:cstheme="minorHAnsi"/>
          <w:sz w:val="22"/>
          <w:szCs w:val="22"/>
        </w:rPr>
      </w:pPr>
      <w:r w:rsidRPr="00FE628C">
        <w:rPr>
          <w:noProof/>
        </w:rPr>
        <w:drawing>
          <wp:inline distT="0" distB="0" distL="0" distR="0" wp14:anchorId="33CB2C3E" wp14:editId="15279229">
            <wp:extent cx="5943600" cy="3668395"/>
            <wp:effectExtent l="0" t="0" r="0" b="8255"/>
            <wp:docPr id="18015104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668395"/>
                    </a:xfrm>
                    <a:prstGeom prst="rect">
                      <a:avLst/>
                    </a:prstGeom>
                    <a:noFill/>
                    <a:ln>
                      <a:noFill/>
                    </a:ln>
                  </pic:spPr>
                </pic:pic>
              </a:graphicData>
            </a:graphic>
          </wp:inline>
        </w:drawing>
      </w:r>
    </w:p>
    <w:p w14:paraId="69E30109" w14:textId="77777777" w:rsidR="00703C2B" w:rsidRDefault="00703C2B" w:rsidP="00703C2B">
      <w:pPr>
        <w:pStyle w:val="NoteTextNoSpace"/>
        <w:jc w:val="both"/>
        <w:rPr>
          <w:rStyle w:val="Subheadinglevel1"/>
          <w:rFonts w:asciiTheme="minorHAnsi" w:hAnsiTheme="minorHAnsi" w:cstheme="minorHAnsi"/>
          <w:sz w:val="22"/>
          <w:szCs w:val="22"/>
        </w:rPr>
      </w:pPr>
    </w:p>
    <w:p w14:paraId="01ACAB28" w14:textId="77777777" w:rsidR="008D00EC" w:rsidRDefault="008D00EC">
      <w:pPr>
        <w:rPr>
          <w:rStyle w:val="Subheadinglevel1"/>
          <w:rFonts w:asciiTheme="minorHAnsi" w:eastAsia="Times New Roman" w:hAnsiTheme="minorHAnsi" w:cstheme="minorHAnsi"/>
          <w:noProof/>
          <w:sz w:val="22"/>
        </w:rPr>
      </w:pPr>
      <w:r>
        <w:rPr>
          <w:rStyle w:val="Subheadinglevel1"/>
          <w:rFonts w:asciiTheme="minorHAnsi" w:hAnsiTheme="minorHAnsi" w:cstheme="minorHAnsi"/>
          <w:sz w:val="22"/>
        </w:rPr>
        <w:br w:type="page"/>
      </w:r>
    </w:p>
    <w:p w14:paraId="17AC1E4A" w14:textId="19B907E0" w:rsidR="00703C2B" w:rsidRDefault="00703C2B" w:rsidP="00703C2B">
      <w:pPr>
        <w:pStyle w:val="NoteTextNoSpace"/>
        <w:jc w:val="both"/>
        <w:rPr>
          <w:rFonts w:asciiTheme="minorHAnsi" w:hAnsiTheme="minorHAnsi" w:cstheme="minorHAnsi"/>
          <w:sz w:val="22"/>
          <w:szCs w:val="22"/>
        </w:rPr>
      </w:pPr>
      <w:r w:rsidRPr="001707E8">
        <w:rPr>
          <w:rStyle w:val="Subheadinglevel1"/>
          <w:rFonts w:asciiTheme="minorHAnsi" w:hAnsiTheme="minorHAnsi" w:cstheme="minorHAnsi"/>
          <w:sz w:val="22"/>
          <w:szCs w:val="22"/>
        </w:rPr>
        <w:lastRenderedPageBreak/>
        <w:t>Past due loans</w:t>
      </w:r>
      <w:r w:rsidRPr="001707E8">
        <w:rPr>
          <w:rFonts w:asciiTheme="minorHAnsi" w:hAnsiTheme="minorHAnsi" w:cstheme="minorHAnsi"/>
          <w:sz w:val="22"/>
          <w:szCs w:val="22"/>
        </w:rPr>
        <w:t xml:space="preserve"> –The following table presents past due loans </w:t>
      </w:r>
      <w:r>
        <w:rPr>
          <w:rFonts w:asciiTheme="minorHAnsi" w:hAnsiTheme="minorHAnsi" w:cstheme="minorHAnsi"/>
          <w:sz w:val="22"/>
          <w:szCs w:val="22"/>
        </w:rPr>
        <w:t xml:space="preserve">at amortized cost </w:t>
      </w:r>
      <w:r w:rsidRPr="001707E8">
        <w:rPr>
          <w:rFonts w:asciiTheme="minorHAnsi" w:hAnsiTheme="minorHAnsi" w:cstheme="minorHAnsi"/>
          <w:sz w:val="22"/>
          <w:szCs w:val="22"/>
        </w:rPr>
        <w:t xml:space="preserve">by portfolio segment as of </w:t>
      </w:r>
      <w:r w:rsidR="00C91041">
        <w:rPr>
          <w:rFonts w:asciiTheme="minorHAnsi" w:hAnsiTheme="minorHAnsi" w:cstheme="minorHAnsi"/>
          <w:sz w:val="22"/>
          <w:szCs w:val="22"/>
          <w:lang w:eastAsia="ko-KR"/>
        </w:rPr>
        <w:t>September</w:t>
      </w:r>
      <w:r w:rsidR="00C91041">
        <w:rPr>
          <w:rFonts w:asciiTheme="minorHAnsi" w:hAnsiTheme="minorHAnsi" w:cstheme="minorHAnsi" w:hint="eastAsia"/>
          <w:sz w:val="22"/>
          <w:szCs w:val="22"/>
          <w:lang w:eastAsia="ko-KR"/>
        </w:rPr>
        <w:t xml:space="preserve"> </w:t>
      </w:r>
      <w:r w:rsidR="00C91041">
        <w:rPr>
          <w:rFonts w:asciiTheme="minorHAnsi" w:hAnsiTheme="minorHAnsi" w:cstheme="minorHAnsi"/>
          <w:sz w:val="22"/>
          <w:szCs w:val="22"/>
        </w:rPr>
        <w:t>30</w:t>
      </w:r>
      <w:r w:rsidR="00C91041" w:rsidRPr="001707E8">
        <w:rPr>
          <w:rFonts w:asciiTheme="minorHAnsi" w:hAnsiTheme="minorHAnsi" w:cstheme="minorHAnsi"/>
          <w:sz w:val="22"/>
          <w:szCs w:val="22"/>
        </w:rPr>
        <w:t>, 202</w:t>
      </w:r>
      <w:r w:rsidR="00C91041">
        <w:rPr>
          <w:rFonts w:asciiTheme="minorHAnsi" w:hAnsiTheme="minorHAnsi" w:cstheme="minorHAnsi"/>
          <w:sz w:val="22"/>
          <w:szCs w:val="22"/>
        </w:rPr>
        <w:t>4 and June 3</w:t>
      </w:r>
      <w:r w:rsidR="00C91041">
        <w:rPr>
          <w:rFonts w:asciiTheme="minorHAnsi" w:hAnsiTheme="minorHAnsi" w:cstheme="minorHAnsi" w:hint="eastAsia"/>
          <w:sz w:val="22"/>
          <w:szCs w:val="22"/>
          <w:lang w:eastAsia="ko-KR"/>
        </w:rPr>
        <w:t>0</w:t>
      </w:r>
      <w:r w:rsidR="00C91041">
        <w:rPr>
          <w:rFonts w:asciiTheme="minorHAnsi" w:hAnsiTheme="minorHAnsi" w:cstheme="minorHAnsi"/>
          <w:sz w:val="22"/>
          <w:szCs w:val="22"/>
        </w:rPr>
        <w:t>, 2024</w:t>
      </w:r>
      <w:r w:rsidR="00C91041" w:rsidRPr="001707E8">
        <w:rPr>
          <w:rFonts w:asciiTheme="minorHAnsi" w:hAnsiTheme="minorHAnsi" w:cstheme="minorHAnsi"/>
          <w:sz w:val="22"/>
          <w:szCs w:val="22"/>
        </w:rPr>
        <w:t xml:space="preserve"> </w:t>
      </w:r>
      <w:r w:rsidRPr="001707E8">
        <w:rPr>
          <w:rFonts w:asciiTheme="minorHAnsi" w:hAnsiTheme="minorHAnsi" w:cstheme="minorHAnsi"/>
          <w:sz w:val="22"/>
          <w:szCs w:val="22"/>
        </w:rPr>
        <w:t>(in thousands):</w:t>
      </w:r>
    </w:p>
    <w:p w14:paraId="4112B873" w14:textId="7DCB55D7" w:rsidR="00703C2B" w:rsidRDefault="00C91041" w:rsidP="00703C2B">
      <w:pPr>
        <w:pStyle w:val="NoteText"/>
      </w:pPr>
      <w:r w:rsidRPr="00C91041">
        <w:rPr>
          <w:noProof/>
        </w:rPr>
        <w:drawing>
          <wp:inline distT="0" distB="0" distL="0" distR="0" wp14:anchorId="623B4DEC" wp14:editId="7362D460">
            <wp:extent cx="5943600" cy="3739515"/>
            <wp:effectExtent l="0" t="0" r="0" b="0"/>
            <wp:docPr id="4754011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739515"/>
                    </a:xfrm>
                    <a:prstGeom prst="rect">
                      <a:avLst/>
                    </a:prstGeom>
                    <a:noFill/>
                    <a:ln>
                      <a:noFill/>
                    </a:ln>
                  </pic:spPr>
                </pic:pic>
              </a:graphicData>
            </a:graphic>
          </wp:inline>
        </w:drawing>
      </w:r>
    </w:p>
    <w:p w14:paraId="0F9ACACC" w14:textId="77777777" w:rsidR="00C91041" w:rsidRDefault="00C91041" w:rsidP="00C91041">
      <w:pPr>
        <w:autoSpaceDE w:val="0"/>
        <w:autoSpaceDN w:val="0"/>
        <w:adjustRightInd w:val="0"/>
        <w:snapToGrid w:val="0"/>
        <w:spacing w:after="0"/>
        <w:jc w:val="both"/>
        <w:rPr>
          <w:rStyle w:val="Subheadinglevel1"/>
          <w:rFonts w:asciiTheme="minorHAnsi" w:hAnsiTheme="minorHAnsi" w:cstheme="minorHAnsi"/>
          <w:sz w:val="22"/>
        </w:rPr>
      </w:pPr>
    </w:p>
    <w:p w14:paraId="200D9D4D" w14:textId="21107665" w:rsidR="00703C2B" w:rsidRPr="001707E8" w:rsidRDefault="00703C2B" w:rsidP="00C91041">
      <w:pPr>
        <w:autoSpaceDE w:val="0"/>
        <w:autoSpaceDN w:val="0"/>
        <w:adjustRightInd w:val="0"/>
        <w:snapToGrid w:val="0"/>
        <w:spacing w:after="0"/>
        <w:jc w:val="both"/>
        <w:rPr>
          <w:rFonts w:cstheme="minorHAnsi"/>
        </w:rPr>
      </w:pPr>
      <w:r w:rsidRPr="001707E8">
        <w:rPr>
          <w:rStyle w:val="Subheadinglevel1"/>
          <w:rFonts w:asciiTheme="minorHAnsi" w:hAnsiTheme="minorHAnsi" w:cstheme="minorHAnsi"/>
          <w:sz w:val="22"/>
        </w:rPr>
        <w:t>Non-accrual loans</w:t>
      </w:r>
      <w:r w:rsidRPr="001707E8">
        <w:rPr>
          <w:rFonts w:cstheme="minorHAnsi"/>
        </w:rPr>
        <w:t xml:space="preserve"> –</w:t>
      </w:r>
      <w:r w:rsidRPr="001707E8">
        <w:rPr>
          <w:rFonts w:cstheme="minorHAnsi"/>
          <w:b/>
        </w:rPr>
        <w:t xml:space="preserve"> </w:t>
      </w:r>
      <w:r w:rsidRPr="001707E8">
        <w:rPr>
          <w:rFonts w:eastAsia="Times New Roman" w:cstheme="minorHAnsi"/>
          <w:noProof/>
        </w:rPr>
        <w:t xml:space="preserve">Loans are placed on nonaccrual once the loan is 90 days past due or sooner if, in management’s opinion, the borrower may be unable to </w:t>
      </w:r>
      <w:r w:rsidRPr="001707E8">
        <w:rPr>
          <w:rFonts w:eastAsia="Times New Roman" w:cstheme="minorHAnsi"/>
        </w:rPr>
        <w:t>meet payment of obligations as they become due, as well as when required by regulatory provisions.</w:t>
      </w:r>
      <w:r w:rsidRPr="001707E8">
        <w:rPr>
          <w:rFonts w:eastAsia="TimesNewRomanPSMT" w:cstheme="minorHAnsi"/>
        </w:rPr>
        <w:t xml:space="preserve"> </w:t>
      </w:r>
      <w:r w:rsidRPr="001707E8">
        <w:rPr>
          <w:rFonts w:cstheme="minorHAnsi"/>
        </w:rPr>
        <w:t xml:space="preserve">The following table presents the nonaccrual loans </w:t>
      </w:r>
      <w:r>
        <w:rPr>
          <w:rFonts w:cstheme="minorHAnsi"/>
        </w:rPr>
        <w:t xml:space="preserve">at amortized cost </w:t>
      </w:r>
      <w:r w:rsidRPr="001707E8">
        <w:rPr>
          <w:rFonts w:cstheme="minorHAnsi"/>
        </w:rPr>
        <w:t>by portfolio segment as of</w:t>
      </w:r>
      <w:r>
        <w:rPr>
          <w:rFonts w:cstheme="minorHAnsi"/>
        </w:rPr>
        <w:t xml:space="preserve"> </w:t>
      </w:r>
      <w:r w:rsidR="00C91041">
        <w:rPr>
          <w:rFonts w:cstheme="minorHAnsi"/>
          <w:lang w:eastAsia="ko-KR"/>
        </w:rPr>
        <w:t>September</w:t>
      </w:r>
      <w:r w:rsidR="00C91041">
        <w:rPr>
          <w:rFonts w:cstheme="minorHAnsi" w:hint="eastAsia"/>
          <w:lang w:eastAsia="ko-KR"/>
        </w:rPr>
        <w:t xml:space="preserve"> </w:t>
      </w:r>
      <w:r w:rsidR="00C91041">
        <w:rPr>
          <w:rFonts w:cstheme="minorHAnsi"/>
        </w:rPr>
        <w:t>30</w:t>
      </w:r>
      <w:r w:rsidR="00C91041" w:rsidRPr="001707E8">
        <w:rPr>
          <w:rFonts w:cstheme="minorHAnsi"/>
        </w:rPr>
        <w:t>, 202</w:t>
      </w:r>
      <w:r w:rsidR="00C91041">
        <w:rPr>
          <w:rFonts w:cstheme="minorHAnsi"/>
        </w:rPr>
        <w:t>4 and June 3</w:t>
      </w:r>
      <w:r w:rsidR="00C91041">
        <w:rPr>
          <w:rFonts w:cstheme="minorHAnsi" w:hint="eastAsia"/>
          <w:lang w:eastAsia="ko-KR"/>
        </w:rPr>
        <w:t>0</w:t>
      </w:r>
      <w:r w:rsidR="00C91041">
        <w:rPr>
          <w:rFonts w:cstheme="minorHAnsi"/>
        </w:rPr>
        <w:t>, 2024</w:t>
      </w:r>
      <w:r w:rsidR="00C91041" w:rsidRPr="001707E8">
        <w:rPr>
          <w:rFonts w:cstheme="minorHAnsi"/>
        </w:rPr>
        <w:t xml:space="preserve"> </w:t>
      </w:r>
      <w:r w:rsidRPr="001707E8">
        <w:rPr>
          <w:rFonts w:cstheme="minorHAnsi"/>
        </w:rPr>
        <w:t>(in thousands):</w:t>
      </w:r>
    </w:p>
    <w:p w14:paraId="4558634C" w14:textId="77777777" w:rsidR="00703C2B" w:rsidRDefault="00703C2B" w:rsidP="00703C2B">
      <w:pPr>
        <w:autoSpaceDE w:val="0"/>
        <w:autoSpaceDN w:val="0"/>
        <w:adjustRightInd w:val="0"/>
        <w:spacing w:after="0"/>
        <w:jc w:val="both"/>
        <w:rPr>
          <w:rFonts w:cstheme="minorHAnsi"/>
        </w:rPr>
      </w:pPr>
    </w:p>
    <w:p w14:paraId="6AE629A8" w14:textId="5E92932E" w:rsidR="00703C2B" w:rsidRDefault="00C91041" w:rsidP="00703C2B">
      <w:pPr>
        <w:autoSpaceDE w:val="0"/>
        <w:autoSpaceDN w:val="0"/>
        <w:adjustRightInd w:val="0"/>
        <w:spacing w:after="0"/>
        <w:jc w:val="both"/>
        <w:rPr>
          <w:rFonts w:cstheme="minorHAnsi"/>
        </w:rPr>
      </w:pPr>
      <w:r w:rsidRPr="00C91041">
        <w:rPr>
          <w:noProof/>
        </w:rPr>
        <w:drawing>
          <wp:inline distT="0" distB="0" distL="0" distR="0" wp14:anchorId="7099E7DD" wp14:editId="0E8BAE3B">
            <wp:extent cx="5943600" cy="2705100"/>
            <wp:effectExtent l="0" t="0" r="0" b="0"/>
            <wp:docPr id="4536307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705100"/>
                    </a:xfrm>
                    <a:prstGeom prst="rect">
                      <a:avLst/>
                    </a:prstGeom>
                    <a:noFill/>
                    <a:ln>
                      <a:noFill/>
                    </a:ln>
                  </pic:spPr>
                </pic:pic>
              </a:graphicData>
            </a:graphic>
          </wp:inline>
        </w:drawing>
      </w:r>
    </w:p>
    <w:p w14:paraId="1AD90413" w14:textId="126CEE93" w:rsidR="00703C2B" w:rsidRPr="001707E8" w:rsidRDefault="00703C2B" w:rsidP="00703C2B">
      <w:pPr>
        <w:pStyle w:val="NoteText"/>
        <w:jc w:val="both"/>
        <w:rPr>
          <w:rFonts w:asciiTheme="minorHAnsi" w:hAnsiTheme="minorHAnsi" w:cstheme="minorHAnsi"/>
          <w:sz w:val="22"/>
          <w:szCs w:val="22"/>
        </w:rPr>
      </w:pPr>
      <w:bookmarkStart w:id="2" w:name="_Hlk161813268"/>
      <w:r w:rsidRPr="001707E8">
        <w:rPr>
          <w:rFonts w:asciiTheme="minorHAnsi" w:hAnsiTheme="minorHAnsi" w:cstheme="minorHAnsi"/>
          <w:b/>
          <w:bCs/>
          <w:sz w:val="22"/>
          <w:szCs w:val="22"/>
        </w:rPr>
        <w:lastRenderedPageBreak/>
        <w:t>Off</w:t>
      </w:r>
      <w:r>
        <w:rPr>
          <w:rFonts w:asciiTheme="minorHAnsi" w:hAnsiTheme="minorHAnsi" w:cstheme="minorHAnsi"/>
          <w:b/>
          <w:bCs/>
          <w:sz w:val="22"/>
          <w:szCs w:val="22"/>
        </w:rPr>
        <w:t>-</w:t>
      </w:r>
      <w:r w:rsidRPr="001707E8">
        <w:rPr>
          <w:rFonts w:asciiTheme="minorHAnsi" w:hAnsiTheme="minorHAnsi" w:cstheme="minorHAnsi"/>
          <w:b/>
          <w:bCs/>
          <w:sz w:val="22"/>
          <w:szCs w:val="22"/>
        </w:rPr>
        <w:t xml:space="preserve">Balance Sheet </w:t>
      </w:r>
      <w:r>
        <w:rPr>
          <w:rFonts w:asciiTheme="minorHAnsi" w:hAnsiTheme="minorHAnsi" w:cstheme="minorHAnsi"/>
          <w:b/>
          <w:bCs/>
          <w:sz w:val="22"/>
          <w:szCs w:val="22"/>
        </w:rPr>
        <w:t>Credit Exposure</w:t>
      </w:r>
      <w:r w:rsidRPr="001707E8">
        <w:rPr>
          <w:rFonts w:asciiTheme="minorHAnsi" w:hAnsiTheme="minorHAnsi" w:cstheme="minorHAnsi"/>
          <w:sz w:val="22"/>
          <w:szCs w:val="22"/>
        </w:rPr>
        <w:t xml:space="preserve"> - The </w:t>
      </w:r>
      <w:r w:rsidRPr="00A44ABD">
        <w:rPr>
          <w:rFonts w:asciiTheme="minorHAnsi" w:hAnsiTheme="minorHAnsi" w:cstheme="minorHAnsi"/>
          <w:sz w:val="22"/>
          <w:szCs w:val="22"/>
        </w:rPr>
        <w:t xml:space="preserve">Bank has originated certain loans in the </w:t>
      </w:r>
      <w:r>
        <w:rPr>
          <w:rFonts w:asciiTheme="minorHAnsi" w:hAnsiTheme="minorHAnsi" w:cstheme="minorHAnsi"/>
          <w:sz w:val="22"/>
          <w:szCs w:val="22"/>
        </w:rPr>
        <w:t>c</w:t>
      </w:r>
      <w:r w:rsidRPr="00A44ABD">
        <w:rPr>
          <w:rFonts w:asciiTheme="minorHAnsi" w:hAnsiTheme="minorHAnsi" w:cstheme="minorHAnsi"/>
          <w:sz w:val="22"/>
          <w:szCs w:val="22"/>
        </w:rPr>
        <w:t>ommercial-equipment segment with government guarantees and has subsequently sold many of the guaranteed portions of these loans in the secondary market. Upon defaults by the borrowers, the Bank would be required to repurchase the guaranteed portion</w:t>
      </w:r>
      <w:r>
        <w:rPr>
          <w:rFonts w:asciiTheme="minorHAnsi" w:hAnsiTheme="minorHAnsi" w:cstheme="minorHAnsi"/>
          <w:sz w:val="22"/>
          <w:szCs w:val="22"/>
        </w:rPr>
        <w:t>s</w:t>
      </w:r>
      <w:r w:rsidRPr="00A44ABD">
        <w:rPr>
          <w:rFonts w:asciiTheme="minorHAnsi" w:hAnsiTheme="minorHAnsi" w:cstheme="minorHAnsi"/>
          <w:sz w:val="22"/>
          <w:szCs w:val="22"/>
        </w:rPr>
        <w:t xml:space="preserve"> of the loans and submit the repayment requests to the respective government agency. The agency may decide not to honor the guarantees if certain conditions are not met. Guarantees, </w:t>
      </w:r>
      <w:r w:rsidRPr="007004BD">
        <w:rPr>
          <w:rFonts w:asciiTheme="minorHAnsi" w:hAnsiTheme="minorHAnsi" w:cstheme="minorHAnsi"/>
          <w:sz w:val="22"/>
          <w:szCs w:val="22"/>
        </w:rPr>
        <w:t xml:space="preserve">as defined under </w:t>
      </w:r>
      <w:r w:rsidRPr="00BD53A2">
        <w:rPr>
          <w:rFonts w:asciiTheme="minorHAnsi" w:hAnsiTheme="minorHAnsi" w:cstheme="minorHAnsi"/>
          <w:i/>
          <w:iCs/>
          <w:sz w:val="22"/>
          <w:szCs w:val="22"/>
        </w:rPr>
        <w:t>ASC 460</w:t>
      </w:r>
      <w:r>
        <w:rPr>
          <w:rFonts w:asciiTheme="minorHAnsi" w:hAnsiTheme="minorHAnsi" w:cstheme="minorHAnsi"/>
          <w:i/>
          <w:iCs/>
          <w:sz w:val="22"/>
          <w:szCs w:val="22"/>
        </w:rPr>
        <w:t>,</w:t>
      </w:r>
      <w:r w:rsidRPr="00BD53A2">
        <w:rPr>
          <w:rFonts w:asciiTheme="minorHAnsi" w:hAnsiTheme="minorHAnsi" w:cstheme="minorHAnsi"/>
          <w:i/>
          <w:iCs/>
          <w:sz w:val="22"/>
          <w:szCs w:val="22"/>
        </w:rPr>
        <w:t xml:space="preserve"> Guarantees</w:t>
      </w:r>
      <w:r w:rsidRPr="007004BD">
        <w:rPr>
          <w:rFonts w:asciiTheme="minorHAnsi" w:hAnsiTheme="minorHAnsi" w:cstheme="minorHAnsi"/>
          <w:sz w:val="22"/>
          <w:szCs w:val="22"/>
        </w:rPr>
        <w:t xml:space="preserve">, that create off-balance sheet credit exposure are in the scope of </w:t>
      </w:r>
      <w:r w:rsidRPr="006C4C9D">
        <w:rPr>
          <w:rFonts w:asciiTheme="minorHAnsi" w:hAnsiTheme="minorHAnsi" w:cstheme="minorHAnsi"/>
          <w:i/>
          <w:iCs/>
          <w:sz w:val="22"/>
          <w:szCs w:val="22"/>
        </w:rPr>
        <w:t>ASC 326</w:t>
      </w:r>
      <w:r>
        <w:rPr>
          <w:rFonts w:asciiTheme="minorHAnsi" w:hAnsiTheme="minorHAnsi" w:cstheme="minorHAnsi"/>
          <w:i/>
          <w:iCs/>
          <w:sz w:val="22"/>
          <w:szCs w:val="22"/>
        </w:rPr>
        <w:t>-20 (CECL)</w:t>
      </w:r>
      <w:r>
        <w:rPr>
          <w:rFonts w:asciiTheme="minorHAnsi" w:hAnsiTheme="minorHAnsi" w:cstheme="minorHAnsi"/>
          <w:sz w:val="22"/>
          <w:szCs w:val="22"/>
        </w:rPr>
        <w:t xml:space="preserve"> </w:t>
      </w:r>
      <w:r w:rsidRPr="007004BD">
        <w:rPr>
          <w:rFonts w:asciiTheme="minorHAnsi" w:hAnsiTheme="minorHAnsi" w:cstheme="minorHAnsi"/>
          <w:sz w:val="22"/>
          <w:szCs w:val="22"/>
        </w:rPr>
        <w:t>when such guarantees for loans have an implicit repurchase arrangement and thus may present an off-balance sheet credit risk</w:t>
      </w:r>
      <w:r w:rsidRPr="006C4C9D">
        <w:rPr>
          <w:rFonts w:asciiTheme="minorHAnsi" w:hAnsiTheme="minorHAnsi" w:cstheme="minorHAnsi"/>
          <w:i/>
          <w:iCs/>
          <w:sz w:val="22"/>
          <w:szCs w:val="22"/>
        </w:rPr>
        <w:t>.</w:t>
      </w:r>
      <w:r w:rsidRPr="001707E8">
        <w:rPr>
          <w:rFonts w:asciiTheme="minorHAnsi" w:hAnsiTheme="minorHAnsi" w:cstheme="minorHAnsi"/>
          <w:sz w:val="22"/>
          <w:szCs w:val="22"/>
        </w:rPr>
        <w:t xml:space="preserve"> </w:t>
      </w:r>
      <w:r w:rsidR="00255D63" w:rsidRPr="001707E8">
        <w:rPr>
          <w:rFonts w:asciiTheme="minorHAnsi" w:hAnsiTheme="minorHAnsi" w:cstheme="minorHAnsi"/>
          <w:sz w:val="22"/>
          <w:szCs w:val="22"/>
        </w:rPr>
        <w:t xml:space="preserve">As of </w:t>
      </w:r>
      <w:r w:rsidR="00FE628C">
        <w:rPr>
          <w:rFonts w:asciiTheme="minorHAnsi" w:hAnsiTheme="minorHAnsi" w:cstheme="minorHAnsi"/>
          <w:sz w:val="22"/>
          <w:szCs w:val="22"/>
        </w:rPr>
        <w:t>September</w:t>
      </w:r>
      <w:r w:rsidR="00255D63">
        <w:rPr>
          <w:rFonts w:asciiTheme="minorHAnsi" w:hAnsiTheme="minorHAnsi" w:cstheme="minorHAnsi"/>
          <w:sz w:val="22"/>
          <w:szCs w:val="22"/>
        </w:rPr>
        <w:t xml:space="preserve"> 30, 2024 and </w:t>
      </w:r>
      <w:r w:rsidR="00FE628C">
        <w:rPr>
          <w:rFonts w:asciiTheme="minorHAnsi" w:hAnsiTheme="minorHAnsi" w:cstheme="minorHAnsi"/>
          <w:sz w:val="22"/>
          <w:szCs w:val="22"/>
        </w:rPr>
        <w:t>June 30</w:t>
      </w:r>
      <w:r w:rsidR="00255D63">
        <w:rPr>
          <w:rFonts w:asciiTheme="minorHAnsi" w:hAnsiTheme="minorHAnsi" w:cstheme="minorHAnsi"/>
          <w:sz w:val="22"/>
          <w:szCs w:val="22"/>
        </w:rPr>
        <w:t xml:space="preserve">, 2024 </w:t>
      </w:r>
      <w:r w:rsidR="00255D63" w:rsidRPr="001707E8">
        <w:rPr>
          <w:rFonts w:asciiTheme="minorHAnsi" w:hAnsiTheme="minorHAnsi" w:cstheme="minorHAnsi"/>
          <w:sz w:val="22"/>
          <w:szCs w:val="22"/>
        </w:rPr>
        <w:t xml:space="preserve">the Bank had </w:t>
      </w:r>
      <w:r w:rsidR="00255D63">
        <w:rPr>
          <w:rFonts w:asciiTheme="minorHAnsi" w:hAnsiTheme="minorHAnsi" w:cstheme="minorHAnsi"/>
          <w:sz w:val="22"/>
          <w:szCs w:val="22"/>
        </w:rPr>
        <w:t>$</w:t>
      </w:r>
      <w:r w:rsidR="00FE628C">
        <w:rPr>
          <w:rFonts w:asciiTheme="minorHAnsi" w:hAnsiTheme="minorHAnsi" w:cstheme="minorHAnsi"/>
          <w:sz w:val="22"/>
          <w:szCs w:val="22"/>
        </w:rPr>
        <w:t>2.6</w:t>
      </w:r>
      <w:r w:rsidR="00255D63">
        <w:rPr>
          <w:rFonts w:asciiTheme="minorHAnsi" w:hAnsiTheme="minorHAnsi" w:cstheme="minorHAnsi"/>
          <w:sz w:val="22"/>
          <w:szCs w:val="22"/>
        </w:rPr>
        <w:t xml:space="preserve"> million and </w:t>
      </w:r>
      <w:r w:rsidR="00255D63" w:rsidRPr="001707E8">
        <w:rPr>
          <w:rFonts w:asciiTheme="minorHAnsi" w:hAnsiTheme="minorHAnsi" w:cstheme="minorHAnsi"/>
          <w:sz w:val="22"/>
          <w:szCs w:val="22"/>
        </w:rPr>
        <w:t>$</w:t>
      </w:r>
      <w:r w:rsidR="00255D63">
        <w:rPr>
          <w:rFonts w:asciiTheme="minorHAnsi" w:hAnsiTheme="minorHAnsi" w:cstheme="minorHAnsi"/>
          <w:sz w:val="22"/>
          <w:szCs w:val="22"/>
        </w:rPr>
        <w:t>3.</w:t>
      </w:r>
      <w:r w:rsidR="00FE628C">
        <w:rPr>
          <w:rFonts w:asciiTheme="minorHAnsi" w:hAnsiTheme="minorHAnsi" w:cstheme="minorHAnsi"/>
          <w:sz w:val="22"/>
          <w:szCs w:val="22"/>
        </w:rPr>
        <w:t>5</w:t>
      </w:r>
      <w:r w:rsidR="00255D63" w:rsidRPr="001707E8">
        <w:rPr>
          <w:rFonts w:asciiTheme="minorHAnsi" w:hAnsiTheme="minorHAnsi" w:cstheme="minorHAnsi"/>
          <w:sz w:val="22"/>
          <w:szCs w:val="22"/>
        </w:rPr>
        <w:t xml:space="preserve"> million</w:t>
      </w:r>
      <w:r w:rsidR="00255D63">
        <w:rPr>
          <w:rFonts w:asciiTheme="minorHAnsi" w:hAnsiTheme="minorHAnsi" w:cstheme="minorHAnsi"/>
          <w:sz w:val="22"/>
          <w:szCs w:val="22"/>
        </w:rPr>
        <w:t>, respectively,</w:t>
      </w:r>
      <w:r w:rsidR="00255D63" w:rsidRPr="001707E8">
        <w:rPr>
          <w:rFonts w:asciiTheme="minorHAnsi" w:hAnsiTheme="minorHAnsi" w:cstheme="minorHAnsi"/>
          <w:sz w:val="22"/>
          <w:szCs w:val="22"/>
        </w:rPr>
        <w:t xml:space="preserve"> of such guarantees sold </w:t>
      </w:r>
      <w:r w:rsidR="00255D63">
        <w:rPr>
          <w:rFonts w:asciiTheme="minorHAnsi" w:hAnsiTheme="minorHAnsi" w:cstheme="minorHAnsi"/>
          <w:sz w:val="22"/>
          <w:szCs w:val="22"/>
        </w:rPr>
        <w:t>of commercial-equipment loans that were graded below Pass</w:t>
      </w:r>
      <w:r w:rsidR="00255D63" w:rsidRPr="001707E8">
        <w:rPr>
          <w:rFonts w:asciiTheme="minorHAnsi" w:hAnsiTheme="minorHAnsi" w:cstheme="minorHAnsi"/>
          <w:sz w:val="22"/>
          <w:szCs w:val="22"/>
        </w:rPr>
        <w:t xml:space="preserve">. The </w:t>
      </w:r>
      <w:r w:rsidR="00255D63">
        <w:rPr>
          <w:rFonts w:asciiTheme="minorHAnsi" w:hAnsiTheme="minorHAnsi" w:cstheme="minorHAnsi"/>
          <w:sz w:val="22"/>
          <w:szCs w:val="22"/>
        </w:rPr>
        <w:t>Allowance for Credit Losses on Off-Balance Sheet Credit Exposure</w:t>
      </w:r>
      <w:r w:rsidR="00255D63" w:rsidRPr="001707E8">
        <w:rPr>
          <w:rFonts w:asciiTheme="minorHAnsi" w:hAnsiTheme="minorHAnsi" w:cstheme="minorHAnsi"/>
          <w:sz w:val="22"/>
          <w:szCs w:val="22"/>
        </w:rPr>
        <w:t xml:space="preserve"> for these sold guarantees </w:t>
      </w:r>
      <w:r w:rsidR="00255D63">
        <w:rPr>
          <w:rFonts w:asciiTheme="minorHAnsi" w:hAnsiTheme="minorHAnsi" w:cstheme="minorHAnsi"/>
          <w:sz w:val="22"/>
          <w:szCs w:val="22"/>
        </w:rPr>
        <w:t>was</w:t>
      </w:r>
      <w:r w:rsidR="00255D63" w:rsidRPr="001707E8">
        <w:rPr>
          <w:rFonts w:asciiTheme="minorHAnsi" w:hAnsiTheme="minorHAnsi" w:cstheme="minorHAnsi"/>
          <w:sz w:val="22"/>
          <w:szCs w:val="22"/>
        </w:rPr>
        <w:t xml:space="preserve"> </w:t>
      </w:r>
      <w:r w:rsidR="00255D63" w:rsidRPr="000616F5">
        <w:rPr>
          <w:rFonts w:asciiTheme="minorHAnsi" w:hAnsiTheme="minorHAnsi" w:cstheme="minorHAnsi"/>
          <w:sz w:val="22"/>
          <w:szCs w:val="22"/>
        </w:rPr>
        <w:t>$</w:t>
      </w:r>
      <w:r w:rsidR="00FE628C">
        <w:rPr>
          <w:rFonts w:asciiTheme="minorHAnsi" w:hAnsiTheme="minorHAnsi" w:cstheme="minorHAnsi"/>
          <w:sz w:val="22"/>
          <w:szCs w:val="22"/>
        </w:rPr>
        <w:t>1.7</w:t>
      </w:r>
      <w:r w:rsidR="00255D63" w:rsidRPr="000616F5">
        <w:rPr>
          <w:rFonts w:asciiTheme="minorHAnsi" w:hAnsiTheme="minorHAnsi" w:cstheme="minorHAnsi"/>
          <w:sz w:val="22"/>
          <w:szCs w:val="22"/>
        </w:rPr>
        <w:t xml:space="preserve"> million</w:t>
      </w:r>
      <w:r w:rsidR="00255D63">
        <w:rPr>
          <w:rFonts w:asciiTheme="minorHAnsi" w:hAnsiTheme="minorHAnsi" w:cstheme="minorHAnsi"/>
          <w:sz w:val="22"/>
          <w:szCs w:val="22"/>
        </w:rPr>
        <w:t xml:space="preserve"> and $2.</w:t>
      </w:r>
      <w:r w:rsidR="00FE628C">
        <w:rPr>
          <w:rFonts w:asciiTheme="minorHAnsi" w:hAnsiTheme="minorHAnsi" w:cstheme="minorHAnsi"/>
          <w:sz w:val="22"/>
          <w:szCs w:val="22"/>
        </w:rPr>
        <w:t>2</w:t>
      </w:r>
      <w:r w:rsidR="00255D63">
        <w:rPr>
          <w:rFonts w:asciiTheme="minorHAnsi" w:hAnsiTheme="minorHAnsi" w:cstheme="minorHAnsi"/>
          <w:sz w:val="22"/>
          <w:szCs w:val="22"/>
        </w:rPr>
        <w:t xml:space="preserve"> million </w:t>
      </w:r>
      <w:r w:rsidR="00255D63" w:rsidRPr="001707E8">
        <w:rPr>
          <w:rFonts w:asciiTheme="minorHAnsi" w:hAnsiTheme="minorHAnsi" w:cstheme="minorHAnsi"/>
          <w:sz w:val="22"/>
          <w:szCs w:val="22"/>
        </w:rPr>
        <w:t xml:space="preserve">as of </w:t>
      </w:r>
      <w:r w:rsidR="00FE628C">
        <w:rPr>
          <w:rFonts w:asciiTheme="minorHAnsi" w:hAnsiTheme="minorHAnsi" w:cstheme="minorHAnsi"/>
          <w:sz w:val="22"/>
          <w:szCs w:val="22"/>
        </w:rPr>
        <w:t>September</w:t>
      </w:r>
      <w:r w:rsidR="00255D63">
        <w:rPr>
          <w:rFonts w:asciiTheme="minorHAnsi" w:hAnsiTheme="minorHAnsi" w:cstheme="minorHAnsi"/>
          <w:sz w:val="22"/>
          <w:szCs w:val="22"/>
        </w:rPr>
        <w:t xml:space="preserve"> 30, 2024 and </w:t>
      </w:r>
      <w:r w:rsidR="00FE628C">
        <w:rPr>
          <w:rFonts w:asciiTheme="minorHAnsi" w:hAnsiTheme="minorHAnsi" w:cstheme="minorHAnsi"/>
          <w:sz w:val="22"/>
          <w:szCs w:val="22"/>
        </w:rPr>
        <w:t>June 30</w:t>
      </w:r>
      <w:r w:rsidR="00255D63">
        <w:rPr>
          <w:rFonts w:asciiTheme="minorHAnsi" w:hAnsiTheme="minorHAnsi" w:cstheme="minorHAnsi"/>
          <w:sz w:val="22"/>
          <w:szCs w:val="22"/>
        </w:rPr>
        <w:t>, 2024, respectively.</w:t>
      </w:r>
    </w:p>
    <w:bookmarkEnd w:id="2"/>
    <w:p w14:paraId="127E1210" w14:textId="77777777" w:rsidR="00703C2B" w:rsidRPr="001707E8" w:rsidRDefault="00703C2B" w:rsidP="00703C2B">
      <w:pPr>
        <w:rPr>
          <w:rFonts w:cstheme="minorHAnsi"/>
        </w:rPr>
      </w:pPr>
    </w:p>
    <w:p w14:paraId="2B788762" w14:textId="7B8C4858" w:rsidR="003E4A07" w:rsidRPr="001707E8" w:rsidRDefault="00036231" w:rsidP="001707E8">
      <w:pPr>
        <w:rPr>
          <w:rFonts w:cstheme="minorHAnsi"/>
        </w:rPr>
      </w:pPr>
      <w:r w:rsidRPr="001707E8">
        <w:rPr>
          <w:rFonts w:cstheme="minorHAnsi"/>
          <w:color w:val="222222"/>
          <w:lang w:val="en"/>
        </w:rPr>
        <w:t>U &amp; I Financial Corp.</w:t>
      </w:r>
      <w:r w:rsidRPr="001707E8">
        <w:rPr>
          <w:rFonts w:cstheme="minorHAnsi"/>
          <w:color w:val="222222"/>
          <w:lang w:val="en"/>
        </w:rPr>
        <w:br/>
        <w:t>Investor Relations</w:t>
      </w:r>
      <w:r w:rsidRPr="001707E8">
        <w:rPr>
          <w:rFonts w:cstheme="minorHAnsi"/>
          <w:color w:val="222222"/>
          <w:lang w:val="en"/>
        </w:rPr>
        <w:br/>
      </w:r>
      <w:r w:rsidR="00136567">
        <w:rPr>
          <w:rFonts w:cstheme="minorHAnsi"/>
          <w:color w:val="222222"/>
          <w:lang w:val="en"/>
        </w:rPr>
        <w:t>IR@unibankusa.com</w:t>
      </w:r>
    </w:p>
    <w:sectPr w:rsidR="003E4A07" w:rsidRPr="001707E8" w:rsidSect="00722699">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D38"/>
    <w:rsid w:val="00000659"/>
    <w:rsid w:val="00004281"/>
    <w:rsid w:val="00004623"/>
    <w:rsid w:val="00011D53"/>
    <w:rsid w:val="000126F9"/>
    <w:rsid w:val="00014300"/>
    <w:rsid w:val="00024229"/>
    <w:rsid w:val="00026E20"/>
    <w:rsid w:val="00036231"/>
    <w:rsid w:val="00037F71"/>
    <w:rsid w:val="00050692"/>
    <w:rsid w:val="00050F76"/>
    <w:rsid w:val="00053AAF"/>
    <w:rsid w:val="00056D18"/>
    <w:rsid w:val="00056E45"/>
    <w:rsid w:val="000616F5"/>
    <w:rsid w:val="00062815"/>
    <w:rsid w:val="00062937"/>
    <w:rsid w:val="0006501C"/>
    <w:rsid w:val="00065CF9"/>
    <w:rsid w:val="00071AD0"/>
    <w:rsid w:val="00076BC5"/>
    <w:rsid w:val="00081279"/>
    <w:rsid w:val="0008228D"/>
    <w:rsid w:val="00083FB5"/>
    <w:rsid w:val="00095CC3"/>
    <w:rsid w:val="000A1EA4"/>
    <w:rsid w:val="000A268E"/>
    <w:rsid w:val="000A2E6D"/>
    <w:rsid w:val="000A3142"/>
    <w:rsid w:val="000A6309"/>
    <w:rsid w:val="000A7515"/>
    <w:rsid w:val="000B6877"/>
    <w:rsid w:val="000B7FCA"/>
    <w:rsid w:val="000C24A3"/>
    <w:rsid w:val="000C25D4"/>
    <w:rsid w:val="000C6B1D"/>
    <w:rsid w:val="000D4F22"/>
    <w:rsid w:val="000D59DC"/>
    <w:rsid w:val="000E170B"/>
    <w:rsid w:val="000F4460"/>
    <w:rsid w:val="000F7BD5"/>
    <w:rsid w:val="00100828"/>
    <w:rsid w:val="00105D38"/>
    <w:rsid w:val="00121D19"/>
    <w:rsid w:val="001228AC"/>
    <w:rsid w:val="00123B07"/>
    <w:rsid w:val="00125E2A"/>
    <w:rsid w:val="001269BB"/>
    <w:rsid w:val="00127C56"/>
    <w:rsid w:val="00134EFE"/>
    <w:rsid w:val="00135A66"/>
    <w:rsid w:val="00135C2E"/>
    <w:rsid w:val="00136567"/>
    <w:rsid w:val="001410C0"/>
    <w:rsid w:val="00145A4B"/>
    <w:rsid w:val="00145D71"/>
    <w:rsid w:val="001465D8"/>
    <w:rsid w:val="00147E92"/>
    <w:rsid w:val="0015650A"/>
    <w:rsid w:val="001707E8"/>
    <w:rsid w:val="00172375"/>
    <w:rsid w:val="00172A98"/>
    <w:rsid w:val="00186ECF"/>
    <w:rsid w:val="00195ACC"/>
    <w:rsid w:val="001A01CC"/>
    <w:rsid w:val="001A13FB"/>
    <w:rsid w:val="001A34E0"/>
    <w:rsid w:val="001B3740"/>
    <w:rsid w:val="001B75C4"/>
    <w:rsid w:val="001C236E"/>
    <w:rsid w:val="001C6632"/>
    <w:rsid w:val="001D60A7"/>
    <w:rsid w:val="001E0E4B"/>
    <w:rsid w:val="001E447C"/>
    <w:rsid w:val="001F045A"/>
    <w:rsid w:val="001F2C61"/>
    <w:rsid w:val="001F58B1"/>
    <w:rsid w:val="00202566"/>
    <w:rsid w:val="00206B29"/>
    <w:rsid w:val="00207A83"/>
    <w:rsid w:val="00207AC1"/>
    <w:rsid w:val="0021563B"/>
    <w:rsid w:val="0021646B"/>
    <w:rsid w:val="00234A54"/>
    <w:rsid w:val="00237520"/>
    <w:rsid w:val="00237796"/>
    <w:rsid w:val="00240489"/>
    <w:rsid w:val="00240ECC"/>
    <w:rsid w:val="00243CB1"/>
    <w:rsid w:val="00244A6A"/>
    <w:rsid w:val="0025326B"/>
    <w:rsid w:val="00253F25"/>
    <w:rsid w:val="00255D63"/>
    <w:rsid w:val="00276459"/>
    <w:rsid w:val="002810A2"/>
    <w:rsid w:val="00281A68"/>
    <w:rsid w:val="00284EBF"/>
    <w:rsid w:val="00287D04"/>
    <w:rsid w:val="0029511D"/>
    <w:rsid w:val="00296894"/>
    <w:rsid w:val="00297D50"/>
    <w:rsid w:val="002A1DA2"/>
    <w:rsid w:val="002A44CD"/>
    <w:rsid w:val="002B0FAB"/>
    <w:rsid w:val="002B4E83"/>
    <w:rsid w:val="002B7501"/>
    <w:rsid w:val="002C5A03"/>
    <w:rsid w:val="002D11EC"/>
    <w:rsid w:val="002D36D9"/>
    <w:rsid w:val="002D75AE"/>
    <w:rsid w:val="002E398A"/>
    <w:rsid w:val="002E3FF2"/>
    <w:rsid w:val="002F13E7"/>
    <w:rsid w:val="002F553D"/>
    <w:rsid w:val="002F58C4"/>
    <w:rsid w:val="002F6F64"/>
    <w:rsid w:val="00306CC3"/>
    <w:rsid w:val="00316C7E"/>
    <w:rsid w:val="0032013C"/>
    <w:rsid w:val="00321A39"/>
    <w:rsid w:val="00331AD0"/>
    <w:rsid w:val="003326B7"/>
    <w:rsid w:val="00333EC4"/>
    <w:rsid w:val="00340CD4"/>
    <w:rsid w:val="00341BCE"/>
    <w:rsid w:val="003421B0"/>
    <w:rsid w:val="00342EAA"/>
    <w:rsid w:val="0034320B"/>
    <w:rsid w:val="00346932"/>
    <w:rsid w:val="003477E1"/>
    <w:rsid w:val="00347D52"/>
    <w:rsid w:val="00350E47"/>
    <w:rsid w:val="0035149F"/>
    <w:rsid w:val="00357952"/>
    <w:rsid w:val="00364C10"/>
    <w:rsid w:val="0036531C"/>
    <w:rsid w:val="00374B9F"/>
    <w:rsid w:val="00380036"/>
    <w:rsid w:val="0039213D"/>
    <w:rsid w:val="003A256A"/>
    <w:rsid w:val="003A65C6"/>
    <w:rsid w:val="003A69CF"/>
    <w:rsid w:val="003A6C20"/>
    <w:rsid w:val="003B1BB1"/>
    <w:rsid w:val="003B2F23"/>
    <w:rsid w:val="003B4A40"/>
    <w:rsid w:val="003B50F4"/>
    <w:rsid w:val="003C3A97"/>
    <w:rsid w:val="003C4D42"/>
    <w:rsid w:val="003C5458"/>
    <w:rsid w:val="003C66CB"/>
    <w:rsid w:val="003D40E1"/>
    <w:rsid w:val="003E4A07"/>
    <w:rsid w:val="003E53C5"/>
    <w:rsid w:val="003F2FB5"/>
    <w:rsid w:val="003F3787"/>
    <w:rsid w:val="003F528E"/>
    <w:rsid w:val="003F7000"/>
    <w:rsid w:val="003F75B0"/>
    <w:rsid w:val="00401303"/>
    <w:rsid w:val="00402195"/>
    <w:rsid w:val="00402289"/>
    <w:rsid w:val="0040315F"/>
    <w:rsid w:val="0042127B"/>
    <w:rsid w:val="00424A15"/>
    <w:rsid w:val="004305F0"/>
    <w:rsid w:val="00430CA1"/>
    <w:rsid w:val="004310E1"/>
    <w:rsid w:val="00432529"/>
    <w:rsid w:val="00432A86"/>
    <w:rsid w:val="00434C62"/>
    <w:rsid w:val="0043686B"/>
    <w:rsid w:val="004370EA"/>
    <w:rsid w:val="00454BAA"/>
    <w:rsid w:val="0046025B"/>
    <w:rsid w:val="00463BFA"/>
    <w:rsid w:val="0046469B"/>
    <w:rsid w:val="004678FC"/>
    <w:rsid w:val="00473A43"/>
    <w:rsid w:val="004812F3"/>
    <w:rsid w:val="004818B3"/>
    <w:rsid w:val="004850E3"/>
    <w:rsid w:val="00485504"/>
    <w:rsid w:val="00485510"/>
    <w:rsid w:val="004877DD"/>
    <w:rsid w:val="0049657C"/>
    <w:rsid w:val="004A2108"/>
    <w:rsid w:val="004A2D63"/>
    <w:rsid w:val="004A4C9B"/>
    <w:rsid w:val="004A6358"/>
    <w:rsid w:val="004B0344"/>
    <w:rsid w:val="004B0FCD"/>
    <w:rsid w:val="004B45B9"/>
    <w:rsid w:val="004C03F3"/>
    <w:rsid w:val="004C20D5"/>
    <w:rsid w:val="004D0889"/>
    <w:rsid w:val="004D2848"/>
    <w:rsid w:val="004D4A30"/>
    <w:rsid w:val="004E0661"/>
    <w:rsid w:val="004E6CD0"/>
    <w:rsid w:val="004F1AD5"/>
    <w:rsid w:val="004F41DD"/>
    <w:rsid w:val="004F69CC"/>
    <w:rsid w:val="004F6E77"/>
    <w:rsid w:val="005030B0"/>
    <w:rsid w:val="005117C0"/>
    <w:rsid w:val="00512DF7"/>
    <w:rsid w:val="00516E77"/>
    <w:rsid w:val="00517856"/>
    <w:rsid w:val="00527AA7"/>
    <w:rsid w:val="00536B73"/>
    <w:rsid w:val="00545C32"/>
    <w:rsid w:val="005533AD"/>
    <w:rsid w:val="00553A78"/>
    <w:rsid w:val="0055525B"/>
    <w:rsid w:val="005710FF"/>
    <w:rsid w:val="005714D1"/>
    <w:rsid w:val="00574457"/>
    <w:rsid w:val="00576D70"/>
    <w:rsid w:val="00581C2B"/>
    <w:rsid w:val="00582419"/>
    <w:rsid w:val="00584FA6"/>
    <w:rsid w:val="0059628A"/>
    <w:rsid w:val="005A18F5"/>
    <w:rsid w:val="005B1EBA"/>
    <w:rsid w:val="005B3FFF"/>
    <w:rsid w:val="005B519C"/>
    <w:rsid w:val="005C0A9F"/>
    <w:rsid w:val="005C1434"/>
    <w:rsid w:val="005C5065"/>
    <w:rsid w:val="005C7093"/>
    <w:rsid w:val="005D51A9"/>
    <w:rsid w:val="005D5E7F"/>
    <w:rsid w:val="005F5392"/>
    <w:rsid w:val="005F7B46"/>
    <w:rsid w:val="00602C4E"/>
    <w:rsid w:val="006136C0"/>
    <w:rsid w:val="0062273B"/>
    <w:rsid w:val="006235DE"/>
    <w:rsid w:val="00624C65"/>
    <w:rsid w:val="006278A1"/>
    <w:rsid w:val="00650679"/>
    <w:rsid w:val="006506F2"/>
    <w:rsid w:val="00651308"/>
    <w:rsid w:val="00652A87"/>
    <w:rsid w:val="006557B5"/>
    <w:rsid w:val="006619C7"/>
    <w:rsid w:val="00665868"/>
    <w:rsid w:val="006660C2"/>
    <w:rsid w:val="00672829"/>
    <w:rsid w:val="006815D1"/>
    <w:rsid w:val="00687250"/>
    <w:rsid w:val="00690177"/>
    <w:rsid w:val="00690B3E"/>
    <w:rsid w:val="00690E81"/>
    <w:rsid w:val="00695878"/>
    <w:rsid w:val="006A0B3A"/>
    <w:rsid w:val="006A2BB9"/>
    <w:rsid w:val="006B3EE2"/>
    <w:rsid w:val="006B3EF2"/>
    <w:rsid w:val="006B430E"/>
    <w:rsid w:val="006B57E3"/>
    <w:rsid w:val="006C0569"/>
    <w:rsid w:val="006C4C9D"/>
    <w:rsid w:val="006C5643"/>
    <w:rsid w:val="006D0521"/>
    <w:rsid w:val="006D0BF3"/>
    <w:rsid w:val="006D1FC8"/>
    <w:rsid w:val="006D5242"/>
    <w:rsid w:val="006D5E6E"/>
    <w:rsid w:val="006D7BF5"/>
    <w:rsid w:val="006E0707"/>
    <w:rsid w:val="006E49C2"/>
    <w:rsid w:val="006E77D6"/>
    <w:rsid w:val="006E7828"/>
    <w:rsid w:val="007004BD"/>
    <w:rsid w:val="00701236"/>
    <w:rsid w:val="00702128"/>
    <w:rsid w:val="00703BF9"/>
    <w:rsid w:val="00703C2B"/>
    <w:rsid w:val="007054A3"/>
    <w:rsid w:val="00707ED7"/>
    <w:rsid w:val="0071029B"/>
    <w:rsid w:val="00713636"/>
    <w:rsid w:val="00722699"/>
    <w:rsid w:val="0072368C"/>
    <w:rsid w:val="00724C57"/>
    <w:rsid w:val="007256A9"/>
    <w:rsid w:val="007264B7"/>
    <w:rsid w:val="007350B2"/>
    <w:rsid w:val="007351F2"/>
    <w:rsid w:val="007363CE"/>
    <w:rsid w:val="007365E0"/>
    <w:rsid w:val="007405C0"/>
    <w:rsid w:val="007432A3"/>
    <w:rsid w:val="00745B27"/>
    <w:rsid w:val="0075130D"/>
    <w:rsid w:val="0075301F"/>
    <w:rsid w:val="007533F1"/>
    <w:rsid w:val="007547F4"/>
    <w:rsid w:val="007562AF"/>
    <w:rsid w:val="00761717"/>
    <w:rsid w:val="00762822"/>
    <w:rsid w:val="00772F7C"/>
    <w:rsid w:val="00775143"/>
    <w:rsid w:val="0077543C"/>
    <w:rsid w:val="00776C26"/>
    <w:rsid w:val="007829C5"/>
    <w:rsid w:val="00782A6E"/>
    <w:rsid w:val="00784E1C"/>
    <w:rsid w:val="007853BE"/>
    <w:rsid w:val="00796809"/>
    <w:rsid w:val="00797B6B"/>
    <w:rsid w:val="007A2D74"/>
    <w:rsid w:val="007A45A2"/>
    <w:rsid w:val="007B059D"/>
    <w:rsid w:val="007B25B6"/>
    <w:rsid w:val="007C27C4"/>
    <w:rsid w:val="007C5841"/>
    <w:rsid w:val="007C6891"/>
    <w:rsid w:val="007D372F"/>
    <w:rsid w:val="007D7B72"/>
    <w:rsid w:val="007F08C8"/>
    <w:rsid w:val="007F6940"/>
    <w:rsid w:val="00802B44"/>
    <w:rsid w:val="00806359"/>
    <w:rsid w:val="0080745E"/>
    <w:rsid w:val="00807886"/>
    <w:rsid w:val="00810CA3"/>
    <w:rsid w:val="00811285"/>
    <w:rsid w:val="0081223E"/>
    <w:rsid w:val="0081264A"/>
    <w:rsid w:val="00813C1C"/>
    <w:rsid w:val="00816269"/>
    <w:rsid w:val="008163E3"/>
    <w:rsid w:val="00823FC2"/>
    <w:rsid w:val="008329B9"/>
    <w:rsid w:val="00833FE9"/>
    <w:rsid w:val="00842662"/>
    <w:rsid w:val="00842A13"/>
    <w:rsid w:val="008525E6"/>
    <w:rsid w:val="00856F1A"/>
    <w:rsid w:val="00857889"/>
    <w:rsid w:val="0087152F"/>
    <w:rsid w:val="00871FC1"/>
    <w:rsid w:val="00874010"/>
    <w:rsid w:val="00875814"/>
    <w:rsid w:val="00875DE9"/>
    <w:rsid w:val="00876F78"/>
    <w:rsid w:val="00880F35"/>
    <w:rsid w:val="00882328"/>
    <w:rsid w:val="00887AE1"/>
    <w:rsid w:val="0089774E"/>
    <w:rsid w:val="008A2BE5"/>
    <w:rsid w:val="008A5C9A"/>
    <w:rsid w:val="008B09B2"/>
    <w:rsid w:val="008B1C13"/>
    <w:rsid w:val="008C08B6"/>
    <w:rsid w:val="008C148B"/>
    <w:rsid w:val="008C46F8"/>
    <w:rsid w:val="008C4C76"/>
    <w:rsid w:val="008D00EC"/>
    <w:rsid w:val="008D1898"/>
    <w:rsid w:val="008E0EFE"/>
    <w:rsid w:val="008E111A"/>
    <w:rsid w:val="008F4D88"/>
    <w:rsid w:val="009028CF"/>
    <w:rsid w:val="00903689"/>
    <w:rsid w:val="009134D8"/>
    <w:rsid w:val="0092408F"/>
    <w:rsid w:val="00924805"/>
    <w:rsid w:val="009308EF"/>
    <w:rsid w:val="00934142"/>
    <w:rsid w:val="0094115E"/>
    <w:rsid w:val="00944A56"/>
    <w:rsid w:val="00950399"/>
    <w:rsid w:val="009528DD"/>
    <w:rsid w:val="00955349"/>
    <w:rsid w:val="009566B5"/>
    <w:rsid w:val="00957465"/>
    <w:rsid w:val="00961707"/>
    <w:rsid w:val="00961861"/>
    <w:rsid w:val="00961C06"/>
    <w:rsid w:val="00966070"/>
    <w:rsid w:val="00972788"/>
    <w:rsid w:val="009727C0"/>
    <w:rsid w:val="009762CD"/>
    <w:rsid w:val="00980CA4"/>
    <w:rsid w:val="009826D8"/>
    <w:rsid w:val="009826EC"/>
    <w:rsid w:val="009851C0"/>
    <w:rsid w:val="009939C5"/>
    <w:rsid w:val="00994CB5"/>
    <w:rsid w:val="009A660D"/>
    <w:rsid w:val="009B1B5F"/>
    <w:rsid w:val="009D10F7"/>
    <w:rsid w:val="009D4481"/>
    <w:rsid w:val="009D4ED3"/>
    <w:rsid w:val="009E426B"/>
    <w:rsid w:val="009E5D35"/>
    <w:rsid w:val="009E670F"/>
    <w:rsid w:val="009F0583"/>
    <w:rsid w:val="009F4661"/>
    <w:rsid w:val="00A03A84"/>
    <w:rsid w:val="00A13F9A"/>
    <w:rsid w:val="00A14CEA"/>
    <w:rsid w:val="00A23814"/>
    <w:rsid w:val="00A25565"/>
    <w:rsid w:val="00A36D3E"/>
    <w:rsid w:val="00A3740F"/>
    <w:rsid w:val="00A43428"/>
    <w:rsid w:val="00A44B5A"/>
    <w:rsid w:val="00A52CE2"/>
    <w:rsid w:val="00A55605"/>
    <w:rsid w:val="00A6307F"/>
    <w:rsid w:val="00A71D51"/>
    <w:rsid w:val="00A72230"/>
    <w:rsid w:val="00A736E9"/>
    <w:rsid w:val="00A76AD1"/>
    <w:rsid w:val="00A7788A"/>
    <w:rsid w:val="00A82ABB"/>
    <w:rsid w:val="00A86DE5"/>
    <w:rsid w:val="00A86EFC"/>
    <w:rsid w:val="00A90FE9"/>
    <w:rsid w:val="00AA1C01"/>
    <w:rsid w:val="00AA3345"/>
    <w:rsid w:val="00AA68D5"/>
    <w:rsid w:val="00AA7D05"/>
    <w:rsid w:val="00AB346D"/>
    <w:rsid w:val="00AB36E4"/>
    <w:rsid w:val="00AB3C9D"/>
    <w:rsid w:val="00AB4DAD"/>
    <w:rsid w:val="00AB6BA9"/>
    <w:rsid w:val="00AC7128"/>
    <w:rsid w:val="00AE31BD"/>
    <w:rsid w:val="00AE426D"/>
    <w:rsid w:val="00AE6FE2"/>
    <w:rsid w:val="00AE77C9"/>
    <w:rsid w:val="00AF05DB"/>
    <w:rsid w:val="00AF2E01"/>
    <w:rsid w:val="00AF6492"/>
    <w:rsid w:val="00AF688F"/>
    <w:rsid w:val="00AF74DA"/>
    <w:rsid w:val="00B06A4D"/>
    <w:rsid w:val="00B079E8"/>
    <w:rsid w:val="00B13FF6"/>
    <w:rsid w:val="00B14854"/>
    <w:rsid w:val="00B2271D"/>
    <w:rsid w:val="00B262BF"/>
    <w:rsid w:val="00B27A37"/>
    <w:rsid w:val="00B33EC5"/>
    <w:rsid w:val="00B35C87"/>
    <w:rsid w:val="00B35EAD"/>
    <w:rsid w:val="00B36631"/>
    <w:rsid w:val="00B443E3"/>
    <w:rsid w:val="00B45916"/>
    <w:rsid w:val="00B56AF0"/>
    <w:rsid w:val="00B6262B"/>
    <w:rsid w:val="00B73E61"/>
    <w:rsid w:val="00B76708"/>
    <w:rsid w:val="00B81531"/>
    <w:rsid w:val="00B84369"/>
    <w:rsid w:val="00B9071E"/>
    <w:rsid w:val="00B92B13"/>
    <w:rsid w:val="00B947C2"/>
    <w:rsid w:val="00BA1A71"/>
    <w:rsid w:val="00BA6665"/>
    <w:rsid w:val="00BB3123"/>
    <w:rsid w:val="00BB571B"/>
    <w:rsid w:val="00BC05F6"/>
    <w:rsid w:val="00BC3BFB"/>
    <w:rsid w:val="00BC58EA"/>
    <w:rsid w:val="00BD1A17"/>
    <w:rsid w:val="00BD53A2"/>
    <w:rsid w:val="00BE16F2"/>
    <w:rsid w:val="00BE4F32"/>
    <w:rsid w:val="00BF2CB6"/>
    <w:rsid w:val="00BF6457"/>
    <w:rsid w:val="00C02BA6"/>
    <w:rsid w:val="00C0500A"/>
    <w:rsid w:val="00C05C47"/>
    <w:rsid w:val="00C05F1A"/>
    <w:rsid w:val="00C076DE"/>
    <w:rsid w:val="00C204F0"/>
    <w:rsid w:val="00C225D6"/>
    <w:rsid w:val="00C239BB"/>
    <w:rsid w:val="00C25FA0"/>
    <w:rsid w:val="00C26254"/>
    <w:rsid w:val="00C26870"/>
    <w:rsid w:val="00C355CF"/>
    <w:rsid w:val="00C37C4D"/>
    <w:rsid w:val="00C478ED"/>
    <w:rsid w:val="00C53492"/>
    <w:rsid w:val="00C54CFD"/>
    <w:rsid w:val="00C5785E"/>
    <w:rsid w:val="00C67A17"/>
    <w:rsid w:val="00C705A9"/>
    <w:rsid w:val="00C75CE7"/>
    <w:rsid w:val="00C807A5"/>
    <w:rsid w:val="00C810D4"/>
    <w:rsid w:val="00C8137E"/>
    <w:rsid w:val="00C86148"/>
    <w:rsid w:val="00C91041"/>
    <w:rsid w:val="00C9403A"/>
    <w:rsid w:val="00C943F2"/>
    <w:rsid w:val="00C95C05"/>
    <w:rsid w:val="00CA1E5F"/>
    <w:rsid w:val="00CA28CA"/>
    <w:rsid w:val="00CA5292"/>
    <w:rsid w:val="00CB1D7B"/>
    <w:rsid w:val="00CB3DAF"/>
    <w:rsid w:val="00CB3F5C"/>
    <w:rsid w:val="00CB5709"/>
    <w:rsid w:val="00CC0695"/>
    <w:rsid w:val="00CC35C6"/>
    <w:rsid w:val="00CC63D2"/>
    <w:rsid w:val="00CC7770"/>
    <w:rsid w:val="00CC7F25"/>
    <w:rsid w:val="00CD0FA0"/>
    <w:rsid w:val="00CD402C"/>
    <w:rsid w:val="00CE5384"/>
    <w:rsid w:val="00CF5536"/>
    <w:rsid w:val="00D1480B"/>
    <w:rsid w:val="00D14FE7"/>
    <w:rsid w:val="00D2321B"/>
    <w:rsid w:val="00D27901"/>
    <w:rsid w:val="00D33467"/>
    <w:rsid w:val="00D3685C"/>
    <w:rsid w:val="00D371DB"/>
    <w:rsid w:val="00D42C0A"/>
    <w:rsid w:val="00D47705"/>
    <w:rsid w:val="00D47CCB"/>
    <w:rsid w:val="00D511F5"/>
    <w:rsid w:val="00D538F3"/>
    <w:rsid w:val="00D53BB0"/>
    <w:rsid w:val="00D54D92"/>
    <w:rsid w:val="00D57707"/>
    <w:rsid w:val="00D6210A"/>
    <w:rsid w:val="00D7060F"/>
    <w:rsid w:val="00D77655"/>
    <w:rsid w:val="00D80B13"/>
    <w:rsid w:val="00D81E88"/>
    <w:rsid w:val="00D8336E"/>
    <w:rsid w:val="00D84B49"/>
    <w:rsid w:val="00DA098E"/>
    <w:rsid w:val="00DA15D4"/>
    <w:rsid w:val="00DA1C80"/>
    <w:rsid w:val="00DA1F84"/>
    <w:rsid w:val="00DA2381"/>
    <w:rsid w:val="00DA4C45"/>
    <w:rsid w:val="00DC0AD7"/>
    <w:rsid w:val="00DC0AF2"/>
    <w:rsid w:val="00DC56F3"/>
    <w:rsid w:val="00DD4369"/>
    <w:rsid w:val="00DD4D43"/>
    <w:rsid w:val="00DD6962"/>
    <w:rsid w:val="00DF0B21"/>
    <w:rsid w:val="00DF1732"/>
    <w:rsid w:val="00DF3A56"/>
    <w:rsid w:val="00DF774F"/>
    <w:rsid w:val="00DF7B1A"/>
    <w:rsid w:val="00E0183C"/>
    <w:rsid w:val="00E018E6"/>
    <w:rsid w:val="00E04315"/>
    <w:rsid w:val="00E053E1"/>
    <w:rsid w:val="00E0555E"/>
    <w:rsid w:val="00E06593"/>
    <w:rsid w:val="00E10806"/>
    <w:rsid w:val="00E110F9"/>
    <w:rsid w:val="00E206F5"/>
    <w:rsid w:val="00E21B37"/>
    <w:rsid w:val="00E222B6"/>
    <w:rsid w:val="00E30DC4"/>
    <w:rsid w:val="00E334F2"/>
    <w:rsid w:val="00E36AEA"/>
    <w:rsid w:val="00E37085"/>
    <w:rsid w:val="00E370F5"/>
    <w:rsid w:val="00E40F49"/>
    <w:rsid w:val="00E41C08"/>
    <w:rsid w:val="00E4296B"/>
    <w:rsid w:val="00E511E7"/>
    <w:rsid w:val="00E5258C"/>
    <w:rsid w:val="00E5597E"/>
    <w:rsid w:val="00E679B2"/>
    <w:rsid w:val="00E72A49"/>
    <w:rsid w:val="00E767F8"/>
    <w:rsid w:val="00E77286"/>
    <w:rsid w:val="00E77635"/>
    <w:rsid w:val="00E91A08"/>
    <w:rsid w:val="00E91F59"/>
    <w:rsid w:val="00E97A84"/>
    <w:rsid w:val="00EA0018"/>
    <w:rsid w:val="00EA2487"/>
    <w:rsid w:val="00EA3F9D"/>
    <w:rsid w:val="00EA46F8"/>
    <w:rsid w:val="00EA7E35"/>
    <w:rsid w:val="00EB2AD8"/>
    <w:rsid w:val="00EB4D17"/>
    <w:rsid w:val="00EB525A"/>
    <w:rsid w:val="00EB794E"/>
    <w:rsid w:val="00EC1776"/>
    <w:rsid w:val="00EC4007"/>
    <w:rsid w:val="00EC4945"/>
    <w:rsid w:val="00EC60A4"/>
    <w:rsid w:val="00EC6400"/>
    <w:rsid w:val="00ED7F49"/>
    <w:rsid w:val="00EE26ED"/>
    <w:rsid w:val="00EE3BA6"/>
    <w:rsid w:val="00EF3841"/>
    <w:rsid w:val="00EF38F3"/>
    <w:rsid w:val="00F019D9"/>
    <w:rsid w:val="00F01E05"/>
    <w:rsid w:val="00F0274F"/>
    <w:rsid w:val="00F04116"/>
    <w:rsid w:val="00F07534"/>
    <w:rsid w:val="00F13832"/>
    <w:rsid w:val="00F148AB"/>
    <w:rsid w:val="00F17BF4"/>
    <w:rsid w:val="00F217C3"/>
    <w:rsid w:val="00F31163"/>
    <w:rsid w:val="00F32AE6"/>
    <w:rsid w:val="00F4195D"/>
    <w:rsid w:val="00F4284C"/>
    <w:rsid w:val="00F47D90"/>
    <w:rsid w:val="00F505B5"/>
    <w:rsid w:val="00F52653"/>
    <w:rsid w:val="00F52FA8"/>
    <w:rsid w:val="00F5597B"/>
    <w:rsid w:val="00F62E2B"/>
    <w:rsid w:val="00F6393D"/>
    <w:rsid w:val="00F67222"/>
    <w:rsid w:val="00F72A91"/>
    <w:rsid w:val="00F7772D"/>
    <w:rsid w:val="00F83F65"/>
    <w:rsid w:val="00F869AB"/>
    <w:rsid w:val="00F87F61"/>
    <w:rsid w:val="00F91152"/>
    <w:rsid w:val="00F91E16"/>
    <w:rsid w:val="00F93FCD"/>
    <w:rsid w:val="00F94C1C"/>
    <w:rsid w:val="00FA3F0B"/>
    <w:rsid w:val="00FA4C88"/>
    <w:rsid w:val="00FA7B75"/>
    <w:rsid w:val="00FB40C9"/>
    <w:rsid w:val="00FB482A"/>
    <w:rsid w:val="00FB58DB"/>
    <w:rsid w:val="00FB59FD"/>
    <w:rsid w:val="00FB7156"/>
    <w:rsid w:val="00FC12EA"/>
    <w:rsid w:val="00FC2A5A"/>
    <w:rsid w:val="00FC7FA1"/>
    <w:rsid w:val="00FD3A32"/>
    <w:rsid w:val="00FD5BDF"/>
    <w:rsid w:val="00FD7EA7"/>
    <w:rsid w:val="00FE628C"/>
    <w:rsid w:val="00FE7233"/>
    <w:rsid w:val="00FF1CCA"/>
    <w:rsid w:val="00FF4DF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780BF"/>
  <w15:docId w15:val="{8F7C5E0C-F3DD-41F5-91ED-823171DDC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5D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5D38"/>
    <w:rPr>
      <w:rFonts w:ascii="Tahoma" w:hAnsi="Tahoma" w:cs="Tahoma"/>
      <w:sz w:val="16"/>
      <w:szCs w:val="16"/>
    </w:rPr>
  </w:style>
  <w:style w:type="paragraph" w:customStyle="1" w:styleId="Default">
    <w:name w:val="Default"/>
    <w:rsid w:val="00C53492"/>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CC35C6"/>
    <w:rPr>
      <w:color w:val="0000FF" w:themeColor="hyperlink"/>
      <w:u w:val="single"/>
    </w:rPr>
  </w:style>
  <w:style w:type="paragraph" w:styleId="Revision">
    <w:name w:val="Revision"/>
    <w:hidden/>
    <w:uiPriority w:val="99"/>
    <w:semiHidden/>
    <w:rsid w:val="003B1BB1"/>
    <w:pPr>
      <w:spacing w:after="0" w:line="240" w:lineRule="auto"/>
    </w:pPr>
  </w:style>
  <w:style w:type="paragraph" w:customStyle="1" w:styleId="NoteListandTableIntro">
    <w:name w:val="Note List and Table Intro"/>
    <w:basedOn w:val="Normal"/>
    <w:next w:val="Normal"/>
    <w:uiPriority w:val="7"/>
    <w:qFormat/>
    <w:rsid w:val="00000659"/>
    <w:pPr>
      <w:keepNext/>
      <w:keepLines/>
      <w:spacing w:before="240" w:after="0"/>
    </w:pPr>
    <w:rPr>
      <w:rFonts w:ascii="Arial" w:eastAsia="Times New Roman" w:hAnsi="Arial" w:cs="Times New Roman"/>
      <w:sz w:val="20"/>
      <w:szCs w:val="20"/>
    </w:rPr>
  </w:style>
  <w:style w:type="paragraph" w:customStyle="1" w:styleId="NoteTitle24">
    <w:name w:val="Note Title 24"/>
    <w:basedOn w:val="Normal"/>
    <w:next w:val="Normal"/>
    <w:uiPriority w:val="7"/>
    <w:rsid w:val="00000659"/>
    <w:pPr>
      <w:keepNext/>
      <w:keepLines/>
      <w:tabs>
        <w:tab w:val="left" w:pos="990"/>
      </w:tabs>
      <w:spacing w:before="480" w:after="0"/>
      <w:ind w:left="994" w:hanging="994"/>
      <w:outlineLvl w:val="3"/>
    </w:pPr>
    <w:rPr>
      <w:rFonts w:ascii="Arial" w:eastAsia="Times New Roman" w:hAnsi="Arial" w:cs="Times New Roman"/>
      <w:b/>
      <w:bCs/>
      <w:sz w:val="20"/>
      <w:szCs w:val="20"/>
    </w:rPr>
  </w:style>
  <w:style w:type="paragraph" w:customStyle="1" w:styleId="NoteTextLinespacingMultiple11">
    <w:name w:val="Note Text + Line spacing:  Multiple 1.1"/>
    <w:basedOn w:val="Normal"/>
    <w:uiPriority w:val="7"/>
    <w:rsid w:val="00000659"/>
    <w:pPr>
      <w:keepLines/>
      <w:tabs>
        <w:tab w:val="right" w:pos="6480"/>
      </w:tabs>
      <w:spacing w:after="0" w:line="264" w:lineRule="auto"/>
    </w:pPr>
    <w:rPr>
      <w:rFonts w:ascii="Arial" w:hAnsi="Arial"/>
      <w:sz w:val="20"/>
      <w:szCs w:val="20"/>
    </w:rPr>
  </w:style>
  <w:style w:type="paragraph" w:customStyle="1" w:styleId="NoteText">
    <w:name w:val="Note Text"/>
    <w:link w:val="NoteTextChar"/>
    <w:uiPriority w:val="7"/>
    <w:qFormat/>
    <w:rsid w:val="007350B2"/>
    <w:pPr>
      <w:keepLines/>
      <w:spacing w:before="240" w:after="0"/>
    </w:pPr>
    <w:rPr>
      <w:rFonts w:ascii="Arial" w:eastAsia="Times New Roman" w:hAnsi="Arial" w:cs="Times New Roman"/>
      <w:sz w:val="20"/>
      <w:szCs w:val="20"/>
    </w:rPr>
  </w:style>
  <w:style w:type="paragraph" w:customStyle="1" w:styleId="NoteTextNoSpace">
    <w:name w:val="Note Text No Space"/>
    <w:basedOn w:val="NoteText"/>
    <w:next w:val="NoteText"/>
    <w:uiPriority w:val="7"/>
    <w:qFormat/>
    <w:rsid w:val="007350B2"/>
    <w:pPr>
      <w:spacing w:before="0"/>
    </w:pPr>
    <w:rPr>
      <w:noProof/>
    </w:rPr>
  </w:style>
  <w:style w:type="character" w:customStyle="1" w:styleId="NoteTextChar">
    <w:name w:val="Note Text Char"/>
    <w:link w:val="NoteText"/>
    <w:uiPriority w:val="7"/>
    <w:rsid w:val="007350B2"/>
    <w:rPr>
      <w:rFonts w:ascii="Arial" w:eastAsia="Times New Roman" w:hAnsi="Arial" w:cs="Times New Roman"/>
      <w:sz w:val="20"/>
      <w:szCs w:val="20"/>
    </w:rPr>
  </w:style>
  <w:style w:type="character" w:customStyle="1" w:styleId="Subheadinglevel1">
    <w:name w:val="Subheading level 1"/>
    <w:uiPriority w:val="7"/>
    <w:rsid w:val="004B0FCD"/>
    <w:rPr>
      <w:rFonts w:ascii="Arial" w:hAnsi="Arial"/>
      <w:b/>
      <w:sz w:val="20"/>
    </w:rPr>
  </w:style>
  <w:style w:type="paragraph" w:customStyle="1" w:styleId="NoteTextNoSpaceKWN">
    <w:name w:val="Note Text No Space KWN"/>
    <w:basedOn w:val="Normal"/>
    <w:next w:val="Normal"/>
    <w:uiPriority w:val="7"/>
    <w:qFormat/>
    <w:rsid w:val="00FB482A"/>
    <w:pPr>
      <w:keepNext/>
      <w:keepLines/>
      <w:spacing w:after="0"/>
    </w:pPr>
    <w:rPr>
      <w:rFonts w:ascii="Arial" w:eastAsia="Times New Roman" w:hAnsi="Arial" w:cs="Times New Roman"/>
      <w:noProof/>
      <w:sz w:val="20"/>
      <w:szCs w:val="20"/>
    </w:rPr>
  </w:style>
  <w:style w:type="character" w:styleId="CommentReference">
    <w:name w:val="annotation reference"/>
    <w:basedOn w:val="DefaultParagraphFont"/>
    <w:uiPriority w:val="99"/>
    <w:semiHidden/>
    <w:unhideWhenUsed/>
    <w:rsid w:val="002B4E83"/>
    <w:rPr>
      <w:sz w:val="16"/>
      <w:szCs w:val="16"/>
    </w:rPr>
  </w:style>
  <w:style w:type="paragraph" w:styleId="CommentText">
    <w:name w:val="annotation text"/>
    <w:basedOn w:val="Normal"/>
    <w:link w:val="CommentTextChar"/>
    <w:uiPriority w:val="99"/>
    <w:unhideWhenUsed/>
    <w:rsid w:val="002B4E83"/>
    <w:pPr>
      <w:spacing w:line="240" w:lineRule="auto"/>
    </w:pPr>
    <w:rPr>
      <w:sz w:val="20"/>
      <w:szCs w:val="20"/>
    </w:rPr>
  </w:style>
  <w:style w:type="character" w:customStyle="1" w:styleId="CommentTextChar">
    <w:name w:val="Comment Text Char"/>
    <w:basedOn w:val="DefaultParagraphFont"/>
    <w:link w:val="CommentText"/>
    <w:uiPriority w:val="99"/>
    <w:rsid w:val="002B4E83"/>
    <w:rPr>
      <w:sz w:val="20"/>
      <w:szCs w:val="20"/>
    </w:rPr>
  </w:style>
  <w:style w:type="paragraph" w:styleId="CommentSubject">
    <w:name w:val="annotation subject"/>
    <w:basedOn w:val="CommentText"/>
    <w:next w:val="CommentText"/>
    <w:link w:val="CommentSubjectChar"/>
    <w:uiPriority w:val="99"/>
    <w:semiHidden/>
    <w:unhideWhenUsed/>
    <w:rsid w:val="002B4E83"/>
    <w:rPr>
      <w:b/>
      <w:bCs/>
    </w:rPr>
  </w:style>
  <w:style w:type="character" w:customStyle="1" w:styleId="CommentSubjectChar">
    <w:name w:val="Comment Subject Char"/>
    <w:basedOn w:val="CommentTextChar"/>
    <w:link w:val="CommentSubject"/>
    <w:uiPriority w:val="99"/>
    <w:semiHidden/>
    <w:rsid w:val="002B4E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1243">
      <w:bodyDiv w:val="1"/>
      <w:marLeft w:val="0"/>
      <w:marRight w:val="0"/>
      <w:marTop w:val="0"/>
      <w:marBottom w:val="0"/>
      <w:divBdr>
        <w:top w:val="none" w:sz="0" w:space="0" w:color="auto"/>
        <w:left w:val="none" w:sz="0" w:space="0" w:color="auto"/>
        <w:bottom w:val="none" w:sz="0" w:space="0" w:color="auto"/>
        <w:right w:val="none" w:sz="0" w:space="0" w:color="auto"/>
      </w:divBdr>
    </w:div>
    <w:div w:id="86776787">
      <w:bodyDiv w:val="1"/>
      <w:marLeft w:val="0"/>
      <w:marRight w:val="0"/>
      <w:marTop w:val="0"/>
      <w:marBottom w:val="0"/>
      <w:divBdr>
        <w:top w:val="none" w:sz="0" w:space="0" w:color="auto"/>
        <w:left w:val="none" w:sz="0" w:space="0" w:color="auto"/>
        <w:bottom w:val="none" w:sz="0" w:space="0" w:color="auto"/>
        <w:right w:val="none" w:sz="0" w:space="0" w:color="auto"/>
      </w:divBdr>
    </w:div>
    <w:div w:id="186867633">
      <w:bodyDiv w:val="1"/>
      <w:marLeft w:val="0"/>
      <w:marRight w:val="0"/>
      <w:marTop w:val="0"/>
      <w:marBottom w:val="0"/>
      <w:divBdr>
        <w:top w:val="none" w:sz="0" w:space="0" w:color="auto"/>
        <w:left w:val="none" w:sz="0" w:space="0" w:color="auto"/>
        <w:bottom w:val="none" w:sz="0" w:space="0" w:color="auto"/>
        <w:right w:val="none" w:sz="0" w:space="0" w:color="auto"/>
      </w:divBdr>
    </w:div>
    <w:div w:id="187718194">
      <w:bodyDiv w:val="1"/>
      <w:marLeft w:val="0"/>
      <w:marRight w:val="0"/>
      <w:marTop w:val="0"/>
      <w:marBottom w:val="0"/>
      <w:divBdr>
        <w:top w:val="none" w:sz="0" w:space="0" w:color="auto"/>
        <w:left w:val="none" w:sz="0" w:space="0" w:color="auto"/>
        <w:bottom w:val="none" w:sz="0" w:space="0" w:color="auto"/>
        <w:right w:val="none" w:sz="0" w:space="0" w:color="auto"/>
      </w:divBdr>
    </w:div>
    <w:div w:id="301421379">
      <w:bodyDiv w:val="1"/>
      <w:marLeft w:val="0"/>
      <w:marRight w:val="0"/>
      <w:marTop w:val="0"/>
      <w:marBottom w:val="0"/>
      <w:divBdr>
        <w:top w:val="none" w:sz="0" w:space="0" w:color="auto"/>
        <w:left w:val="none" w:sz="0" w:space="0" w:color="auto"/>
        <w:bottom w:val="none" w:sz="0" w:space="0" w:color="auto"/>
        <w:right w:val="none" w:sz="0" w:space="0" w:color="auto"/>
      </w:divBdr>
      <w:divsChild>
        <w:div w:id="1474641821">
          <w:marLeft w:val="0"/>
          <w:marRight w:val="0"/>
          <w:marTop w:val="0"/>
          <w:marBottom w:val="0"/>
          <w:divBdr>
            <w:top w:val="none" w:sz="0" w:space="0" w:color="auto"/>
            <w:left w:val="none" w:sz="0" w:space="0" w:color="auto"/>
            <w:bottom w:val="none" w:sz="0" w:space="0" w:color="auto"/>
            <w:right w:val="none" w:sz="0" w:space="0" w:color="auto"/>
          </w:divBdr>
          <w:divsChild>
            <w:div w:id="142235897">
              <w:marLeft w:val="0"/>
              <w:marRight w:val="0"/>
              <w:marTop w:val="0"/>
              <w:marBottom w:val="0"/>
              <w:divBdr>
                <w:top w:val="none" w:sz="0" w:space="0" w:color="auto"/>
                <w:left w:val="none" w:sz="0" w:space="0" w:color="auto"/>
                <w:bottom w:val="none" w:sz="0" w:space="0" w:color="auto"/>
                <w:right w:val="none" w:sz="0" w:space="0" w:color="auto"/>
              </w:divBdr>
              <w:divsChild>
                <w:div w:id="1583567034">
                  <w:marLeft w:val="0"/>
                  <w:marRight w:val="0"/>
                  <w:marTop w:val="0"/>
                  <w:marBottom w:val="0"/>
                  <w:divBdr>
                    <w:top w:val="none" w:sz="0" w:space="0" w:color="auto"/>
                    <w:left w:val="none" w:sz="0" w:space="0" w:color="auto"/>
                    <w:bottom w:val="none" w:sz="0" w:space="0" w:color="auto"/>
                    <w:right w:val="none" w:sz="0" w:space="0" w:color="auto"/>
                  </w:divBdr>
                  <w:divsChild>
                    <w:div w:id="78407883">
                      <w:marLeft w:val="0"/>
                      <w:marRight w:val="0"/>
                      <w:marTop w:val="0"/>
                      <w:marBottom w:val="0"/>
                      <w:divBdr>
                        <w:top w:val="none" w:sz="0" w:space="0" w:color="auto"/>
                        <w:left w:val="none" w:sz="0" w:space="0" w:color="auto"/>
                        <w:bottom w:val="none" w:sz="0" w:space="0" w:color="auto"/>
                        <w:right w:val="none" w:sz="0" w:space="0" w:color="auto"/>
                      </w:divBdr>
                      <w:divsChild>
                        <w:div w:id="14699058">
                          <w:marLeft w:val="0"/>
                          <w:marRight w:val="0"/>
                          <w:marTop w:val="0"/>
                          <w:marBottom w:val="0"/>
                          <w:divBdr>
                            <w:top w:val="none" w:sz="0" w:space="0" w:color="auto"/>
                            <w:left w:val="none" w:sz="0" w:space="0" w:color="auto"/>
                            <w:bottom w:val="none" w:sz="0" w:space="0" w:color="auto"/>
                            <w:right w:val="none" w:sz="0" w:space="0" w:color="auto"/>
                          </w:divBdr>
                          <w:divsChild>
                            <w:div w:id="281225933">
                              <w:marLeft w:val="0"/>
                              <w:marRight w:val="0"/>
                              <w:marTop w:val="0"/>
                              <w:marBottom w:val="0"/>
                              <w:divBdr>
                                <w:top w:val="none" w:sz="0" w:space="0" w:color="auto"/>
                                <w:left w:val="none" w:sz="0" w:space="0" w:color="auto"/>
                                <w:bottom w:val="none" w:sz="0" w:space="0" w:color="auto"/>
                                <w:right w:val="none" w:sz="0" w:space="0" w:color="auto"/>
                              </w:divBdr>
                              <w:divsChild>
                                <w:div w:id="1955793224">
                                  <w:marLeft w:val="0"/>
                                  <w:marRight w:val="0"/>
                                  <w:marTop w:val="360"/>
                                  <w:marBottom w:val="0"/>
                                  <w:divBdr>
                                    <w:top w:val="none" w:sz="0" w:space="0" w:color="auto"/>
                                    <w:left w:val="none" w:sz="0" w:space="0" w:color="auto"/>
                                    <w:bottom w:val="none" w:sz="0" w:space="0" w:color="auto"/>
                                    <w:right w:val="none" w:sz="0" w:space="0" w:color="auto"/>
                                  </w:divBdr>
                                </w:div>
                              </w:divsChild>
                            </w:div>
                            <w:div w:id="2128111146">
                              <w:marLeft w:val="0"/>
                              <w:marRight w:val="0"/>
                              <w:marTop w:val="0"/>
                              <w:marBottom w:val="0"/>
                              <w:divBdr>
                                <w:top w:val="none" w:sz="0" w:space="0" w:color="auto"/>
                                <w:left w:val="none" w:sz="0" w:space="0" w:color="auto"/>
                                <w:bottom w:val="none" w:sz="0" w:space="0" w:color="auto"/>
                                <w:right w:val="none" w:sz="0" w:space="0" w:color="auto"/>
                              </w:divBdr>
                              <w:divsChild>
                                <w:div w:id="158663970">
                                  <w:marLeft w:val="0"/>
                                  <w:marRight w:val="0"/>
                                  <w:marTop w:val="0"/>
                                  <w:marBottom w:val="420"/>
                                  <w:divBdr>
                                    <w:top w:val="none" w:sz="0" w:space="0" w:color="auto"/>
                                    <w:left w:val="none" w:sz="0" w:space="0" w:color="auto"/>
                                    <w:bottom w:val="none" w:sz="0" w:space="0" w:color="auto"/>
                                    <w:right w:val="none" w:sz="0" w:space="0" w:color="auto"/>
                                  </w:divBdr>
                                </w:div>
                                <w:div w:id="1261141472">
                                  <w:marLeft w:val="0"/>
                                  <w:marRight w:val="0"/>
                                  <w:marTop w:val="0"/>
                                  <w:marBottom w:val="0"/>
                                  <w:divBdr>
                                    <w:top w:val="none" w:sz="0" w:space="0" w:color="auto"/>
                                    <w:left w:val="none" w:sz="0" w:space="0" w:color="auto"/>
                                    <w:bottom w:val="none" w:sz="0" w:space="0" w:color="auto"/>
                                    <w:right w:val="none" w:sz="0" w:space="0" w:color="auto"/>
                                  </w:divBdr>
                                  <w:divsChild>
                                    <w:div w:id="26613822">
                                      <w:blockQuote w:val="1"/>
                                      <w:marLeft w:val="0"/>
                                      <w:marRight w:val="225"/>
                                      <w:marTop w:val="75"/>
                                      <w:marBottom w:val="225"/>
                                      <w:divBdr>
                                        <w:top w:val="none" w:sz="0" w:space="0" w:color="auto"/>
                                        <w:left w:val="none" w:sz="0" w:space="0" w:color="auto"/>
                                        <w:bottom w:val="none" w:sz="0" w:space="0" w:color="auto"/>
                                        <w:right w:val="single" w:sz="6" w:space="0" w:color="7AA52A"/>
                                      </w:divBdr>
                                    </w:div>
                                    <w:div w:id="1249339961">
                                      <w:marLeft w:val="0"/>
                                      <w:marRight w:val="0"/>
                                      <w:marTop w:val="0"/>
                                      <w:marBottom w:val="360"/>
                                      <w:divBdr>
                                        <w:top w:val="none" w:sz="0" w:space="0" w:color="auto"/>
                                        <w:left w:val="none" w:sz="0" w:space="0" w:color="auto"/>
                                        <w:bottom w:val="none" w:sz="0" w:space="0" w:color="auto"/>
                                        <w:right w:val="none" w:sz="0" w:space="0" w:color="auto"/>
                                      </w:divBdr>
                                    </w:div>
                                  </w:divsChild>
                                </w:div>
                                <w:div w:id="97487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693895">
      <w:bodyDiv w:val="1"/>
      <w:marLeft w:val="0"/>
      <w:marRight w:val="0"/>
      <w:marTop w:val="0"/>
      <w:marBottom w:val="0"/>
      <w:divBdr>
        <w:top w:val="none" w:sz="0" w:space="0" w:color="auto"/>
        <w:left w:val="none" w:sz="0" w:space="0" w:color="auto"/>
        <w:bottom w:val="none" w:sz="0" w:space="0" w:color="auto"/>
        <w:right w:val="none" w:sz="0" w:space="0" w:color="auto"/>
      </w:divBdr>
    </w:div>
    <w:div w:id="1346588390">
      <w:bodyDiv w:val="1"/>
      <w:marLeft w:val="0"/>
      <w:marRight w:val="0"/>
      <w:marTop w:val="0"/>
      <w:marBottom w:val="0"/>
      <w:divBdr>
        <w:top w:val="none" w:sz="0" w:space="0" w:color="auto"/>
        <w:left w:val="none" w:sz="0" w:space="0" w:color="auto"/>
        <w:bottom w:val="none" w:sz="0" w:space="0" w:color="auto"/>
        <w:right w:val="none" w:sz="0" w:space="0" w:color="auto"/>
      </w:divBdr>
    </w:div>
    <w:div w:id="1747339011">
      <w:bodyDiv w:val="1"/>
      <w:marLeft w:val="0"/>
      <w:marRight w:val="0"/>
      <w:marTop w:val="0"/>
      <w:marBottom w:val="0"/>
      <w:divBdr>
        <w:top w:val="none" w:sz="0" w:space="0" w:color="auto"/>
        <w:left w:val="none" w:sz="0" w:space="0" w:color="auto"/>
        <w:bottom w:val="none" w:sz="0" w:space="0" w:color="auto"/>
        <w:right w:val="none" w:sz="0" w:space="0" w:color="auto"/>
      </w:divBdr>
    </w:div>
    <w:div w:id="211192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image" Target="media/image7.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about:blank" TargetMode="External"/><Relationship Id="rId11" Type="http://schemas.openxmlformats.org/officeDocument/2006/relationships/image" Target="media/image6.emf"/><Relationship Id="rId5" Type="http://schemas.openxmlformats.org/officeDocument/2006/relationships/image" Target="media/image1.jpeg"/><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8C5A4-7B4A-4720-A376-87CC4EFEF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7</Pages>
  <Words>1346</Words>
  <Characters>7675</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Simom Bai</dc:creator>
  <cp:lastModifiedBy>Simon Bai</cp:lastModifiedBy>
  <cp:revision>4</cp:revision>
  <cp:lastPrinted>2024-04-19T14:45:00Z</cp:lastPrinted>
  <dcterms:created xsi:type="dcterms:W3CDTF">2024-10-28T16:49:00Z</dcterms:created>
  <dcterms:modified xsi:type="dcterms:W3CDTF">2024-10-29T15:53:00Z</dcterms:modified>
</cp:coreProperties>
</file>