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A7AD5" w14:textId="2E4FA0B4" w:rsidR="00B52318" w:rsidRDefault="009B26DF" w:rsidP="00B52318">
      <w:pPr>
        <w:spacing w:after="0" w:line="240" w:lineRule="auto"/>
        <w:jc w:val="both"/>
        <w:rPr>
          <w:rFonts w:ascii="Times New Roman" w:eastAsia="Times New Roman" w:hAnsi="Times New Roman" w:cs="Times New Roman"/>
          <w:b/>
          <w:bCs/>
          <w:sz w:val="32"/>
          <w:szCs w:val="32"/>
          <w:lang w:eastAsia="en-US"/>
        </w:rPr>
      </w:pPr>
      <w:r>
        <w:rPr>
          <w:rFonts w:ascii="Times New Roman" w:eastAsia="Times New Roman" w:hAnsi="Times New Roman" w:cs="Times New Roman"/>
          <w:b/>
          <w:bCs/>
          <w:sz w:val="32"/>
          <w:szCs w:val="32"/>
          <w:lang w:eastAsia="en-US"/>
        </w:rPr>
        <w:t>SUIC’s I</w:t>
      </w:r>
      <w:r w:rsidR="004A1D1B">
        <w:rPr>
          <w:rFonts w:ascii="Times New Roman" w:eastAsia="Times New Roman" w:hAnsi="Times New Roman" w:cs="Times New Roman"/>
          <w:b/>
          <w:bCs/>
          <w:sz w:val="32"/>
          <w:szCs w:val="32"/>
          <w:lang w:eastAsia="en-US"/>
        </w:rPr>
        <w:t>.</w:t>
      </w:r>
      <w:r>
        <w:rPr>
          <w:rFonts w:ascii="Times New Roman" w:eastAsia="Times New Roman" w:hAnsi="Times New Roman" w:cs="Times New Roman"/>
          <w:b/>
          <w:bCs/>
          <w:sz w:val="32"/>
          <w:szCs w:val="32"/>
          <w:lang w:eastAsia="en-US"/>
        </w:rPr>
        <w:t>Hart Secures</w:t>
      </w:r>
      <w:r w:rsidR="00C333CA">
        <w:rPr>
          <w:rFonts w:ascii="Times New Roman" w:eastAsia="Times New Roman" w:hAnsi="Times New Roman" w:cs="Times New Roman"/>
          <w:b/>
          <w:bCs/>
          <w:sz w:val="32"/>
          <w:szCs w:val="32"/>
          <w:lang w:eastAsia="en-US"/>
        </w:rPr>
        <w:t xml:space="preserve"> </w:t>
      </w:r>
      <w:r w:rsidR="00B53167">
        <w:rPr>
          <w:rFonts w:ascii="Times New Roman" w:eastAsia="Times New Roman" w:hAnsi="Times New Roman" w:cs="Times New Roman"/>
          <w:b/>
          <w:bCs/>
          <w:sz w:val="32"/>
          <w:szCs w:val="32"/>
          <w:lang w:eastAsia="en-US"/>
        </w:rPr>
        <w:t xml:space="preserve">Contracts </w:t>
      </w:r>
      <w:r w:rsidR="00B52318">
        <w:rPr>
          <w:rFonts w:ascii="Times New Roman" w:eastAsia="Times New Roman" w:hAnsi="Times New Roman" w:cs="Times New Roman"/>
          <w:b/>
          <w:bCs/>
          <w:sz w:val="32"/>
          <w:szCs w:val="32"/>
          <w:lang w:eastAsia="en-US"/>
        </w:rPr>
        <w:t xml:space="preserve">with Taiwan </w:t>
      </w:r>
      <w:r w:rsidR="00FB09F7">
        <w:rPr>
          <w:rFonts w:ascii="Times New Roman" w:eastAsia="Times New Roman" w:hAnsi="Times New Roman" w:cs="Times New Roman"/>
          <w:b/>
          <w:bCs/>
          <w:sz w:val="32"/>
          <w:szCs w:val="32"/>
          <w:lang w:eastAsia="en-US"/>
        </w:rPr>
        <w:t>TSMC</w:t>
      </w:r>
      <w:r w:rsidR="00B53167">
        <w:rPr>
          <w:rFonts w:ascii="Times New Roman" w:eastAsia="Times New Roman" w:hAnsi="Times New Roman" w:cs="Times New Roman"/>
          <w:b/>
          <w:bCs/>
          <w:sz w:val="32"/>
          <w:szCs w:val="32"/>
          <w:lang w:eastAsia="en-US"/>
        </w:rPr>
        <w:t xml:space="preserve"> –Global Leader in Semiconductor</w:t>
      </w:r>
      <w:r w:rsidR="00FB09F7">
        <w:rPr>
          <w:rFonts w:ascii="Times New Roman" w:eastAsia="Times New Roman" w:hAnsi="Times New Roman" w:cs="Times New Roman"/>
          <w:b/>
          <w:bCs/>
          <w:sz w:val="32"/>
          <w:szCs w:val="32"/>
          <w:lang w:eastAsia="en-US"/>
        </w:rPr>
        <w:t>s</w:t>
      </w:r>
      <w:r w:rsidR="00B53167">
        <w:rPr>
          <w:rFonts w:ascii="Times New Roman" w:eastAsia="Times New Roman" w:hAnsi="Times New Roman" w:cs="Times New Roman"/>
          <w:b/>
          <w:bCs/>
          <w:sz w:val="32"/>
          <w:szCs w:val="32"/>
          <w:lang w:eastAsia="en-US"/>
        </w:rPr>
        <w:t xml:space="preserve"> </w:t>
      </w:r>
      <w:r w:rsidR="008412F1">
        <w:rPr>
          <w:rFonts w:ascii="Times New Roman" w:eastAsia="Times New Roman" w:hAnsi="Times New Roman" w:cs="Times New Roman"/>
          <w:b/>
          <w:bCs/>
          <w:sz w:val="32"/>
          <w:szCs w:val="32"/>
          <w:lang w:eastAsia="en-US"/>
        </w:rPr>
        <w:t>and Tai</w:t>
      </w:r>
      <w:r w:rsidR="00C333CA">
        <w:rPr>
          <w:rFonts w:ascii="Times New Roman" w:eastAsia="Times New Roman" w:hAnsi="Times New Roman" w:cs="Times New Roman"/>
          <w:b/>
          <w:bCs/>
          <w:sz w:val="32"/>
          <w:szCs w:val="32"/>
          <w:lang w:eastAsia="en-US"/>
        </w:rPr>
        <w:t xml:space="preserve">wan </w:t>
      </w:r>
      <w:r w:rsidR="008412F1">
        <w:rPr>
          <w:rFonts w:ascii="Times New Roman" w:eastAsia="Times New Roman" w:hAnsi="Times New Roman" w:cs="Times New Roman"/>
          <w:b/>
          <w:bCs/>
          <w:sz w:val="32"/>
          <w:szCs w:val="32"/>
          <w:lang w:eastAsia="en-US"/>
        </w:rPr>
        <w:t>Power</w:t>
      </w:r>
      <w:r w:rsidR="00B52318">
        <w:rPr>
          <w:rFonts w:ascii="Times New Roman" w:eastAsia="Times New Roman" w:hAnsi="Times New Roman" w:cs="Times New Roman"/>
          <w:b/>
          <w:bCs/>
          <w:sz w:val="32"/>
          <w:szCs w:val="32"/>
          <w:lang w:eastAsia="en-US"/>
        </w:rPr>
        <w:t xml:space="preserve"> </w:t>
      </w:r>
      <w:r w:rsidR="00C333CA">
        <w:rPr>
          <w:rFonts w:ascii="Times New Roman" w:eastAsia="Times New Roman" w:hAnsi="Times New Roman" w:cs="Times New Roman"/>
          <w:b/>
          <w:bCs/>
          <w:sz w:val="32"/>
          <w:szCs w:val="32"/>
          <w:lang w:eastAsia="en-US"/>
        </w:rPr>
        <w:t xml:space="preserve">Company To </w:t>
      </w:r>
      <w:r w:rsidR="00C22556">
        <w:rPr>
          <w:rFonts w:ascii="Times New Roman" w:eastAsia="Times New Roman" w:hAnsi="Times New Roman" w:cs="Times New Roman"/>
          <w:b/>
          <w:bCs/>
          <w:sz w:val="32"/>
          <w:szCs w:val="32"/>
          <w:lang w:eastAsia="en-US"/>
        </w:rPr>
        <w:t>Cater</w:t>
      </w:r>
      <w:r w:rsidR="00C333CA">
        <w:rPr>
          <w:rFonts w:ascii="Times New Roman" w:eastAsia="Times New Roman" w:hAnsi="Times New Roman" w:cs="Times New Roman"/>
          <w:b/>
          <w:bCs/>
          <w:sz w:val="32"/>
          <w:szCs w:val="32"/>
          <w:lang w:eastAsia="en-US"/>
        </w:rPr>
        <w:t xml:space="preserve"> </w:t>
      </w:r>
      <w:r>
        <w:rPr>
          <w:rFonts w:ascii="Times New Roman" w:eastAsia="Times New Roman" w:hAnsi="Times New Roman" w:cs="Times New Roman"/>
          <w:b/>
          <w:bCs/>
          <w:sz w:val="32"/>
          <w:szCs w:val="32"/>
          <w:lang w:eastAsia="en-US"/>
        </w:rPr>
        <w:t xml:space="preserve">Employee Meals. </w:t>
      </w:r>
      <w:r w:rsidR="00B53167" w:rsidRPr="00B53167">
        <w:rPr>
          <w:rFonts w:ascii="Times New Roman" w:eastAsia="Times New Roman" w:hAnsi="Times New Roman" w:cs="Times New Roman"/>
          <w:b/>
          <w:bCs/>
          <w:sz w:val="32"/>
          <w:szCs w:val="32"/>
          <w:lang w:eastAsia="en-US"/>
        </w:rPr>
        <w:t>Forging Strategic Partnerships with U.S. Restaurant Professionals and Suppliers to Launch Diverse Cuisine and Comprehensive Rest</w:t>
      </w:r>
      <w:r w:rsidR="00FB09F7">
        <w:rPr>
          <w:rFonts w:ascii="Times New Roman" w:eastAsia="Times New Roman" w:hAnsi="Times New Roman" w:cs="Times New Roman"/>
          <w:b/>
          <w:bCs/>
          <w:sz w:val="32"/>
          <w:szCs w:val="32"/>
          <w:lang w:eastAsia="en-US"/>
        </w:rPr>
        <w:t>aurant Supply Lines Nationwide</w:t>
      </w:r>
    </w:p>
    <w:p w14:paraId="006C904E" w14:textId="77777777" w:rsidR="00B53167" w:rsidRDefault="00B53167" w:rsidP="00B52318">
      <w:pPr>
        <w:spacing w:after="0" w:line="240" w:lineRule="auto"/>
        <w:jc w:val="both"/>
        <w:rPr>
          <w:rFonts w:ascii="Times New Roman" w:eastAsia="Times New Roman" w:hAnsi="Times New Roman" w:cs="Times New Roman"/>
          <w:b/>
          <w:bCs/>
          <w:sz w:val="32"/>
          <w:szCs w:val="32"/>
          <w:lang w:eastAsia="en-US"/>
        </w:rPr>
      </w:pPr>
      <w:bookmarkStart w:id="0" w:name="_GoBack"/>
    </w:p>
    <w:p w14:paraId="44CF6047" w14:textId="0D199D69" w:rsidR="00B52318" w:rsidRDefault="00B52318" w:rsidP="00B52318">
      <w:pPr>
        <w:shd w:val="clear" w:color="auto" w:fill="FFFFFF"/>
        <w:spacing w:after="0" w:line="345" w:lineRule="atLeast"/>
        <w:rPr>
          <w:rFonts w:ascii="Times New Roman" w:eastAsia="MS Mincho" w:hAnsi="Times New Roman" w:cs="Times New Roman"/>
          <w:lang w:eastAsia="en-US"/>
        </w:rPr>
      </w:pPr>
      <w:r>
        <w:rPr>
          <w:rFonts w:ascii="Times New Roman" w:eastAsia="Times New Roman" w:hAnsi="Times New Roman" w:cs="Times New Roman"/>
          <w:noProof/>
          <w:lang w:eastAsia="zh-TW"/>
        </w:rPr>
        <w:drawing>
          <wp:inline distT="0" distB="0" distL="0" distR="0" wp14:anchorId="16BAE0B0" wp14:editId="799CBD5D">
            <wp:extent cx="6229350" cy="13061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0" cy="1306195"/>
                    </a:xfrm>
                    <a:prstGeom prst="rect">
                      <a:avLst/>
                    </a:prstGeom>
                    <a:noFill/>
                    <a:ln>
                      <a:noFill/>
                    </a:ln>
                  </pic:spPr>
                </pic:pic>
              </a:graphicData>
            </a:graphic>
          </wp:inline>
        </w:drawing>
      </w:r>
      <w:r>
        <w:rPr>
          <w:rFonts w:ascii="Times New Roman" w:eastAsia="Times New Roman" w:hAnsi="Times New Roman" w:cs="Times New Roman"/>
          <w:lang w:eastAsia="en-US"/>
        </w:rPr>
        <w:br/>
      </w:r>
    </w:p>
    <w:p w14:paraId="28117C76" w14:textId="393F07EC" w:rsidR="00FB09F7" w:rsidRDefault="00B52318" w:rsidP="00B52318">
      <w:pPr>
        <w:spacing w:after="0" w:line="240" w:lineRule="auto"/>
        <w:jc w:val="both"/>
        <w:rPr>
          <w:rFonts w:ascii="Times New Roman" w:eastAsia="Times New Roman" w:hAnsi="Times New Roman" w:cs="Times New Roman"/>
          <w:bCs/>
          <w:lang w:eastAsia="en-US"/>
        </w:rPr>
      </w:pPr>
      <w:r>
        <w:rPr>
          <w:rFonts w:ascii="Times New Roman" w:eastAsia="Times New Roman" w:hAnsi="Times New Roman" w:cs="Times New Roman"/>
          <w:b/>
          <w:color w:val="222222"/>
          <w:lang w:eastAsia="zh-TW"/>
        </w:rPr>
        <w:t xml:space="preserve">NEW YORK, NY and TAIPEI, Taiwan, </w:t>
      </w:r>
      <w:r w:rsidR="008412F1">
        <w:rPr>
          <w:rFonts w:ascii="Times New Roman" w:eastAsia="Times New Roman" w:hAnsi="Times New Roman" w:cs="Times New Roman"/>
          <w:b/>
          <w:color w:val="222222"/>
          <w:lang w:eastAsia="zh-TW"/>
        </w:rPr>
        <w:t>Nov</w:t>
      </w:r>
      <w:r w:rsidR="00C22556">
        <w:rPr>
          <w:rFonts w:ascii="Times New Roman" w:eastAsia="Times New Roman" w:hAnsi="Times New Roman" w:cs="Times New Roman"/>
          <w:b/>
          <w:color w:val="222222"/>
          <w:lang w:eastAsia="zh-TW"/>
        </w:rPr>
        <w:t>ember</w:t>
      </w:r>
      <w:r w:rsidR="008412F1">
        <w:rPr>
          <w:rFonts w:ascii="Times New Roman" w:eastAsia="Times New Roman" w:hAnsi="Times New Roman" w:cs="Times New Roman"/>
          <w:b/>
          <w:color w:val="222222"/>
          <w:lang w:eastAsia="zh-TW"/>
        </w:rPr>
        <w:t xml:space="preserve"> 14</w:t>
      </w:r>
      <w:r>
        <w:rPr>
          <w:rFonts w:ascii="Times New Roman" w:eastAsia="Times New Roman" w:hAnsi="Times New Roman" w:cs="Times New Roman"/>
          <w:b/>
          <w:color w:val="222222"/>
          <w:lang w:eastAsia="zh-TW"/>
        </w:rPr>
        <w:t xml:space="preserve">, 2024 </w:t>
      </w:r>
      <w:r>
        <w:rPr>
          <w:rFonts w:ascii="Times New Roman" w:eastAsia="Times New Roman" w:hAnsi="Times New Roman" w:cs="Times New Roman"/>
          <w:color w:val="222222"/>
          <w:lang w:eastAsia="zh-TW"/>
        </w:rPr>
        <w:t xml:space="preserve">-- </w:t>
      </w:r>
      <w:r>
        <w:rPr>
          <w:rFonts w:ascii="Times New Roman" w:eastAsia="Times New Roman" w:hAnsi="Times New Roman" w:cs="Times New Roman"/>
          <w:b/>
          <w:color w:val="222222"/>
          <w:lang w:eastAsia="zh-TW"/>
        </w:rPr>
        <w:t>SUIC Worldwide Holdings Ltd. (OTC: SUIC</w:t>
      </w:r>
      <w:r w:rsidRPr="00FB09F7">
        <w:rPr>
          <w:rFonts w:ascii="Times New Roman" w:eastAsia="Times New Roman" w:hAnsi="Times New Roman" w:cs="Times New Roman"/>
          <w:b/>
          <w:color w:val="222222"/>
          <w:lang w:eastAsia="zh-TW"/>
        </w:rPr>
        <w:t xml:space="preserve">) </w:t>
      </w:r>
      <w:r w:rsidRPr="00FB09F7">
        <w:rPr>
          <w:rFonts w:ascii="Times New Roman" w:eastAsia="Times New Roman" w:hAnsi="Times New Roman" w:cs="Times New Roman"/>
          <w:bCs/>
          <w:lang w:eastAsia="en-US"/>
        </w:rPr>
        <w:t xml:space="preserve">today </w:t>
      </w:r>
      <w:r w:rsidR="00B53167" w:rsidRPr="00FB09F7">
        <w:rPr>
          <w:rFonts w:ascii="Times New Roman" w:eastAsia="Times New Roman" w:hAnsi="Times New Roman" w:cs="Times New Roman"/>
          <w:bCs/>
          <w:lang w:eastAsia="en-US"/>
        </w:rPr>
        <w:t xml:space="preserve">SUIC’s I.Hart </w:t>
      </w:r>
      <w:r w:rsidR="00FB09F7">
        <w:rPr>
          <w:rFonts w:ascii="Times New Roman" w:eastAsia="Times New Roman" w:hAnsi="Times New Roman" w:cs="Times New Roman"/>
          <w:bCs/>
          <w:lang w:eastAsia="en-US"/>
        </w:rPr>
        <w:t>has signed contracts with Taiwan TSMC and Taiwan Power Company to cater employee meals</w:t>
      </w:r>
      <w:r w:rsidR="00CC1035">
        <w:rPr>
          <w:rFonts w:ascii="Times New Roman" w:eastAsia="Times New Roman" w:hAnsi="Times New Roman" w:cs="Times New Roman"/>
          <w:bCs/>
          <w:lang w:eastAsia="en-US"/>
        </w:rPr>
        <w:t>. I.Hart pursues and forges more strategic partnerships with U.S. restaurant profess</w:t>
      </w:r>
      <w:r w:rsidR="002418AA">
        <w:rPr>
          <w:rFonts w:ascii="Times New Roman" w:eastAsia="Times New Roman" w:hAnsi="Times New Roman" w:cs="Times New Roman"/>
          <w:bCs/>
          <w:lang w:eastAsia="en-US"/>
        </w:rPr>
        <w:t>ional consultants and</w:t>
      </w:r>
      <w:r w:rsidR="00CC1035">
        <w:rPr>
          <w:rFonts w:ascii="Times New Roman" w:eastAsia="Times New Roman" w:hAnsi="Times New Roman" w:cs="Times New Roman"/>
          <w:bCs/>
          <w:lang w:eastAsia="en-US"/>
        </w:rPr>
        <w:t xml:space="preserve"> restaurant suppliers to launch diverse cuisines and chef-inspired food lines</w:t>
      </w:r>
      <w:r w:rsidR="002418AA">
        <w:rPr>
          <w:rFonts w:ascii="Times New Roman" w:eastAsia="Times New Roman" w:hAnsi="Times New Roman" w:cs="Times New Roman"/>
          <w:bCs/>
          <w:lang w:eastAsia="en-US"/>
        </w:rPr>
        <w:t xml:space="preserve"> and comprehensive restaurant supply lines nationwide.</w:t>
      </w:r>
    </w:p>
    <w:p w14:paraId="2B9AF4B6" w14:textId="7316A6D4" w:rsidR="009B26DF" w:rsidRDefault="009B26DF" w:rsidP="00B52318">
      <w:pPr>
        <w:spacing w:after="0" w:line="240" w:lineRule="auto"/>
        <w:jc w:val="both"/>
        <w:rPr>
          <w:rFonts w:ascii="Times New Roman" w:eastAsia="Times New Roman" w:hAnsi="Times New Roman" w:cs="Times New Roman"/>
          <w:bCs/>
          <w:lang w:eastAsia="en-US"/>
        </w:rPr>
      </w:pPr>
    </w:p>
    <w:p w14:paraId="4DB34E01" w14:textId="77777777" w:rsidR="00AE090D" w:rsidRDefault="00201AF6" w:rsidP="00B52318">
      <w:pPr>
        <w:spacing w:after="0" w:line="240" w:lineRule="auto"/>
        <w:jc w:val="both"/>
        <w:rPr>
          <w:rFonts w:ascii="Times New Roman" w:eastAsia="Times New Roman" w:hAnsi="Times New Roman" w:cs="Times New Roman"/>
          <w:b/>
          <w:bCs/>
          <w:lang w:eastAsia="en-US"/>
        </w:rPr>
      </w:pPr>
      <w:r w:rsidRPr="000226AE">
        <w:rPr>
          <w:rFonts w:ascii="Times New Roman" w:eastAsia="Times New Roman" w:hAnsi="Times New Roman" w:cs="Times New Roman"/>
          <w:b/>
          <w:bCs/>
          <w:lang w:eastAsia="en-US"/>
        </w:rPr>
        <w:t xml:space="preserve">Taiwan TSMC - Taiwan Semiconductor Manufacturing Company Limited </w:t>
      </w:r>
    </w:p>
    <w:p w14:paraId="41F6BCE3" w14:textId="71F07114" w:rsidR="00B52318" w:rsidRPr="000226AE" w:rsidRDefault="00B52318" w:rsidP="00B52318">
      <w:pPr>
        <w:spacing w:after="0" w:line="240" w:lineRule="auto"/>
        <w:jc w:val="both"/>
        <w:rPr>
          <w:rFonts w:ascii="Times New Roman" w:eastAsia="Times New Roman" w:hAnsi="Times New Roman" w:cs="Times New Roman"/>
          <w:b/>
          <w:bCs/>
          <w:lang w:eastAsia="en-US"/>
        </w:rPr>
      </w:pPr>
    </w:p>
    <w:p w14:paraId="2BF9BCFB" w14:textId="77777777" w:rsidR="00A80A19" w:rsidRDefault="00201AF6" w:rsidP="00B52318">
      <w:pPr>
        <w:spacing w:after="0" w:line="240" w:lineRule="auto"/>
        <w:jc w:val="both"/>
        <w:rPr>
          <w:rFonts w:ascii="Times New Roman" w:eastAsia="Times New Roman" w:hAnsi="Times New Roman" w:cs="Times New Roman"/>
          <w:bCs/>
          <w:lang w:eastAsia="en-US"/>
        </w:rPr>
      </w:pPr>
      <w:r w:rsidRPr="00201AF6">
        <w:rPr>
          <w:rFonts w:ascii="Times New Roman" w:eastAsia="Times New Roman" w:hAnsi="Times New Roman" w:cs="Times New Roman"/>
          <w:bCs/>
          <w:lang w:eastAsia="en-US"/>
        </w:rPr>
        <w:t>TSMC (TWSE: 2330, NYSE: TSM) created the semiconductor Dedicated IC Foundry business model when it was founded in 1987. In 2023, TSMC served 528 customers and manufactured 11,895 products for various applications covering a variety of end markets including high performance computing, smartphones, the Internet of Things (IoT), automotive, and digital consumer electronics. Annual capacity of the manufacturing facilities managed by TSMC and its subsidiaries exceeded 16 million 12-inch equivalent wafers in 2023.</w:t>
      </w:r>
      <w:r w:rsidR="002418AA">
        <w:rPr>
          <w:rFonts w:ascii="Times New Roman" w:eastAsia="Times New Roman" w:hAnsi="Times New Roman" w:cs="Times New Roman"/>
          <w:bCs/>
          <w:lang w:eastAsia="en-US"/>
        </w:rPr>
        <w:t xml:space="preserve"> TSMC employs approximately 80,000 employees globally and operates manufacturing facilities in </w:t>
      </w:r>
      <w:r w:rsidR="002418AA" w:rsidRPr="002418AA">
        <w:rPr>
          <w:rFonts w:ascii="Times New Roman" w:eastAsia="Times New Roman" w:hAnsi="Times New Roman" w:cs="Times New Roman"/>
          <w:bCs/>
          <w:lang w:eastAsia="en-US"/>
        </w:rPr>
        <w:t>Taiwan, China, Japan, Singapore, Arizona USA, Washington USA, and Germany.</w:t>
      </w:r>
      <w:r w:rsidR="00A80A19">
        <w:rPr>
          <w:rFonts w:ascii="Times New Roman" w:eastAsia="Times New Roman" w:hAnsi="Times New Roman" w:cs="Times New Roman"/>
          <w:bCs/>
          <w:lang w:eastAsia="en-US"/>
        </w:rPr>
        <w:t xml:space="preserve"> </w:t>
      </w:r>
    </w:p>
    <w:p w14:paraId="0E0563C2" w14:textId="4ABF67B1" w:rsidR="000B55AD" w:rsidRPr="00670D2D" w:rsidRDefault="00201AF6" w:rsidP="00A80A19">
      <w:pPr>
        <w:spacing w:after="0" w:line="240" w:lineRule="auto"/>
        <w:rPr>
          <w:rFonts w:ascii="Times New Roman" w:eastAsia="Times New Roman" w:hAnsi="Times New Roman" w:cs="Times New Roman"/>
          <w:bCs/>
          <w:lang w:eastAsia="en-US"/>
        </w:rPr>
      </w:pPr>
      <w:r>
        <w:rPr>
          <w:rFonts w:ascii="Times New Roman" w:eastAsia="Times New Roman" w:hAnsi="Times New Roman" w:cs="Times New Roman"/>
          <w:bCs/>
          <w:lang w:eastAsia="en-US"/>
        </w:rPr>
        <w:t xml:space="preserve">Visit their website at </w:t>
      </w:r>
      <w:hyperlink r:id="rId8" w:history="1">
        <w:r w:rsidRPr="00BF7F90">
          <w:rPr>
            <w:rStyle w:val="a4"/>
            <w:rFonts w:ascii="Times New Roman" w:eastAsia="Times New Roman" w:hAnsi="Times New Roman" w:cs="Times New Roman"/>
            <w:bCs/>
            <w:lang w:eastAsia="en-US"/>
          </w:rPr>
          <w:t>https://www.tsmc.com/english/aboutTSMC</w:t>
        </w:r>
      </w:hyperlink>
      <w:r>
        <w:rPr>
          <w:rFonts w:ascii="Times New Roman" w:eastAsia="Times New Roman" w:hAnsi="Times New Roman" w:cs="Times New Roman"/>
          <w:bCs/>
          <w:lang w:eastAsia="en-US"/>
        </w:rPr>
        <w:t xml:space="preserve"> </w:t>
      </w:r>
    </w:p>
    <w:p w14:paraId="3EAFBB9D" w14:textId="77777777" w:rsidR="00201AF6" w:rsidRDefault="00201AF6" w:rsidP="00B52318">
      <w:pPr>
        <w:spacing w:after="0" w:line="240" w:lineRule="auto"/>
        <w:jc w:val="both"/>
        <w:rPr>
          <w:rFonts w:ascii="Times New Roman" w:eastAsia="Times New Roman" w:hAnsi="Times New Roman" w:cs="Times New Roman"/>
          <w:b/>
          <w:bCs/>
          <w:lang w:eastAsia="en-US"/>
        </w:rPr>
      </w:pPr>
    </w:p>
    <w:p w14:paraId="4B27489D" w14:textId="37B4E6BF" w:rsidR="00201AF6" w:rsidRPr="000226AE" w:rsidRDefault="00201AF6" w:rsidP="00201AF6">
      <w:pPr>
        <w:spacing w:after="0" w:line="240" w:lineRule="auto"/>
        <w:jc w:val="both"/>
        <w:rPr>
          <w:rFonts w:ascii="Times New Roman" w:eastAsia="Times New Roman" w:hAnsi="Times New Roman" w:cs="Times New Roman"/>
          <w:b/>
          <w:bCs/>
          <w:lang w:eastAsia="en-US"/>
        </w:rPr>
      </w:pPr>
      <w:r w:rsidRPr="000226AE">
        <w:rPr>
          <w:rFonts w:ascii="Times New Roman" w:eastAsia="Times New Roman" w:hAnsi="Times New Roman" w:cs="Times New Roman"/>
          <w:b/>
          <w:bCs/>
          <w:lang w:eastAsia="en-US"/>
        </w:rPr>
        <w:t>TaiPower - The Taiwan Power Company</w:t>
      </w:r>
      <w:r w:rsidR="000226AE" w:rsidRPr="000226AE">
        <w:rPr>
          <w:rFonts w:ascii="Times New Roman" w:eastAsia="Times New Roman" w:hAnsi="Times New Roman" w:cs="Times New Roman"/>
          <w:b/>
          <w:bCs/>
          <w:lang w:eastAsia="en-US"/>
        </w:rPr>
        <w:t xml:space="preserve"> (TPC)</w:t>
      </w:r>
    </w:p>
    <w:p w14:paraId="2903D2B8" w14:textId="374A2999" w:rsidR="00B36F15" w:rsidRDefault="00201AF6" w:rsidP="00B52318">
      <w:pPr>
        <w:spacing w:after="0" w:line="240" w:lineRule="auto"/>
        <w:jc w:val="both"/>
        <w:rPr>
          <w:rFonts w:ascii="Times New Roman" w:eastAsia="Times New Roman" w:hAnsi="Times New Roman" w:cs="Times New Roman"/>
          <w:bCs/>
          <w:lang w:eastAsia="en-US"/>
        </w:rPr>
      </w:pPr>
      <w:r>
        <w:rPr>
          <w:rFonts w:ascii="Times New Roman" w:eastAsia="Times New Roman" w:hAnsi="Times New Roman" w:cs="Times New Roman"/>
          <w:bCs/>
          <w:lang w:eastAsia="en-US"/>
        </w:rPr>
        <w:t xml:space="preserve">TaiPower </w:t>
      </w:r>
      <w:r w:rsidRPr="00201AF6">
        <w:rPr>
          <w:rFonts w:ascii="Times New Roman" w:eastAsia="Times New Roman" w:hAnsi="Times New Roman" w:cs="Times New Roman"/>
          <w:bCs/>
          <w:lang w:eastAsia="en-US"/>
        </w:rPr>
        <w:t xml:space="preserve">is a state-owned electric power industry providing electricity to Taiwan and its off-shore islands. </w:t>
      </w:r>
      <w:r w:rsidR="000226AE">
        <w:rPr>
          <w:rFonts w:ascii="Times New Roman" w:eastAsia="Times New Roman" w:hAnsi="Times New Roman" w:cs="Times New Roman"/>
          <w:bCs/>
          <w:lang w:eastAsia="en-US"/>
        </w:rPr>
        <w:t xml:space="preserve"> </w:t>
      </w:r>
      <w:r w:rsidR="000226AE" w:rsidRPr="000226AE">
        <w:rPr>
          <w:rFonts w:ascii="Times New Roman" w:eastAsia="Times New Roman" w:hAnsi="Times New Roman" w:cs="Times New Roman"/>
          <w:bCs/>
          <w:lang w:eastAsia="en-US"/>
        </w:rPr>
        <w:t>Taipower operates both of Taiwan's active nuclear power plants. It also operates coal power plants, but these are planned to be shut down in favor of natural gas turbines.</w:t>
      </w:r>
      <w:r w:rsidR="000226AE">
        <w:rPr>
          <w:rFonts w:ascii="Times New Roman" w:eastAsia="Times New Roman" w:hAnsi="Times New Roman" w:cs="Times New Roman"/>
          <w:bCs/>
          <w:lang w:eastAsia="en-US"/>
        </w:rPr>
        <w:t xml:space="preserve"> TaiPower employs about 30,000 employees nationwide.  </w:t>
      </w:r>
      <w:r w:rsidR="00B52318">
        <w:rPr>
          <w:rFonts w:ascii="Times New Roman" w:eastAsia="Times New Roman" w:hAnsi="Times New Roman" w:cs="Times New Roman"/>
          <w:bCs/>
          <w:lang w:eastAsia="en-US"/>
        </w:rPr>
        <w:t xml:space="preserve">Visit their website at </w:t>
      </w:r>
      <w:hyperlink r:id="rId9" w:history="1">
        <w:r w:rsidR="000226AE" w:rsidRPr="00BF7F90">
          <w:rPr>
            <w:rStyle w:val="a4"/>
            <w:rFonts w:ascii="Times New Roman" w:eastAsia="Times New Roman" w:hAnsi="Times New Roman" w:cs="Times New Roman"/>
            <w:bCs/>
            <w:lang w:eastAsia="en-US"/>
          </w:rPr>
          <w:t>https://www.taipower.com.tw/</w:t>
        </w:r>
      </w:hyperlink>
      <w:r w:rsidR="000226AE">
        <w:rPr>
          <w:rFonts w:ascii="Times New Roman" w:eastAsia="Times New Roman" w:hAnsi="Times New Roman" w:cs="Times New Roman"/>
          <w:bCs/>
          <w:lang w:eastAsia="en-US"/>
        </w:rPr>
        <w:t xml:space="preserve"> </w:t>
      </w:r>
      <w:r w:rsidR="00B36F15">
        <w:rPr>
          <w:rFonts w:ascii="Times New Roman" w:eastAsia="Times New Roman" w:hAnsi="Times New Roman" w:cs="Times New Roman"/>
          <w:bCs/>
          <w:lang w:eastAsia="en-US"/>
        </w:rPr>
        <w:t xml:space="preserve"> </w:t>
      </w:r>
    </w:p>
    <w:p w14:paraId="2C63EF32" w14:textId="77777777" w:rsidR="00B36F15" w:rsidRDefault="00B36F15" w:rsidP="00B52318">
      <w:pPr>
        <w:spacing w:after="0" w:line="240" w:lineRule="auto"/>
        <w:jc w:val="both"/>
        <w:rPr>
          <w:rFonts w:ascii="Times New Roman" w:eastAsia="Times New Roman" w:hAnsi="Times New Roman" w:cs="Times New Roman"/>
          <w:bCs/>
          <w:lang w:eastAsia="en-US"/>
        </w:rPr>
      </w:pPr>
    </w:p>
    <w:p w14:paraId="4685AAEC" w14:textId="77777777" w:rsidR="00B52318" w:rsidRDefault="00B52318" w:rsidP="00B52318">
      <w:pPr>
        <w:spacing w:after="0" w:line="240" w:lineRule="auto"/>
        <w:jc w:val="both"/>
        <w:rPr>
          <w:rFonts w:ascii="Times New Roman" w:eastAsia="Times New Roman" w:hAnsi="Times New Roman" w:cs="Times New Roman"/>
          <w:bCs/>
          <w:lang w:eastAsia="en-US"/>
        </w:rPr>
      </w:pPr>
    </w:p>
    <w:p w14:paraId="10FAF215" w14:textId="3271CA11" w:rsidR="00B52318" w:rsidRDefault="00B52318" w:rsidP="00B52318">
      <w:pPr>
        <w:spacing w:after="0" w:line="240" w:lineRule="auto"/>
        <w:jc w:val="both"/>
        <w:rPr>
          <w:rFonts w:ascii="Times New Roman" w:eastAsia="Times New Roman" w:hAnsi="Times New Roman" w:cs="Times New Roman"/>
          <w:b/>
          <w:bCs/>
          <w:i/>
          <w:iCs/>
          <w:lang w:eastAsia="zh-TW"/>
        </w:rPr>
      </w:pPr>
      <w:r>
        <w:rPr>
          <w:rFonts w:ascii="Times New Roman" w:eastAsia="Times New Roman" w:hAnsi="Times New Roman" w:cs="Times New Roman"/>
          <w:b/>
          <w:bCs/>
          <w:i/>
          <w:iCs/>
          <w:lang w:eastAsia="zh-TW"/>
        </w:rPr>
        <w:t xml:space="preserve">“SUIC is the biggest investor, shareholder and major operating partner of Beneway USA. </w:t>
      </w:r>
      <w:r w:rsidR="00806489">
        <w:rPr>
          <w:rFonts w:ascii="Times New Roman" w:eastAsia="Times New Roman" w:hAnsi="Times New Roman" w:cs="Times New Roman"/>
          <w:b/>
          <w:bCs/>
          <w:i/>
          <w:iCs/>
          <w:lang w:eastAsia="zh-TW"/>
        </w:rPr>
        <w:t>We are very pleased for</w:t>
      </w:r>
      <w:r w:rsidR="00F955E7">
        <w:rPr>
          <w:rFonts w:ascii="Times New Roman" w:eastAsia="Times New Roman" w:hAnsi="Times New Roman" w:cs="Times New Roman"/>
          <w:b/>
          <w:bCs/>
          <w:i/>
          <w:iCs/>
          <w:lang w:eastAsia="zh-TW"/>
        </w:rPr>
        <w:t xml:space="preserve"> our distinguished</w:t>
      </w:r>
      <w:r w:rsidR="00F841E9">
        <w:rPr>
          <w:rFonts w:ascii="Times New Roman" w:eastAsia="Times New Roman" w:hAnsi="Times New Roman" w:cs="Times New Roman"/>
          <w:b/>
          <w:bCs/>
          <w:i/>
          <w:iCs/>
          <w:lang w:eastAsia="zh-TW"/>
        </w:rPr>
        <w:t xml:space="preserve"> partner</w:t>
      </w:r>
      <w:r w:rsidR="00806489">
        <w:rPr>
          <w:rFonts w:ascii="Times New Roman" w:eastAsia="Times New Roman" w:hAnsi="Times New Roman" w:cs="Times New Roman"/>
          <w:b/>
          <w:bCs/>
          <w:i/>
          <w:iCs/>
          <w:lang w:eastAsia="zh-TW"/>
        </w:rPr>
        <w:t xml:space="preserve"> I.Hart Group to</w:t>
      </w:r>
      <w:r w:rsidR="000226AE">
        <w:rPr>
          <w:rFonts w:ascii="Times New Roman" w:eastAsia="Times New Roman" w:hAnsi="Times New Roman" w:cs="Times New Roman"/>
          <w:b/>
          <w:bCs/>
          <w:i/>
          <w:iCs/>
          <w:lang w:eastAsia="zh-TW"/>
        </w:rPr>
        <w:t xml:space="preserve"> have reach</w:t>
      </w:r>
      <w:r w:rsidR="006A0814">
        <w:rPr>
          <w:rFonts w:ascii="Times New Roman" w:eastAsia="Times New Roman" w:hAnsi="Times New Roman" w:cs="Times New Roman"/>
          <w:b/>
          <w:bCs/>
          <w:i/>
          <w:iCs/>
          <w:lang w:eastAsia="zh-TW"/>
        </w:rPr>
        <w:t>ed</w:t>
      </w:r>
      <w:r w:rsidR="000226AE">
        <w:rPr>
          <w:rFonts w:ascii="Times New Roman" w:eastAsia="Times New Roman" w:hAnsi="Times New Roman" w:cs="Times New Roman"/>
          <w:b/>
          <w:bCs/>
          <w:i/>
          <w:iCs/>
          <w:lang w:eastAsia="zh-TW"/>
        </w:rPr>
        <w:t xml:space="preserve"> agreements with Taiwan TSMC and TaiPower as we focus our forces on unlocking our </w:t>
      </w:r>
      <w:r w:rsidR="006A0814">
        <w:rPr>
          <w:rFonts w:ascii="Times New Roman" w:eastAsia="Times New Roman" w:hAnsi="Times New Roman" w:cs="Times New Roman"/>
          <w:b/>
          <w:bCs/>
          <w:i/>
          <w:iCs/>
          <w:lang w:eastAsia="zh-TW"/>
        </w:rPr>
        <w:t>ultimate</w:t>
      </w:r>
      <w:r w:rsidR="003A6C2B">
        <w:rPr>
          <w:rFonts w:ascii="Times New Roman" w:eastAsia="Times New Roman" w:hAnsi="Times New Roman" w:cs="Times New Roman"/>
          <w:b/>
          <w:bCs/>
          <w:i/>
          <w:iCs/>
          <w:lang w:eastAsia="zh-TW"/>
        </w:rPr>
        <w:t xml:space="preserve"> value, revolutionizing contract cater</w:t>
      </w:r>
      <w:r w:rsidR="00F955E7">
        <w:rPr>
          <w:rFonts w:ascii="Times New Roman" w:eastAsia="Times New Roman" w:hAnsi="Times New Roman" w:cs="Times New Roman"/>
          <w:b/>
          <w:bCs/>
          <w:i/>
          <w:iCs/>
          <w:lang w:eastAsia="zh-TW"/>
        </w:rPr>
        <w:t>ing services, and sustaining our</w:t>
      </w:r>
      <w:r w:rsidR="003A6C2B">
        <w:rPr>
          <w:rFonts w:ascii="Times New Roman" w:eastAsia="Times New Roman" w:hAnsi="Times New Roman" w:cs="Times New Roman"/>
          <w:b/>
          <w:bCs/>
          <w:i/>
          <w:iCs/>
          <w:lang w:eastAsia="zh-TW"/>
        </w:rPr>
        <w:t xml:space="preserve"> recent momentum.</w:t>
      </w:r>
      <w:r w:rsidR="00B36F15">
        <w:rPr>
          <w:rFonts w:ascii="Times New Roman" w:eastAsia="Times New Roman" w:hAnsi="Times New Roman" w:cs="Times New Roman"/>
          <w:b/>
          <w:bCs/>
          <w:i/>
          <w:iCs/>
          <w:lang w:eastAsia="zh-TW"/>
        </w:rPr>
        <w:t xml:space="preserve"> Our digital consumption model for employees promotes health and wellness as they gain access to </w:t>
      </w:r>
      <w:r w:rsidR="00670D2D">
        <w:rPr>
          <w:rFonts w:ascii="Times New Roman" w:eastAsia="Times New Roman" w:hAnsi="Times New Roman" w:cs="Times New Roman"/>
          <w:b/>
          <w:bCs/>
          <w:i/>
          <w:iCs/>
          <w:lang w:eastAsia="zh-TW"/>
        </w:rPr>
        <w:t xml:space="preserve">nutritious and diverse cuisines. At the same time, TSMC and TaiPower benefit from this practical solution for maximizing their workspace and multiplying employee satisfaction,” </w:t>
      </w:r>
      <w:r>
        <w:rPr>
          <w:rFonts w:ascii="Times New Roman" w:eastAsiaTheme="minorEastAsia" w:hAnsi="Times New Roman" w:cs="Times New Roman"/>
          <w:b/>
          <w:kern w:val="2"/>
          <w:lang w:eastAsia="zh-TW"/>
        </w:rPr>
        <w:t>said Hank Wang, CEO.</w:t>
      </w:r>
    </w:p>
    <w:p w14:paraId="06FFA107" w14:textId="26D3AE32" w:rsidR="000226AE" w:rsidRPr="00A80A19" w:rsidRDefault="000226AE" w:rsidP="000226AE">
      <w:pPr>
        <w:spacing w:after="0" w:line="240" w:lineRule="auto"/>
        <w:jc w:val="both"/>
        <w:rPr>
          <w:rFonts w:ascii="Times New Roman" w:eastAsiaTheme="minorEastAsia" w:hAnsi="Times New Roman" w:cs="Times New Roman"/>
          <w:kern w:val="2"/>
          <w:lang w:eastAsia="zh-TW"/>
        </w:rPr>
      </w:pPr>
    </w:p>
    <w:p w14:paraId="17D138FA" w14:textId="77777777" w:rsidR="000226AE" w:rsidRDefault="000226AE" w:rsidP="000226AE">
      <w:pPr>
        <w:spacing w:line="235" w:lineRule="atLeast"/>
        <w:jc w:val="both"/>
        <w:rPr>
          <w:rFonts w:ascii="Times New Roman" w:eastAsia="Times New Roman" w:hAnsi="Times New Roman" w:cs="Times New Roman"/>
          <w:b/>
          <w:bCs/>
          <w:lang w:eastAsia="zh-TW"/>
        </w:rPr>
      </w:pPr>
      <w:r w:rsidRPr="00E1233A">
        <w:rPr>
          <w:rFonts w:ascii="Times New Roman" w:eastAsia="Times New Roman" w:hAnsi="Times New Roman" w:cs="Times New Roman"/>
          <w:b/>
          <w:bCs/>
          <w:lang w:eastAsia="zh-TW"/>
        </w:rPr>
        <w:t xml:space="preserve">About </w:t>
      </w:r>
      <w:r w:rsidRPr="00E1233A">
        <w:rPr>
          <w:rFonts w:ascii="Times New Roman" w:hAnsi="Times New Roman" w:cs="Times New Roman"/>
          <w:b/>
          <w:color w:val="000000"/>
          <w:shd w:val="clear" w:color="auto" w:fill="FFFFFF"/>
        </w:rPr>
        <w:t>SUIC Worldwide Holdings Ltd.</w:t>
      </w:r>
      <w:r w:rsidRPr="00E1233A">
        <w:rPr>
          <w:rFonts w:ascii="Times New Roman" w:hAnsi="Times New Roman" w:cs="Times New Roman"/>
          <w:color w:val="000000"/>
          <w:shd w:val="clear" w:color="auto" w:fill="FFFFFF"/>
        </w:rPr>
        <w:t xml:space="preserve">, </w:t>
      </w:r>
      <w:r>
        <w:rPr>
          <w:rFonts w:ascii="Times New Roman" w:eastAsia="Times New Roman" w:hAnsi="Times New Roman" w:cs="Times New Roman"/>
          <w:b/>
          <w:bCs/>
          <w:lang w:eastAsia="zh-TW"/>
        </w:rPr>
        <w:t>USA</w:t>
      </w:r>
    </w:p>
    <w:p w14:paraId="50838179" w14:textId="77777777" w:rsidR="000226AE" w:rsidRPr="00E1233A" w:rsidRDefault="000226AE" w:rsidP="000226AE">
      <w:pPr>
        <w:spacing w:line="235" w:lineRule="atLeast"/>
        <w:jc w:val="both"/>
        <w:rPr>
          <w:rFonts w:ascii="Times New Roman" w:eastAsia="Times New Roman" w:hAnsi="Times New Roman" w:cs="Times New Roman"/>
          <w:b/>
          <w:bCs/>
          <w:lang w:eastAsia="zh-TW"/>
        </w:rPr>
      </w:pPr>
    </w:p>
    <w:p w14:paraId="600AD0B4" w14:textId="77777777" w:rsidR="000226AE" w:rsidRPr="00E1233A" w:rsidRDefault="000226AE" w:rsidP="000226AE">
      <w:pPr>
        <w:jc w:val="both"/>
        <w:rPr>
          <w:rFonts w:ascii="Times New Roman" w:hAnsi="Times New Roman" w:cs="Times New Roman"/>
          <w:color w:val="0000CC"/>
          <w:shd w:val="clear" w:color="auto" w:fill="FFFFFF"/>
        </w:rPr>
      </w:pPr>
      <w:r w:rsidRPr="00E1233A">
        <w:rPr>
          <w:rFonts w:ascii="Times New Roman" w:hAnsi="Times New Roman" w:cs="Times New Roman"/>
          <w:b/>
          <w:color w:val="000000"/>
          <w:shd w:val="clear" w:color="auto" w:fill="FFFFFF"/>
        </w:rPr>
        <w:lastRenderedPageBreak/>
        <w:t>SUIC Worldwide Holdings Ltd.</w:t>
      </w:r>
      <w:r w:rsidRPr="00E1233A">
        <w:rPr>
          <w:rFonts w:ascii="Times New Roman" w:hAnsi="Times New Roman" w:cs="Times New Roman"/>
          <w:color w:val="000000"/>
          <w:shd w:val="clear" w:color="auto" w:fill="FFFFFF"/>
        </w:rPr>
        <w:t xml:space="preserve"> provides research and development, venture financing for and investing in private enterprises and the public sector that develop products and services adopting core capabilities of the Internet of Things, cloud computing, mobile payment, Big Data, Blockchain, and Artificial Intelligence, to enhance and streamline existing processes, and establish new and exciting business models that will create revolutionary products and services. Shareholders of SUIC will be exposed to the diverse application of advanced services in various parts of the economy. Additionally, existing and potential customers can benefit from this company's diversified portfolio of technologies. As one of the pioneering publicly traded technology companies, SUIC will help build tech-enabled businesses of the future. To learn more, please visit </w:t>
      </w:r>
      <w:hyperlink r:id="rId10" w:history="1">
        <w:r w:rsidRPr="00E1233A">
          <w:rPr>
            <w:rStyle w:val="a4"/>
            <w:rFonts w:ascii="Times New Roman" w:hAnsi="Times New Roman" w:cs="Times New Roman"/>
            <w:color w:val="0000CC"/>
            <w:shd w:val="clear" w:color="auto" w:fill="FFFFFF"/>
          </w:rPr>
          <w:t>www.sinounitedco.com</w:t>
        </w:r>
      </w:hyperlink>
    </w:p>
    <w:p w14:paraId="19F569C0" w14:textId="77777777" w:rsidR="000226AE" w:rsidRPr="00E1233A" w:rsidRDefault="000226AE" w:rsidP="000226AE">
      <w:pPr>
        <w:spacing w:after="0" w:line="240" w:lineRule="auto"/>
        <w:jc w:val="both"/>
        <w:rPr>
          <w:rFonts w:ascii="Times New Roman" w:eastAsia="Times New Roman" w:hAnsi="Times New Roman" w:cs="Times New Roman"/>
        </w:rPr>
      </w:pPr>
    </w:p>
    <w:p w14:paraId="76E6B4DA" w14:textId="77777777" w:rsidR="000226AE" w:rsidRPr="00E1233A" w:rsidRDefault="000226AE" w:rsidP="000226AE">
      <w:pPr>
        <w:spacing w:line="235" w:lineRule="atLeast"/>
        <w:jc w:val="both"/>
        <w:rPr>
          <w:rFonts w:ascii="Times New Roman" w:eastAsia="Times New Roman" w:hAnsi="Times New Roman" w:cs="Times New Roman"/>
          <w:lang w:eastAsia="zh-TW"/>
        </w:rPr>
      </w:pPr>
      <w:r w:rsidRPr="00E1233A">
        <w:rPr>
          <w:rFonts w:ascii="Times New Roman" w:eastAsia="Times New Roman" w:hAnsi="Times New Roman" w:cs="Times New Roman"/>
          <w:b/>
          <w:bCs/>
          <w:lang w:eastAsia="zh-TW"/>
        </w:rPr>
        <w:t>Forward-Looking Statement</w:t>
      </w:r>
    </w:p>
    <w:p w14:paraId="0BB501B0" w14:textId="77777777" w:rsidR="000226AE" w:rsidRPr="00E1233A" w:rsidRDefault="000226AE" w:rsidP="000226AE">
      <w:pPr>
        <w:spacing w:line="235" w:lineRule="atLeast"/>
        <w:jc w:val="both"/>
        <w:rPr>
          <w:rFonts w:ascii="Times New Roman" w:eastAsia="Times New Roman" w:hAnsi="Times New Roman" w:cs="Times New Roman"/>
          <w:lang w:eastAsia="zh-TW"/>
        </w:rPr>
      </w:pPr>
    </w:p>
    <w:p w14:paraId="3A0E8565" w14:textId="77777777" w:rsidR="000226AE" w:rsidRPr="00E1233A" w:rsidRDefault="000226AE" w:rsidP="000226AE">
      <w:pPr>
        <w:spacing w:line="235" w:lineRule="atLeast"/>
        <w:jc w:val="both"/>
        <w:rPr>
          <w:rFonts w:ascii="Times New Roman" w:eastAsia="Times New Roman" w:hAnsi="Times New Roman" w:cs="Times New Roman"/>
          <w:lang w:eastAsia="zh-TW"/>
        </w:rPr>
      </w:pPr>
      <w:r w:rsidRPr="00E1233A">
        <w:rPr>
          <w:rFonts w:ascii="Times New Roman" w:eastAsia="Times New Roman" w:hAnsi="Times New Roman" w:cs="Times New Roman"/>
          <w:lang w:eastAsia="zh-TW"/>
        </w:rPr>
        <w:t>This press release contains forward-looking statements within the meaning of Section 27A of the Securities Act of 1933, as amended, and Section 21E of the Securities Exchange Act of 1934, as amended. In some cases, you can identify forward-looking statements by the following words: "anticipate," "believe," "continue," "could," "estimate," "expect," "intend," "may," "ongoing," "plan," "potential," "predict," "project," "should," "will," "would," or the negative of these terms or other comparable terminology. However, not all forward-looking statements contain these words. Forward-looking statements are not a guarantee of future performance or results and will not necessarily be accurate indications of the times at which such performance or results are achieved. This press release is considered considering all Company filings contained in the Edgar Archives of the Securities and Exchange Commission at </w:t>
      </w:r>
      <w:hyperlink r:id="rId11" w:tgtFrame="_blank" w:history="1">
        <w:r w:rsidRPr="00E1233A">
          <w:rPr>
            <w:rFonts w:ascii="Times New Roman" w:eastAsia="Times New Roman" w:hAnsi="Times New Roman" w:cs="Times New Roman"/>
            <w:color w:val="0000FF"/>
            <w:u w:val="single"/>
            <w:lang w:eastAsia="zh-TW"/>
          </w:rPr>
          <w:t>www.sec.gov</w:t>
        </w:r>
      </w:hyperlink>
      <w:r w:rsidRPr="00E1233A">
        <w:rPr>
          <w:rFonts w:ascii="Times New Roman" w:eastAsia="Times New Roman" w:hAnsi="Times New Roman" w:cs="Times New Roman"/>
          <w:lang w:eastAsia="zh-TW"/>
        </w:rPr>
        <w:t>.</w:t>
      </w:r>
    </w:p>
    <w:p w14:paraId="5A203FF8" w14:textId="77777777" w:rsidR="000226AE" w:rsidRPr="00E1233A" w:rsidRDefault="000226AE" w:rsidP="000226AE">
      <w:pPr>
        <w:spacing w:line="235" w:lineRule="atLeast"/>
        <w:jc w:val="both"/>
        <w:rPr>
          <w:rFonts w:ascii="Times New Roman" w:eastAsia="Times New Roman" w:hAnsi="Times New Roman" w:cs="Times New Roman"/>
          <w:lang w:eastAsia="zh-TW"/>
        </w:rPr>
      </w:pPr>
    </w:p>
    <w:p w14:paraId="2242E37D" w14:textId="77777777" w:rsidR="000226AE" w:rsidRPr="00E1233A" w:rsidRDefault="000226AE" w:rsidP="000226AE">
      <w:pPr>
        <w:spacing w:line="235" w:lineRule="atLeast"/>
        <w:jc w:val="both"/>
        <w:rPr>
          <w:rFonts w:ascii="Times New Roman" w:eastAsia="Times New Roman" w:hAnsi="Times New Roman" w:cs="Times New Roman"/>
          <w:lang w:eastAsia="zh-TW"/>
        </w:rPr>
      </w:pPr>
      <w:r w:rsidRPr="00E1233A">
        <w:rPr>
          <w:rFonts w:ascii="Times New Roman" w:eastAsia="Times New Roman" w:hAnsi="Times New Roman" w:cs="Times New Roman"/>
          <w:b/>
          <w:bCs/>
          <w:lang w:eastAsia="zh-TW"/>
        </w:rPr>
        <w:t>Contact</w:t>
      </w:r>
    </w:p>
    <w:p w14:paraId="7B1DF671" w14:textId="77777777" w:rsidR="000226AE" w:rsidRPr="00E1233A" w:rsidRDefault="000226AE" w:rsidP="000226AE">
      <w:pPr>
        <w:spacing w:line="235" w:lineRule="atLeast"/>
        <w:jc w:val="both"/>
        <w:rPr>
          <w:rFonts w:ascii="Times New Roman" w:hAnsi="Times New Roman" w:cs="Times New Roman"/>
          <w:color w:val="000000"/>
          <w:shd w:val="clear" w:color="auto" w:fill="FFFFFF"/>
        </w:rPr>
      </w:pPr>
      <w:r w:rsidRPr="00E1233A">
        <w:rPr>
          <w:rFonts w:ascii="Times New Roman" w:hAnsi="Times New Roman" w:cs="Times New Roman"/>
          <w:b/>
          <w:color w:val="000000"/>
          <w:shd w:val="clear" w:color="auto" w:fill="FFFFFF"/>
        </w:rPr>
        <w:t>SUIC Worldwide Holdings Ltd.</w:t>
      </w:r>
      <w:r w:rsidRPr="00E1233A">
        <w:rPr>
          <w:rFonts w:ascii="Times New Roman" w:hAnsi="Times New Roman" w:cs="Times New Roman"/>
          <w:color w:val="000000"/>
          <w:shd w:val="clear" w:color="auto" w:fill="FFFFFF"/>
        </w:rPr>
        <w:t xml:space="preserve"> </w:t>
      </w:r>
    </w:p>
    <w:p w14:paraId="47844A8E" w14:textId="77777777" w:rsidR="000226AE" w:rsidRPr="00E1233A" w:rsidRDefault="000226AE" w:rsidP="000226AE">
      <w:pPr>
        <w:spacing w:line="235" w:lineRule="atLeast"/>
        <w:jc w:val="both"/>
        <w:rPr>
          <w:rFonts w:ascii="Times New Roman" w:eastAsia="Times New Roman" w:hAnsi="Times New Roman" w:cs="Times New Roman"/>
          <w:lang w:eastAsia="zh-TW"/>
        </w:rPr>
      </w:pPr>
      <w:r w:rsidRPr="00E1233A">
        <w:rPr>
          <w:rFonts w:ascii="Times New Roman" w:eastAsia="Times New Roman" w:hAnsi="Times New Roman" w:cs="Times New Roman"/>
          <w:b/>
          <w:bCs/>
          <w:lang w:eastAsia="zh-TW"/>
        </w:rPr>
        <w:t>New Release Department</w:t>
      </w:r>
    </w:p>
    <w:p w14:paraId="392D0D04" w14:textId="77777777" w:rsidR="000226AE" w:rsidRPr="00E1233A" w:rsidRDefault="000226AE" w:rsidP="000226AE">
      <w:pPr>
        <w:spacing w:line="235" w:lineRule="atLeast"/>
        <w:jc w:val="both"/>
        <w:rPr>
          <w:rFonts w:ascii="Times New Roman" w:eastAsia="Times New Roman" w:hAnsi="Times New Roman" w:cs="Times New Roman"/>
          <w:lang w:eastAsia="zh-TW"/>
        </w:rPr>
      </w:pPr>
      <w:r w:rsidRPr="00E1233A">
        <w:rPr>
          <w:rFonts w:ascii="Times New Roman" w:eastAsia="Times New Roman" w:hAnsi="Times New Roman" w:cs="Times New Roman"/>
          <w:b/>
          <w:bCs/>
          <w:lang w:eastAsia="zh-TW"/>
        </w:rPr>
        <w:t>929-391-2550</w:t>
      </w:r>
    </w:p>
    <w:bookmarkEnd w:id="0"/>
    <w:p w14:paraId="754FAB39" w14:textId="1700A4EC" w:rsidR="00B52318" w:rsidRPr="000226AE" w:rsidRDefault="00B52318" w:rsidP="00B52318">
      <w:pPr>
        <w:spacing w:after="0" w:line="240" w:lineRule="auto"/>
        <w:jc w:val="both"/>
        <w:rPr>
          <w:rFonts w:ascii="Times New Roman" w:eastAsiaTheme="minorEastAsia" w:hAnsi="Times New Roman" w:cs="Times New Roman"/>
          <w:kern w:val="2"/>
          <w:sz w:val="24"/>
          <w:szCs w:val="24"/>
          <w:lang w:eastAsia="zh-TW"/>
        </w:rPr>
      </w:pPr>
    </w:p>
    <w:p w14:paraId="73E4C107" w14:textId="4B272F22" w:rsidR="00E05224" w:rsidRPr="00B52318" w:rsidRDefault="00E05224" w:rsidP="00B52318"/>
    <w:sectPr w:rsidR="00E05224" w:rsidRPr="00B52318" w:rsidSect="009C303E">
      <w:pgSz w:w="12240" w:h="15840"/>
      <w:pgMar w:top="720" w:right="1260" w:bottom="117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B31EA" w14:textId="77777777" w:rsidR="00372CB5" w:rsidRDefault="00372CB5" w:rsidP="00C41A8F">
      <w:pPr>
        <w:spacing w:after="0" w:line="240" w:lineRule="auto"/>
      </w:pPr>
      <w:r>
        <w:separator/>
      </w:r>
    </w:p>
  </w:endnote>
  <w:endnote w:type="continuationSeparator" w:id="0">
    <w:p w14:paraId="7E6E49AF" w14:textId="77777777" w:rsidR="00372CB5" w:rsidRDefault="00372CB5" w:rsidP="00C4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9E135" w14:textId="77777777" w:rsidR="00372CB5" w:rsidRDefault="00372CB5" w:rsidP="00C41A8F">
      <w:pPr>
        <w:spacing w:after="0" w:line="240" w:lineRule="auto"/>
      </w:pPr>
      <w:r>
        <w:separator/>
      </w:r>
    </w:p>
  </w:footnote>
  <w:footnote w:type="continuationSeparator" w:id="0">
    <w:p w14:paraId="19CB8AF3" w14:textId="77777777" w:rsidR="00372CB5" w:rsidRDefault="00372CB5" w:rsidP="00C41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A22DB"/>
    <w:multiLevelType w:val="multilevel"/>
    <w:tmpl w:val="CAFA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28134F"/>
    <w:multiLevelType w:val="multilevel"/>
    <w:tmpl w:val="ED8C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C12E02"/>
    <w:multiLevelType w:val="multilevel"/>
    <w:tmpl w:val="60AC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18"/>
    <w:rsid w:val="000226AE"/>
    <w:rsid w:val="00024FBF"/>
    <w:rsid w:val="000439A7"/>
    <w:rsid w:val="00064EEB"/>
    <w:rsid w:val="00067302"/>
    <w:rsid w:val="000907C2"/>
    <w:rsid w:val="000A2EC6"/>
    <w:rsid w:val="000B02D1"/>
    <w:rsid w:val="000B55AD"/>
    <w:rsid w:val="000C3DD7"/>
    <w:rsid w:val="000F2641"/>
    <w:rsid w:val="00117262"/>
    <w:rsid w:val="001202D3"/>
    <w:rsid w:val="0012262D"/>
    <w:rsid w:val="00135132"/>
    <w:rsid w:val="0014123F"/>
    <w:rsid w:val="0015416E"/>
    <w:rsid w:val="00172649"/>
    <w:rsid w:val="001A53CC"/>
    <w:rsid w:val="001A62D9"/>
    <w:rsid w:val="001B662E"/>
    <w:rsid w:val="001D5DA4"/>
    <w:rsid w:val="0020115F"/>
    <w:rsid w:val="00201AF6"/>
    <w:rsid w:val="00207BEA"/>
    <w:rsid w:val="0023384B"/>
    <w:rsid w:val="002418AA"/>
    <w:rsid w:val="0025250D"/>
    <w:rsid w:val="002D2938"/>
    <w:rsid w:val="002E394A"/>
    <w:rsid w:val="0030797E"/>
    <w:rsid w:val="003126EE"/>
    <w:rsid w:val="0031574A"/>
    <w:rsid w:val="003275CB"/>
    <w:rsid w:val="003422F4"/>
    <w:rsid w:val="0034635C"/>
    <w:rsid w:val="00360B81"/>
    <w:rsid w:val="003660E4"/>
    <w:rsid w:val="00372CB5"/>
    <w:rsid w:val="00377C6B"/>
    <w:rsid w:val="003A6C2B"/>
    <w:rsid w:val="003D0AA3"/>
    <w:rsid w:val="00425F44"/>
    <w:rsid w:val="00433420"/>
    <w:rsid w:val="00444C3A"/>
    <w:rsid w:val="00444EC6"/>
    <w:rsid w:val="00445B43"/>
    <w:rsid w:val="00456B81"/>
    <w:rsid w:val="00471E39"/>
    <w:rsid w:val="004731D0"/>
    <w:rsid w:val="00473DF8"/>
    <w:rsid w:val="004A1D1B"/>
    <w:rsid w:val="004B293E"/>
    <w:rsid w:val="004D67EE"/>
    <w:rsid w:val="004F0038"/>
    <w:rsid w:val="004F3601"/>
    <w:rsid w:val="00542628"/>
    <w:rsid w:val="0056161C"/>
    <w:rsid w:val="0059065F"/>
    <w:rsid w:val="00593B1C"/>
    <w:rsid w:val="00597384"/>
    <w:rsid w:val="005A55CE"/>
    <w:rsid w:val="005B30B6"/>
    <w:rsid w:val="005C0E51"/>
    <w:rsid w:val="005C12BD"/>
    <w:rsid w:val="005D1C2B"/>
    <w:rsid w:val="005D2499"/>
    <w:rsid w:val="005D37BB"/>
    <w:rsid w:val="005E6B2D"/>
    <w:rsid w:val="006071EE"/>
    <w:rsid w:val="00610CB6"/>
    <w:rsid w:val="0061561C"/>
    <w:rsid w:val="00620D0B"/>
    <w:rsid w:val="00624E12"/>
    <w:rsid w:val="00634F48"/>
    <w:rsid w:val="00645E93"/>
    <w:rsid w:val="006514C2"/>
    <w:rsid w:val="00670D2D"/>
    <w:rsid w:val="006757E7"/>
    <w:rsid w:val="006A0814"/>
    <w:rsid w:val="006B21F3"/>
    <w:rsid w:val="006C6820"/>
    <w:rsid w:val="006C7C6D"/>
    <w:rsid w:val="006E36F1"/>
    <w:rsid w:val="007044B9"/>
    <w:rsid w:val="00736F36"/>
    <w:rsid w:val="0074253B"/>
    <w:rsid w:val="00750B61"/>
    <w:rsid w:val="007831BE"/>
    <w:rsid w:val="007A076C"/>
    <w:rsid w:val="007A1C64"/>
    <w:rsid w:val="007B564F"/>
    <w:rsid w:val="007C57EF"/>
    <w:rsid w:val="00806489"/>
    <w:rsid w:val="0082132A"/>
    <w:rsid w:val="008347E0"/>
    <w:rsid w:val="008412F1"/>
    <w:rsid w:val="00882E38"/>
    <w:rsid w:val="00885996"/>
    <w:rsid w:val="00890836"/>
    <w:rsid w:val="008959A5"/>
    <w:rsid w:val="008964CA"/>
    <w:rsid w:val="008A407A"/>
    <w:rsid w:val="008A6F72"/>
    <w:rsid w:val="008E0F8A"/>
    <w:rsid w:val="008F49D5"/>
    <w:rsid w:val="00900DCB"/>
    <w:rsid w:val="00924030"/>
    <w:rsid w:val="00933692"/>
    <w:rsid w:val="00952A2B"/>
    <w:rsid w:val="00954000"/>
    <w:rsid w:val="00960FD8"/>
    <w:rsid w:val="00964613"/>
    <w:rsid w:val="00971A4B"/>
    <w:rsid w:val="00974491"/>
    <w:rsid w:val="00976E42"/>
    <w:rsid w:val="00990754"/>
    <w:rsid w:val="009A570C"/>
    <w:rsid w:val="009B26DF"/>
    <w:rsid w:val="009B6455"/>
    <w:rsid w:val="009B7812"/>
    <w:rsid w:val="009C2878"/>
    <w:rsid w:val="009C303E"/>
    <w:rsid w:val="009D1402"/>
    <w:rsid w:val="009F2E9D"/>
    <w:rsid w:val="00A02FD7"/>
    <w:rsid w:val="00A038EA"/>
    <w:rsid w:val="00A31072"/>
    <w:rsid w:val="00A315C1"/>
    <w:rsid w:val="00A51866"/>
    <w:rsid w:val="00A55E4F"/>
    <w:rsid w:val="00A80A19"/>
    <w:rsid w:val="00A84311"/>
    <w:rsid w:val="00A94E73"/>
    <w:rsid w:val="00AA0CC3"/>
    <w:rsid w:val="00AB597B"/>
    <w:rsid w:val="00AC01C4"/>
    <w:rsid w:val="00AC3B3D"/>
    <w:rsid w:val="00AC47FE"/>
    <w:rsid w:val="00AD0885"/>
    <w:rsid w:val="00AD1C5F"/>
    <w:rsid w:val="00AD28E0"/>
    <w:rsid w:val="00AD470B"/>
    <w:rsid w:val="00AE090D"/>
    <w:rsid w:val="00B028D4"/>
    <w:rsid w:val="00B06FEA"/>
    <w:rsid w:val="00B34E9D"/>
    <w:rsid w:val="00B36F15"/>
    <w:rsid w:val="00B37D64"/>
    <w:rsid w:val="00B52318"/>
    <w:rsid w:val="00B53167"/>
    <w:rsid w:val="00B6552A"/>
    <w:rsid w:val="00B702AA"/>
    <w:rsid w:val="00BB33CC"/>
    <w:rsid w:val="00BB3572"/>
    <w:rsid w:val="00BB3D2C"/>
    <w:rsid w:val="00BE276F"/>
    <w:rsid w:val="00BF1D19"/>
    <w:rsid w:val="00C00798"/>
    <w:rsid w:val="00C22556"/>
    <w:rsid w:val="00C23934"/>
    <w:rsid w:val="00C333CA"/>
    <w:rsid w:val="00C41A8F"/>
    <w:rsid w:val="00C87153"/>
    <w:rsid w:val="00C91C8E"/>
    <w:rsid w:val="00CA4645"/>
    <w:rsid w:val="00CB4953"/>
    <w:rsid w:val="00CC1035"/>
    <w:rsid w:val="00D176F0"/>
    <w:rsid w:val="00D37F1D"/>
    <w:rsid w:val="00D46722"/>
    <w:rsid w:val="00D532C3"/>
    <w:rsid w:val="00D61420"/>
    <w:rsid w:val="00D71F8E"/>
    <w:rsid w:val="00D7325B"/>
    <w:rsid w:val="00D756ED"/>
    <w:rsid w:val="00DD1CD4"/>
    <w:rsid w:val="00DD2F46"/>
    <w:rsid w:val="00DE513D"/>
    <w:rsid w:val="00DF75E2"/>
    <w:rsid w:val="00E029BA"/>
    <w:rsid w:val="00E05224"/>
    <w:rsid w:val="00E1101D"/>
    <w:rsid w:val="00E20A9A"/>
    <w:rsid w:val="00E300AB"/>
    <w:rsid w:val="00E35F37"/>
    <w:rsid w:val="00E36D87"/>
    <w:rsid w:val="00E50195"/>
    <w:rsid w:val="00E65FFB"/>
    <w:rsid w:val="00E808D2"/>
    <w:rsid w:val="00EC4B15"/>
    <w:rsid w:val="00ED0B04"/>
    <w:rsid w:val="00ED7F56"/>
    <w:rsid w:val="00EE6FDD"/>
    <w:rsid w:val="00EF0425"/>
    <w:rsid w:val="00F15ECF"/>
    <w:rsid w:val="00F163B4"/>
    <w:rsid w:val="00F37B0A"/>
    <w:rsid w:val="00F413A0"/>
    <w:rsid w:val="00F46250"/>
    <w:rsid w:val="00F577EF"/>
    <w:rsid w:val="00F6098D"/>
    <w:rsid w:val="00F60DA3"/>
    <w:rsid w:val="00F841E9"/>
    <w:rsid w:val="00F90904"/>
    <w:rsid w:val="00F955E7"/>
    <w:rsid w:val="00FA06FD"/>
    <w:rsid w:val="00FB09F7"/>
    <w:rsid w:val="00FB2839"/>
    <w:rsid w:val="00FE5178"/>
    <w:rsid w:val="00FF1418"/>
    <w:rsid w:val="00FF22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FC03DF7"/>
  <w15:docId w15:val="{F9D779A0-6BD8-487F-8F9A-ECD65F3B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0AB"/>
    <w:pPr>
      <w:spacing w:after="200" w:line="276" w:lineRule="auto"/>
    </w:pPr>
    <w:rPr>
      <w:rFonts w:ascii="Calibri" w:eastAsia="SimSun" w:hAnsi="Calibri"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3572"/>
    <w:rPr>
      <w:color w:val="0563C1" w:themeColor="hyperlink"/>
      <w:u w:val="single"/>
    </w:rPr>
  </w:style>
  <w:style w:type="paragraph" w:styleId="a5">
    <w:name w:val="header"/>
    <w:basedOn w:val="a"/>
    <w:link w:val="a6"/>
    <w:uiPriority w:val="99"/>
    <w:unhideWhenUsed/>
    <w:rsid w:val="00C41A8F"/>
    <w:pPr>
      <w:tabs>
        <w:tab w:val="center" w:pos="4320"/>
        <w:tab w:val="right" w:pos="8640"/>
      </w:tabs>
      <w:spacing w:after="0" w:line="240" w:lineRule="auto"/>
    </w:pPr>
    <w:rPr>
      <w:rFonts w:asciiTheme="minorHAnsi" w:eastAsiaTheme="minorEastAsia" w:hAnsiTheme="minorHAnsi" w:cstheme="minorBidi"/>
      <w:lang w:eastAsia="zh-TW"/>
    </w:rPr>
  </w:style>
  <w:style w:type="character" w:customStyle="1" w:styleId="a6">
    <w:name w:val="頁首 字元"/>
    <w:basedOn w:val="a0"/>
    <w:link w:val="a5"/>
    <w:uiPriority w:val="99"/>
    <w:rsid w:val="00C41A8F"/>
  </w:style>
  <w:style w:type="paragraph" w:styleId="a7">
    <w:name w:val="footer"/>
    <w:basedOn w:val="a"/>
    <w:link w:val="a8"/>
    <w:uiPriority w:val="99"/>
    <w:unhideWhenUsed/>
    <w:rsid w:val="00C41A8F"/>
    <w:pPr>
      <w:tabs>
        <w:tab w:val="center" w:pos="4320"/>
        <w:tab w:val="right" w:pos="8640"/>
      </w:tabs>
      <w:spacing w:after="0" w:line="240" w:lineRule="auto"/>
    </w:pPr>
    <w:rPr>
      <w:rFonts w:asciiTheme="minorHAnsi" w:eastAsiaTheme="minorEastAsia" w:hAnsiTheme="minorHAnsi" w:cstheme="minorBidi"/>
      <w:lang w:eastAsia="zh-TW"/>
    </w:rPr>
  </w:style>
  <w:style w:type="character" w:customStyle="1" w:styleId="a8">
    <w:name w:val="頁尾 字元"/>
    <w:basedOn w:val="a0"/>
    <w:link w:val="a7"/>
    <w:uiPriority w:val="99"/>
    <w:rsid w:val="00C41A8F"/>
  </w:style>
  <w:style w:type="paragraph" w:styleId="Web">
    <w:name w:val="Normal (Web)"/>
    <w:basedOn w:val="a"/>
    <w:uiPriority w:val="99"/>
    <w:semiHidden/>
    <w:unhideWhenUsed/>
    <w:rsid w:val="008A6F72"/>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a9">
    <w:name w:val="Balloon Text"/>
    <w:basedOn w:val="a"/>
    <w:link w:val="aa"/>
    <w:uiPriority w:val="99"/>
    <w:semiHidden/>
    <w:unhideWhenUsed/>
    <w:rsid w:val="00E65FFB"/>
    <w:pPr>
      <w:spacing w:after="0" w:line="240" w:lineRule="auto"/>
    </w:pPr>
    <w:rPr>
      <w:rFonts w:ascii="Tahoma" w:hAnsi="Tahoma" w:cs="Tahoma"/>
      <w:sz w:val="16"/>
      <w:szCs w:val="16"/>
    </w:rPr>
  </w:style>
  <w:style w:type="character" w:customStyle="1" w:styleId="aa">
    <w:name w:val="註解方塊文字 字元"/>
    <w:basedOn w:val="a0"/>
    <w:link w:val="a9"/>
    <w:uiPriority w:val="99"/>
    <w:semiHidden/>
    <w:rsid w:val="00E65FFB"/>
    <w:rPr>
      <w:rFonts w:ascii="Tahoma" w:eastAsia="SimSun" w:hAnsi="Tahoma" w:cs="Tahoma"/>
      <w:sz w:val="16"/>
      <w:szCs w:val="16"/>
      <w:lang w:eastAsia="zh-CN"/>
    </w:rPr>
  </w:style>
  <w:style w:type="character" w:styleId="ab">
    <w:name w:val="annotation reference"/>
    <w:basedOn w:val="a0"/>
    <w:uiPriority w:val="99"/>
    <w:semiHidden/>
    <w:unhideWhenUsed/>
    <w:rsid w:val="00610CB6"/>
    <w:rPr>
      <w:sz w:val="18"/>
      <w:szCs w:val="18"/>
    </w:rPr>
  </w:style>
  <w:style w:type="paragraph" w:styleId="ac">
    <w:name w:val="annotation text"/>
    <w:basedOn w:val="a"/>
    <w:link w:val="ad"/>
    <w:uiPriority w:val="99"/>
    <w:semiHidden/>
    <w:unhideWhenUsed/>
    <w:rsid w:val="00610CB6"/>
  </w:style>
  <w:style w:type="character" w:customStyle="1" w:styleId="ad">
    <w:name w:val="註解文字 字元"/>
    <w:basedOn w:val="a0"/>
    <w:link w:val="ac"/>
    <w:uiPriority w:val="99"/>
    <w:semiHidden/>
    <w:rsid w:val="00610CB6"/>
    <w:rPr>
      <w:rFonts w:ascii="Calibri" w:eastAsia="SimSun" w:hAnsi="Calibri" w:cs="Arial"/>
      <w:lang w:eastAsia="zh-CN"/>
    </w:rPr>
  </w:style>
  <w:style w:type="paragraph" w:styleId="ae">
    <w:name w:val="annotation subject"/>
    <w:basedOn w:val="ac"/>
    <w:next w:val="ac"/>
    <w:link w:val="af"/>
    <w:uiPriority w:val="99"/>
    <w:semiHidden/>
    <w:unhideWhenUsed/>
    <w:rsid w:val="00610CB6"/>
    <w:rPr>
      <w:b/>
      <w:bCs/>
    </w:rPr>
  </w:style>
  <w:style w:type="character" w:customStyle="1" w:styleId="af">
    <w:name w:val="註解主旨 字元"/>
    <w:basedOn w:val="ad"/>
    <w:link w:val="ae"/>
    <w:uiPriority w:val="99"/>
    <w:semiHidden/>
    <w:rsid w:val="00610CB6"/>
    <w:rPr>
      <w:rFonts w:ascii="Calibri" w:eastAsia="SimSun" w:hAnsi="Calibri" w:cs="Arial"/>
      <w:b/>
      <w:bCs/>
      <w:lang w:eastAsia="zh-CN"/>
    </w:rPr>
  </w:style>
  <w:style w:type="paragraph" w:styleId="af0">
    <w:name w:val="Date"/>
    <w:basedOn w:val="a"/>
    <w:next w:val="a"/>
    <w:link w:val="af1"/>
    <w:uiPriority w:val="99"/>
    <w:semiHidden/>
    <w:unhideWhenUsed/>
    <w:rsid w:val="00620D0B"/>
  </w:style>
  <w:style w:type="character" w:customStyle="1" w:styleId="af1">
    <w:name w:val="日期 字元"/>
    <w:basedOn w:val="a0"/>
    <w:link w:val="af0"/>
    <w:uiPriority w:val="99"/>
    <w:semiHidden/>
    <w:rsid w:val="00620D0B"/>
    <w:rPr>
      <w:rFonts w:ascii="Calibri" w:eastAsia="SimSun" w:hAnsi="Calibr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7123">
      <w:bodyDiv w:val="1"/>
      <w:marLeft w:val="0"/>
      <w:marRight w:val="0"/>
      <w:marTop w:val="0"/>
      <w:marBottom w:val="0"/>
      <w:divBdr>
        <w:top w:val="none" w:sz="0" w:space="0" w:color="auto"/>
        <w:left w:val="none" w:sz="0" w:space="0" w:color="auto"/>
        <w:bottom w:val="none" w:sz="0" w:space="0" w:color="auto"/>
        <w:right w:val="none" w:sz="0" w:space="0" w:color="auto"/>
      </w:divBdr>
    </w:div>
    <w:div w:id="166679012">
      <w:marLeft w:val="0"/>
      <w:marRight w:val="0"/>
      <w:marTop w:val="0"/>
      <w:marBottom w:val="0"/>
      <w:divBdr>
        <w:top w:val="none" w:sz="0" w:space="0" w:color="auto"/>
        <w:left w:val="none" w:sz="0" w:space="0" w:color="auto"/>
        <w:bottom w:val="none" w:sz="0" w:space="0" w:color="auto"/>
        <w:right w:val="none" w:sz="0" w:space="0" w:color="auto"/>
      </w:divBdr>
      <w:divsChild>
        <w:div w:id="138155583">
          <w:marLeft w:val="0"/>
          <w:marRight w:val="0"/>
          <w:marTop w:val="0"/>
          <w:marBottom w:val="0"/>
          <w:divBdr>
            <w:top w:val="none" w:sz="0" w:space="0" w:color="auto"/>
            <w:left w:val="none" w:sz="0" w:space="0" w:color="auto"/>
            <w:bottom w:val="none" w:sz="0" w:space="0" w:color="auto"/>
            <w:right w:val="none" w:sz="0" w:space="0" w:color="auto"/>
          </w:divBdr>
          <w:divsChild>
            <w:div w:id="2126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98471">
      <w:bodyDiv w:val="1"/>
      <w:marLeft w:val="0"/>
      <w:marRight w:val="0"/>
      <w:marTop w:val="0"/>
      <w:marBottom w:val="0"/>
      <w:divBdr>
        <w:top w:val="none" w:sz="0" w:space="0" w:color="auto"/>
        <w:left w:val="none" w:sz="0" w:space="0" w:color="auto"/>
        <w:bottom w:val="none" w:sz="0" w:space="0" w:color="auto"/>
        <w:right w:val="none" w:sz="0" w:space="0" w:color="auto"/>
      </w:divBdr>
    </w:div>
    <w:div w:id="890769226">
      <w:bodyDiv w:val="1"/>
      <w:marLeft w:val="0"/>
      <w:marRight w:val="0"/>
      <w:marTop w:val="0"/>
      <w:marBottom w:val="0"/>
      <w:divBdr>
        <w:top w:val="none" w:sz="0" w:space="0" w:color="auto"/>
        <w:left w:val="none" w:sz="0" w:space="0" w:color="auto"/>
        <w:bottom w:val="none" w:sz="0" w:space="0" w:color="auto"/>
        <w:right w:val="none" w:sz="0" w:space="0" w:color="auto"/>
      </w:divBdr>
    </w:div>
    <w:div w:id="1206060971">
      <w:bodyDiv w:val="1"/>
      <w:marLeft w:val="0"/>
      <w:marRight w:val="0"/>
      <w:marTop w:val="0"/>
      <w:marBottom w:val="0"/>
      <w:divBdr>
        <w:top w:val="none" w:sz="0" w:space="0" w:color="auto"/>
        <w:left w:val="none" w:sz="0" w:space="0" w:color="auto"/>
        <w:bottom w:val="none" w:sz="0" w:space="0" w:color="auto"/>
        <w:right w:val="none" w:sz="0" w:space="0" w:color="auto"/>
      </w:divBdr>
      <w:divsChild>
        <w:div w:id="707029969">
          <w:marLeft w:val="0"/>
          <w:marRight w:val="0"/>
          <w:marTop w:val="0"/>
          <w:marBottom w:val="0"/>
          <w:divBdr>
            <w:top w:val="none" w:sz="0" w:space="0" w:color="auto"/>
            <w:left w:val="none" w:sz="0" w:space="0" w:color="auto"/>
            <w:bottom w:val="none" w:sz="0" w:space="0" w:color="auto"/>
            <w:right w:val="none" w:sz="0" w:space="0" w:color="auto"/>
          </w:divBdr>
        </w:div>
      </w:divsChild>
    </w:div>
    <w:div w:id="1270818128">
      <w:marLeft w:val="0"/>
      <w:marRight w:val="0"/>
      <w:marTop w:val="0"/>
      <w:marBottom w:val="0"/>
      <w:divBdr>
        <w:top w:val="none" w:sz="0" w:space="0" w:color="auto"/>
        <w:left w:val="none" w:sz="0" w:space="0" w:color="auto"/>
        <w:bottom w:val="none" w:sz="0" w:space="0" w:color="auto"/>
        <w:right w:val="none" w:sz="0" w:space="0" w:color="auto"/>
      </w:divBdr>
      <w:divsChild>
        <w:div w:id="2075085748">
          <w:marLeft w:val="0"/>
          <w:marRight w:val="0"/>
          <w:marTop w:val="0"/>
          <w:marBottom w:val="0"/>
          <w:divBdr>
            <w:top w:val="none" w:sz="0" w:space="0" w:color="auto"/>
            <w:left w:val="none" w:sz="0" w:space="0" w:color="auto"/>
            <w:bottom w:val="none" w:sz="0" w:space="0" w:color="auto"/>
            <w:right w:val="none" w:sz="0" w:space="0" w:color="auto"/>
          </w:divBdr>
          <w:divsChild>
            <w:div w:id="688262665">
              <w:marLeft w:val="0"/>
              <w:marRight w:val="0"/>
              <w:marTop w:val="0"/>
              <w:marBottom w:val="0"/>
              <w:divBdr>
                <w:top w:val="none" w:sz="0" w:space="0" w:color="auto"/>
                <w:left w:val="none" w:sz="0" w:space="0" w:color="auto"/>
                <w:bottom w:val="none" w:sz="0" w:space="0" w:color="auto"/>
                <w:right w:val="none" w:sz="0" w:space="0" w:color="auto"/>
              </w:divBdr>
              <w:divsChild>
                <w:div w:id="829441837">
                  <w:marLeft w:val="0"/>
                  <w:marRight w:val="0"/>
                  <w:marTop w:val="0"/>
                  <w:marBottom w:val="0"/>
                  <w:divBdr>
                    <w:top w:val="none" w:sz="0" w:space="0" w:color="auto"/>
                    <w:left w:val="none" w:sz="0" w:space="0" w:color="auto"/>
                    <w:bottom w:val="none" w:sz="0" w:space="0" w:color="auto"/>
                    <w:right w:val="none" w:sz="0" w:space="0" w:color="auto"/>
                  </w:divBdr>
                  <w:divsChild>
                    <w:div w:id="1489127107">
                      <w:marLeft w:val="0"/>
                      <w:marRight w:val="0"/>
                      <w:marTop w:val="0"/>
                      <w:marBottom w:val="0"/>
                      <w:divBdr>
                        <w:top w:val="none" w:sz="0" w:space="0" w:color="auto"/>
                        <w:left w:val="none" w:sz="0" w:space="0" w:color="auto"/>
                        <w:bottom w:val="none" w:sz="0" w:space="0" w:color="auto"/>
                        <w:right w:val="none" w:sz="0" w:space="0" w:color="auto"/>
                      </w:divBdr>
                      <w:divsChild>
                        <w:div w:id="1621303073">
                          <w:marLeft w:val="0"/>
                          <w:marRight w:val="0"/>
                          <w:marTop w:val="0"/>
                          <w:marBottom w:val="0"/>
                          <w:divBdr>
                            <w:top w:val="none" w:sz="0" w:space="0" w:color="auto"/>
                            <w:left w:val="none" w:sz="0" w:space="0" w:color="auto"/>
                            <w:bottom w:val="none" w:sz="0" w:space="0" w:color="auto"/>
                            <w:right w:val="none" w:sz="0" w:space="0" w:color="auto"/>
                          </w:divBdr>
                          <w:divsChild>
                            <w:div w:id="1964848860">
                              <w:marLeft w:val="0"/>
                              <w:marRight w:val="0"/>
                              <w:marTop w:val="0"/>
                              <w:marBottom w:val="0"/>
                              <w:divBdr>
                                <w:top w:val="none" w:sz="0" w:space="0" w:color="auto"/>
                                <w:left w:val="none" w:sz="0" w:space="0" w:color="auto"/>
                                <w:bottom w:val="none" w:sz="0" w:space="0" w:color="auto"/>
                                <w:right w:val="none" w:sz="0" w:space="0" w:color="auto"/>
                              </w:divBdr>
                            </w:div>
                            <w:div w:id="974918306">
                              <w:marLeft w:val="0"/>
                              <w:marRight w:val="0"/>
                              <w:marTop w:val="0"/>
                              <w:marBottom w:val="0"/>
                              <w:divBdr>
                                <w:top w:val="none" w:sz="0" w:space="0" w:color="auto"/>
                                <w:left w:val="none" w:sz="0" w:space="0" w:color="auto"/>
                                <w:bottom w:val="none" w:sz="0" w:space="0" w:color="auto"/>
                                <w:right w:val="none" w:sz="0" w:space="0" w:color="auto"/>
                              </w:divBdr>
                            </w:div>
                            <w:div w:id="1615137084">
                              <w:marLeft w:val="0"/>
                              <w:marRight w:val="0"/>
                              <w:marTop w:val="0"/>
                              <w:marBottom w:val="0"/>
                              <w:divBdr>
                                <w:top w:val="none" w:sz="0" w:space="0" w:color="auto"/>
                                <w:left w:val="none" w:sz="0" w:space="0" w:color="auto"/>
                                <w:bottom w:val="none" w:sz="0" w:space="0" w:color="auto"/>
                                <w:right w:val="none" w:sz="0" w:space="0" w:color="auto"/>
                              </w:divBdr>
                            </w:div>
                            <w:div w:id="1186553453">
                              <w:marLeft w:val="0"/>
                              <w:marRight w:val="0"/>
                              <w:marTop w:val="0"/>
                              <w:marBottom w:val="0"/>
                              <w:divBdr>
                                <w:top w:val="none" w:sz="0" w:space="0" w:color="auto"/>
                                <w:left w:val="none" w:sz="0" w:space="0" w:color="auto"/>
                                <w:bottom w:val="none" w:sz="0" w:space="0" w:color="auto"/>
                                <w:right w:val="none" w:sz="0" w:space="0" w:color="auto"/>
                              </w:divBdr>
                            </w:div>
                            <w:div w:id="1669824326">
                              <w:marLeft w:val="0"/>
                              <w:marRight w:val="0"/>
                              <w:marTop w:val="0"/>
                              <w:marBottom w:val="0"/>
                              <w:divBdr>
                                <w:top w:val="none" w:sz="0" w:space="0" w:color="auto"/>
                                <w:left w:val="none" w:sz="0" w:space="0" w:color="auto"/>
                                <w:bottom w:val="none" w:sz="0" w:space="0" w:color="auto"/>
                                <w:right w:val="none" w:sz="0" w:space="0" w:color="auto"/>
                              </w:divBdr>
                              <w:divsChild>
                                <w:div w:id="533036421">
                                  <w:marLeft w:val="0"/>
                                  <w:marRight w:val="0"/>
                                  <w:marTop w:val="0"/>
                                  <w:marBottom w:val="0"/>
                                  <w:divBdr>
                                    <w:top w:val="none" w:sz="0" w:space="0" w:color="auto"/>
                                    <w:left w:val="none" w:sz="0" w:space="0" w:color="auto"/>
                                    <w:bottom w:val="none" w:sz="0" w:space="0" w:color="auto"/>
                                    <w:right w:val="none" w:sz="0" w:space="0" w:color="auto"/>
                                  </w:divBdr>
                                </w:div>
                                <w:div w:id="1917737091">
                                  <w:marLeft w:val="0"/>
                                  <w:marRight w:val="0"/>
                                  <w:marTop w:val="0"/>
                                  <w:marBottom w:val="0"/>
                                  <w:divBdr>
                                    <w:top w:val="none" w:sz="0" w:space="0" w:color="auto"/>
                                    <w:left w:val="none" w:sz="0" w:space="0" w:color="auto"/>
                                    <w:bottom w:val="none" w:sz="0" w:space="0" w:color="auto"/>
                                    <w:right w:val="none" w:sz="0" w:space="0" w:color="auto"/>
                                  </w:divBdr>
                                </w:div>
                                <w:div w:id="978848590">
                                  <w:marLeft w:val="0"/>
                                  <w:marRight w:val="0"/>
                                  <w:marTop w:val="0"/>
                                  <w:marBottom w:val="0"/>
                                  <w:divBdr>
                                    <w:top w:val="none" w:sz="0" w:space="0" w:color="auto"/>
                                    <w:left w:val="none" w:sz="0" w:space="0" w:color="auto"/>
                                    <w:bottom w:val="none" w:sz="0" w:space="0" w:color="auto"/>
                                    <w:right w:val="none" w:sz="0" w:space="0" w:color="auto"/>
                                  </w:divBdr>
                                </w:div>
                                <w:div w:id="12976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smc.com/english/aboutTSM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c.gov/" TargetMode="External"/><Relationship Id="rId5" Type="http://schemas.openxmlformats.org/officeDocument/2006/relationships/footnotes" Target="footnotes.xml"/><Relationship Id="rId10" Type="http://schemas.openxmlformats.org/officeDocument/2006/relationships/hyperlink" Target="https://pr.report/d7oBbhNP" TargetMode="External"/><Relationship Id="rId4" Type="http://schemas.openxmlformats.org/officeDocument/2006/relationships/webSettings" Target="webSettings.xml"/><Relationship Id="rId9" Type="http://schemas.openxmlformats.org/officeDocument/2006/relationships/hyperlink" Target="https://www.taipower.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Company</dc:creator>
  <cp:lastModifiedBy>Company</cp:lastModifiedBy>
  <cp:revision>12</cp:revision>
  <dcterms:created xsi:type="dcterms:W3CDTF">2024-11-11T16:53:00Z</dcterms:created>
  <dcterms:modified xsi:type="dcterms:W3CDTF">2024-11-13T16:36:00Z</dcterms:modified>
</cp:coreProperties>
</file>