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46A53" w14:textId="77777777" w:rsidR="00B43B76" w:rsidRDefault="00B43B76" w:rsidP="00CD5F1B">
      <w:pPr>
        <w:pStyle w:val="Header"/>
        <w:jc w:val="center"/>
        <w:rPr>
          <w:rFonts w:ascii="Times New Roman" w:hAnsi="Times New Roman" w:cs="Times New Roman"/>
          <w:b/>
          <w:bCs/>
          <w:sz w:val="28"/>
          <w:szCs w:val="28"/>
        </w:rPr>
      </w:pPr>
      <w:r>
        <w:rPr>
          <w:rFonts w:ascii="Times New Roman" w:hAnsi="Times New Roman" w:cs="Times New Roman"/>
          <w:b/>
          <w:bCs/>
          <w:sz w:val="28"/>
          <w:szCs w:val="28"/>
        </w:rPr>
        <w:t>Pure Cycle Announces Financial Results</w:t>
      </w:r>
    </w:p>
    <w:p w14:paraId="039FF295" w14:textId="77777777" w:rsidR="00B43B76" w:rsidRDefault="00B43B76" w:rsidP="00B43B76">
      <w:pPr>
        <w:pStyle w:val="Header"/>
        <w:jc w:val="center"/>
        <w:rPr>
          <w:rFonts w:ascii="Times New Roman" w:hAnsi="Times New Roman" w:cs="Times New Roman"/>
          <w:b/>
          <w:bCs/>
          <w:sz w:val="28"/>
          <w:szCs w:val="28"/>
        </w:rPr>
      </w:pPr>
      <w:r>
        <w:rPr>
          <w:rFonts w:ascii="Times New Roman" w:hAnsi="Times New Roman" w:cs="Times New Roman"/>
          <w:b/>
          <w:bCs/>
          <w:sz w:val="28"/>
          <w:szCs w:val="28"/>
        </w:rPr>
        <w:t xml:space="preserve">For </w:t>
      </w:r>
      <w:r w:rsidR="00A2798A">
        <w:rPr>
          <w:rFonts w:ascii="Times New Roman" w:hAnsi="Times New Roman" w:cs="Times New Roman"/>
          <w:b/>
          <w:bCs/>
          <w:sz w:val="28"/>
          <w:szCs w:val="28"/>
        </w:rPr>
        <w:t xml:space="preserve">the </w:t>
      </w:r>
      <w:r w:rsidR="00232A31">
        <w:rPr>
          <w:rFonts w:ascii="Times New Roman" w:hAnsi="Times New Roman" w:cs="Times New Roman"/>
          <w:b/>
          <w:bCs/>
          <w:sz w:val="28"/>
          <w:szCs w:val="28"/>
        </w:rPr>
        <w:t>Year</w:t>
      </w:r>
      <w:r w:rsidR="00DE424C">
        <w:rPr>
          <w:rFonts w:ascii="Times New Roman" w:hAnsi="Times New Roman" w:cs="Times New Roman"/>
          <w:b/>
          <w:bCs/>
          <w:sz w:val="28"/>
          <w:szCs w:val="28"/>
        </w:rPr>
        <w:t xml:space="preserve"> </w:t>
      </w:r>
      <w:r>
        <w:rPr>
          <w:rFonts w:ascii="Times New Roman" w:hAnsi="Times New Roman" w:cs="Times New Roman"/>
          <w:b/>
          <w:bCs/>
          <w:sz w:val="28"/>
          <w:szCs w:val="28"/>
        </w:rPr>
        <w:t xml:space="preserve">Ended </w:t>
      </w:r>
      <w:r w:rsidR="00232A31">
        <w:rPr>
          <w:rFonts w:ascii="Times New Roman" w:hAnsi="Times New Roman" w:cs="Times New Roman"/>
          <w:b/>
          <w:bCs/>
          <w:sz w:val="28"/>
          <w:szCs w:val="28"/>
        </w:rPr>
        <w:t>August</w:t>
      </w:r>
      <w:r w:rsidR="00AF478E">
        <w:rPr>
          <w:rFonts w:ascii="Times New Roman" w:hAnsi="Times New Roman" w:cs="Times New Roman"/>
          <w:b/>
          <w:bCs/>
          <w:sz w:val="28"/>
          <w:szCs w:val="28"/>
        </w:rPr>
        <w:t xml:space="preserve"> 31</w:t>
      </w:r>
      <w:r>
        <w:rPr>
          <w:rFonts w:ascii="Times New Roman" w:hAnsi="Times New Roman" w:cs="Times New Roman"/>
          <w:b/>
          <w:bCs/>
          <w:sz w:val="28"/>
          <w:szCs w:val="28"/>
        </w:rPr>
        <w:t>, 202</w:t>
      </w:r>
      <w:r w:rsidR="004053C8">
        <w:rPr>
          <w:rFonts w:ascii="Times New Roman" w:hAnsi="Times New Roman" w:cs="Times New Roman"/>
          <w:b/>
          <w:bCs/>
          <w:sz w:val="28"/>
          <w:szCs w:val="28"/>
        </w:rPr>
        <w:t>4</w:t>
      </w:r>
    </w:p>
    <w:p w14:paraId="2A29FE58" w14:textId="77777777" w:rsidR="00B43B76" w:rsidRDefault="00B43B76" w:rsidP="00016462">
      <w:pPr>
        <w:pStyle w:val="centertitle"/>
      </w:pPr>
    </w:p>
    <w:p w14:paraId="280F42FF" w14:textId="77777777" w:rsidR="00580CFA" w:rsidRDefault="00B43B76" w:rsidP="00016462">
      <w:pPr>
        <w:pStyle w:val="centertitle"/>
      </w:pPr>
      <w:r w:rsidRPr="00016462">
        <w:t xml:space="preserve">DENVER, CO / ACCESSWIRE / </w:t>
      </w:r>
      <w:r w:rsidR="00232A31">
        <w:t>November 13</w:t>
      </w:r>
      <w:r w:rsidRPr="00016462">
        <w:t>, 202</w:t>
      </w:r>
      <w:r w:rsidR="00DE424C">
        <w:t>4</w:t>
      </w:r>
      <w:r w:rsidRPr="00016462">
        <w:t xml:space="preserve"> – Pure Cycle Corporation (NASDAQ Capital Market: PCYO) announced </w:t>
      </w:r>
      <w:r w:rsidR="00541F96" w:rsidRPr="00016462">
        <w:t xml:space="preserve">its </w:t>
      </w:r>
      <w:r w:rsidR="001C2400" w:rsidRPr="00016462">
        <w:t xml:space="preserve">financial results </w:t>
      </w:r>
      <w:r w:rsidRPr="00016462">
        <w:t>for the</w:t>
      </w:r>
      <w:r w:rsidR="00434A11">
        <w:t xml:space="preserve"> year ended August 31, 2024. </w:t>
      </w:r>
      <w:r w:rsidRPr="00016462">
        <w:t xml:space="preserve"> </w:t>
      </w:r>
      <w:r w:rsidR="00434A11">
        <w:t xml:space="preserve">Pure Cycle </w:t>
      </w:r>
      <w:r w:rsidR="00155BF6">
        <w:t>reported</w:t>
      </w:r>
      <w:r w:rsidR="00434A11">
        <w:t xml:space="preserve"> $</w:t>
      </w:r>
      <w:r w:rsidR="00F4381D">
        <w:t xml:space="preserve">11.6 million of net income for the year ended August 31, 2024, which is a 147% increase compared to 2023, and marks our seventh consecutive year and </w:t>
      </w:r>
      <w:r w:rsidR="00155BF6">
        <w:t>twenty-first consecutive fiscal quarter with positive net income.  Pure Cycle reported</w:t>
      </w:r>
      <w:r w:rsidR="00FE2562">
        <w:t xml:space="preserve"> </w:t>
      </w:r>
      <w:r w:rsidR="00155BF6">
        <w:t>$0.48 of earnings per fully diluted common shares, which is up from $0.19 in 2023, a 15</w:t>
      </w:r>
      <w:r w:rsidR="00457993">
        <w:t>3</w:t>
      </w:r>
      <w:r w:rsidR="00155BF6">
        <w:t xml:space="preserve">% </w:t>
      </w:r>
      <w:r w:rsidR="00155BF6" w:rsidRPr="00580CFA">
        <w:t>increase.</w:t>
      </w:r>
      <w:r w:rsidR="00F67C32">
        <w:t xml:space="preserve"> </w:t>
      </w:r>
      <w:r w:rsidR="00F67C32" w:rsidRPr="00580CFA">
        <w:t xml:space="preserve">We recognized a </w:t>
      </w:r>
      <w:r w:rsidR="00F67C32">
        <w:t>135</w:t>
      </w:r>
      <w:r w:rsidR="00F67C32" w:rsidRPr="00580CFA">
        <w:t xml:space="preserve">% increase in </w:t>
      </w:r>
      <w:proofErr w:type="spellStart"/>
      <w:r w:rsidR="00F67C32" w:rsidRPr="00580CFA">
        <w:t>lot</w:t>
      </w:r>
      <w:proofErr w:type="spellEnd"/>
      <w:r w:rsidR="00F67C32" w:rsidRPr="00580CFA">
        <w:t xml:space="preserve"> sales revenue for </w:t>
      </w:r>
      <w:r w:rsidR="00F67C32">
        <w:t>the year</w:t>
      </w:r>
      <w:r w:rsidR="00F67C32" w:rsidRPr="00580CFA">
        <w:t xml:space="preserve"> ended </w:t>
      </w:r>
      <w:r w:rsidR="00F67C32">
        <w:t>August</w:t>
      </w:r>
      <w:r w:rsidR="00F67C32" w:rsidRPr="00580CFA">
        <w:t xml:space="preserve"> 31, </w:t>
      </w:r>
      <w:proofErr w:type="gramStart"/>
      <w:r w:rsidR="00F67C32" w:rsidRPr="00580CFA">
        <w:t>2024</w:t>
      </w:r>
      <w:proofErr w:type="gramEnd"/>
      <w:r w:rsidR="00F67C32">
        <w:t xml:space="preserve"> </w:t>
      </w:r>
      <w:r w:rsidR="00F67C32" w:rsidRPr="00580CFA">
        <w:t>compared to 2023, due to an increase in our development activity.</w:t>
      </w:r>
      <w:r w:rsidR="00F67C32">
        <w:t xml:space="preserve"> </w:t>
      </w:r>
      <w:r w:rsidRPr="00580CFA">
        <w:t>Pure Cycle continues to develop its Sky Ranch Master Planned Community</w:t>
      </w:r>
      <w:r w:rsidR="002351FD" w:rsidRPr="00580CFA">
        <w:t>,</w:t>
      </w:r>
      <w:r w:rsidR="005665BF" w:rsidRPr="00580CFA">
        <w:t xml:space="preserve"> </w:t>
      </w:r>
      <w:r w:rsidR="00D36F72" w:rsidRPr="00580CFA">
        <w:t xml:space="preserve">and </w:t>
      </w:r>
      <w:r w:rsidR="00864023" w:rsidRPr="00580CFA">
        <w:t>as of</w:t>
      </w:r>
      <w:r w:rsidR="00580CFA">
        <w:t xml:space="preserve"> August</w:t>
      </w:r>
      <w:r w:rsidR="00AF478E" w:rsidRPr="00580CFA">
        <w:t xml:space="preserve"> 31</w:t>
      </w:r>
      <w:r w:rsidR="00864023" w:rsidRPr="00580CFA">
        <w:t>, 2024</w:t>
      </w:r>
      <w:r w:rsidR="002351FD" w:rsidRPr="00580CFA">
        <w:t>,</w:t>
      </w:r>
      <w:r w:rsidR="00864023" w:rsidRPr="00580CFA">
        <w:t xml:space="preserve"> we are actively working on Phase</w:t>
      </w:r>
      <w:r w:rsidR="004A3599">
        <w:t>s</w:t>
      </w:r>
      <w:r w:rsidR="00864023" w:rsidRPr="00580CFA">
        <w:t xml:space="preserve"> 2A, 2B and 2C.  Phase </w:t>
      </w:r>
      <w:r w:rsidR="00580CFA">
        <w:t xml:space="preserve">2A and </w:t>
      </w:r>
      <w:r w:rsidR="00864023" w:rsidRPr="00580CFA">
        <w:t xml:space="preserve">2B </w:t>
      </w:r>
      <w:r w:rsidR="00580CFA">
        <w:t>are substantially completed with finished lots delivered to homebuilders.  We expect home builders to be able to begin construction in Phase 2C during fiscal 2025 and to start home building in Phase 2</w:t>
      </w:r>
      <w:r w:rsidR="001A4D1D">
        <w:t>D</w:t>
      </w:r>
      <w:r w:rsidR="00580CFA">
        <w:t xml:space="preserve"> in fiscal 2026. </w:t>
      </w:r>
    </w:p>
    <w:p w14:paraId="6C89FFFC" w14:textId="77777777" w:rsidR="00B43B76" w:rsidRDefault="00B43B76" w:rsidP="00016462">
      <w:pPr>
        <w:pStyle w:val="centertitle"/>
      </w:pPr>
    </w:p>
    <w:p w14:paraId="052E4E1A" w14:textId="77777777" w:rsidR="00B43B76" w:rsidRDefault="00434A11" w:rsidP="00B43B76">
      <w:pPr>
        <w:pStyle w:val="para"/>
        <w:tabs>
          <w:tab w:val="right" w:pos="9360"/>
        </w:tabs>
        <w:spacing w:after="0"/>
        <w:ind w:right="270"/>
        <w:rPr>
          <w:b/>
          <w:sz w:val="20"/>
          <w:szCs w:val="20"/>
          <w:u w:val="single"/>
        </w:rPr>
      </w:pPr>
      <w:r>
        <w:rPr>
          <w:b/>
          <w:sz w:val="20"/>
          <w:szCs w:val="20"/>
          <w:u w:val="single"/>
        </w:rPr>
        <w:t>Full Year 2024</w:t>
      </w:r>
      <w:r w:rsidR="00613F61">
        <w:rPr>
          <w:b/>
          <w:sz w:val="20"/>
          <w:szCs w:val="20"/>
          <w:u w:val="single"/>
        </w:rPr>
        <w:t xml:space="preserve"> </w:t>
      </w:r>
      <w:r w:rsidR="00B43B76">
        <w:rPr>
          <w:b/>
          <w:sz w:val="20"/>
          <w:szCs w:val="20"/>
          <w:u w:val="single"/>
        </w:rPr>
        <w:t>Highlights</w:t>
      </w:r>
    </w:p>
    <w:p w14:paraId="5C76F01E" w14:textId="77777777" w:rsidR="00B43B76" w:rsidRDefault="00B43B76" w:rsidP="00B43B76">
      <w:pPr>
        <w:pStyle w:val="para"/>
        <w:tabs>
          <w:tab w:val="right" w:pos="9360"/>
        </w:tabs>
        <w:spacing w:after="0"/>
        <w:ind w:right="270"/>
        <w:rPr>
          <w:b/>
          <w:sz w:val="20"/>
          <w:szCs w:val="20"/>
          <w:u w:val="single"/>
        </w:rPr>
      </w:pPr>
    </w:p>
    <w:p w14:paraId="59E6A356" w14:textId="77777777" w:rsidR="00B43B76" w:rsidRDefault="00B43B76" w:rsidP="00B43B76">
      <w:pPr>
        <w:pStyle w:val="para"/>
        <w:numPr>
          <w:ilvl w:val="0"/>
          <w:numId w:val="2"/>
        </w:numPr>
        <w:tabs>
          <w:tab w:val="right" w:pos="9360"/>
        </w:tabs>
        <w:spacing w:after="0" w:line="254" w:lineRule="auto"/>
        <w:ind w:left="450" w:right="270" w:hanging="450"/>
        <w:contextualSpacing/>
        <w:rPr>
          <w:rFonts w:eastAsiaTheme="minorEastAsia"/>
          <w:sz w:val="20"/>
          <w:szCs w:val="20"/>
        </w:rPr>
      </w:pPr>
      <w:bookmarkStart w:id="0" w:name="_Hlk55460762"/>
      <w:r>
        <w:rPr>
          <w:sz w:val="20"/>
          <w:szCs w:val="20"/>
        </w:rPr>
        <w:t>Revenue</w:t>
      </w:r>
      <w:r w:rsidR="00AA1D9F">
        <w:rPr>
          <w:sz w:val="20"/>
          <w:szCs w:val="20"/>
        </w:rPr>
        <w:t xml:space="preserve"> </w:t>
      </w:r>
      <w:r w:rsidR="008A5A85">
        <w:rPr>
          <w:sz w:val="20"/>
          <w:szCs w:val="20"/>
        </w:rPr>
        <w:t xml:space="preserve">for the </w:t>
      </w:r>
      <w:r w:rsidR="00A5043F">
        <w:rPr>
          <w:sz w:val="20"/>
          <w:szCs w:val="20"/>
        </w:rPr>
        <w:t>years</w:t>
      </w:r>
      <w:r w:rsidR="008A5A85">
        <w:rPr>
          <w:sz w:val="20"/>
          <w:szCs w:val="20"/>
        </w:rPr>
        <w:t xml:space="preserve"> ended </w:t>
      </w:r>
      <w:r w:rsidR="00A5043F">
        <w:rPr>
          <w:sz w:val="20"/>
          <w:szCs w:val="20"/>
        </w:rPr>
        <w:t>August</w:t>
      </w:r>
      <w:r w:rsidR="007C5F4C">
        <w:rPr>
          <w:sz w:val="20"/>
          <w:szCs w:val="20"/>
        </w:rPr>
        <w:t xml:space="preserve"> 31</w:t>
      </w:r>
      <w:r w:rsidR="008A5A85">
        <w:rPr>
          <w:sz w:val="20"/>
          <w:szCs w:val="20"/>
        </w:rPr>
        <w:t xml:space="preserve">, </w:t>
      </w:r>
      <w:proofErr w:type="gramStart"/>
      <w:r w:rsidR="008A5A85">
        <w:rPr>
          <w:sz w:val="20"/>
          <w:szCs w:val="20"/>
        </w:rPr>
        <w:t>2024</w:t>
      </w:r>
      <w:proofErr w:type="gramEnd"/>
      <w:r w:rsidR="00A5043F">
        <w:rPr>
          <w:sz w:val="20"/>
          <w:szCs w:val="20"/>
        </w:rPr>
        <w:t xml:space="preserve"> and 2023</w:t>
      </w:r>
      <w:r w:rsidR="008A5A85">
        <w:rPr>
          <w:sz w:val="20"/>
          <w:szCs w:val="20"/>
        </w:rPr>
        <w:t xml:space="preserve"> </w:t>
      </w:r>
      <w:r>
        <w:rPr>
          <w:sz w:val="20"/>
          <w:szCs w:val="20"/>
        </w:rPr>
        <w:t>of $</w:t>
      </w:r>
      <w:r w:rsidR="00A5043F">
        <w:rPr>
          <w:sz w:val="20"/>
          <w:szCs w:val="20"/>
        </w:rPr>
        <w:t>28</w:t>
      </w:r>
      <w:r w:rsidR="008A5A85">
        <w:rPr>
          <w:sz w:val="20"/>
          <w:szCs w:val="20"/>
        </w:rPr>
        <w:t>.</w:t>
      </w:r>
      <w:r w:rsidR="00A5043F">
        <w:rPr>
          <w:sz w:val="20"/>
          <w:szCs w:val="20"/>
        </w:rPr>
        <w:t>7</w:t>
      </w:r>
      <w:r>
        <w:rPr>
          <w:sz w:val="20"/>
          <w:szCs w:val="20"/>
        </w:rPr>
        <w:t xml:space="preserve"> million</w:t>
      </w:r>
      <w:r w:rsidR="008A5A85">
        <w:rPr>
          <w:sz w:val="20"/>
          <w:szCs w:val="20"/>
        </w:rPr>
        <w:t xml:space="preserve"> and $</w:t>
      </w:r>
      <w:r w:rsidR="00A5043F">
        <w:rPr>
          <w:sz w:val="20"/>
          <w:szCs w:val="20"/>
        </w:rPr>
        <w:t>14</w:t>
      </w:r>
      <w:r w:rsidR="008A5A85">
        <w:rPr>
          <w:sz w:val="20"/>
          <w:szCs w:val="20"/>
        </w:rPr>
        <w:t>.</w:t>
      </w:r>
      <w:r w:rsidR="00A5043F">
        <w:rPr>
          <w:sz w:val="20"/>
          <w:szCs w:val="20"/>
        </w:rPr>
        <w:t>6</w:t>
      </w:r>
      <w:r w:rsidR="008A5A85">
        <w:rPr>
          <w:sz w:val="20"/>
          <w:szCs w:val="20"/>
        </w:rPr>
        <w:t xml:space="preserve"> million</w:t>
      </w:r>
      <w:r w:rsidR="00A5043F">
        <w:rPr>
          <w:sz w:val="20"/>
          <w:szCs w:val="20"/>
        </w:rPr>
        <w:t xml:space="preserve"> (a 9</w:t>
      </w:r>
      <w:r w:rsidR="002E7263">
        <w:rPr>
          <w:sz w:val="20"/>
          <w:szCs w:val="20"/>
        </w:rPr>
        <w:t>7</w:t>
      </w:r>
      <w:r w:rsidR="00A5043F">
        <w:rPr>
          <w:sz w:val="20"/>
          <w:szCs w:val="20"/>
        </w:rPr>
        <w:t>% increase)</w:t>
      </w:r>
      <w:r>
        <w:rPr>
          <w:sz w:val="20"/>
          <w:szCs w:val="20"/>
        </w:rPr>
        <w:t>, which drove p</w:t>
      </w:r>
      <w:r>
        <w:rPr>
          <w:rFonts w:eastAsiaTheme="minorEastAsia"/>
          <w:sz w:val="20"/>
          <w:szCs w:val="20"/>
        </w:rPr>
        <w:t>re-tax income of $</w:t>
      </w:r>
      <w:r w:rsidR="00A5043F">
        <w:rPr>
          <w:rFonts w:eastAsiaTheme="minorEastAsia"/>
          <w:sz w:val="20"/>
          <w:szCs w:val="20"/>
        </w:rPr>
        <w:t>15</w:t>
      </w:r>
      <w:r w:rsidR="008A5A85">
        <w:rPr>
          <w:rFonts w:eastAsiaTheme="minorEastAsia"/>
          <w:sz w:val="20"/>
          <w:szCs w:val="20"/>
        </w:rPr>
        <w:t>.</w:t>
      </w:r>
      <w:r w:rsidR="00A5043F">
        <w:rPr>
          <w:rFonts w:eastAsiaTheme="minorEastAsia"/>
          <w:sz w:val="20"/>
          <w:szCs w:val="20"/>
        </w:rPr>
        <w:t>6</w:t>
      </w:r>
      <w:r>
        <w:rPr>
          <w:rFonts w:eastAsiaTheme="minorEastAsia"/>
          <w:sz w:val="20"/>
          <w:szCs w:val="20"/>
        </w:rPr>
        <w:t xml:space="preserve"> million</w:t>
      </w:r>
      <w:r w:rsidR="008A5A85">
        <w:rPr>
          <w:rFonts w:eastAsiaTheme="minorEastAsia"/>
          <w:sz w:val="20"/>
          <w:szCs w:val="20"/>
        </w:rPr>
        <w:t xml:space="preserve"> and $</w:t>
      </w:r>
      <w:r w:rsidR="00802AE0">
        <w:rPr>
          <w:rFonts w:eastAsiaTheme="minorEastAsia"/>
          <w:sz w:val="20"/>
          <w:szCs w:val="20"/>
        </w:rPr>
        <w:t>6</w:t>
      </w:r>
      <w:r w:rsidR="008A5A85">
        <w:rPr>
          <w:rFonts w:eastAsiaTheme="minorEastAsia"/>
          <w:sz w:val="20"/>
          <w:szCs w:val="20"/>
        </w:rPr>
        <w:t>.</w:t>
      </w:r>
      <w:r w:rsidR="00A5043F">
        <w:rPr>
          <w:rFonts w:eastAsiaTheme="minorEastAsia"/>
          <w:sz w:val="20"/>
          <w:szCs w:val="20"/>
        </w:rPr>
        <w:t>2</w:t>
      </w:r>
      <w:r w:rsidR="008A5A85">
        <w:rPr>
          <w:rFonts w:eastAsiaTheme="minorEastAsia"/>
          <w:sz w:val="20"/>
          <w:szCs w:val="20"/>
        </w:rPr>
        <w:t xml:space="preserve"> million</w:t>
      </w:r>
      <w:r w:rsidR="00A5043F">
        <w:rPr>
          <w:rFonts w:eastAsiaTheme="minorEastAsia"/>
          <w:sz w:val="20"/>
          <w:szCs w:val="20"/>
        </w:rPr>
        <w:t xml:space="preserve"> (a 15</w:t>
      </w:r>
      <w:r w:rsidR="002E7263">
        <w:rPr>
          <w:rFonts w:eastAsiaTheme="minorEastAsia"/>
          <w:sz w:val="20"/>
          <w:szCs w:val="20"/>
        </w:rPr>
        <w:t>1</w:t>
      </w:r>
      <w:r w:rsidR="00A5043F">
        <w:rPr>
          <w:rFonts w:eastAsiaTheme="minorEastAsia"/>
          <w:sz w:val="20"/>
          <w:szCs w:val="20"/>
        </w:rPr>
        <w:t>% increase)</w:t>
      </w:r>
      <w:r>
        <w:rPr>
          <w:rFonts w:eastAsiaTheme="minorEastAsia"/>
          <w:sz w:val="20"/>
          <w:szCs w:val="20"/>
        </w:rPr>
        <w:t>;</w:t>
      </w:r>
    </w:p>
    <w:p w14:paraId="0014FE6D" w14:textId="77777777" w:rsidR="00B02808" w:rsidRDefault="00B02808" w:rsidP="00B43B76">
      <w:pPr>
        <w:pStyle w:val="para"/>
        <w:numPr>
          <w:ilvl w:val="0"/>
          <w:numId w:val="2"/>
        </w:numPr>
        <w:tabs>
          <w:tab w:val="right" w:pos="9360"/>
        </w:tabs>
        <w:spacing w:after="0" w:line="254" w:lineRule="auto"/>
        <w:ind w:left="450" w:right="270" w:hanging="450"/>
        <w:contextualSpacing/>
        <w:rPr>
          <w:rFonts w:eastAsiaTheme="minorEastAsia"/>
          <w:sz w:val="20"/>
          <w:szCs w:val="20"/>
        </w:rPr>
      </w:pPr>
      <w:r>
        <w:rPr>
          <w:rFonts w:eastAsiaTheme="minorEastAsia"/>
          <w:sz w:val="20"/>
          <w:szCs w:val="20"/>
        </w:rPr>
        <w:t xml:space="preserve">Net income </w:t>
      </w:r>
      <w:r w:rsidR="008A5A85">
        <w:rPr>
          <w:rFonts w:eastAsiaTheme="minorEastAsia"/>
          <w:sz w:val="20"/>
          <w:szCs w:val="20"/>
        </w:rPr>
        <w:t xml:space="preserve">for the </w:t>
      </w:r>
      <w:r w:rsidR="00A5043F">
        <w:rPr>
          <w:sz w:val="20"/>
          <w:szCs w:val="20"/>
        </w:rPr>
        <w:t xml:space="preserve">years </w:t>
      </w:r>
      <w:r w:rsidR="008A5A85">
        <w:rPr>
          <w:sz w:val="20"/>
          <w:szCs w:val="20"/>
        </w:rPr>
        <w:t xml:space="preserve">ended </w:t>
      </w:r>
      <w:r w:rsidR="00A5043F">
        <w:rPr>
          <w:sz w:val="20"/>
          <w:szCs w:val="20"/>
        </w:rPr>
        <w:t>August</w:t>
      </w:r>
      <w:r w:rsidR="007C5F4C">
        <w:rPr>
          <w:sz w:val="20"/>
          <w:szCs w:val="20"/>
        </w:rPr>
        <w:t xml:space="preserve"> 31</w:t>
      </w:r>
      <w:r w:rsidR="008A5A85">
        <w:rPr>
          <w:sz w:val="20"/>
          <w:szCs w:val="20"/>
        </w:rPr>
        <w:t xml:space="preserve">, </w:t>
      </w:r>
      <w:proofErr w:type="gramStart"/>
      <w:r w:rsidR="008A5A85">
        <w:rPr>
          <w:sz w:val="20"/>
          <w:szCs w:val="20"/>
        </w:rPr>
        <w:t>2024</w:t>
      </w:r>
      <w:proofErr w:type="gramEnd"/>
      <w:r w:rsidR="00A5043F">
        <w:rPr>
          <w:sz w:val="20"/>
          <w:szCs w:val="20"/>
        </w:rPr>
        <w:t xml:space="preserve"> and</w:t>
      </w:r>
      <w:r w:rsidR="008A5A85">
        <w:rPr>
          <w:sz w:val="20"/>
          <w:szCs w:val="20"/>
        </w:rPr>
        <w:t xml:space="preserve"> </w:t>
      </w:r>
      <w:r w:rsidR="00A5043F">
        <w:rPr>
          <w:sz w:val="20"/>
          <w:szCs w:val="20"/>
        </w:rPr>
        <w:t xml:space="preserve">2023 </w:t>
      </w:r>
      <w:r w:rsidR="008A5A85">
        <w:rPr>
          <w:sz w:val="20"/>
          <w:szCs w:val="20"/>
        </w:rPr>
        <w:t>of</w:t>
      </w:r>
      <w:r>
        <w:rPr>
          <w:rFonts w:eastAsiaTheme="minorEastAsia"/>
          <w:sz w:val="20"/>
          <w:szCs w:val="20"/>
        </w:rPr>
        <w:t xml:space="preserve"> $</w:t>
      </w:r>
      <w:r w:rsidR="00A5043F">
        <w:rPr>
          <w:rFonts w:eastAsiaTheme="minorEastAsia"/>
          <w:sz w:val="20"/>
          <w:szCs w:val="20"/>
        </w:rPr>
        <w:t>11</w:t>
      </w:r>
      <w:r w:rsidR="00E13DDE">
        <w:rPr>
          <w:rFonts w:eastAsiaTheme="minorEastAsia"/>
          <w:sz w:val="20"/>
          <w:szCs w:val="20"/>
        </w:rPr>
        <w:t>.</w:t>
      </w:r>
      <w:r w:rsidR="00A5043F">
        <w:rPr>
          <w:rFonts w:eastAsiaTheme="minorEastAsia"/>
          <w:sz w:val="20"/>
          <w:szCs w:val="20"/>
        </w:rPr>
        <w:t>6</w:t>
      </w:r>
      <w:r>
        <w:rPr>
          <w:rFonts w:eastAsiaTheme="minorEastAsia"/>
          <w:sz w:val="20"/>
          <w:szCs w:val="20"/>
        </w:rPr>
        <w:t xml:space="preserve"> million</w:t>
      </w:r>
      <w:r w:rsidR="008A5A85">
        <w:rPr>
          <w:rFonts w:eastAsiaTheme="minorEastAsia"/>
          <w:sz w:val="20"/>
          <w:szCs w:val="20"/>
        </w:rPr>
        <w:t xml:space="preserve"> and $</w:t>
      </w:r>
      <w:r w:rsidR="00A5043F">
        <w:rPr>
          <w:rFonts w:eastAsiaTheme="minorEastAsia"/>
          <w:sz w:val="20"/>
          <w:szCs w:val="20"/>
        </w:rPr>
        <w:t>4</w:t>
      </w:r>
      <w:r w:rsidR="008A5A85">
        <w:rPr>
          <w:rFonts w:eastAsiaTheme="minorEastAsia"/>
          <w:sz w:val="20"/>
          <w:szCs w:val="20"/>
        </w:rPr>
        <w:t>.</w:t>
      </w:r>
      <w:r w:rsidR="00A5043F">
        <w:rPr>
          <w:rFonts w:eastAsiaTheme="minorEastAsia"/>
          <w:sz w:val="20"/>
          <w:szCs w:val="20"/>
        </w:rPr>
        <w:t>7</w:t>
      </w:r>
      <w:r w:rsidR="008A5A85">
        <w:rPr>
          <w:rFonts w:eastAsiaTheme="minorEastAsia"/>
          <w:sz w:val="20"/>
          <w:szCs w:val="20"/>
        </w:rPr>
        <w:t xml:space="preserve"> million</w:t>
      </w:r>
      <w:r w:rsidR="00A5043F">
        <w:rPr>
          <w:rFonts w:eastAsiaTheme="minorEastAsia"/>
          <w:sz w:val="20"/>
          <w:szCs w:val="20"/>
        </w:rPr>
        <w:t xml:space="preserve"> (a 1</w:t>
      </w:r>
      <w:r w:rsidR="002E7263">
        <w:rPr>
          <w:rFonts w:eastAsiaTheme="minorEastAsia"/>
          <w:sz w:val="20"/>
          <w:szCs w:val="20"/>
        </w:rPr>
        <w:t>47</w:t>
      </w:r>
      <w:r w:rsidR="00A5043F">
        <w:rPr>
          <w:rFonts w:eastAsiaTheme="minorEastAsia"/>
          <w:sz w:val="20"/>
          <w:szCs w:val="20"/>
        </w:rPr>
        <w:t>% increase)</w:t>
      </w:r>
      <w:r>
        <w:rPr>
          <w:rFonts w:eastAsiaTheme="minorEastAsia"/>
          <w:sz w:val="20"/>
          <w:szCs w:val="20"/>
        </w:rPr>
        <w:t>;</w:t>
      </w:r>
    </w:p>
    <w:p w14:paraId="40714974" w14:textId="77777777" w:rsidR="00B43B76" w:rsidRDefault="00B43B76" w:rsidP="00B43B76">
      <w:pPr>
        <w:pStyle w:val="para"/>
        <w:numPr>
          <w:ilvl w:val="0"/>
          <w:numId w:val="2"/>
        </w:numPr>
        <w:tabs>
          <w:tab w:val="right" w:pos="9360"/>
        </w:tabs>
        <w:spacing w:after="0" w:line="254" w:lineRule="auto"/>
        <w:ind w:left="450" w:right="270" w:hanging="450"/>
        <w:contextualSpacing/>
        <w:rPr>
          <w:rFonts w:eastAsiaTheme="minorEastAsia"/>
          <w:sz w:val="20"/>
          <w:szCs w:val="20"/>
        </w:rPr>
      </w:pPr>
      <w:r>
        <w:rPr>
          <w:rFonts w:eastAsiaTheme="minorEastAsia"/>
          <w:sz w:val="20"/>
          <w:szCs w:val="20"/>
        </w:rPr>
        <w:t xml:space="preserve">EBITDA </w:t>
      </w:r>
      <w:r w:rsidR="008A5A85">
        <w:rPr>
          <w:sz w:val="20"/>
          <w:szCs w:val="20"/>
        </w:rPr>
        <w:t xml:space="preserve">for the </w:t>
      </w:r>
      <w:r w:rsidR="00A5043F">
        <w:rPr>
          <w:sz w:val="20"/>
          <w:szCs w:val="20"/>
        </w:rPr>
        <w:t xml:space="preserve">years </w:t>
      </w:r>
      <w:r w:rsidR="008A5A85">
        <w:rPr>
          <w:sz w:val="20"/>
          <w:szCs w:val="20"/>
        </w:rPr>
        <w:t xml:space="preserve">ended </w:t>
      </w:r>
      <w:r w:rsidR="00A5043F">
        <w:rPr>
          <w:sz w:val="20"/>
          <w:szCs w:val="20"/>
        </w:rPr>
        <w:t>August</w:t>
      </w:r>
      <w:r w:rsidR="007C5F4C">
        <w:rPr>
          <w:sz w:val="20"/>
          <w:szCs w:val="20"/>
        </w:rPr>
        <w:t xml:space="preserve"> 31</w:t>
      </w:r>
      <w:r w:rsidR="008A5A85">
        <w:rPr>
          <w:sz w:val="20"/>
          <w:szCs w:val="20"/>
        </w:rPr>
        <w:t xml:space="preserve">, </w:t>
      </w:r>
      <w:proofErr w:type="gramStart"/>
      <w:r w:rsidR="008A5A85">
        <w:rPr>
          <w:sz w:val="20"/>
          <w:szCs w:val="20"/>
        </w:rPr>
        <w:t>2024</w:t>
      </w:r>
      <w:proofErr w:type="gramEnd"/>
      <w:r w:rsidR="00A5043F">
        <w:rPr>
          <w:sz w:val="20"/>
          <w:szCs w:val="20"/>
        </w:rPr>
        <w:t xml:space="preserve"> and 2023</w:t>
      </w:r>
      <w:r w:rsidR="008A5A85">
        <w:rPr>
          <w:sz w:val="20"/>
          <w:szCs w:val="20"/>
        </w:rPr>
        <w:t xml:space="preserve"> </w:t>
      </w:r>
      <w:r w:rsidR="00E13DDE">
        <w:rPr>
          <w:sz w:val="20"/>
          <w:szCs w:val="20"/>
        </w:rPr>
        <w:t>of $</w:t>
      </w:r>
      <w:r w:rsidR="00A5043F">
        <w:rPr>
          <w:sz w:val="20"/>
          <w:szCs w:val="20"/>
        </w:rPr>
        <w:t>18</w:t>
      </w:r>
      <w:r w:rsidR="00E13DDE">
        <w:rPr>
          <w:sz w:val="20"/>
          <w:szCs w:val="20"/>
        </w:rPr>
        <w:t>.</w:t>
      </w:r>
      <w:r w:rsidR="00A5043F">
        <w:rPr>
          <w:sz w:val="20"/>
          <w:szCs w:val="20"/>
        </w:rPr>
        <w:t>2</w:t>
      </w:r>
      <w:r w:rsidR="00E13DDE">
        <w:rPr>
          <w:sz w:val="20"/>
          <w:szCs w:val="20"/>
        </w:rPr>
        <w:t xml:space="preserve"> million</w:t>
      </w:r>
      <w:r w:rsidR="008A5A85">
        <w:rPr>
          <w:sz w:val="20"/>
          <w:szCs w:val="20"/>
        </w:rPr>
        <w:t xml:space="preserve"> and $</w:t>
      </w:r>
      <w:r w:rsidR="0047702F">
        <w:rPr>
          <w:sz w:val="20"/>
          <w:szCs w:val="20"/>
        </w:rPr>
        <w:t>8</w:t>
      </w:r>
      <w:r w:rsidR="008A5A85">
        <w:rPr>
          <w:sz w:val="20"/>
          <w:szCs w:val="20"/>
        </w:rPr>
        <w:t>.</w:t>
      </w:r>
      <w:r w:rsidR="00A5043F">
        <w:rPr>
          <w:sz w:val="20"/>
          <w:szCs w:val="20"/>
        </w:rPr>
        <w:t>6</w:t>
      </w:r>
      <w:r w:rsidR="008A5A85">
        <w:rPr>
          <w:sz w:val="20"/>
          <w:szCs w:val="20"/>
        </w:rPr>
        <w:t xml:space="preserve"> million</w:t>
      </w:r>
      <w:r>
        <w:rPr>
          <w:sz w:val="20"/>
          <w:szCs w:val="20"/>
        </w:rPr>
        <w:t xml:space="preserve"> </w:t>
      </w:r>
      <w:r w:rsidR="00A5043F">
        <w:rPr>
          <w:sz w:val="20"/>
          <w:szCs w:val="20"/>
        </w:rPr>
        <w:t xml:space="preserve">(a 112% increase) </w:t>
      </w:r>
      <w:r>
        <w:rPr>
          <w:sz w:val="20"/>
          <w:szCs w:val="20"/>
        </w:rPr>
        <w:t>(see table below for re</w:t>
      </w:r>
      <w:r>
        <w:rPr>
          <w:rFonts w:eastAsiaTheme="minorEastAsia"/>
          <w:sz w:val="20"/>
          <w:szCs w:val="20"/>
        </w:rPr>
        <w:t>conciliation of net income to EBITDA</w:t>
      </w:r>
      <w:r w:rsidR="00B02808">
        <w:rPr>
          <w:rFonts w:eastAsiaTheme="minorEastAsia"/>
          <w:sz w:val="20"/>
          <w:szCs w:val="20"/>
        </w:rPr>
        <w:t>)</w:t>
      </w:r>
      <w:r>
        <w:rPr>
          <w:rFonts w:eastAsiaTheme="minorEastAsia"/>
          <w:sz w:val="20"/>
          <w:szCs w:val="20"/>
        </w:rPr>
        <w:t>;</w:t>
      </w:r>
    </w:p>
    <w:p w14:paraId="551BC746" w14:textId="77777777" w:rsidR="00B43B76" w:rsidRDefault="00B43B76" w:rsidP="00B43B76">
      <w:pPr>
        <w:pStyle w:val="para"/>
        <w:numPr>
          <w:ilvl w:val="0"/>
          <w:numId w:val="2"/>
        </w:numPr>
        <w:tabs>
          <w:tab w:val="right" w:pos="9360"/>
        </w:tabs>
        <w:spacing w:after="0" w:line="254" w:lineRule="auto"/>
        <w:ind w:left="450" w:right="270" w:hanging="450"/>
        <w:contextualSpacing/>
        <w:rPr>
          <w:rFonts w:eastAsiaTheme="minorEastAsia"/>
          <w:sz w:val="20"/>
          <w:szCs w:val="20"/>
        </w:rPr>
      </w:pPr>
      <w:r>
        <w:rPr>
          <w:rFonts w:eastAsiaTheme="minorEastAsia"/>
          <w:sz w:val="20"/>
          <w:szCs w:val="20"/>
        </w:rPr>
        <w:t>Cash</w:t>
      </w:r>
      <w:r w:rsidR="000A109A">
        <w:rPr>
          <w:rFonts w:eastAsiaTheme="minorEastAsia"/>
          <w:sz w:val="20"/>
          <w:szCs w:val="20"/>
        </w:rPr>
        <w:t xml:space="preserve"> &amp; cash equivalents</w:t>
      </w:r>
      <w:r>
        <w:rPr>
          <w:rFonts w:eastAsiaTheme="minorEastAsia"/>
          <w:sz w:val="20"/>
          <w:szCs w:val="20"/>
        </w:rPr>
        <w:t xml:space="preserve"> totaled $2</w:t>
      </w:r>
      <w:r w:rsidR="00A5043F">
        <w:rPr>
          <w:rFonts w:eastAsiaTheme="minorEastAsia"/>
          <w:sz w:val="20"/>
          <w:szCs w:val="20"/>
        </w:rPr>
        <w:t>2</w:t>
      </w:r>
      <w:r>
        <w:rPr>
          <w:rFonts w:eastAsiaTheme="minorEastAsia"/>
          <w:sz w:val="20"/>
          <w:szCs w:val="20"/>
        </w:rPr>
        <w:t>.</w:t>
      </w:r>
      <w:r w:rsidR="00A5043F">
        <w:rPr>
          <w:rFonts w:eastAsiaTheme="minorEastAsia"/>
          <w:sz w:val="20"/>
          <w:szCs w:val="20"/>
        </w:rPr>
        <w:t>1</w:t>
      </w:r>
      <w:r>
        <w:rPr>
          <w:rFonts w:eastAsiaTheme="minorEastAsia"/>
          <w:sz w:val="20"/>
          <w:szCs w:val="20"/>
        </w:rPr>
        <w:t xml:space="preserve"> million</w:t>
      </w:r>
      <w:r w:rsidR="008A5A85">
        <w:rPr>
          <w:rFonts w:eastAsiaTheme="minorEastAsia"/>
          <w:sz w:val="20"/>
          <w:szCs w:val="20"/>
        </w:rPr>
        <w:t xml:space="preserve"> </w:t>
      </w:r>
      <w:proofErr w:type="gramStart"/>
      <w:r w:rsidR="008A5A85">
        <w:rPr>
          <w:rFonts w:eastAsiaTheme="minorEastAsia"/>
          <w:sz w:val="20"/>
          <w:szCs w:val="20"/>
        </w:rPr>
        <w:t>at</w:t>
      </w:r>
      <w:proofErr w:type="gramEnd"/>
      <w:r w:rsidR="008A5A85">
        <w:rPr>
          <w:rFonts w:eastAsiaTheme="minorEastAsia"/>
          <w:sz w:val="20"/>
          <w:szCs w:val="20"/>
        </w:rPr>
        <w:t xml:space="preserve"> </w:t>
      </w:r>
      <w:r w:rsidR="00A5043F">
        <w:rPr>
          <w:rFonts w:eastAsiaTheme="minorEastAsia"/>
          <w:sz w:val="20"/>
          <w:szCs w:val="20"/>
        </w:rPr>
        <w:t>August</w:t>
      </w:r>
      <w:r w:rsidR="007C5F4C">
        <w:rPr>
          <w:rFonts w:eastAsiaTheme="minorEastAsia"/>
          <w:sz w:val="20"/>
          <w:szCs w:val="20"/>
        </w:rPr>
        <w:t xml:space="preserve"> 31</w:t>
      </w:r>
      <w:r w:rsidR="008A5A85">
        <w:rPr>
          <w:rFonts w:eastAsiaTheme="minorEastAsia"/>
          <w:sz w:val="20"/>
          <w:szCs w:val="20"/>
        </w:rPr>
        <w:t>, 2024</w:t>
      </w:r>
      <w:r>
        <w:rPr>
          <w:rFonts w:eastAsiaTheme="minorEastAsia"/>
          <w:sz w:val="20"/>
          <w:szCs w:val="20"/>
        </w:rPr>
        <w:t>;</w:t>
      </w:r>
    </w:p>
    <w:p w14:paraId="25B8B1A2" w14:textId="77777777" w:rsidR="00B43B76" w:rsidRDefault="006D02DF" w:rsidP="00B43B76">
      <w:pPr>
        <w:pStyle w:val="para"/>
        <w:numPr>
          <w:ilvl w:val="0"/>
          <w:numId w:val="2"/>
        </w:numPr>
        <w:tabs>
          <w:tab w:val="right" w:pos="9360"/>
        </w:tabs>
        <w:spacing w:after="0" w:line="254" w:lineRule="auto"/>
        <w:ind w:left="450" w:right="270" w:hanging="450"/>
        <w:contextualSpacing/>
        <w:rPr>
          <w:rFonts w:eastAsiaTheme="minorEastAsia"/>
          <w:sz w:val="20"/>
          <w:szCs w:val="20"/>
        </w:rPr>
      </w:pPr>
      <w:r>
        <w:rPr>
          <w:sz w:val="20"/>
          <w:szCs w:val="20"/>
        </w:rPr>
        <w:t xml:space="preserve">For the </w:t>
      </w:r>
      <w:r w:rsidR="00434A11">
        <w:rPr>
          <w:sz w:val="20"/>
          <w:szCs w:val="20"/>
        </w:rPr>
        <w:t>year</w:t>
      </w:r>
      <w:r w:rsidR="00A5043F">
        <w:rPr>
          <w:sz w:val="20"/>
          <w:szCs w:val="20"/>
        </w:rPr>
        <w:t>s</w:t>
      </w:r>
      <w:r>
        <w:rPr>
          <w:sz w:val="20"/>
          <w:szCs w:val="20"/>
        </w:rPr>
        <w:t xml:space="preserve"> ended </w:t>
      </w:r>
      <w:r w:rsidR="00434A11">
        <w:rPr>
          <w:sz w:val="20"/>
          <w:szCs w:val="20"/>
        </w:rPr>
        <w:t>August</w:t>
      </w:r>
      <w:r w:rsidR="007C5F4C">
        <w:rPr>
          <w:sz w:val="20"/>
          <w:szCs w:val="20"/>
        </w:rPr>
        <w:t xml:space="preserve"> 31</w:t>
      </w:r>
      <w:r>
        <w:rPr>
          <w:sz w:val="20"/>
          <w:szCs w:val="20"/>
        </w:rPr>
        <w:t xml:space="preserve">, </w:t>
      </w:r>
      <w:proofErr w:type="gramStart"/>
      <w:r>
        <w:rPr>
          <w:sz w:val="20"/>
          <w:szCs w:val="20"/>
        </w:rPr>
        <w:t>202</w:t>
      </w:r>
      <w:r w:rsidR="008A5A85">
        <w:rPr>
          <w:sz w:val="20"/>
          <w:szCs w:val="20"/>
        </w:rPr>
        <w:t>4</w:t>
      </w:r>
      <w:proofErr w:type="gramEnd"/>
      <w:r w:rsidR="00A5043F">
        <w:rPr>
          <w:sz w:val="20"/>
          <w:szCs w:val="20"/>
        </w:rPr>
        <w:t xml:space="preserve"> and 2023</w:t>
      </w:r>
      <w:r>
        <w:rPr>
          <w:sz w:val="20"/>
          <w:szCs w:val="20"/>
        </w:rPr>
        <w:t>, we</w:t>
      </w:r>
      <w:r w:rsidR="00B43B76">
        <w:rPr>
          <w:sz w:val="20"/>
          <w:szCs w:val="20"/>
        </w:rPr>
        <w:t xml:space="preserve"> </w:t>
      </w:r>
      <w:r w:rsidR="00B43B76" w:rsidRPr="00427316">
        <w:rPr>
          <w:sz w:val="20"/>
          <w:szCs w:val="20"/>
        </w:rPr>
        <w:t xml:space="preserve">delivered </w:t>
      </w:r>
      <w:r w:rsidR="00613F61" w:rsidRPr="00427316">
        <w:rPr>
          <w:sz w:val="20"/>
          <w:szCs w:val="20"/>
        </w:rPr>
        <w:t>1,</w:t>
      </w:r>
      <w:r w:rsidR="00A5043F">
        <w:rPr>
          <w:sz w:val="20"/>
          <w:szCs w:val="20"/>
        </w:rPr>
        <w:t>818</w:t>
      </w:r>
      <w:r w:rsidR="00B43B76" w:rsidRPr="00427316">
        <w:rPr>
          <w:sz w:val="20"/>
          <w:szCs w:val="20"/>
        </w:rPr>
        <w:t xml:space="preserve"> </w:t>
      </w:r>
      <w:r w:rsidR="00A5043F">
        <w:rPr>
          <w:sz w:val="20"/>
          <w:szCs w:val="20"/>
        </w:rPr>
        <w:t xml:space="preserve">and 964 </w:t>
      </w:r>
      <w:r w:rsidR="002D2C27" w:rsidRPr="00427316">
        <w:rPr>
          <w:sz w:val="20"/>
          <w:szCs w:val="20"/>
        </w:rPr>
        <w:t>acre</w:t>
      </w:r>
      <w:r w:rsidR="002D2C27">
        <w:rPr>
          <w:sz w:val="20"/>
          <w:szCs w:val="20"/>
        </w:rPr>
        <w:t>-feet</w:t>
      </w:r>
      <w:r w:rsidR="00B43B76">
        <w:rPr>
          <w:sz w:val="20"/>
          <w:szCs w:val="20"/>
        </w:rPr>
        <w:t xml:space="preserve"> of water</w:t>
      </w:r>
      <w:r w:rsidR="00A5043F">
        <w:rPr>
          <w:sz w:val="20"/>
          <w:szCs w:val="20"/>
        </w:rPr>
        <w:t xml:space="preserve"> (a 89% increase)</w:t>
      </w:r>
      <w:r w:rsidR="00B43B76">
        <w:rPr>
          <w:sz w:val="20"/>
          <w:szCs w:val="20"/>
        </w:rPr>
        <w:t>.</w:t>
      </w:r>
    </w:p>
    <w:bookmarkEnd w:id="0"/>
    <w:p w14:paraId="3983483A" w14:textId="77777777" w:rsidR="00B43B76" w:rsidRDefault="00B43B76" w:rsidP="00B43B76">
      <w:pPr>
        <w:pStyle w:val="para"/>
        <w:tabs>
          <w:tab w:val="right" w:pos="9360"/>
        </w:tabs>
        <w:spacing w:after="0"/>
        <w:ind w:right="270"/>
        <w:rPr>
          <w:rFonts w:eastAsia="Times New Roman"/>
          <w:sz w:val="20"/>
          <w:szCs w:val="20"/>
        </w:rPr>
      </w:pPr>
    </w:p>
    <w:p w14:paraId="7C76B1A2" w14:textId="77777777" w:rsidR="001271EE" w:rsidRDefault="001271EE" w:rsidP="001271EE">
      <w:pPr>
        <w:pStyle w:val="canvas-atom"/>
        <w:tabs>
          <w:tab w:val="right" w:pos="9360"/>
        </w:tabs>
        <w:spacing w:before="0" w:beforeAutospacing="0" w:after="0" w:afterAutospacing="0"/>
        <w:ind w:right="270"/>
        <w:jc w:val="both"/>
        <w:rPr>
          <w:i/>
          <w:iCs/>
          <w:sz w:val="20"/>
          <w:szCs w:val="20"/>
        </w:rPr>
      </w:pPr>
      <w:r>
        <w:rPr>
          <w:i/>
          <w:iCs/>
          <w:sz w:val="20"/>
          <w:szCs w:val="20"/>
        </w:rPr>
        <w:t>Net Income to EBITDA Reconciliation</w:t>
      </w:r>
    </w:p>
    <w:p w14:paraId="70898883" w14:textId="77777777" w:rsidR="001271EE" w:rsidRDefault="001271EE" w:rsidP="001271EE">
      <w:pPr>
        <w:shd w:val="clear" w:color="auto" w:fill="FFFFFF"/>
        <w:tabs>
          <w:tab w:val="right" w:pos="9360"/>
        </w:tabs>
        <w:spacing w:after="300"/>
        <w:jc w:val="both"/>
        <w:rPr>
          <w:rFonts w:ascii="Times New Roman" w:hAnsi="Times New Roman" w:cs="Times New Roman"/>
          <w:sz w:val="20"/>
          <w:szCs w:val="20"/>
        </w:rPr>
      </w:pPr>
      <w:r>
        <w:rPr>
          <w:rFonts w:ascii="Times New Roman" w:hAnsi="Times New Roman" w:cs="Times New Roman"/>
          <w:sz w:val="20"/>
          <w:szCs w:val="20"/>
        </w:rPr>
        <w:t>We continue our profitability as shown in the table below:</w:t>
      </w: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3"/>
        <w:gridCol w:w="384"/>
        <w:gridCol w:w="261"/>
        <w:gridCol w:w="2075"/>
        <w:gridCol w:w="384"/>
        <w:gridCol w:w="576"/>
        <w:gridCol w:w="2077"/>
      </w:tblGrid>
      <w:tr w:rsidR="00FE2562" w14:paraId="129CE172" w14:textId="77777777" w:rsidTr="00FE2562">
        <w:trPr>
          <w:trHeight w:hRule="exact" w:val="20"/>
        </w:trPr>
        <w:tc>
          <w:tcPr>
            <w:tcW w:w="1973" w:type="pct"/>
            <w:tcBorders>
              <w:top w:val="nil"/>
              <w:left w:val="nil"/>
              <w:bottom w:val="nil"/>
              <w:right w:val="nil"/>
            </w:tcBorders>
            <w:vAlign w:val="center"/>
          </w:tcPr>
          <w:p w14:paraId="674702BF" w14:textId="77777777" w:rsidR="00FE2562" w:rsidRDefault="00FE2562" w:rsidP="00FE2562">
            <w:pPr>
              <w:keepNext/>
              <w:spacing w:after="1"/>
              <w:rPr>
                <w:sz w:val="2"/>
              </w:rPr>
            </w:pPr>
          </w:p>
        </w:tc>
        <w:tc>
          <w:tcPr>
            <w:tcW w:w="202" w:type="pct"/>
            <w:tcBorders>
              <w:top w:val="nil"/>
              <w:left w:val="nil"/>
              <w:bottom w:val="nil"/>
              <w:right w:val="nil"/>
            </w:tcBorders>
            <w:vAlign w:val="bottom"/>
          </w:tcPr>
          <w:p w14:paraId="2A414EA7" w14:textId="77777777" w:rsidR="00FE2562" w:rsidRDefault="00FE2562" w:rsidP="00FE2562">
            <w:pPr>
              <w:keepNext/>
              <w:spacing w:after="1"/>
              <w:rPr>
                <w:sz w:val="2"/>
              </w:rPr>
            </w:pPr>
          </w:p>
        </w:tc>
        <w:tc>
          <w:tcPr>
            <w:tcW w:w="137" w:type="pct"/>
            <w:tcBorders>
              <w:top w:val="nil"/>
              <w:left w:val="nil"/>
              <w:bottom w:val="nil"/>
              <w:right w:val="nil"/>
            </w:tcBorders>
            <w:noWrap/>
            <w:vAlign w:val="bottom"/>
          </w:tcPr>
          <w:p w14:paraId="26731A69" w14:textId="77777777" w:rsidR="00FE2562" w:rsidRDefault="00FE2562" w:rsidP="00FE2562">
            <w:pPr>
              <w:keepNext/>
              <w:spacing w:after="1"/>
              <w:rPr>
                <w:sz w:val="2"/>
              </w:rPr>
            </w:pPr>
          </w:p>
        </w:tc>
        <w:tc>
          <w:tcPr>
            <w:tcW w:w="1091" w:type="pct"/>
            <w:tcBorders>
              <w:top w:val="nil"/>
              <w:left w:val="nil"/>
              <w:bottom w:val="nil"/>
              <w:right w:val="nil"/>
            </w:tcBorders>
            <w:noWrap/>
            <w:vAlign w:val="bottom"/>
          </w:tcPr>
          <w:p w14:paraId="28C8FB66" w14:textId="77777777" w:rsidR="00FE2562" w:rsidRDefault="00FE2562" w:rsidP="00FE2562">
            <w:pPr>
              <w:keepNext/>
              <w:spacing w:after="1"/>
              <w:rPr>
                <w:sz w:val="2"/>
              </w:rPr>
            </w:pPr>
          </w:p>
        </w:tc>
        <w:tc>
          <w:tcPr>
            <w:tcW w:w="202" w:type="pct"/>
            <w:tcBorders>
              <w:top w:val="nil"/>
              <w:left w:val="nil"/>
              <w:bottom w:val="nil"/>
              <w:right w:val="nil"/>
            </w:tcBorders>
            <w:noWrap/>
            <w:vAlign w:val="bottom"/>
          </w:tcPr>
          <w:p w14:paraId="416135F2" w14:textId="77777777" w:rsidR="00FE2562" w:rsidRDefault="00FE2562" w:rsidP="00FE2562">
            <w:pPr>
              <w:keepNext/>
              <w:spacing w:after="1"/>
              <w:rPr>
                <w:sz w:val="2"/>
              </w:rPr>
            </w:pPr>
          </w:p>
        </w:tc>
        <w:tc>
          <w:tcPr>
            <w:tcW w:w="303" w:type="pct"/>
            <w:tcBorders>
              <w:top w:val="nil"/>
              <w:left w:val="nil"/>
              <w:bottom w:val="nil"/>
              <w:right w:val="nil"/>
            </w:tcBorders>
            <w:noWrap/>
            <w:vAlign w:val="bottom"/>
          </w:tcPr>
          <w:p w14:paraId="495F601A" w14:textId="77777777" w:rsidR="00FE2562" w:rsidRDefault="00FE2562" w:rsidP="00FE2562">
            <w:pPr>
              <w:keepNext/>
              <w:spacing w:after="1"/>
              <w:rPr>
                <w:sz w:val="2"/>
              </w:rPr>
            </w:pPr>
          </w:p>
        </w:tc>
        <w:tc>
          <w:tcPr>
            <w:tcW w:w="1091" w:type="pct"/>
            <w:tcBorders>
              <w:top w:val="nil"/>
              <w:left w:val="nil"/>
              <w:bottom w:val="nil"/>
              <w:right w:val="nil"/>
            </w:tcBorders>
            <w:noWrap/>
            <w:vAlign w:val="bottom"/>
          </w:tcPr>
          <w:p w14:paraId="6AF6A174" w14:textId="77777777" w:rsidR="00FE2562" w:rsidRDefault="00FE2562" w:rsidP="00FE2562">
            <w:pPr>
              <w:keepNext/>
              <w:spacing w:after="1"/>
              <w:rPr>
                <w:sz w:val="2"/>
              </w:rPr>
            </w:pPr>
          </w:p>
        </w:tc>
      </w:tr>
      <w:tr w:rsidR="00FE2562" w14:paraId="0426EC15" w14:textId="77777777" w:rsidTr="00FE2562">
        <w:tc>
          <w:tcPr>
            <w:tcW w:w="1973" w:type="pct"/>
            <w:tcBorders>
              <w:top w:val="nil"/>
              <w:left w:val="nil"/>
              <w:bottom w:val="nil"/>
              <w:right w:val="nil"/>
              <w:tl2br w:val="nil"/>
              <w:tr2bl w:val="nil"/>
            </w:tcBorders>
            <w:shd w:val="solid" w:color="FFFFFF" w:fill="FFFFFF"/>
            <w:vAlign w:val="bottom"/>
          </w:tcPr>
          <w:p w14:paraId="27818119" w14:textId="77777777" w:rsidR="00FE2562" w:rsidRDefault="00FE2562" w:rsidP="00FE2562">
            <w:pPr>
              <w:spacing w:after="1"/>
              <w:rPr>
                <w:color w:val="000000"/>
                <w:sz w:val="16"/>
              </w:rPr>
            </w:pPr>
          </w:p>
        </w:tc>
        <w:tc>
          <w:tcPr>
            <w:tcW w:w="202" w:type="pct"/>
            <w:tcBorders>
              <w:top w:val="nil"/>
              <w:left w:val="nil"/>
              <w:bottom w:val="nil"/>
              <w:right w:val="nil"/>
              <w:tl2br w:val="nil"/>
              <w:tr2bl w:val="nil"/>
            </w:tcBorders>
            <w:shd w:val="solid" w:color="FFFFFF" w:fill="FFFFFF"/>
            <w:vAlign w:val="bottom"/>
          </w:tcPr>
          <w:p w14:paraId="2E4255C7" w14:textId="77777777" w:rsidR="00FE2562" w:rsidRDefault="00FE2562" w:rsidP="00FE2562">
            <w:pPr>
              <w:spacing w:after="1"/>
              <w:rPr>
                <w:color w:val="000000"/>
                <w:sz w:val="16"/>
              </w:rPr>
            </w:pPr>
          </w:p>
        </w:tc>
        <w:tc>
          <w:tcPr>
            <w:tcW w:w="2825" w:type="pct"/>
            <w:gridSpan w:val="5"/>
            <w:tcBorders>
              <w:top w:val="nil"/>
              <w:left w:val="nil"/>
              <w:bottom w:val="single" w:sz="4" w:space="0" w:color="000000"/>
              <w:right w:val="nil"/>
              <w:tl2br w:val="nil"/>
              <w:tr2bl w:val="nil"/>
            </w:tcBorders>
            <w:shd w:val="solid" w:color="FFFFFF" w:fill="FFFFFF"/>
            <w:noWrap/>
            <w:vAlign w:val="bottom"/>
          </w:tcPr>
          <w:p w14:paraId="41E187E3" w14:textId="77777777" w:rsidR="00FE2562" w:rsidRDefault="00FE2562" w:rsidP="00FE2562">
            <w:pPr>
              <w:spacing w:after="1"/>
              <w:jc w:val="center"/>
              <w:rPr>
                <w:b/>
                <w:color w:val="000000"/>
                <w:sz w:val="16"/>
              </w:rPr>
            </w:pPr>
            <w:r>
              <w:rPr>
                <w:rFonts w:ascii="Times New Roman" w:eastAsia="Times New Roman" w:hAnsi="Times New Roman" w:cs="Times New Roman"/>
                <w:b/>
                <w:color w:val="000000"/>
                <w:sz w:val="16"/>
              </w:rPr>
              <w:t xml:space="preserve">Year Ended </w:t>
            </w:r>
          </w:p>
        </w:tc>
      </w:tr>
      <w:tr w:rsidR="00FE2562" w14:paraId="58B4F694" w14:textId="77777777" w:rsidTr="00FE2562">
        <w:tc>
          <w:tcPr>
            <w:tcW w:w="1973" w:type="pct"/>
            <w:tcBorders>
              <w:top w:val="nil"/>
              <w:left w:val="nil"/>
              <w:bottom w:val="nil"/>
              <w:right w:val="nil"/>
              <w:tl2br w:val="nil"/>
              <w:tr2bl w:val="nil"/>
            </w:tcBorders>
            <w:shd w:val="solid" w:color="FFFFFF" w:fill="FFFFFF"/>
            <w:vAlign w:val="bottom"/>
          </w:tcPr>
          <w:p w14:paraId="643B8239" w14:textId="77777777" w:rsidR="00FE2562" w:rsidRDefault="00FE2562" w:rsidP="00FE2562">
            <w:pPr>
              <w:spacing w:after="1"/>
              <w:rPr>
                <w:i/>
                <w:color w:val="000000"/>
                <w:sz w:val="16"/>
              </w:rPr>
            </w:pPr>
            <w:r>
              <w:rPr>
                <w:rFonts w:ascii="Times New Roman" w:eastAsia="Times New Roman" w:hAnsi="Times New Roman" w:cs="Times New Roman"/>
                <w:i/>
                <w:color w:val="000000"/>
                <w:sz w:val="16"/>
              </w:rPr>
              <w:t>(In thousands)</w:t>
            </w:r>
          </w:p>
        </w:tc>
        <w:tc>
          <w:tcPr>
            <w:tcW w:w="202" w:type="pct"/>
            <w:tcBorders>
              <w:top w:val="nil"/>
              <w:left w:val="nil"/>
              <w:bottom w:val="nil"/>
              <w:right w:val="nil"/>
              <w:tl2br w:val="nil"/>
              <w:tr2bl w:val="nil"/>
            </w:tcBorders>
            <w:shd w:val="solid" w:color="FFFFFF" w:fill="FFFFFF"/>
            <w:noWrap/>
            <w:vAlign w:val="bottom"/>
          </w:tcPr>
          <w:p w14:paraId="59FF9F12" w14:textId="77777777" w:rsidR="00FE2562" w:rsidRDefault="00FE2562" w:rsidP="00FE2562">
            <w:pPr>
              <w:spacing w:after="1"/>
              <w:rPr>
                <w:color w:val="000000"/>
                <w:sz w:val="16"/>
              </w:rPr>
            </w:pPr>
            <w:r>
              <w:rPr>
                <w:rFonts w:ascii="Times New Roman" w:eastAsia="Times New Roman" w:hAnsi="Times New Roman" w:cs="Times New Roman"/>
                <w:color w:val="000000"/>
                <w:sz w:val="16"/>
              </w:rPr>
              <w:t>    </w:t>
            </w:r>
          </w:p>
        </w:tc>
        <w:tc>
          <w:tcPr>
            <w:tcW w:w="1228" w:type="pct"/>
            <w:gridSpan w:val="2"/>
            <w:tcBorders>
              <w:top w:val="nil"/>
              <w:left w:val="nil"/>
              <w:bottom w:val="single" w:sz="4" w:space="0" w:color="000000"/>
              <w:right w:val="nil"/>
              <w:tl2br w:val="nil"/>
              <w:tr2bl w:val="nil"/>
            </w:tcBorders>
            <w:shd w:val="solid" w:color="FFFFFF" w:fill="FFFFFF"/>
            <w:vAlign w:val="bottom"/>
          </w:tcPr>
          <w:p w14:paraId="3E8651A0" w14:textId="77777777" w:rsidR="00FE2562" w:rsidRDefault="00FE2562" w:rsidP="00FE2562">
            <w:pPr>
              <w:spacing w:after="1"/>
              <w:jc w:val="center"/>
              <w:rPr>
                <w:b/>
                <w:color w:val="000000"/>
                <w:sz w:val="16"/>
              </w:rPr>
            </w:pPr>
            <w:r>
              <w:rPr>
                <w:rFonts w:ascii="Times New Roman" w:eastAsia="Times New Roman" w:hAnsi="Times New Roman" w:cs="Times New Roman"/>
                <w:b/>
                <w:color w:val="000000"/>
                <w:sz w:val="16"/>
              </w:rPr>
              <w:t>August 31, 2024</w:t>
            </w:r>
          </w:p>
        </w:tc>
        <w:tc>
          <w:tcPr>
            <w:tcW w:w="202" w:type="pct"/>
            <w:tcBorders>
              <w:top w:val="nil"/>
              <w:left w:val="nil"/>
              <w:bottom w:val="nil"/>
              <w:right w:val="nil"/>
              <w:tl2br w:val="nil"/>
              <w:tr2bl w:val="nil"/>
            </w:tcBorders>
            <w:shd w:val="solid" w:color="FFFFFF" w:fill="FFFFFF"/>
            <w:noWrap/>
            <w:vAlign w:val="bottom"/>
          </w:tcPr>
          <w:p w14:paraId="41F64A08" w14:textId="77777777" w:rsidR="00FE2562" w:rsidRDefault="00FE2562" w:rsidP="00FE2562">
            <w:pPr>
              <w:spacing w:after="1"/>
              <w:rPr>
                <w:color w:val="000000"/>
                <w:sz w:val="16"/>
              </w:rPr>
            </w:pPr>
            <w:r>
              <w:rPr>
                <w:rFonts w:ascii="Times New Roman" w:eastAsia="Times New Roman" w:hAnsi="Times New Roman" w:cs="Times New Roman"/>
                <w:color w:val="000000"/>
                <w:sz w:val="16"/>
              </w:rPr>
              <w:t>    </w:t>
            </w:r>
          </w:p>
        </w:tc>
        <w:tc>
          <w:tcPr>
            <w:tcW w:w="1395" w:type="pct"/>
            <w:gridSpan w:val="2"/>
            <w:tcBorders>
              <w:top w:val="nil"/>
              <w:left w:val="nil"/>
              <w:bottom w:val="single" w:sz="4" w:space="0" w:color="000000"/>
              <w:right w:val="nil"/>
              <w:tl2br w:val="nil"/>
              <w:tr2bl w:val="nil"/>
            </w:tcBorders>
            <w:shd w:val="solid" w:color="FFFFFF" w:fill="FFFFFF"/>
            <w:vAlign w:val="bottom"/>
          </w:tcPr>
          <w:p w14:paraId="2082E5C2" w14:textId="77777777" w:rsidR="00FE2562" w:rsidRDefault="00FE2562" w:rsidP="00FE2562">
            <w:pPr>
              <w:spacing w:after="1"/>
              <w:jc w:val="center"/>
              <w:rPr>
                <w:b/>
                <w:color w:val="000000"/>
                <w:sz w:val="16"/>
              </w:rPr>
            </w:pPr>
            <w:r>
              <w:rPr>
                <w:rFonts w:ascii="Times New Roman" w:eastAsia="Times New Roman" w:hAnsi="Times New Roman" w:cs="Times New Roman"/>
                <w:b/>
                <w:color w:val="000000"/>
                <w:sz w:val="16"/>
              </w:rPr>
              <w:t>August 31, 2023</w:t>
            </w:r>
          </w:p>
        </w:tc>
      </w:tr>
      <w:tr w:rsidR="00FE2562" w14:paraId="3869220A" w14:textId="77777777" w:rsidTr="00FE2562">
        <w:tc>
          <w:tcPr>
            <w:tcW w:w="1973" w:type="pct"/>
            <w:tcBorders>
              <w:top w:val="nil"/>
              <w:left w:val="nil"/>
              <w:bottom w:val="nil"/>
              <w:right w:val="nil"/>
              <w:tl2br w:val="nil"/>
              <w:tr2bl w:val="nil"/>
            </w:tcBorders>
            <w:shd w:val="solid" w:color="FFFFFF" w:fill="FFFFFF"/>
            <w:vAlign w:val="center"/>
          </w:tcPr>
          <w:p w14:paraId="316460F6" w14:textId="77777777" w:rsidR="00FE2562" w:rsidRDefault="00FE2562" w:rsidP="00FE2562">
            <w:pPr>
              <w:spacing w:after="1"/>
              <w:rPr>
                <w:color w:val="000000"/>
                <w:sz w:val="20"/>
              </w:rPr>
            </w:pPr>
            <w:r>
              <w:rPr>
                <w:rFonts w:ascii="Times New Roman" w:eastAsia="Times New Roman" w:hAnsi="Times New Roman" w:cs="Times New Roman"/>
                <w:color w:val="000000"/>
                <w:sz w:val="20"/>
              </w:rPr>
              <w:t>Net Income</w:t>
            </w:r>
          </w:p>
        </w:tc>
        <w:tc>
          <w:tcPr>
            <w:tcW w:w="202" w:type="pct"/>
            <w:tcBorders>
              <w:top w:val="nil"/>
              <w:left w:val="nil"/>
              <w:bottom w:val="nil"/>
              <w:right w:val="nil"/>
              <w:tl2br w:val="nil"/>
              <w:tr2bl w:val="nil"/>
            </w:tcBorders>
            <w:shd w:val="solid" w:color="FFFFFF" w:fill="FFFFFF"/>
            <w:vAlign w:val="bottom"/>
          </w:tcPr>
          <w:p w14:paraId="72E884FF"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5D431D5A"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nil"/>
              <w:right w:val="nil"/>
              <w:tl2br w:val="nil"/>
              <w:tr2bl w:val="nil"/>
            </w:tcBorders>
            <w:shd w:val="solid" w:color="FFFFFF" w:fill="FFFFFF"/>
            <w:noWrap/>
            <w:vAlign w:val="bottom"/>
          </w:tcPr>
          <w:p w14:paraId="72C9E321"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11,613</w:t>
            </w:r>
          </w:p>
        </w:tc>
        <w:tc>
          <w:tcPr>
            <w:tcW w:w="202" w:type="pct"/>
            <w:tcBorders>
              <w:top w:val="nil"/>
              <w:left w:val="nil"/>
              <w:bottom w:val="nil"/>
              <w:right w:val="nil"/>
              <w:tl2br w:val="nil"/>
              <w:tr2bl w:val="nil"/>
            </w:tcBorders>
            <w:shd w:val="solid" w:color="FFFFFF" w:fill="FFFFFF"/>
            <w:noWrap/>
            <w:vAlign w:val="bottom"/>
          </w:tcPr>
          <w:p w14:paraId="461B563C"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21C80F58"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nil"/>
              <w:right w:val="nil"/>
              <w:tl2br w:val="nil"/>
              <w:tr2bl w:val="nil"/>
            </w:tcBorders>
            <w:shd w:val="solid" w:color="FFFFFF" w:fill="FFFFFF"/>
            <w:noWrap/>
            <w:vAlign w:val="bottom"/>
          </w:tcPr>
          <w:p w14:paraId="13016AC1"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4,699</w:t>
            </w:r>
          </w:p>
        </w:tc>
      </w:tr>
      <w:tr w:rsidR="00FE2562" w14:paraId="252CAF2E" w14:textId="77777777" w:rsidTr="00FE2562">
        <w:tc>
          <w:tcPr>
            <w:tcW w:w="1973" w:type="pct"/>
            <w:tcBorders>
              <w:top w:val="nil"/>
              <w:left w:val="nil"/>
              <w:bottom w:val="nil"/>
              <w:right w:val="nil"/>
              <w:tl2br w:val="nil"/>
              <w:tr2bl w:val="nil"/>
            </w:tcBorders>
            <w:shd w:val="solid" w:color="FFFFFF" w:fill="FFFFFF"/>
            <w:vAlign w:val="center"/>
          </w:tcPr>
          <w:p w14:paraId="344BAEC1" w14:textId="77777777" w:rsidR="00FE2562" w:rsidRDefault="00FE2562" w:rsidP="00FE2562">
            <w:pPr>
              <w:spacing w:after="1"/>
              <w:rPr>
                <w:color w:val="000000"/>
                <w:sz w:val="20"/>
              </w:rPr>
            </w:pPr>
            <w:r>
              <w:rPr>
                <w:rFonts w:ascii="Times New Roman" w:eastAsia="Times New Roman" w:hAnsi="Times New Roman" w:cs="Times New Roman"/>
                <w:color w:val="000000"/>
                <w:sz w:val="20"/>
              </w:rPr>
              <w:t>Add back:</w:t>
            </w:r>
          </w:p>
        </w:tc>
        <w:tc>
          <w:tcPr>
            <w:tcW w:w="202" w:type="pct"/>
            <w:tcBorders>
              <w:top w:val="nil"/>
              <w:left w:val="nil"/>
              <w:bottom w:val="nil"/>
              <w:right w:val="nil"/>
              <w:tl2br w:val="nil"/>
              <w:tr2bl w:val="nil"/>
            </w:tcBorders>
            <w:shd w:val="solid" w:color="FFFFFF" w:fill="FFFFFF"/>
            <w:vAlign w:val="bottom"/>
          </w:tcPr>
          <w:p w14:paraId="567BE2C6"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69B7BCC4"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48D18830" w14:textId="77777777" w:rsidR="00FE2562" w:rsidRDefault="00FE2562" w:rsidP="00FE2562">
            <w:pPr>
              <w:spacing w:after="1"/>
              <w:jc w:val="right"/>
              <w:rPr>
                <w:color w:val="000000"/>
                <w:sz w:val="20"/>
              </w:rPr>
            </w:pPr>
          </w:p>
        </w:tc>
        <w:tc>
          <w:tcPr>
            <w:tcW w:w="202" w:type="pct"/>
            <w:tcBorders>
              <w:top w:val="nil"/>
              <w:left w:val="nil"/>
              <w:bottom w:val="nil"/>
              <w:right w:val="nil"/>
              <w:tl2br w:val="nil"/>
              <w:tr2bl w:val="nil"/>
            </w:tcBorders>
            <w:shd w:val="solid" w:color="FFFFFF" w:fill="FFFFFF"/>
            <w:noWrap/>
            <w:vAlign w:val="bottom"/>
          </w:tcPr>
          <w:p w14:paraId="2962833D"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435180EB"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28CB9555" w14:textId="77777777" w:rsidR="00FE2562" w:rsidRDefault="00FE2562" w:rsidP="00FE2562">
            <w:pPr>
              <w:spacing w:after="1"/>
              <w:jc w:val="right"/>
              <w:rPr>
                <w:color w:val="000000"/>
                <w:sz w:val="20"/>
              </w:rPr>
            </w:pPr>
          </w:p>
        </w:tc>
      </w:tr>
      <w:tr w:rsidR="00FE2562" w14:paraId="57CA1A0F" w14:textId="77777777" w:rsidTr="00FE2562">
        <w:tc>
          <w:tcPr>
            <w:tcW w:w="1973" w:type="pct"/>
            <w:tcBorders>
              <w:top w:val="nil"/>
              <w:left w:val="nil"/>
              <w:bottom w:val="nil"/>
              <w:right w:val="nil"/>
              <w:tl2br w:val="nil"/>
              <w:tr2bl w:val="nil"/>
            </w:tcBorders>
            <w:shd w:val="solid" w:color="FFFFFF" w:fill="FFFFFF"/>
            <w:vAlign w:val="center"/>
          </w:tcPr>
          <w:p w14:paraId="3E492E42"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Interest expense, net</w:t>
            </w:r>
          </w:p>
        </w:tc>
        <w:tc>
          <w:tcPr>
            <w:tcW w:w="202" w:type="pct"/>
            <w:tcBorders>
              <w:top w:val="nil"/>
              <w:left w:val="nil"/>
              <w:bottom w:val="nil"/>
              <w:right w:val="nil"/>
              <w:tl2br w:val="nil"/>
              <w:tr2bl w:val="nil"/>
            </w:tcBorders>
            <w:shd w:val="solid" w:color="FFFFFF" w:fill="FFFFFF"/>
            <w:vAlign w:val="bottom"/>
          </w:tcPr>
          <w:p w14:paraId="18807CCF"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1440DB15"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17216BDB"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439</w:t>
            </w:r>
          </w:p>
        </w:tc>
        <w:tc>
          <w:tcPr>
            <w:tcW w:w="202" w:type="pct"/>
            <w:tcBorders>
              <w:top w:val="nil"/>
              <w:left w:val="nil"/>
              <w:bottom w:val="nil"/>
              <w:right w:val="nil"/>
              <w:tl2br w:val="nil"/>
              <w:tr2bl w:val="nil"/>
            </w:tcBorders>
            <w:shd w:val="solid" w:color="FFFFFF" w:fill="FFFFFF"/>
            <w:noWrap/>
            <w:vAlign w:val="bottom"/>
          </w:tcPr>
          <w:p w14:paraId="78335F03" w14:textId="77777777" w:rsidR="00FE2562" w:rsidRDefault="00FE2562" w:rsidP="00FE2562">
            <w:pPr>
              <w:spacing w:after="1"/>
              <w:jc w:val="right"/>
              <w:rPr>
                <w:color w:val="000000"/>
                <w:sz w:val="20"/>
              </w:rPr>
            </w:pPr>
          </w:p>
        </w:tc>
        <w:tc>
          <w:tcPr>
            <w:tcW w:w="303" w:type="pct"/>
            <w:tcBorders>
              <w:top w:val="nil"/>
              <w:left w:val="nil"/>
              <w:bottom w:val="nil"/>
              <w:right w:val="nil"/>
              <w:tl2br w:val="nil"/>
              <w:tr2bl w:val="nil"/>
            </w:tcBorders>
            <w:shd w:val="solid" w:color="FFFFFF" w:fill="FFFFFF"/>
            <w:noWrap/>
            <w:vAlign w:val="bottom"/>
          </w:tcPr>
          <w:p w14:paraId="65D0E79B" w14:textId="77777777" w:rsidR="00FE2562" w:rsidRDefault="00FE2562" w:rsidP="00FE2562">
            <w:pPr>
              <w:spacing w:after="1"/>
              <w:jc w:val="right"/>
              <w:rPr>
                <w:color w:val="000000"/>
                <w:sz w:val="20"/>
              </w:rPr>
            </w:pPr>
          </w:p>
        </w:tc>
        <w:tc>
          <w:tcPr>
            <w:tcW w:w="1091" w:type="pct"/>
            <w:tcBorders>
              <w:top w:val="nil"/>
              <w:left w:val="nil"/>
              <w:bottom w:val="nil"/>
              <w:right w:val="nil"/>
              <w:tl2br w:val="nil"/>
              <w:tr2bl w:val="nil"/>
            </w:tcBorders>
            <w:shd w:val="solid" w:color="FFFFFF" w:fill="FFFFFF"/>
            <w:noWrap/>
            <w:vAlign w:val="bottom"/>
          </w:tcPr>
          <w:p w14:paraId="1A520658"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206</w:t>
            </w:r>
          </w:p>
        </w:tc>
      </w:tr>
      <w:tr w:rsidR="00FE2562" w14:paraId="733527DE" w14:textId="77777777" w:rsidTr="00FE2562">
        <w:tc>
          <w:tcPr>
            <w:tcW w:w="1973" w:type="pct"/>
            <w:tcBorders>
              <w:top w:val="nil"/>
              <w:left w:val="nil"/>
              <w:bottom w:val="nil"/>
              <w:right w:val="nil"/>
              <w:tl2br w:val="nil"/>
              <w:tr2bl w:val="nil"/>
            </w:tcBorders>
            <w:shd w:val="solid" w:color="FFFFFF" w:fill="FFFFFF"/>
            <w:vAlign w:val="center"/>
          </w:tcPr>
          <w:p w14:paraId="7F56A536"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Taxes</w:t>
            </w:r>
          </w:p>
        </w:tc>
        <w:tc>
          <w:tcPr>
            <w:tcW w:w="202" w:type="pct"/>
            <w:tcBorders>
              <w:top w:val="nil"/>
              <w:left w:val="nil"/>
              <w:bottom w:val="nil"/>
              <w:right w:val="nil"/>
              <w:tl2br w:val="nil"/>
              <w:tr2bl w:val="nil"/>
            </w:tcBorders>
            <w:shd w:val="solid" w:color="FFFFFF" w:fill="FFFFFF"/>
            <w:vAlign w:val="bottom"/>
          </w:tcPr>
          <w:p w14:paraId="3A0CFACF"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1EFEAA26"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2AD22A34"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4,019</w:t>
            </w:r>
          </w:p>
        </w:tc>
        <w:tc>
          <w:tcPr>
            <w:tcW w:w="202" w:type="pct"/>
            <w:tcBorders>
              <w:top w:val="nil"/>
              <w:left w:val="nil"/>
              <w:bottom w:val="nil"/>
              <w:right w:val="nil"/>
              <w:tl2br w:val="nil"/>
              <w:tr2bl w:val="nil"/>
            </w:tcBorders>
            <w:shd w:val="solid" w:color="FFFFFF" w:fill="FFFFFF"/>
            <w:noWrap/>
            <w:vAlign w:val="bottom"/>
          </w:tcPr>
          <w:p w14:paraId="5BA9E1C8"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1F47AE25"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1BF077EB"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1,521</w:t>
            </w:r>
          </w:p>
        </w:tc>
      </w:tr>
      <w:tr w:rsidR="00FE2562" w14:paraId="36B8A698" w14:textId="77777777" w:rsidTr="00FE2562">
        <w:tc>
          <w:tcPr>
            <w:tcW w:w="1973" w:type="pct"/>
            <w:tcBorders>
              <w:top w:val="nil"/>
              <w:left w:val="nil"/>
              <w:bottom w:val="nil"/>
              <w:right w:val="nil"/>
              <w:tl2br w:val="nil"/>
              <w:tr2bl w:val="nil"/>
            </w:tcBorders>
            <w:shd w:val="solid" w:color="FFFFFF" w:fill="FFFFFF"/>
            <w:vAlign w:val="center"/>
          </w:tcPr>
          <w:p w14:paraId="59476403"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Depreciation / amortization</w:t>
            </w:r>
          </w:p>
        </w:tc>
        <w:tc>
          <w:tcPr>
            <w:tcW w:w="202" w:type="pct"/>
            <w:tcBorders>
              <w:top w:val="nil"/>
              <w:left w:val="nil"/>
              <w:bottom w:val="nil"/>
              <w:right w:val="nil"/>
              <w:tl2br w:val="nil"/>
              <w:tr2bl w:val="nil"/>
            </w:tcBorders>
            <w:shd w:val="solid" w:color="FFFFFF" w:fill="FFFFFF"/>
            <w:vAlign w:val="bottom"/>
          </w:tcPr>
          <w:p w14:paraId="22D4A461" w14:textId="77777777" w:rsidR="00FE2562" w:rsidRDefault="00FE2562" w:rsidP="00FE2562">
            <w:pPr>
              <w:spacing w:after="1"/>
              <w:rPr>
                <w:color w:val="000000"/>
                <w:sz w:val="20"/>
              </w:rPr>
            </w:pPr>
          </w:p>
        </w:tc>
        <w:tc>
          <w:tcPr>
            <w:tcW w:w="137" w:type="pct"/>
            <w:tcBorders>
              <w:top w:val="nil"/>
              <w:left w:val="nil"/>
              <w:bottom w:val="single" w:sz="4" w:space="0" w:color="000000"/>
              <w:right w:val="nil"/>
              <w:tl2br w:val="nil"/>
              <w:tr2bl w:val="nil"/>
            </w:tcBorders>
            <w:shd w:val="solid" w:color="FFFFFF" w:fill="FFFFFF"/>
            <w:noWrap/>
            <w:vAlign w:val="bottom"/>
          </w:tcPr>
          <w:p w14:paraId="52B2D62F" w14:textId="77777777" w:rsidR="00FE2562" w:rsidRDefault="00FE2562" w:rsidP="00FE2562">
            <w:pPr>
              <w:spacing w:after="1"/>
              <w:rPr>
                <w:color w:val="000000"/>
                <w:sz w:val="20"/>
              </w:rPr>
            </w:pPr>
          </w:p>
        </w:tc>
        <w:tc>
          <w:tcPr>
            <w:tcW w:w="1091" w:type="pct"/>
            <w:tcBorders>
              <w:top w:val="nil"/>
              <w:left w:val="nil"/>
              <w:bottom w:val="single" w:sz="4" w:space="0" w:color="000000"/>
              <w:right w:val="nil"/>
              <w:tl2br w:val="nil"/>
              <w:tr2bl w:val="nil"/>
            </w:tcBorders>
            <w:shd w:val="solid" w:color="FFFFFF" w:fill="FFFFFF"/>
            <w:noWrap/>
            <w:vAlign w:val="bottom"/>
          </w:tcPr>
          <w:p w14:paraId="31CFA4B6"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2,100</w:t>
            </w:r>
          </w:p>
        </w:tc>
        <w:tc>
          <w:tcPr>
            <w:tcW w:w="202" w:type="pct"/>
            <w:tcBorders>
              <w:top w:val="nil"/>
              <w:left w:val="nil"/>
              <w:bottom w:val="nil"/>
              <w:right w:val="nil"/>
              <w:tl2br w:val="nil"/>
              <w:tr2bl w:val="nil"/>
            </w:tcBorders>
            <w:shd w:val="solid" w:color="FFFFFF" w:fill="FFFFFF"/>
            <w:noWrap/>
            <w:vAlign w:val="bottom"/>
          </w:tcPr>
          <w:p w14:paraId="05EEB994" w14:textId="77777777" w:rsidR="00FE2562" w:rsidRDefault="00FE2562" w:rsidP="00FE2562">
            <w:pPr>
              <w:spacing w:after="1"/>
              <w:rPr>
                <w:color w:val="000000"/>
                <w:sz w:val="20"/>
              </w:rPr>
            </w:pPr>
          </w:p>
        </w:tc>
        <w:tc>
          <w:tcPr>
            <w:tcW w:w="303" w:type="pct"/>
            <w:tcBorders>
              <w:top w:val="nil"/>
              <w:left w:val="nil"/>
              <w:bottom w:val="single" w:sz="4" w:space="0" w:color="000000"/>
              <w:right w:val="nil"/>
              <w:tl2br w:val="nil"/>
              <w:tr2bl w:val="nil"/>
            </w:tcBorders>
            <w:shd w:val="solid" w:color="FFFFFF" w:fill="FFFFFF"/>
            <w:noWrap/>
            <w:vAlign w:val="bottom"/>
          </w:tcPr>
          <w:p w14:paraId="325225FA" w14:textId="77777777" w:rsidR="00FE2562" w:rsidRDefault="00FE2562" w:rsidP="00FE2562">
            <w:pPr>
              <w:spacing w:after="1"/>
              <w:rPr>
                <w:color w:val="000000"/>
                <w:sz w:val="20"/>
              </w:rPr>
            </w:pPr>
          </w:p>
        </w:tc>
        <w:tc>
          <w:tcPr>
            <w:tcW w:w="1091" w:type="pct"/>
            <w:tcBorders>
              <w:top w:val="nil"/>
              <w:left w:val="nil"/>
              <w:bottom w:val="single" w:sz="4" w:space="0" w:color="000000"/>
              <w:right w:val="nil"/>
              <w:tl2br w:val="nil"/>
              <w:tr2bl w:val="nil"/>
            </w:tcBorders>
            <w:shd w:val="solid" w:color="FFFFFF" w:fill="FFFFFF"/>
            <w:noWrap/>
            <w:vAlign w:val="bottom"/>
          </w:tcPr>
          <w:p w14:paraId="1487BF0A"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2,156</w:t>
            </w:r>
          </w:p>
        </w:tc>
      </w:tr>
      <w:tr w:rsidR="00FE2562" w14:paraId="1DAC5781" w14:textId="77777777" w:rsidTr="00FE2562">
        <w:tc>
          <w:tcPr>
            <w:tcW w:w="1973" w:type="pct"/>
            <w:tcBorders>
              <w:top w:val="nil"/>
              <w:left w:val="nil"/>
              <w:bottom w:val="nil"/>
              <w:right w:val="nil"/>
              <w:tl2br w:val="nil"/>
              <w:tr2bl w:val="nil"/>
            </w:tcBorders>
            <w:shd w:val="solid" w:color="FFFFFF" w:fill="FFFFFF"/>
            <w:vAlign w:val="center"/>
          </w:tcPr>
          <w:p w14:paraId="64DBE564" w14:textId="77777777" w:rsidR="00FE2562" w:rsidRDefault="00FE2562" w:rsidP="00FE2562">
            <w:pPr>
              <w:spacing w:after="1"/>
              <w:rPr>
                <w:color w:val="000000"/>
                <w:sz w:val="20"/>
              </w:rPr>
            </w:pPr>
            <w:r>
              <w:rPr>
                <w:rFonts w:ascii="Times New Roman" w:eastAsia="Times New Roman" w:hAnsi="Times New Roman" w:cs="Times New Roman"/>
                <w:color w:val="000000"/>
                <w:sz w:val="20"/>
              </w:rPr>
              <w:t>EBITDA</w:t>
            </w:r>
          </w:p>
        </w:tc>
        <w:tc>
          <w:tcPr>
            <w:tcW w:w="202" w:type="pct"/>
            <w:tcBorders>
              <w:top w:val="nil"/>
              <w:left w:val="nil"/>
              <w:bottom w:val="nil"/>
              <w:right w:val="nil"/>
              <w:tl2br w:val="nil"/>
              <w:tr2bl w:val="nil"/>
            </w:tcBorders>
            <w:shd w:val="solid" w:color="FFFFFF" w:fill="FFFFFF"/>
            <w:vAlign w:val="bottom"/>
          </w:tcPr>
          <w:p w14:paraId="62FC14CD" w14:textId="77777777" w:rsidR="00FE2562" w:rsidRDefault="00FE2562" w:rsidP="00FE2562">
            <w:pPr>
              <w:spacing w:after="1"/>
              <w:rPr>
                <w:color w:val="000000"/>
                <w:sz w:val="20"/>
              </w:rPr>
            </w:pPr>
          </w:p>
        </w:tc>
        <w:tc>
          <w:tcPr>
            <w:tcW w:w="137" w:type="pct"/>
            <w:tcBorders>
              <w:top w:val="nil"/>
              <w:left w:val="nil"/>
              <w:bottom w:val="double" w:sz="4" w:space="0" w:color="000000"/>
              <w:right w:val="nil"/>
              <w:tl2br w:val="nil"/>
              <w:tr2bl w:val="nil"/>
            </w:tcBorders>
            <w:shd w:val="solid" w:color="FFFFFF" w:fill="FFFFFF"/>
            <w:noWrap/>
            <w:vAlign w:val="bottom"/>
          </w:tcPr>
          <w:p w14:paraId="7BB6F6C1"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352534BD"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18,171</w:t>
            </w:r>
          </w:p>
        </w:tc>
        <w:tc>
          <w:tcPr>
            <w:tcW w:w="202" w:type="pct"/>
            <w:tcBorders>
              <w:top w:val="nil"/>
              <w:left w:val="nil"/>
              <w:bottom w:val="nil"/>
              <w:right w:val="nil"/>
              <w:tl2br w:val="nil"/>
              <w:tr2bl w:val="nil"/>
            </w:tcBorders>
            <w:shd w:val="solid" w:color="FFFFFF" w:fill="FFFFFF"/>
            <w:noWrap/>
            <w:vAlign w:val="bottom"/>
          </w:tcPr>
          <w:p w14:paraId="6F64FC6A" w14:textId="77777777" w:rsidR="00FE2562" w:rsidRDefault="00FE2562" w:rsidP="00FE2562">
            <w:pPr>
              <w:spacing w:after="1"/>
              <w:rPr>
                <w:color w:val="000000"/>
                <w:sz w:val="20"/>
              </w:rPr>
            </w:pPr>
          </w:p>
        </w:tc>
        <w:tc>
          <w:tcPr>
            <w:tcW w:w="303" w:type="pct"/>
            <w:tcBorders>
              <w:top w:val="nil"/>
              <w:left w:val="nil"/>
              <w:bottom w:val="double" w:sz="4" w:space="0" w:color="000000"/>
              <w:right w:val="nil"/>
              <w:tl2br w:val="nil"/>
              <w:tr2bl w:val="nil"/>
            </w:tcBorders>
            <w:shd w:val="solid" w:color="FFFFFF" w:fill="FFFFFF"/>
            <w:noWrap/>
            <w:vAlign w:val="bottom"/>
          </w:tcPr>
          <w:p w14:paraId="103472D6"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472626D3"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8,582</w:t>
            </w:r>
          </w:p>
        </w:tc>
      </w:tr>
      <w:tr w:rsidR="00FE2562" w14:paraId="57A98DEB" w14:textId="77777777" w:rsidTr="00FE2562">
        <w:tc>
          <w:tcPr>
            <w:tcW w:w="1973" w:type="pct"/>
            <w:tcBorders>
              <w:top w:val="nil"/>
              <w:left w:val="nil"/>
              <w:bottom w:val="nil"/>
              <w:right w:val="nil"/>
              <w:tl2br w:val="nil"/>
              <w:tr2bl w:val="nil"/>
            </w:tcBorders>
            <w:shd w:val="solid" w:color="FFFFFF" w:fill="FFFFFF"/>
            <w:vAlign w:val="center"/>
          </w:tcPr>
          <w:p w14:paraId="77A5A416" w14:textId="77777777" w:rsidR="00FE2562" w:rsidRDefault="00FE2562" w:rsidP="00FE2562">
            <w:pPr>
              <w:spacing w:after="1"/>
              <w:rPr>
                <w:color w:val="000000"/>
                <w:sz w:val="20"/>
              </w:rPr>
            </w:pPr>
          </w:p>
        </w:tc>
        <w:tc>
          <w:tcPr>
            <w:tcW w:w="202" w:type="pct"/>
            <w:tcBorders>
              <w:top w:val="nil"/>
              <w:left w:val="nil"/>
              <w:bottom w:val="nil"/>
              <w:right w:val="nil"/>
              <w:tl2br w:val="nil"/>
              <w:tr2bl w:val="nil"/>
            </w:tcBorders>
            <w:shd w:val="solid" w:color="FFFFFF" w:fill="FFFFFF"/>
            <w:vAlign w:val="bottom"/>
          </w:tcPr>
          <w:p w14:paraId="2894D0FC"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70222A16"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69B58653" w14:textId="77777777" w:rsidR="00FE2562" w:rsidRDefault="00FE2562" w:rsidP="00FE2562">
            <w:pPr>
              <w:spacing w:after="1"/>
              <w:rPr>
                <w:color w:val="000000"/>
                <w:sz w:val="20"/>
              </w:rPr>
            </w:pPr>
          </w:p>
        </w:tc>
        <w:tc>
          <w:tcPr>
            <w:tcW w:w="202" w:type="pct"/>
            <w:tcBorders>
              <w:top w:val="nil"/>
              <w:left w:val="nil"/>
              <w:bottom w:val="nil"/>
              <w:right w:val="nil"/>
              <w:tl2br w:val="nil"/>
              <w:tr2bl w:val="nil"/>
            </w:tcBorders>
            <w:shd w:val="solid" w:color="FFFFFF" w:fill="FFFFFF"/>
            <w:noWrap/>
            <w:vAlign w:val="bottom"/>
          </w:tcPr>
          <w:p w14:paraId="73EF1390"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35CE6D5B"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4B460138" w14:textId="77777777" w:rsidR="00FE2562" w:rsidRDefault="00FE2562" w:rsidP="00FE2562">
            <w:pPr>
              <w:spacing w:after="1"/>
              <w:rPr>
                <w:color w:val="000000"/>
                <w:sz w:val="20"/>
              </w:rPr>
            </w:pPr>
          </w:p>
        </w:tc>
      </w:tr>
      <w:tr w:rsidR="00FE2562" w14:paraId="76C122C4" w14:textId="77777777" w:rsidTr="00FE2562">
        <w:tc>
          <w:tcPr>
            <w:tcW w:w="1973" w:type="pct"/>
            <w:tcBorders>
              <w:top w:val="nil"/>
              <w:left w:val="nil"/>
              <w:bottom w:val="nil"/>
              <w:right w:val="nil"/>
              <w:tl2br w:val="nil"/>
              <w:tr2bl w:val="nil"/>
            </w:tcBorders>
            <w:shd w:val="solid" w:color="FFFFFF" w:fill="FFFFFF"/>
            <w:vAlign w:val="center"/>
          </w:tcPr>
          <w:p w14:paraId="1EB662A4" w14:textId="77777777" w:rsidR="00FE2562" w:rsidRDefault="00FE2562" w:rsidP="00FE2562">
            <w:pPr>
              <w:spacing w:after="1"/>
              <w:rPr>
                <w:color w:val="000000"/>
                <w:sz w:val="20"/>
              </w:rPr>
            </w:pPr>
            <w:r>
              <w:rPr>
                <w:rFonts w:ascii="Times New Roman" w:eastAsia="Times New Roman" w:hAnsi="Times New Roman" w:cs="Times New Roman"/>
                <w:color w:val="000000"/>
                <w:sz w:val="20"/>
              </w:rPr>
              <w:t>Earnings per common share - basic and diluted</w:t>
            </w:r>
          </w:p>
        </w:tc>
        <w:tc>
          <w:tcPr>
            <w:tcW w:w="202" w:type="pct"/>
            <w:tcBorders>
              <w:top w:val="nil"/>
              <w:left w:val="nil"/>
              <w:bottom w:val="nil"/>
              <w:right w:val="nil"/>
              <w:tl2br w:val="nil"/>
              <w:tr2bl w:val="nil"/>
            </w:tcBorders>
            <w:shd w:val="solid" w:color="FFFFFF" w:fill="FFFFFF"/>
            <w:vAlign w:val="bottom"/>
          </w:tcPr>
          <w:p w14:paraId="55F2E121"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61B387A0"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3F6700C2" w14:textId="77777777" w:rsidR="00FE2562" w:rsidRDefault="00FE2562" w:rsidP="00FE2562">
            <w:pPr>
              <w:spacing w:after="1"/>
              <w:rPr>
                <w:color w:val="000000"/>
                <w:sz w:val="20"/>
              </w:rPr>
            </w:pPr>
          </w:p>
        </w:tc>
        <w:tc>
          <w:tcPr>
            <w:tcW w:w="202" w:type="pct"/>
            <w:tcBorders>
              <w:top w:val="nil"/>
              <w:left w:val="nil"/>
              <w:bottom w:val="nil"/>
              <w:right w:val="nil"/>
              <w:tl2br w:val="nil"/>
              <w:tr2bl w:val="nil"/>
            </w:tcBorders>
            <w:shd w:val="solid" w:color="FFFFFF" w:fill="FFFFFF"/>
            <w:noWrap/>
            <w:vAlign w:val="bottom"/>
          </w:tcPr>
          <w:p w14:paraId="6D94E113"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038B8480"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1A66D9E0" w14:textId="77777777" w:rsidR="00FE2562" w:rsidRDefault="00FE2562" w:rsidP="00FE2562">
            <w:pPr>
              <w:spacing w:after="1"/>
              <w:rPr>
                <w:color w:val="000000"/>
                <w:sz w:val="20"/>
              </w:rPr>
            </w:pPr>
          </w:p>
        </w:tc>
      </w:tr>
      <w:tr w:rsidR="00FE2562" w14:paraId="3C59889F" w14:textId="77777777" w:rsidTr="00FE2562">
        <w:tc>
          <w:tcPr>
            <w:tcW w:w="1973" w:type="pct"/>
            <w:tcBorders>
              <w:top w:val="nil"/>
              <w:left w:val="nil"/>
              <w:bottom w:val="nil"/>
              <w:right w:val="nil"/>
              <w:tl2br w:val="nil"/>
              <w:tr2bl w:val="nil"/>
            </w:tcBorders>
            <w:shd w:val="solid" w:color="FFFFFF" w:fill="FFFFFF"/>
            <w:vAlign w:val="center"/>
          </w:tcPr>
          <w:p w14:paraId="6A5FA27A"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Basic</w:t>
            </w:r>
          </w:p>
        </w:tc>
        <w:tc>
          <w:tcPr>
            <w:tcW w:w="202" w:type="pct"/>
            <w:tcBorders>
              <w:top w:val="nil"/>
              <w:left w:val="nil"/>
              <w:bottom w:val="nil"/>
              <w:right w:val="nil"/>
              <w:tl2br w:val="nil"/>
              <w:tr2bl w:val="nil"/>
            </w:tcBorders>
            <w:shd w:val="solid" w:color="FFFFFF" w:fill="FFFFFF"/>
            <w:vAlign w:val="bottom"/>
          </w:tcPr>
          <w:p w14:paraId="71E90419" w14:textId="77777777" w:rsidR="00FE2562" w:rsidRDefault="00FE2562" w:rsidP="00FE2562">
            <w:pPr>
              <w:spacing w:after="1"/>
              <w:rPr>
                <w:color w:val="000000"/>
                <w:sz w:val="20"/>
              </w:rPr>
            </w:pPr>
          </w:p>
        </w:tc>
        <w:tc>
          <w:tcPr>
            <w:tcW w:w="137" w:type="pct"/>
            <w:tcBorders>
              <w:top w:val="nil"/>
              <w:left w:val="nil"/>
              <w:bottom w:val="double" w:sz="4" w:space="0" w:color="000000"/>
              <w:right w:val="nil"/>
              <w:tl2br w:val="nil"/>
              <w:tr2bl w:val="nil"/>
            </w:tcBorders>
            <w:shd w:val="solid" w:color="FFFFFF" w:fill="FFFFFF"/>
            <w:noWrap/>
            <w:vAlign w:val="bottom"/>
          </w:tcPr>
          <w:p w14:paraId="134F34DC"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60ABA679"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0.48</w:t>
            </w:r>
          </w:p>
        </w:tc>
        <w:tc>
          <w:tcPr>
            <w:tcW w:w="202" w:type="pct"/>
            <w:tcBorders>
              <w:top w:val="nil"/>
              <w:left w:val="nil"/>
              <w:bottom w:val="nil"/>
              <w:right w:val="nil"/>
              <w:tl2br w:val="nil"/>
              <w:tr2bl w:val="nil"/>
            </w:tcBorders>
            <w:shd w:val="solid" w:color="FFFFFF" w:fill="FFFFFF"/>
            <w:noWrap/>
            <w:vAlign w:val="bottom"/>
          </w:tcPr>
          <w:p w14:paraId="341E65E5" w14:textId="77777777" w:rsidR="00FE2562" w:rsidRDefault="00FE2562" w:rsidP="00FE2562">
            <w:pPr>
              <w:spacing w:after="1"/>
              <w:rPr>
                <w:color w:val="000000"/>
                <w:sz w:val="20"/>
              </w:rPr>
            </w:pPr>
          </w:p>
        </w:tc>
        <w:tc>
          <w:tcPr>
            <w:tcW w:w="303" w:type="pct"/>
            <w:tcBorders>
              <w:top w:val="nil"/>
              <w:left w:val="nil"/>
              <w:bottom w:val="double" w:sz="4" w:space="0" w:color="000000"/>
              <w:right w:val="nil"/>
              <w:tl2br w:val="nil"/>
              <w:tr2bl w:val="nil"/>
            </w:tcBorders>
            <w:shd w:val="solid" w:color="FFFFFF" w:fill="FFFFFF"/>
            <w:noWrap/>
            <w:vAlign w:val="bottom"/>
          </w:tcPr>
          <w:p w14:paraId="0D37D84A"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3271370C"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0.20</w:t>
            </w:r>
          </w:p>
        </w:tc>
      </w:tr>
      <w:tr w:rsidR="00FE2562" w14:paraId="5FAD9397" w14:textId="77777777" w:rsidTr="00FE2562">
        <w:tc>
          <w:tcPr>
            <w:tcW w:w="1973" w:type="pct"/>
            <w:tcBorders>
              <w:top w:val="nil"/>
              <w:left w:val="nil"/>
              <w:bottom w:val="nil"/>
              <w:right w:val="nil"/>
              <w:tl2br w:val="nil"/>
              <w:tr2bl w:val="nil"/>
            </w:tcBorders>
            <w:shd w:val="solid" w:color="FFFFFF" w:fill="FFFFFF"/>
            <w:vAlign w:val="center"/>
          </w:tcPr>
          <w:p w14:paraId="51DB1D9E"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Diluted</w:t>
            </w:r>
          </w:p>
        </w:tc>
        <w:tc>
          <w:tcPr>
            <w:tcW w:w="202" w:type="pct"/>
            <w:tcBorders>
              <w:top w:val="nil"/>
              <w:left w:val="nil"/>
              <w:bottom w:val="nil"/>
              <w:right w:val="nil"/>
              <w:tl2br w:val="nil"/>
              <w:tr2bl w:val="nil"/>
            </w:tcBorders>
            <w:shd w:val="solid" w:color="FFFFFF" w:fill="FFFFFF"/>
            <w:vAlign w:val="bottom"/>
          </w:tcPr>
          <w:p w14:paraId="5E0C18C7" w14:textId="77777777" w:rsidR="00FE2562" w:rsidRDefault="00FE2562" w:rsidP="00FE2562">
            <w:pPr>
              <w:spacing w:after="1"/>
              <w:rPr>
                <w:color w:val="000000"/>
                <w:sz w:val="20"/>
              </w:rPr>
            </w:pPr>
          </w:p>
        </w:tc>
        <w:tc>
          <w:tcPr>
            <w:tcW w:w="137" w:type="pct"/>
            <w:tcBorders>
              <w:top w:val="nil"/>
              <w:left w:val="nil"/>
              <w:bottom w:val="double" w:sz="4" w:space="0" w:color="000000"/>
              <w:right w:val="nil"/>
              <w:tl2br w:val="nil"/>
              <w:tr2bl w:val="nil"/>
            </w:tcBorders>
            <w:shd w:val="solid" w:color="FFFFFF" w:fill="FFFFFF"/>
            <w:noWrap/>
            <w:vAlign w:val="bottom"/>
          </w:tcPr>
          <w:p w14:paraId="111F7718"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7F287D4D"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0.48</w:t>
            </w:r>
          </w:p>
        </w:tc>
        <w:tc>
          <w:tcPr>
            <w:tcW w:w="202" w:type="pct"/>
            <w:tcBorders>
              <w:top w:val="nil"/>
              <w:left w:val="nil"/>
              <w:bottom w:val="nil"/>
              <w:right w:val="nil"/>
              <w:tl2br w:val="nil"/>
              <w:tr2bl w:val="nil"/>
            </w:tcBorders>
            <w:shd w:val="solid" w:color="FFFFFF" w:fill="FFFFFF"/>
            <w:noWrap/>
            <w:vAlign w:val="bottom"/>
          </w:tcPr>
          <w:p w14:paraId="4F5BEBE8" w14:textId="77777777" w:rsidR="00FE2562" w:rsidRDefault="00FE2562" w:rsidP="00FE2562">
            <w:pPr>
              <w:spacing w:after="1"/>
              <w:rPr>
                <w:color w:val="000000"/>
                <w:sz w:val="20"/>
              </w:rPr>
            </w:pPr>
          </w:p>
        </w:tc>
        <w:tc>
          <w:tcPr>
            <w:tcW w:w="303" w:type="pct"/>
            <w:tcBorders>
              <w:top w:val="nil"/>
              <w:left w:val="nil"/>
              <w:bottom w:val="double" w:sz="4" w:space="0" w:color="000000"/>
              <w:right w:val="nil"/>
              <w:tl2br w:val="nil"/>
              <w:tr2bl w:val="nil"/>
            </w:tcBorders>
            <w:shd w:val="solid" w:color="FFFFFF" w:fill="FFFFFF"/>
            <w:noWrap/>
            <w:vAlign w:val="bottom"/>
          </w:tcPr>
          <w:p w14:paraId="147603B8"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0E79548E"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0.19</w:t>
            </w:r>
          </w:p>
        </w:tc>
      </w:tr>
      <w:tr w:rsidR="00FE2562" w14:paraId="2D5B223E" w14:textId="77777777" w:rsidTr="00FE2562">
        <w:tc>
          <w:tcPr>
            <w:tcW w:w="1973" w:type="pct"/>
            <w:tcBorders>
              <w:top w:val="nil"/>
              <w:left w:val="nil"/>
              <w:bottom w:val="nil"/>
              <w:right w:val="nil"/>
              <w:tl2br w:val="nil"/>
              <w:tr2bl w:val="nil"/>
            </w:tcBorders>
            <w:shd w:val="solid" w:color="FFFFFF" w:fill="FFFFFF"/>
            <w:noWrap/>
            <w:vAlign w:val="bottom"/>
          </w:tcPr>
          <w:p w14:paraId="2103F70D" w14:textId="77777777" w:rsidR="00FE2562" w:rsidRDefault="00FE2562" w:rsidP="00FE2562">
            <w:pPr>
              <w:spacing w:after="1"/>
              <w:rPr>
                <w:color w:val="000000"/>
              </w:rPr>
            </w:pPr>
          </w:p>
        </w:tc>
        <w:tc>
          <w:tcPr>
            <w:tcW w:w="202" w:type="pct"/>
            <w:tcBorders>
              <w:top w:val="nil"/>
              <w:left w:val="nil"/>
              <w:bottom w:val="nil"/>
              <w:right w:val="nil"/>
              <w:tl2br w:val="nil"/>
              <w:tr2bl w:val="nil"/>
            </w:tcBorders>
            <w:shd w:val="solid" w:color="FFFFFF" w:fill="FFFFFF"/>
            <w:noWrap/>
            <w:vAlign w:val="bottom"/>
          </w:tcPr>
          <w:p w14:paraId="3029767B" w14:textId="77777777" w:rsidR="00FE2562" w:rsidRDefault="00FE2562" w:rsidP="00FE2562">
            <w:pPr>
              <w:spacing w:after="1"/>
              <w:rPr>
                <w:color w:val="000000"/>
              </w:rPr>
            </w:pPr>
          </w:p>
        </w:tc>
        <w:tc>
          <w:tcPr>
            <w:tcW w:w="137" w:type="pct"/>
            <w:tcBorders>
              <w:top w:val="nil"/>
              <w:left w:val="nil"/>
              <w:bottom w:val="nil"/>
              <w:right w:val="nil"/>
              <w:tl2br w:val="nil"/>
              <w:tr2bl w:val="nil"/>
            </w:tcBorders>
            <w:shd w:val="solid" w:color="FFFFFF" w:fill="FFFFFF"/>
            <w:noWrap/>
            <w:vAlign w:val="bottom"/>
          </w:tcPr>
          <w:p w14:paraId="41B30E79" w14:textId="77777777" w:rsidR="00FE2562" w:rsidRDefault="00FE2562" w:rsidP="00FE2562">
            <w:pPr>
              <w:spacing w:after="1"/>
              <w:rPr>
                <w:color w:val="000000"/>
              </w:rPr>
            </w:pPr>
          </w:p>
        </w:tc>
        <w:tc>
          <w:tcPr>
            <w:tcW w:w="1091" w:type="pct"/>
            <w:tcBorders>
              <w:top w:val="nil"/>
              <w:left w:val="nil"/>
              <w:bottom w:val="nil"/>
              <w:right w:val="nil"/>
              <w:tl2br w:val="nil"/>
              <w:tr2bl w:val="nil"/>
            </w:tcBorders>
            <w:shd w:val="solid" w:color="FFFFFF" w:fill="FFFFFF"/>
            <w:noWrap/>
            <w:vAlign w:val="bottom"/>
          </w:tcPr>
          <w:p w14:paraId="0D3EFDDE" w14:textId="77777777" w:rsidR="00FE2562" w:rsidRDefault="00FE2562" w:rsidP="00FE2562">
            <w:pPr>
              <w:spacing w:after="1"/>
              <w:rPr>
                <w:color w:val="000000"/>
              </w:rPr>
            </w:pPr>
          </w:p>
        </w:tc>
        <w:tc>
          <w:tcPr>
            <w:tcW w:w="202" w:type="pct"/>
            <w:tcBorders>
              <w:top w:val="nil"/>
              <w:left w:val="nil"/>
              <w:bottom w:val="nil"/>
              <w:right w:val="nil"/>
              <w:tl2br w:val="nil"/>
              <w:tr2bl w:val="nil"/>
            </w:tcBorders>
            <w:shd w:val="solid" w:color="FFFFFF" w:fill="FFFFFF"/>
            <w:noWrap/>
            <w:vAlign w:val="bottom"/>
          </w:tcPr>
          <w:p w14:paraId="449DF32F" w14:textId="77777777" w:rsidR="00FE2562" w:rsidRDefault="00FE2562" w:rsidP="00FE2562">
            <w:pPr>
              <w:spacing w:after="1"/>
              <w:rPr>
                <w:color w:val="000000"/>
              </w:rPr>
            </w:pPr>
          </w:p>
        </w:tc>
        <w:tc>
          <w:tcPr>
            <w:tcW w:w="303" w:type="pct"/>
            <w:tcBorders>
              <w:top w:val="nil"/>
              <w:left w:val="nil"/>
              <w:bottom w:val="nil"/>
              <w:right w:val="nil"/>
              <w:tl2br w:val="nil"/>
              <w:tr2bl w:val="nil"/>
            </w:tcBorders>
            <w:shd w:val="solid" w:color="FFFFFF" w:fill="FFFFFF"/>
            <w:noWrap/>
            <w:vAlign w:val="bottom"/>
          </w:tcPr>
          <w:p w14:paraId="7A871B20" w14:textId="77777777" w:rsidR="00FE2562" w:rsidRDefault="00FE2562" w:rsidP="00FE2562">
            <w:pPr>
              <w:spacing w:after="1"/>
              <w:rPr>
                <w:color w:val="000000"/>
              </w:rPr>
            </w:pPr>
          </w:p>
        </w:tc>
        <w:tc>
          <w:tcPr>
            <w:tcW w:w="1091" w:type="pct"/>
            <w:tcBorders>
              <w:top w:val="nil"/>
              <w:left w:val="nil"/>
              <w:bottom w:val="nil"/>
              <w:right w:val="nil"/>
              <w:tl2br w:val="nil"/>
              <w:tr2bl w:val="nil"/>
            </w:tcBorders>
            <w:shd w:val="solid" w:color="FFFFFF" w:fill="FFFFFF"/>
            <w:noWrap/>
            <w:vAlign w:val="bottom"/>
          </w:tcPr>
          <w:p w14:paraId="2C289EA6" w14:textId="77777777" w:rsidR="00FE2562" w:rsidRDefault="00FE2562" w:rsidP="00FE2562">
            <w:pPr>
              <w:spacing w:after="1"/>
              <w:rPr>
                <w:color w:val="000000"/>
              </w:rPr>
            </w:pPr>
          </w:p>
        </w:tc>
      </w:tr>
      <w:tr w:rsidR="00FE2562" w14:paraId="48BC240E" w14:textId="77777777" w:rsidTr="00FE2562">
        <w:tc>
          <w:tcPr>
            <w:tcW w:w="1973" w:type="pct"/>
            <w:tcBorders>
              <w:top w:val="nil"/>
              <w:left w:val="nil"/>
              <w:bottom w:val="nil"/>
              <w:right w:val="nil"/>
              <w:tl2br w:val="nil"/>
              <w:tr2bl w:val="nil"/>
            </w:tcBorders>
            <w:shd w:val="solid" w:color="FFFFFF" w:fill="FFFFFF"/>
            <w:vAlign w:val="center"/>
          </w:tcPr>
          <w:p w14:paraId="1C3D797F" w14:textId="77777777" w:rsidR="00FE2562" w:rsidRDefault="00FE2562" w:rsidP="00FE2562">
            <w:pPr>
              <w:spacing w:after="1"/>
              <w:rPr>
                <w:color w:val="000000"/>
                <w:sz w:val="20"/>
              </w:rPr>
            </w:pPr>
            <w:r>
              <w:rPr>
                <w:rFonts w:ascii="Times New Roman" w:eastAsia="Times New Roman" w:hAnsi="Times New Roman" w:cs="Times New Roman"/>
                <w:color w:val="000000"/>
                <w:sz w:val="20"/>
              </w:rPr>
              <w:t>Weighted average common shares outstanding:</w:t>
            </w:r>
          </w:p>
        </w:tc>
        <w:tc>
          <w:tcPr>
            <w:tcW w:w="202" w:type="pct"/>
            <w:tcBorders>
              <w:top w:val="nil"/>
              <w:left w:val="nil"/>
              <w:bottom w:val="nil"/>
              <w:right w:val="nil"/>
              <w:tl2br w:val="nil"/>
              <w:tr2bl w:val="nil"/>
            </w:tcBorders>
            <w:shd w:val="solid" w:color="FFFFFF" w:fill="FFFFFF"/>
            <w:noWrap/>
            <w:vAlign w:val="bottom"/>
          </w:tcPr>
          <w:p w14:paraId="7D6AAFDC" w14:textId="77777777" w:rsidR="00FE2562" w:rsidRDefault="00FE2562" w:rsidP="00FE2562">
            <w:pPr>
              <w:spacing w:after="1"/>
              <w:rPr>
                <w:color w:val="000000"/>
              </w:rPr>
            </w:pPr>
          </w:p>
        </w:tc>
        <w:tc>
          <w:tcPr>
            <w:tcW w:w="137" w:type="pct"/>
            <w:tcBorders>
              <w:top w:val="nil"/>
              <w:left w:val="nil"/>
              <w:bottom w:val="nil"/>
              <w:right w:val="nil"/>
              <w:tl2br w:val="nil"/>
              <w:tr2bl w:val="nil"/>
            </w:tcBorders>
            <w:shd w:val="solid" w:color="FFFFFF" w:fill="FFFFFF"/>
            <w:noWrap/>
            <w:vAlign w:val="bottom"/>
          </w:tcPr>
          <w:p w14:paraId="00E98A01" w14:textId="77777777" w:rsidR="00FE2562" w:rsidRDefault="00FE2562" w:rsidP="00FE2562">
            <w:pPr>
              <w:spacing w:after="1"/>
              <w:rPr>
                <w:color w:val="000000"/>
              </w:rPr>
            </w:pPr>
          </w:p>
        </w:tc>
        <w:tc>
          <w:tcPr>
            <w:tcW w:w="1091" w:type="pct"/>
            <w:tcBorders>
              <w:top w:val="nil"/>
              <w:left w:val="nil"/>
              <w:bottom w:val="nil"/>
              <w:right w:val="nil"/>
              <w:tl2br w:val="nil"/>
              <w:tr2bl w:val="nil"/>
            </w:tcBorders>
            <w:shd w:val="solid" w:color="FFFFFF" w:fill="FFFFFF"/>
            <w:noWrap/>
            <w:vAlign w:val="bottom"/>
          </w:tcPr>
          <w:p w14:paraId="1A5FFE3D" w14:textId="77777777" w:rsidR="00FE2562" w:rsidRDefault="00FE2562" w:rsidP="00FE2562">
            <w:pPr>
              <w:spacing w:after="1"/>
              <w:rPr>
                <w:color w:val="000000"/>
              </w:rPr>
            </w:pPr>
          </w:p>
        </w:tc>
        <w:tc>
          <w:tcPr>
            <w:tcW w:w="202" w:type="pct"/>
            <w:tcBorders>
              <w:top w:val="nil"/>
              <w:left w:val="nil"/>
              <w:bottom w:val="nil"/>
              <w:right w:val="nil"/>
              <w:tl2br w:val="nil"/>
              <w:tr2bl w:val="nil"/>
            </w:tcBorders>
            <w:shd w:val="solid" w:color="FFFFFF" w:fill="FFFFFF"/>
            <w:noWrap/>
            <w:vAlign w:val="bottom"/>
          </w:tcPr>
          <w:p w14:paraId="6FA934A3" w14:textId="77777777" w:rsidR="00FE2562" w:rsidRDefault="00FE2562" w:rsidP="00FE2562">
            <w:pPr>
              <w:spacing w:after="1"/>
              <w:rPr>
                <w:color w:val="000000"/>
              </w:rPr>
            </w:pPr>
          </w:p>
        </w:tc>
        <w:tc>
          <w:tcPr>
            <w:tcW w:w="303" w:type="pct"/>
            <w:tcBorders>
              <w:top w:val="nil"/>
              <w:left w:val="nil"/>
              <w:bottom w:val="nil"/>
              <w:right w:val="nil"/>
              <w:tl2br w:val="nil"/>
              <w:tr2bl w:val="nil"/>
            </w:tcBorders>
            <w:shd w:val="solid" w:color="FFFFFF" w:fill="FFFFFF"/>
            <w:noWrap/>
            <w:vAlign w:val="bottom"/>
          </w:tcPr>
          <w:p w14:paraId="49554BAF" w14:textId="77777777" w:rsidR="00FE2562" w:rsidRDefault="00FE2562" w:rsidP="00FE2562">
            <w:pPr>
              <w:spacing w:after="1"/>
              <w:rPr>
                <w:color w:val="000000"/>
              </w:rPr>
            </w:pPr>
          </w:p>
        </w:tc>
        <w:tc>
          <w:tcPr>
            <w:tcW w:w="1091" w:type="pct"/>
            <w:tcBorders>
              <w:top w:val="nil"/>
              <w:left w:val="nil"/>
              <w:bottom w:val="nil"/>
              <w:right w:val="nil"/>
              <w:tl2br w:val="nil"/>
              <w:tr2bl w:val="nil"/>
            </w:tcBorders>
            <w:shd w:val="solid" w:color="FFFFFF" w:fill="FFFFFF"/>
            <w:noWrap/>
            <w:vAlign w:val="bottom"/>
          </w:tcPr>
          <w:p w14:paraId="6845618C" w14:textId="77777777" w:rsidR="00FE2562" w:rsidRDefault="00FE2562" w:rsidP="00FE2562">
            <w:pPr>
              <w:spacing w:after="1"/>
              <w:rPr>
                <w:color w:val="000000"/>
              </w:rPr>
            </w:pPr>
          </w:p>
        </w:tc>
      </w:tr>
      <w:tr w:rsidR="00FE2562" w14:paraId="11306048" w14:textId="77777777" w:rsidTr="00FE2562">
        <w:tc>
          <w:tcPr>
            <w:tcW w:w="1973" w:type="pct"/>
            <w:tcBorders>
              <w:top w:val="nil"/>
              <w:left w:val="nil"/>
              <w:bottom w:val="nil"/>
              <w:right w:val="nil"/>
              <w:tl2br w:val="nil"/>
              <w:tr2bl w:val="nil"/>
            </w:tcBorders>
            <w:shd w:val="solid" w:color="FFFFFF" w:fill="FFFFFF"/>
            <w:vAlign w:val="center"/>
          </w:tcPr>
          <w:p w14:paraId="74C01203"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Basic</w:t>
            </w:r>
          </w:p>
        </w:tc>
        <w:tc>
          <w:tcPr>
            <w:tcW w:w="202" w:type="pct"/>
            <w:tcBorders>
              <w:top w:val="nil"/>
              <w:left w:val="nil"/>
              <w:bottom w:val="nil"/>
              <w:right w:val="nil"/>
              <w:tl2br w:val="nil"/>
              <w:tr2bl w:val="nil"/>
            </w:tcBorders>
            <w:shd w:val="solid" w:color="FFFFFF" w:fill="FFFFFF"/>
            <w:noWrap/>
            <w:vAlign w:val="bottom"/>
          </w:tcPr>
          <w:p w14:paraId="077FF0A2" w14:textId="77777777" w:rsidR="00FE2562" w:rsidRDefault="00FE2562" w:rsidP="00FE2562">
            <w:pPr>
              <w:spacing w:after="1"/>
              <w:rPr>
                <w:color w:val="000000"/>
              </w:rPr>
            </w:pPr>
          </w:p>
        </w:tc>
        <w:tc>
          <w:tcPr>
            <w:tcW w:w="137" w:type="pct"/>
            <w:tcBorders>
              <w:top w:val="nil"/>
              <w:left w:val="nil"/>
              <w:bottom w:val="double" w:sz="4" w:space="0" w:color="000000"/>
              <w:right w:val="nil"/>
              <w:tl2br w:val="nil"/>
              <w:tr2bl w:val="nil"/>
            </w:tcBorders>
            <w:shd w:val="solid" w:color="FFFFFF" w:fill="FFFFFF"/>
            <w:noWrap/>
            <w:vAlign w:val="bottom"/>
          </w:tcPr>
          <w:p w14:paraId="523F2DEC" w14:textId="77777777" w:rsidR="00FE2562" w:rsidRDefault="00FE2562" w:rsidP="00FE2562">
            <w:pPr>
              <w:spacing w:after="1"/>
              <w:jc w:val="right"/>
              <w:rPr>
                <w:color w:val="000000"/>
                <w:sz w:val="20"/>
              </w:rPr>
            </w:pPr>
          </w:p>
        </w:tc>
        <w:tc>
          <w:tcPr>
            <w:tcW w:w="1091" w:type="pct"/>
            <w:tcBorders>
              <w:top w:val="nil"/>
              <w:left w:val="nil"/>
              <w:bottom w:val="double" w:sz="4" w:space="0" w:color="000000"/>
              <w:right w:val="nil"/>
              <w:tl2br w:val="nil"/>
              <w:tr2bl w:val="nil"/>
            </w:tcBorders>
            <w:shd w:val="solid" w:color="FFFFFF" w:fill="FFFFFF"/>
            <w:noWrap/>
            <w:vAlign w:val="bottom"/>
          </w:tcPr>
          <w:p w14:paraId="5CD1A3FA"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24,083,001</w:t>
            </w:r>
          </w:p>
        </w:tc>
        <w:tc>
          <w:tcPr>
            <w:tcW w:w="202" w:type="pct"/>
            <w:tcBorders>
              <w:top w:val="nil"/>
              <w:left w:val="nil"/>
              <w:bottom w:val="double" w:sz="4" w:space="0" w:color="000000"/>
              <w:right w:val="nil"/>
              <w:tl2br w:val="nil"/>
              <w:tr2bl w:val="nil"/>
            </w:tcBorders>
            <w:shd w:val="solid" w:color="FFFFFF" w:fill="FFFFFF"/>
            <w:noWrap/>
            <w:vAlign w:val="bottom"/>
          </w:tcPr>
          <w:p w14:paraId="718CA793" w14:textId="77777777" w:rsidR="00FE2562" w:rsidRDefault="00FE2562" w:rsidP="00FE2562">
            <w:pPr>
              <w:spacing w:after="1"/>
              <w:jc w:val="right"/>
              <w:rPr>
                <w:color w:val="000000"/>
                <w:sz w:val="20"/>
              </w:rPr>
            </w:pPr>
          </w:p>
        </w:tc>
        <w:tc>
          <w:tcPr>
            <w:tcW w:w="303" w:type="pct"/>
            <w:tcBorders>
              <w:top w:val="nil"/>
              <w:left w:val="nil"/>
              <w:bottom w:val="double" w:sz="4" w:space="0" w:color="000000"/>
              <w:right w:val="nil"/>
              <w:tl2br w:val="nil"/>
              <w:tr2bl w:val="nil"/>
            </w:tcBorders>
            <w:shd w:val="solid" w:color="FFFFFF" w:fill="FFFFFF"/>
            <w:noWrap/>
            <w:vAlign w:val="bottom"/>
          </w:tcPr>
          <w:p w14:paraId="3C05B8F9" w14:textId="77777777" w:rsidR="00FE2562" w:rsidRDefault="00FE2562" w:rsidP="00FE2562">
            <w:pPr>
              <w:spacing w:after="1"/>
              <w:jc w:val="right"/>
              <w:rPr>
                <w:color w:val="000000"/>
                <w:sz w:val="20"/>
              </w:rPr>
            </w:pPr>
          </w:p>
        </w:tc>
        <w:tc>
          <w:tcPr>
            <w:tcW w:w="1091" w:type="pct"/>
            <w:tcBorders>
              <w:top w:val="nil"/>
              <w:left w:val="nil"/>
              <w:bottom w:val="double" w:sz="4" w:space="0" w:color="000000"/>
              <w:right w:val="nil"/>
              <w:tl2br w:val="nil"/>
              <w:tr2bl w:val="nil"/>
            </w:tcBorders>
            <w:shd w:val="solid" w:color="FFFFFF" w:fill="FFFFFF"/>
            <w:noWrap/>
            <w:vAlign w:val="bottom"/>
          </w:tcPr>
          <w:p w14:paraId="42960AFD"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24,031,068</w:t>
            </w:r>
          </w:p>
        </w:tc>
      </w:tr>
      <w:tr w:rsidR="00FE2562" w14:paraId="40973B02" w14:textId="77777777" w:rsidTr="00FE2562">
        <w:tc>
          <w:tcPr>
            <w:tcW w:w="1973" w:type="pct"/>
            <w:tcBorders>
              <w:top w:val="nil"/>
              <w:left w:val="nil"/>
              <w:bottom w:val="nil"/>
              <w:right w:val="nil"/>
              <w:tl2br w:val="nil"/>
              <w:tr2bl w:val="nil"/>
            </w:tcBorders>
            <w:shd w:val="solid" w:color="FFFFFF" w:fill="FFFFFF"/>
            <w:vAlign w:val="center"/>
          </w:tcPr>
          <w:p w14:paraId="07EA71DE"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Diluted</w:t>
            </w:r>
          </w:p>
        </w:tc>
        <w:tc>
          <w:tcPr>
            <w:tcW w:w="202" w:type="pct"/>
            <w:tcBorders>
              <w:top w:val="nil"/>
              <w:left w:val="nil"/>
              <w:bottom w:val="nil"/>
              <w:right w:val="nil"/>
              <w:tl2br w:val="nil"/>
              <w:tr2bl w:val="nil"/>
            </w:tcBorders>
            <w:shd w:val="solid" w:color="FFFFFF" w:fill="FFFFFF"/>
            <w:noWrap/>
            <w:vAlign w:val="bottom"/>
          </w:tcPr>
          <w:p w14:paraId="481EFE9B" w14:textId="77777777" w:rsidR="00FE2562" w:rsidRDefault="00FE2562" w:rsidP="00FE2562">
            <w:pPr>
              <w:spacing w:after="1"/>
              <w:rPr>
                <w:color w:val="000000"/>
              </w:rPr>
            </w:pPr>
          </w:p>
        </w:tc>
        <w:tc>
          <w:tcPr>
            <w:tcW w:w="137" w:type="pct"/>
            <w:tcBorders>
              <w:top w:val="nil"/>
              <w:left w:val="nil"/>
              <w:bottom w:val="double" w:sz="4" w:space="0" w:color="000000"/>
              <w:right w:val="nil"/>
              <w:tl2br w:val="nil"/>
              <w:tr2bl w:val="nil"/>
            </w:tcBorders>
            <w:shd w:val="solid" w:color="FFFFFF" w:fill="FFFFFF"/>
            <w:noWrap/>
            <w:vAlign w:val="bottom"/>
          </w:tcPr>
          <w:p w14:paraId="681A598C" w14:textId="77777777" w:rsidR="00FE2562" w:rsidRDefault="00FE2562" w:rsidP="00FE2562">
            <w:pPr>
              <w:spacing w:after="1"/>
              <w:jc w:val="right"/>
              <w:rPr>
                <w:color w:val="000000"/>
                <w:sz w:val="20"/>
              </w:rPr>
            </w:pPr>
          </w:p>
        </w:tc>
        <w:tc>
          <w:tcPr>
            <w:tcW w:w="1091" w:type="pct"/>
            <w:tcBorders>
              <w:top w:val="nil"/>
              <w:left w:val="nil"/>
              <w:bottom w:val="double" w:sz="4" w:space="0" w:color="000000"/>
              <w:right w:val="nil"/>
              <w:tl2br w:val="nil"/>
              <w:tr2bl w:val="nil"/>
            </w:tcBorders>
            <w:shd w:val="solid" w:color="FFFFFF" w:fill="FFFFFF"/>
            <w:noWrap/>
            <w:vAlign w:val="bottom"/>
          </w:tcPr>
          <w:p w14:paraId="55EA3683"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24,140,946</w:t>
            </w:r>
          </w:p>
        </w:tc>
        <w:tc>
          <w:tcPr>
            <w:tcW w:w="202" w:type="pct"/>
            <w:tcBorders>
              <w:top w:val="nil"/>
              <w:left w:val="nil"/>
              <w:bottom w:val="double" w:sz="4" w:space="0" w:color="000000"/>
              <w:right w:val="nil"/>
              <w:tl2br w:val="nil"/>
              <w:tr2bl w:val="nil"/>
            </w:tcBorders>
            <w:shd w:val="solid" w:color="FFFFFF" w:fill="FFFFFF"/>
            <w:noWrap/>
            <w:vAlign w:val="bottom"/>
          </w:tcPr>
          <w:p w14:paraId="153A1396" w14:textId="77777777" w:rsidR="00FE2562" w:rsidRDefault="00FE2562" w:rsidP="00FE2562">
            <w:pPr>
              <w:spacing w:after="1"/>
              <w:jc w:val="right"/>
              <w:rPr>
                <w:color w:val="000000"/>
                <w:sz w:val="20"/>
              </w:rPr>
            </w:pPr>
          </w:p>
        </w:tc>
        <w:tc>
          <w:tcPr>
            <w:tcW w:w="303" w:type="pct"/>
            <w:tcBorders>
              <w:top w:val="nil"/>
              <w:left w:val="nil"/>
              <w:bottom w:val="double" w:sz="4" w:space="0" w:color="000000"/>
              <w:right w:val="nil"/>
              <w:tl2br w:val="nil"/>
              <w:tr2bl w:val="nil"/>
            </w:tcBorders>
            <w:shd w:val="solid" w:color="FFFFFF" w:fill="FFFFFF"/>
            <w:noWrap/>
            <w:vAlign w:val="bottom"/>
          </w:tcPr>
          <w:p w14:paraId="700E2CB8" w14:textId="77777777" w:rsidR="00FE2562" w:rsidRDefault="00FE2562" w:rsidP="00FE2562">
            <w:pPr>
              <w:spacing w:after="1"/>
              <w:jc w:val="right"/>
              <w:rPr>
                <w:color w:val="000000"/>
                <w:sz w:val="20"/>
              </w:rPr>
            </w:pPr>
          </w:p>
        </w:tc>
        <w:tc>
          <w:tcPr>
            <w:tcW w:w="1091" w:type="pct"/>
            <w:tcBorders>
              <w:top w:val="nil"/>
              <w:left w:val="nil"/>
              <w:bottom w:val="double" w:sz="4" w:space="0" w:color="000000"/>
              <w:right w:val="nil"/>
              <w:tl2br w:val="nil"/>
              <w:tr2bl w:val="nil"/>
            </w:tcBorders>
            <w:shd w:val="solid" w:color="FFFFFF" w:fill="FFFFFF"/>
            <w:noWrap/>
            <w:vAlign w:val="bottom"/>
          </w:tcPr>
          <w:p w14:paraId="6AD676C4"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24,106,067</w:t>
            </w:r>
          </w:p>
        </w:tc>
      </w:tr>
      <w:tr w:rsidR="00FE2562" w14:paraId="59931639" w14:textId="77777777" w:rsidTr="00FE2562">
        <w:tc>
          <w:tcPr>
            <w:tcW w:w="1973" w:type="pct"/>
            <w:tcBorders>
              <w:top w:val="nil"/>
              <w:left w:val="nil"/>
              <w:bottom w:val="nil"/>
              <w:right w:val="nil"/>
              <w:tl2br w:val="nil"/>
              <w:tr2bl w:val="nil"/>
            </w:tcBorders>
            <w:shd w:val="solid" w:color="FFFFFF" w:fill="FFFFFF"/>
            <w:noWrap/>
            <w:vAlign w:val="bottom"/>
          </w:tcPr>
          <w:p w14:paraId="04BF94AC" w14:textId="77777777" w:rsidR="00FE2562" w:rsidRDefault="00FE2562" w:rsidP="00FE2562">
            <w:pPr>
              <w:spacing w:after="1"/>
              <w:rPr>
                <w:color w:val="000000"/>
              </w:rPr>
            </w:pPr>
          </w:p>
        </w:tc>
        <w:tc>
          <w:tcPr>
            <w:tcW w:w="202" w:type="pct"/>
            <w:tcBorders>
              <w:top w:val="nil"/>
              <w:left w:val="nil"/>
              <w:bottom w:val="nil"/>
              <w:right w:val="nil"/>
              <w:tl2br w:val="nil"/>
              <w:tr2bl w:val="nil"/>
            </w:tcBorders>
            <w:shd w:val="solid" w:color="FFFFFF" w:fill="FFFFFF"/>
            <w:noWrap/>
            <w:vAlign w:val="bottom"/>
          </w:tcPr>
          <w:p w14:paraId="44B72EE6" w14:textId="77777777" w:rsidR="00FE2562" w:rsidRDefault="00FE2562" w:rsidP="00FE2562">
            <w:pPr>
              <w:spacing w:after="1"/>
              <w:rPr>
                <w:color w:val="000000"/>
              </w:rPr>
            </w:pPr>
          </w:p>
        </w:tc>
        <w:tc>
          <w:tcPr>
            <w:tcW w:w="137" w:type="pct"/>
            <w:tcBorders>
              <w:top w:val="nil"/>
              <w:left w:val="nil"/>
              <w:bottom w:val="nil"/>
              <w:right w:val="nil"/>
              <w:tl2br w:val="nil"/>
              <w:tr2bl w:val="nil"/>
            </w:tcBorders>
            <w:shd w:val="solid" w:color="FFFFFF" w:fill="FFFFFF"/>
            <w:noWrap/>
            <w:vAlign w:val="bottom"/>
          </w:tcPr>
          <w:p w14:paraId="428F1209" w14:textId="77777777" w:rsidR="00FE2562" w:rsidRDefault="00FE2562" w:rsidP="00FE2562">
            <w:pPr>
              <w:spacing w:after="1"/>
              <w:rPr>
                <w:color w:val="000000"/>
              </w:rPr>
            </w:pPr>
          </w:p>
        </w:tc>
        <w:tc>
          <w:tcPr>
            <w:tcW w:w="1091" w:type="pct"/>
            <w:tcBorders>
              <w:top w:val="nil"/>
              <w:left w:val="nil"/>
              <w:bottom w:val="nil"/>
              <w:right w:val="nil"/>
              <w:tl2br w:val="nil"/>
              <w:tr2bl w:val="nil"/>
            </w:tcBorders>
            <w:shd w:val="solid" w:color="FFFFFF" w:fill="FFFFFF"/>
            <w:noWrap/>
            <w:vAlign w:val="bottom"/>
          </w:tcPr>
          <w:p w14:paraId="05B3AD01" w14:textId="77777777" w:rsidR="00FE2562" w:rsidRDefault="00FE2562" w:rsidP="00FE2562">
            <w:pPr>
              <w:spacing w:after="1"/>
              <w:rPr>
                <w:color w:val="000000"/>
              </w:rPr>
            </w:pPr>
          </w:p>
        </w:tc>
        <w:tc>
          <w:tcPr>
            <w:tcW w:w="202" w:type="pct"/>
            <w:tcBorders>
              <w:top w:val="nil"/>
              <w:left w:val="nil"/>
              <w:bottom w:val="nil"/>
              <w:right w:val="nil"/>
              <w:tl2br w:val="nil"/>
              <w:tr2bl w:val="nil"/>
            </w:tcBorders>
            <w:shd w:val="solid" w:color="FFFFFF" w:fill="FFFFFF"/>
            <w:noWrap/>
            <w:vAlign w:val="bottom"/>
          </w:tcPr>
          <w:p w14:paraId="5900A8A6" w14:textId="77777777" w:rsidR="00FE2562" w:rsidRDefault="00FE2562" w:rsidP="00FE2562">
            <w:pPr>
              <w:spacing w:after="1"/>
              <w:rPr>
                <w:color w:val="000000"/>
              </w:rPr>
            </w:pPr>
          </w:p>
        </w:tc>
        <w:tc>
          <w:tcPr>
            <w:tcW w:w="303" w:type="pct"/>
            <w:tcBorders>
              <w:top w:val="nil"/>
              <w:left w:val="nil"/>
              <w:bottom w:val="nil"/>
              <w:right w:val="nil"/>
              <w:tl2br w:val="nil"/>
              <w:tr2bl w:val="nil"/>
            </w:tcBorders>
            <w:shd w:val="solid" w:color="FFFFFF" w:fill="FFFFFF"/>
            <w:noWrap/>
            <w:vAlign w:val="bottom"/>
          </w:tcPr>
          <w:p w14:paraId="0952C55F" w14:textId="77777777" w:rsidR="00FE2562" w:rsidRDefault="00FE2562" w:rsidP="00FE2562">
            <w:pPr>
              <w:spacing w:after="1"/>
              <w:rPr>
                <w:color w:val="000000"/>
              </w:rPr>
            </w:pPr>
          </w:p>
        </w:tc>
        <w:tc>
          <w:tcPr>
            <w:tcW w:w="1091" w:type="pct"/>
            <w:tcBorders>
              <w:top w:val="nil"/>
              <w:left w:val="nil"/>
              <w:bottom w:val="nil"/>
              <w:right w:val="nil"/>
              <w:tl2br w:val="nil"/>
              <w:tr2bl w:val="nil"/>
            </w:tcBorders>
            <w:shd w:val="solid" w:color="FFFFFF" w:fill="FFFFFF"/>
            <w:noWrap/>
            <w:vAlign w:val="bottom"/>
          </w:tcPr>
          <w:p w14:paraId="476A718D" w14:textId="77777777" w:rsidR="00FE2562" w:rsidRDefault="00FE2562" w:rsidP="00FE2562">
            <w:pPr>
              <w:spacing w:after="1"/>
              <w:rPr>
                <w:color w:val="000000"/>
              </w:rPr>
            </w:pPr>
          </w:p>
        </w:tc>
      </w:tr>
    </w:tbl>
    <w:p w14:paraId="7AC8670A" w14:textId="77777777" w:rsidR="00356314" w:rsidRDefault="00356314" w:rsidP="008B5425">
      <w:pPr>
        <w:pStyle w:val="para"/>
        <w:spacing w:after="0"/>
        <w:rPr>
          <w:bCs w:val="0"/>
          <w:iCs/>
          <w:sz w:val="20"/>
          <w:szCs w:val="20"/>
        </w:rPr>
      </w:pPr>
    </w:p>
    <w:p w14:paraId="7525DEC5" w14:textId="77777777" w:rsidR="008B5425" w:rsidRDefault="009975D5" w:rsidP="008B5425">
      <w:pPr>
        <w:pStyle w:val="para"/>
        <w:spacing w:after="0"/>
        <w:rPr>
          <w:bCs w:val="0"/>
          <w:iCs/>
          <w:sz w:val="20"/>
          <w:szCs w:val="20"/>
        </w:rPr>
      </w:pPr>
      <w:r w:rsidRPr="00F67C32">
        <w:rPr>
          <w:bCs w:val="0"/>
          <w:iCs/>
          <w:sz w:val="20"/>
          <w:szCs w:val="20"/>
        </w:rPr>
        <w:lastRenderedPageBreak/>
        <w:t>“</w:t>
      </w:r>
      <w:r w:rsidR="00427316" w:rsidRPr="00F67C32">
        <w:rPr>
          <w:bCs w:val="0"/>
          <w:iCs/>
          <w:sz w:val="20"/>
          <w:szCs w:val="20"/>
        </w:rPr>
        <w:t>Due to the continued success of our Sky Ranch Master Planned community, we</w:t>
      </w:r>
      <w:r w:rsidR="00114609" w:rsidRPr="00F67C32">
        <w:rPr>
          <w:bCs w:val="0"/>
          <w:iCs/>
          <w:sz w:val="20"/>
          <w:szCs w:val="20"/>
        </w:rPr>
        <w:t xml:space="preserve"> now</w:t>
      </w:r>
      <w:r w:rsidR="00427316" w:rsidRPr="00F67C32">
        <w:rPr>
          <w:bCs w:val="0"/>
          <w:iCs/>
          <w:sz w:val="20"/>
          <w:szCs w:val="20"/>
        </w:rPr>
        <w:t xml:space="preserve"> have </w:t>
      </w:r>
      <w:r w:rsidRPr="00F67C32">
        <w:rPr>
          <w:bCs w:val="0"/>
          <w:iCs/>
          <w:sz w:val="20"/>
          <w:szCs w:val="20"/>
        </w:rPr>
        <w:t>three</w:t>
      </w:r>
      <w:r w:rsidR="00427316" w:rsidRPr="00F67C32">
        <w:rPr>
          <w:bCs w:val="0"/>
          <w:iCs/>
          <w:sz w:val="20"/>
          <w:szCs w:val="20"/>
        </w:rPr>
        <w:t xml:space="preserve"> phases of lot development under construction accelerating the timing of delivering our lots to home builder customers as well as lots for our single-family rental segment.  </w:t>
      </w:r>
      <w:r w:rsidR="00AB6316" w:rsidRPr="00F67C32">
        <w:rPr>
          <w:bCs w:val="0"/>
          <w:iCs/>
          <w:sz w:val="20"/>
          <w:szCs w:val="20"/>
        </w:rPr>
        <w:t>As we complete final landscaping in Phase 2A, l</w:t>
      </w:r>
      <w:r w:rsidR="00427316" w:rsidRPr="00F67C32">
        <w:rPr>
          <w:bCs w:val="0"/>
          <w:iCs/>
          <w:sz w:val="20"/>
          <w:szCs w:val="20"/>
        </w:rPr>
        <w:t>ot production accelerated deliveries in the remaining half of our fiscal year with completion of approximately 211 lots in Phase 2B and substantial progress on our overlapping production of 2</w:t>
      </w:r>
      <w:r w:rsidR="00CE7344" w:rsidRPr="00F67C32">
        <w:rPr>
          <w:bCs w:val="0"/>
          <w:iCs/>
          <w:sz w:val="20"/>
          <w:szCs w:val="20"/>
        </w:rPr>
        <w:t>28</w:t>
      </w:r>
      <w:r w:rsidR="00427316" w:rsidRPr="00F67C32">
        <w:rPr>
          <w:bCs w:val="0"/>
          <w:iCs/>
          <w:sz w:val="20"/>
          <w:szCs w:val="20"/>
        </w:rPr>
        <w:t xml:space="preserve"> lots in Phase 2C</w:t>
      </w:r>
      <w:r w:rsidR="002E7263">
        <w:rPr>
          <w:bCs w:val="0"/>
          <w:iCs/>
          <w:sz w:val="20"/>
          <w:szCs w:val="20"/>
        </w:rPr>
        <w:t>,</w:t>
      </w:r>
      <w:r w:rsidR="00427316" w:rsidRPr="00F67C32">
        <w:rPr>
          <w:bCs w:val="0"/>
          <w:iCs/>
          <w:sz w:val="20"/>
          <w:szCs w:val="20"/>
        </w:rPr>
        <w:t xml:space="preserve">” commented </w:t>
      </w:r>
      <w:r w:rsidRPr="00F67C32">
        <w:rPr>
          <w:bCs w:val="0"/>
          <w:iCs/>
          <w:sz w:val="20"/>
          <w:szCs w:val="20"/>
        </w:rPr>
        <w:t>Mark</w:t>
      </w:r>
      <w:r w:rsidR="00427316" w:rsidRPr="00F67C32">
        <w:rPr>
          <w:bCs w:val="0"/>
          <w:iCs/>
          <w:sz w:val="20"/>
          <w:szCs w:val="20"/>
        </w:rPr>
        <w:t xml:space="preserve"> Harding, CEO of Pure Cycle. “Also contributing </w:t>
      </w:r>
      <w:r w:rsidR="00FC4827" w:rsidRPr="00F67C32">
        <w:rPr>
          <w:bCs w:val="0"/>
          <w:iCs/>
          <w:sz w:val="20"/>
          <w:szCs w:val="20"/>
        </w:rPr>
        <w:t>were</w:t>
      </w:r>
      <w:r w:rsidR="00427316" w:rsidRPr="00F67C32">
        <w:rPr>
          <w:bCs w:val="0"/>
          <w:iCs/>
          <w:sz w:val="20"/>
          <w:szCs w:val="20"/>
        </w:rPr>
        <w:t xml:space="preserve"> record </w:t>
      </w:r>
      <w:r w:rsidR="004A684F" w:rsidRPr="00F67C32">
        <w:rPr>
          <w:bCs w:val="0"/>
          <w:iCs/>
          <w:sz w:val="20"/>
          <w:szCs w:val="20"/>
        </w:rPr>
        <w:t>2024 YTD</w:t>
      </w:r>
      <w:r w:rsidR="00427316" w:rsidRPr="00F67C32">
        <w:rPr>
          <w:bCs w:val="0"/>
          <w:iCs/>
          <w:sz w:val="20"/>
          <w:szCs w:val="20"/>
        </w:rPr>
        <w:t xml:space="preserve"> </w:t>
      </w:r>
      <w:r w:rsidR="004A684F" w:rsidRPr="00F67C32">
        <w:rPr>
          <w:bCs w:val="0"/>
          <w:iCs/>
          <w:sz w:val="20"/>
          <w:szCs w:val="20"/>
        </w:rPr>
        <w:t>water sales to oil and gas customers</w:t>
      </w:r>
      <w:r w:rsidR="00427316" w:rsidRPr="00F67C32">
        <w:rPr>
          <w:bCs w:val="0"/>
          <w:iCs/>
          <w:sz w:val="20"/>
          <w:szCs w:val="20"/>
        </w:rPr>
        <w:t xml:space="preserve"> with a continued strong outlook </w:t>
      </w:r>
      <w:r w:rsidR="00F67C32">
        <w:rPr>
          <w:bCs w:val="0"/>
          <w:iCs/>
          <w:sz w:val="20"/>
          <w:szCs w:val="20"/>
        </w:rPr>
        <w:t>over the next several years</w:t>
      </w:r>
      <w:r w:rsidR="00427316" w:rsidRPr="00F67C32">
        <w:rPr>
          <w:bCs w:val="0"/>
          <w:iCs/>
          <w:sz w:val="20"/>
          <w:szCs w:val="20"/>
        </w:rPr>
        <w:t>,” continued Mr. Harding.</w:t>
      </w:r>
    </w:p>
    <w:p w14:paraId="48E01A63" w14:textId="77777777" w:rsidR="00434A11" w:rsidRDefault="00434A11" w:rsidP="008B5425">
      <w:pPr>
        <w:pStyle w:val="para"/>
        <w:spacing w:after="0"/>
        <w:rPr>
          <w:bCs w:val="0"/>
          <w:iCs/>
          <w:sz w:val="20"/>
          <w:szCs w:val="20"/>
        </w:rPr>
      </w:pPr>
    </w:p>
    <w:p w14:paraId="58611451" w14:textId="77777777" w:rsidR="00434A11" w:rsidRDefault="00434A11" w:rsidP="00434A11">
      <w:pPr>
        <w:pStyle w:val="para"/>
        <w:tabs>
          <w:tab w:val="right" w:pos="9360"/>
        </w:tabs>
        <w:spacing w:after="0"/>
        <w:ind w:right="270"/>
        <w:rPr>
          <w:b/>
          <w:sz w:val="20"/>
          <w:szCs w:val="20"/>
          <w:u w:val="single"/>
        </w:rPr>
      </w:pPr>
      <w:r>
        <w:rPr>
          <w:b/>
          <w:sz w:val="20"/>
          <w:szCs w:val="20"/>
          <w:u w:val="single"/>
        </w:rPr>
        <w:t>Fourth Quarter 2024 Highlights</w:t>
      </w:r>
    </w:p>
    <w:p w14:paraId="1F5544CA" w14:textId="77777777" w:rsidR="00434A11" w:rsidRDefault="00434A11" w:rsidP="008B5425">
      <w:pPr>
        <w:pStyle w:val="para"/>
        <w:spacing w:after="0"/>
        <w:rPr>
          <w:bCs w:val="0"/>
          <w:iCs/>
          <w:sz w:val="20"/>
          <w:szCs w:val="20"/>
        </w:rPr>
      </w:pPr>
    </w:p>
    <w:p w14:paraId="253CB94C" w14:textId="77777777" w:rsidR="00434A11" w:rsidRDefault="00434A11" w:rsidP="00434A11">
      <w:pPr>
        <w:pStyle w:val="para"/>
        <w:numPr>
          <w:ilvl w:val="0"/>
          <w:numId w:val="2"/>
        </w:numPr>
        <w:tabs>
          <w:tab w:val="right" w:pos="9360"/>
        </w:tabs>
        <w:spacing w:after="0" w:line="254" w:lineRule="auto"/>
        <w:ind w:left="450" w:right="270" w:hanging="450"/>
        <w:contextualSpacing/>
        <w:rPr>
          <w:rFonts w:eastAsiaTheme="minorEastAsia"/>
          <w:sz w:val="20"/>
          <w:szCs w:val="20"/>
        </w:rPr>
      </w:pPr>
      <w:r>
        <w:rPr>
          <w:sz w:val="20"/>
          <w:szCs w:val="20"/>
        </w:rPr>
        <w:t xml:space="preserve">Revenue for the three months ended </w:t>
      </w:r>
      <w:r w:rsidR="00A5043F">
        <w:rPr>
          <w:sz w:val="20"/>
          <w:szCs w:val="20"/>
        </w:rPr>
        <w:t>August</w:t>
      </w:r>
      <w:r>
        <w:rPr>
          <w:sz w:val="20"/>
          <w:szCs w:val="20"/>
        </w:rPr>
        <w:t xml:space="preserve"> 31, </w:t>
      </w:r>
      <w:proofErr w:type="gramStart"/>
      <w:r>
        <w:rPr>
          <w:sz w:val="20"/>
          <w:szCs w:val="20"/>
        </w:rPr>
        <w:t>2024</w:t>
      </w:r>
      <w:proofErr w:type="gramEnd"/>
      <w:r>
        <w:rPr>
          <w:sz w:val="20"/>
          <w:szCs w:val="20"/>
        </w:rPr>
        <w:t xml:space="preserve"> of $</w:t>
      </w:r>
      <w:r w:rsidR="00A5043F">
        <w:rPr>
          <w:sz w:val="20"/>
          <w:szCs w:val="20"/>
        </w:rPr>
        <w:t>12</w:t>
      </w:r>
      <w:r>
        <w:rPr>
          <w:sz w:val="20"/>
          <w:szCs w:val="20"/>
        </w:rPr>
        <w:t>.6 million, which drove p</w:t>
      </w:r>
      <w:r>
        <w:rPr>
          <w:rFonts w:eastAsiaTheme="minorEastAsia"/>
          <w:sz w:val="20"/>
          <w:szCs w:val="20"/>
        </w:rPr>
        <w:t>re-tax income of $</w:t>
      </w:r>
      <w:r w:rsidR="00A5043F">
        <w:rPr>
          <w:rFonts w:eastAsiaTheme="minorEastAsia"/>
          <w:sz w:val="20"/>
          <w:szCs w:val="20"/>
        </w:rPr>
        <w:t>8</w:t>
      </w:r>
      <w:r>
        <w:rPr>
          <w:rFonts w:eastAsiaTheme="minorEastAsia"/>
          <w:sz w:val="20"/>
          <w:szCs w:val="20"/>
        </w:rPr>
        <w:t>.</w:t>
      </w:r>
      <w:r w:rsidR="00A5043F">
        <w:rPr>
          <w:rFonts w:eastAsiaTheme="minorEastAsia"/>
          <w:sz w:val="20"/>
          <w:szCs w:val="20"/>
        </w:rPr>
        <w:t>8</w:t>
      </w:r>
      <w:r>
        <w:rPr>
          <w:rFonts w:eastAsiaTheme="minorEastAsia"/>
          <w:sz w:val="20"/>
          <w:szCs w:val="20"/>
        </w:rPr>
        <w:t xml:space="preserve"> million;</w:t>
      </w:r>
    </w:p>
    <w:p w14:paraId="259D7021" w14:textId="77777777" w:rsidR="00434A11" w:rsidRDefault="00434A11" w:rsidP="00434A11">
      <w:pPr>
        <w:pStyle w:val="para"/>
        <w:numPr>
          <w:ilvl w:val="0"/>
          <w:numId w:val="2"/>
        </w:numPr>
        <w:tabs>
          <w:tab w:val="right" w:pos="9360"/>
        </w:tabs>
        <w:spacing w:after="0" w:line="254" w:lineRule="auto"/>
        <w:ind w:left="450" w:right="270" w:hanging="450"/>
        <w:contextualSpacing/>
        <w:rPr>
          <w:rFonts w:eastAsiaTheme="minorEastAsia"/>
          <w:sz w:val="20"/>
          <w:szCs w:val="20"/>
        </w:rPr>
      </w:pPr>
      <w:r>
        <w:rPr>
          <w:rFonts w:eastAsiaTheme="minorEastAsia"/>
          <w:sz w:val="20"/>
          <w:szCs w:val="20"/>
        </w:rPr>
        <w:t xml:space="preserve">Net income for the </w:t>
      </w:r>
      <w:r>
        <w:rPr>
          <w:sz w:val="20"/>
          <w:szCs w:val="20"/>
        </w:rPr>
        <w:t xml:space="preserve">three months ended </w:t>
      </w:r>
      <w:r w:rsidR="00A5043F">
        <w:rPr>
          <w:sz w:val="20"/>
          <w:szCs w:val="20"/>
        </w:rPr>
        <w:t>August</w:t>
      </w:r>
      <w:r>
        <w:rPr>
          <w:sz w:val="20"/>
          <w:szCs w:val="20"/>
        </w:rPr>
        <w:t xml:space="preserve"> 31, </w:t>
      </w:r>
      <w:proofErr w:type="gramStart"/>
      <w:r>
        <w:rPr>
          <w:sz w:val="20"/>
          <w:szCs w:val="20"/>
        </w:rPr>
        <w:t>2024</w:t>
      </w:r>
      <w:proofErr w:type="gramEnd"/>
      <w:r>
        <w:rPr>
          <w:sz w:val="20"/>
          <w:szCs w:val="20"/>
        </w:rPr>
        <w:t xml:space="preserve"> of</w:t>
      </w:r>
      <w:r>
        <w:rPr>
          <w:rFonts w:eastAsiaTheme="minorEastAsia"/>
          <w:sz w:val="20"/>
          <w:szCs w:val="20"/>
        </w:rPr>
        <w:t xml:space="preserve"> $</w:t>
      </w:r>
      <w:r w:rsidR="00A5043F">
        <w:rPr>
          <w:rFonts w:eastAsiaTheme="minorEastAsia"/>
          <w:sz w:val="20"/>
          <w:szCs w:val="20"/>
        </w:rPr>
        <w:t>6</w:t>
      </w:r>
      <w:r>
        <w:rPr>
          <w:rFonts w:eastAsiaTheme="minorEastAsia"/>
          <w:sz w:val="20"/>
          <w:szCs w:val="20"/>
        </w:rPr>
        <w:t>.</w:t>
      </w:r>
      <w:r w:rsidR="00A5043F">
        <w:rPr>
          <w:rFonts w:eastAsiaTheme="minorEastAsia"/>
          <w:sz w:val="20"/>
          <w:szCs w:val="20"/>
        </w:rPr>
        <w:t>6</w:t>
      </w:r>
      <w:r>
        <w:rPr>
          <w:rFonts w:eastAsiaTheme="minorEastAsia"/>
          <w:sz w:val="20"/>
          <w:szCs w:val="20"/>
        </w:rPr>
        <w:t xml:space="preserve"> million;</w:t>
      </w:r>
    </w:p>
    <w:p w14:paraId="23E35B76" w14:textId="77777777" w:rsidR="00434A11" w:rsidRPr="00AF4D95" w:rsidRDefault="00434A11" w:rsidP="00434A11">
      <w:pPr>
        <w:pStyle w:val="para"/>
        <w:numPr>
          <w:ilvl w:val="0"/>
          <w:numId w:val="2"/>
        </w:numPr>
        <w:tabs>
          <w:tab w:val="right" w:pos="9360"/>
        </w:tabs>
        <w:spacing w:after="0" w:line="254" w:lineRule="auto"/>
        <w:ind w:left="450" w:right="270" w:hanging="450"/>
        <w:contextualSpacing/>
        <w:rPr>
          <w:rFonts w:eastAsiaTheme="minorEastAsia"/>
          <w:sz w:val="20"/>
          <w:szCs w:val="20"/>
        </w:rPr>
      </w:pPr>
      <w:r w:rsidRPr="00AF4D95">
        <w:rPr>
          <w:rFonts w:eastAsiaTheme="minorEastAsia"/>
          <w:sz w:val="20"/>
          <w:szCs w:val="20"/>
        </w:rPr>
        <w:t xml:space="preserve">EBITDA </w:t>
      </w:r>
      <w:r w:rsidRPr="00AF4D95">
        <w:rPr>
          <w:sz w:val="20"/>
          <w:szCs w:val="20"/>
        </w:rPr>
        <w:t xml:space="preserve">for the three months ended </w:t>
      </w:r>
      <w:r w:rsidR="00A5043F" w:rsidRPr="00AF4D95">
        <w:rPr>
          <w:sz w:val="20"/>
          <w:szCs w:val="20"/>
        </w:rPr>
        <w:t>August</w:t>
      </w:r>
      <w:r w:rsidRPr="00AF4D95">
        <w:rPr>
          <w:sz w:val="20"/>
          <w:szCs w:val="20"/>
        </w:rPr>
        <w:t xml:space="preserve"> 31, </w:t>
      </w:r>
      <w:proofErr w:type="gramStart"/>
      <w:r w:rsidRPr="00AF4D95">
        <w:rPr>
          <w:sz w:val="20"/>
          <w:szCs w:val="20"/>
        </w:rPr>
        <w:t>2024</w:t>
      </w:r>
      <w:proofErr w:type="gramEnd"/>
      <w:r w:rsidRPr="00AF4D95">
        <w:rPr>
          <w:sz w:val="20"/>
          <w:szCs w:val="20"/>
        </w:rPr>
        <w:t xml:space="preserve"> of $</w:t>
      </w:r>
      <w:r w:rsidR="00A5043F" w:rsidRPr="00AF4D95">
        <w:rPr>
          <w:sz w:val="20"/>
          <w:szCs w:val="20"/>
        </w:rPr>
        <w:t>9</w:t>
      </w:r>
      <w:r w:rsidRPr="00AF4D95">
        <w:rPr>
          <w:sz w:val="20"/>
          <w:szCs w:val="20"/>
        </w:rPr>
        <w:t xml:space="preserve">.5 million </w:t>
      </w:r>
      <w:r w:rsidR="00F67C32">
        <w:rPr>
          <w:sz w:val="20"/>
          <w:szCs w:val="20"/>
        </w:rPr>
        <w:t>(see table below for re</w:t>
      </w:r>
      <w:r w:rsidR="00F67C32">
        <w:rPr>
          <w:rFonts w:eastAsiaTheme="minorEastAsia"/>
          <w:sz w:val="20"/>
          <w:szCs w:val="20"/>
        </w:rPr>
        <w:t>conciliation of net income to EBITDA)</w:t>
      </w:r>
      <w:r w:rsidRPr="00AF4D95">
        <w:rPr>
          <w:rFonts w:eastAsiaTheme="minorEastAsia"/>
          <w:sz w:val="20"/>
          <w:szCs w:val="20"/>
        </w:rPr>
        <w:t>;</w:t>
      </w:r>
    </w:p>
    <w:p w14:paraId="64387D8E" w14:textId="77777777" w:rsidR="00434A11" w:rsidRDefault="00434A11" w:rsidP="00434A11">
      <w:pPr>
        <w:pStyle w:val="para"/>
        <w:numPr>
          <w:ilvl w:val="0"/>
          <w:numId w:val="2"/>
        </w:numPr>
        <w:tabs>
          <w:tab w:val="right" w:pos="9360"/>
        </w:tabs>
        <w:spacing w:after="0" w:line="254" w:lineRule="auto"/>
        <w:ind w:left="450" w:right="270" w:hanging="450"/>
        <w:contextualSpacing/>
        <w:rPr>
          <w:rFonts w:eastAsiaTheme="minorEastAsia"/>
          <w:sz w:val="20"/>
          <w:szCs w:val="20"/>
        </w:rPr>
      </w:pPr>
      <w:r>
        <w:rPr>
          <w:sz w:val="20"/>
          <w:szCs w:val="20"/>
        </w:rPr>
        <w:t xml:space="preserve">For the three months ended </w:t>
      </w:r>
      <w:r w:rsidR="00F4381D">
        <w:rPr>
          <w:sz w:val="20"/>
          <w:szCs w:val="20"/>
        </w:rPr>
        <w:t>August</w:t>
      </w:r>
      <w:r>
        <w:rPr>
          <w:sz w:val="20"/>
          <w:szCs w:val="20"/>
        </w:rPr>
        <w:t xml:space="preserve"> 31, 2024, we </w:t>
      </w:r>
      <w:r w:rsidRPr="00427316">
        <w:rPr>
          <w:sz w:val="20"/>
          <w:szCs w:val="20"/>
        </w:rPr>
        <w:t xml:space="preserve">delivered </w:t>
      </w:r>
      <w:r>
        <w:rPr>
          <w:sz w:val="20"/>
          <w:szCs w:val="20"/>
        </w:rPr>
        <w:t>39</w:t>
      </w:r>
      <w:r w:rsidR="002E7263">
        <w:rPr>
          <w:sz w:val="20"/>
          <w:szCs w:val="20"/>
        </w:rPr>
        <w:t>6</w:t>
      </w:r>
      <w:r w:rsidRPr="00427316">
        <w:rPr>
          <w:sz w:val="20"/>
          <w:szCs w:val="20"/>
        </w:rPr>
        <w:t xml:space="preserve"> acre</w:t>
      </w:r>
      <w:r>
        <w:rPr>
          <w:sz w:val="20"/>
          <w:szCs w:val="20"/>
        </w:rPr>
        <w:t>-feet of water.</w:t>
      </w:r>
    </w:p>
    <w:p w14:paraId="6635998F" w14:textId="77777777" w:rsidR="00426BD0" w:rsidRDefault="00426BD0" w:rsidP="00B43B76">
      <w:pPr>
        <w:pStyle w:val="para"/>
        <w:tabs>
          <w:tab w:val="right" w:pos="9360"/>
        </w:tabs>
        <w:spacing w:after="0"/>
        <w:ind w:right="27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2"/>
        <w:gridCol w:w="371"/>
        <w:gridCol w:w="252"/>
        <w:gridCol w:w="2003"/>
        <w:gridCol w:w="371"/>
        <w:gridCol w:w="556"/>
        <w:gridCol w:w="2005"/>
      </w:tblGrid>
      <w:tr w:rsidR="00FE2562" w14:paraId="72016E56" w14:textId="77777777" w:rsidTr="00FE2562">
        <w:trPr>
          <w:trHeight w:hRule="exact" w:val="20"/>
        </w:trPr>
        <w:tc>
          <w:tcPr>
            <w:tcW w:w="1973" w:type="pct"/>
            <w:tcBorders>
              <w:top w:val="nil"/>
              <w:left w:val="nil"/>
              <w:bottom w:val="nil"/>
              <w:right w:val="nil"/>
            </w:tcBorders>
            <w:vAlign w:val="center"/>
          </w:tcPr>
          <w:p w14:paraId="3150EF26" w14:textId="77777777" w:rsidR="00FE2562" w:rsidRDefault="00FE2562" w:rsidP="00FE2562">
            <w:pPr>
              <w:keepNext/>
              <w:spacing w:after="1"/>
              <w:rPr>
                <w:sz w:val="2"/>
              </w:rPr>
            </w:pPr>
          </w:p>
        </w:tc>
        <w:tc>
          <w:tcPr>
            <w:tcW w:w="202" w:type="pct"/>
            <w:tcBorders>
              <w:top w:val="nil"/>
              <w:left w:val="nil"/>
              <w:bottom w:val="nil"/>
              <w:right w:val="nil"/>
            </w:tcBorders>
            <w:vAlign w:val="bottom"/>
          </w:tcPr>
          <w:p w14:paraId="08F34360" w14:textId="77777777" w:rsidR="00FE2562" w:rsidRDefault="00FE2562" w:rsidP="00FE2562">
            <w:pPr>
              <w:keepNext/>
              <w:spacing w:after="1"/>
              <w:rPr>
                <w:sz w:val="2"/>
              </w:rPr>
            </w:pPr>
          </w:p>
        </w:tc>
        <w:tc>
          <w:tcPr>
            <w:tcW w:w="137" w:type="pct"/>
            <w:tcBorders>
              <w:top w:val="nil"/>
              <w:left w:val="nil"/>
              <w:bottom w:val="nil"/>
              <w:right w:val="nil"/>
            </w:tcBorders>
            <w:noWrap/>
            <w:vAlign w:val="bottom"/>
          </w:tcPr>
          <w:p w14:paraId="776C60AF" w14:textId="77777777" w:rsidR="00FE2562" w:rsidRDefault="00FE2562" w:rsidP="00FE2562">
            <w:pPr>
              <w:keepNext/>
              <w:spacing w:after="1"/>
              <w:rPr>
                <w:sz w:val="2"/>
              </w:rPr>
            </w:pPr>
          </w:p>
        </w:tc>
        <w:tc>
          <w:tcPr>
            <w:tcW w:w="1091" w:type="pct"/>
            <w:tcBorders>
              <w:top w:val="nil"/>
              <w:left w:val="nil"/>
              <w:bottom w:val="nil"/>
              <w:right w:val="nil"/>
            </w:tcBorders>
            <w:noWrap/>
            <w:vAlign w:val="bottom"/>
          </w:tcPr>
          <w:p w14:paraId="13C61D3A" w14:textId="77777777" w:rsidR="00FE2562" w:rsidRDefault="00FE2562" w:rsidP="00FE2562">
            <w:pPr>
              <w:keepNext/>
              <w:spacing w:after="1"/>
              <w:rPr>
                <w:sz w:val="2"/>
              </w:rPr>
            </w:pPr>
          </w:p>
        </w:tc>
        <w:tc>
          <w:tcPr>
            <w:tcW w:w="202" w:type="pct"/>
            <w:tcBorders>
              <w:top w:val="nil"/>
              <w:left w:val="nil"/>
              <w:bottom w:val="nil"/>
              <w:right w:val="nil"/>
            </w:tcBorders>
            <w:noWrap/>
            <w:vAlign w:val="bottom"/>
          </w:tcPr>
          <w:p w14:paraId="325BF318" w14:textId="77777777" w:rsidR="00FE2562" w:rsidRDefault="00FE2562" w:rsidP="00FE2562">
            <w:pPr>
              <w:keepNext/>
              <w:spacing w:after="1"/>
              <w:rPr>
                <w:sz w:val="2"/>
              </w:rPr>
            </w:pPr>
          </w:p>
        </w:tc>
        <w:tc>
          <w:tcPr>
            <w:tcW w:w="303" w:type="pct"/>
            <w:tcBorders>
              <w:top w:val="nil"/>
              <w:left w:val="nil"/>
              <w:bottom w:val="nil"/>
              <w:right w:val="nil"/>
            </w:tcBorders>
            <w:noWrap/>
            <w:vAlign w:val="bottom"/>
          </w:tcPr>
          <w:p w14:paraId="0C899BF7" w14:textId="77777777" w:rsidR="00FE2562" w:rsidRDefault="00FE2562" w:rsidP="00FE2562">
            <w:pPr>
              <w:keepNext/>
              <w:spacing w:after="1"/>
              <w:rPr>
                <w:sz w:val="2"/>
              </w:rPr>
            </w:pPr>
          </w:p>
        </w:tc>
        <w:tc>
          <w:tcPr>
            <w:tcW w:w="1091" w:type="pct"/>
            <w:tcBorders>
              <w:top w:val="nil"/>
              <w:left w:val="nil"/>
              <w:bottom w:val="nil"/>
              <w:right w:val="nil"/>
            </w:tcBorders>
            <w:noWrap/>
            <w:vAlign w:val="bottom"/>
          </w:tcPr>
          <w:p w14:paraId="163107B5" w14:textId="77777777" w:rsidR="00FE2562" w:rsidRDefault="00FE2562" w:rsidP="00FE2562">
            <w:pPr>
              <w:keepNext/>
              <w:spacing w:after="1"/>
              <w:rPr>
                <w:sz w:val="2"/>
              </w:rPr>
            </w:pPr>
          </w:p>
        </w:tc>
      </w:tr>
      <w:tr w:rsidR="00FE2562" w14:paraId="2C974418" w14:textId="77777777" w:rsidTr="00FE2562">
        <w:tc>
          <w:tcPr>
            <w:tcW w:w="1973" w:type="pct"/>
            <w:tcBorders>
              <w:top w:val="nil"/>
              <w:left w:val="nil"/>
              <w:bottom w:val="nil"/>
              <w:right w:val="nil"/>
              <w:tl2br w:val="nil"/>
              <w:tr2bl w:val="nil"/>
            </w:tcBorders>
            <w:shd w:val="solid" w:color="FFFFFF" w:fill="FFFFFF"/>
            <w:vAlign w:val="bottom"/>
          </w:tcPr>
          <w:p w14:paraId="3BF2D34D" w14:textId="77777777" w:rsidR="00FE2562" w:rsidRDefault="00FE2562" w:rsidP="00FE2562">
            <w:pPr>
              <w:spacing w:after="1"/>
              <w:rPr>
                <w:color w:val="000000"/>
                <w:sz w:val="16"/>
              </w:rPr>
            </w:pPr>
          </w:p>
        </w:tc>
        <w:tc>
          <w:tcPr>
            <w:tcW w:w="202" w:type="pct"/>
            <w:tcBorders>
              <w:top w:val="nil"/>
              <w:left w:val="nil"/>
              <w:bottom w:val="nil"/>
              <w:right w:val="nil"/>
              <w:tl2br w:val="nil"/>
              <w:tr2bl w:val="nil"/>
            </w:tcBorders>
            <w:shd w:val="solid" w:color="FFFFFF" w:fill="FFFFFF"/>
            <w:vAlign w:val="bottom"/>
          </w:tcPr>
          <w:p w14:paraId="6DA106C3" w14:textId="77777777" w:rsidR="00FE2562" w:rsidRDefault="00FE2562" w:rsidP="00FE2562">
            <w:pPr>
              <w:spacing w:after="1"/>
              <w:rPr>
                <w:color w:val="000000"/>
                <w:sz w:val="16"/>
              </w:rPr>
            </w:pPr>
          </w:p>
        </w:tc>
        <w:tc>
          <w:tcPr>
            <w:tcW w:w="2825" w:type="pct"/>
            <w:gridSpan w:val="5"/>
            <w:tcBorders>
              <w:top w:val="nil"/>
              <w:left w:val="nil"/>
              <w:bottom w:val="single" w:sz="4" w:space="0" w:color="000000"/>
              <w:right w:val="nil"/>
              <w:tl2br w:val="nil"/>
              <w:tr2bl w:val="nil"/>
            </w:tcBorders>
            <w:shd w:val="solid" w:color="FFFFFF" w:fill="FFFFFF"/>
            <w:noWrap/>
            <w:vAlign w:val="bottom"/>
          </w:tcPr>
          <w:p w14:paraId="558D6638" w14:textId="77777777" w:rsidR="00FE2562" w:rsidRDefault="00FE2562" w:rsidP="00FE2562">
            <w:pPr>
              <w:spacing w:after="1"/>
              <w:jc w:val="center"/>
              <w:rPr>
                <w:b/>
                <w:color w:val="000000"/>
                <w:sz w:val="16"/>
              </w:rPr>
            </w:pPr>
            <w:r>
              <w:rPr>
                <w:rFonts w:ascii="Times New Roman" w:eastAsia="Times New Roman" w:hAnsi="Times New Roman" w:cs="Times New Roman"/>
                <w:b/>
                <w:color w:val="000000"/>
                <w:sz w:val="16"/>
              </w:rPr>
              <w:t xml:space="preserve">Three Months Ended </w:t>
            </w:r>
          </w:p>
        </w:tc>
      </w:tr>
      <w:tr w:rsidR="00FE2562" w14:paraId="1029AF29" w14:textId="77777777" w:rsidTr="00FE2562">
        <w:tc>
          <w:tcPr>
            <w:tcW w:w="1973" w:type="pct"/>
            <w:tcBorders>
              <w:top w:val="nil"/>
              <w:left w:val="nil"/>
              <w:bottom w:val="nil"/>
              <w:right w:val="nil"/>
              <w:tl2br w:val="nil"/>
              <w:tr2bl w:val="nil"/>
            </w:tcBorders>
            <w:shd w:val="solid" w:color="FFFFFF" w:fill="FFFFFF"/>
            <w:vAlign w:val="bottom"/>
          </w:tcPr>
          <w:p w14:paraId="421C06B7" w14:textId="77777777" w:rsidR="00FE2562" w:rsidRDefault="00FE2562" w:rsidP="00FE2562">
            <w:pPr>
              <w:spacing w:after="1"/>
              <w:rPr>
                <w:i/>
                <w:color w:val="000000"/>
                <w:sz w:val="16"/>
              </w:rPr>
            </w:pPr>
            <w:r>
              <w:rPr>
                <w:rFonts w:ascii="Times New Roman" w:eastAsia="Times New Roman" w:hAnsi="Times New Roman" w:cs="Times New Roman"/>
                <w:i/>
                <w:color w:val="000000"/>
                <w:sz w:val="16"/>
              </w:rPr>
              <w:t>(In thousands)</w:t>
            </w:r>
          </w:p>
        </w:tc>
        <w:tc>
          <w:tcPr>
            <w:tcW w:w="202" w:type="pct"/>
            <w:tcBorders>
              <w:top w:val="nil"/>
              <w:left w:val="nil"/>
              <w:bottom w:val="nil"/>
              <w:right w:val="nil"/>
              <w:tl2br w:val="nil"/>
              <w:tr2bl w:val="nil"/>
            </w:tcBorders>
            <w:shd w:val="solid" w:color="FFFFFF" w:fill="FFFFFF"/>
            <w:noWrap/>
            <w:vAlign w:val="bottom"/>
          </w:tcPr>
          <w:p w14:paraId="483A6496" w14:textId="77777777" w:rsidR="00FE2562" w:rsidRDefault="00FE2562" w:rsidP="00FE2562">
            <w:pPr>
              <w:spacing w:after="1"/>
              <w:rPr>
                <w:color w:val="000000"/>
                <w:sz w:val="16"/>
              </w:rPr>
            </w:pPr>
            <w:r>
              <w:rPr>
                <w:rFonts w:ascii="Times New Roman" w:eastAsia="Times New Roman" w:hAnsi="Times New Roman" w:cs="Times New Roman"/>
                <w:color w:val="000000"/>
                <w:sz w:val="16"/>
              </w:rPr>
              <w:t>    </w:t>
            </w:r>
          </w:p>
        </w:tc>
        <w:tc>
          <w:tcPr>
            <w:tcW w:w="1228" w:type="pct"/>
            <w:gridSpan w:val="2"/>
            <w:tcBorders>
              <w:top w:val="nil"/>
              <w:left w:val="nil"/>
              <w:bottom w:val="single" w:sz="4" w:space="0" w:color="000000"/>
              <w:right w:val="nil"/>
              <w:tl2br w:val="nil"/>
              <w:tr2bl w:val="nil"/>
            </w:tcBorders>
            <w:shd w:val="solid" w:color="FFFFFF" w:fill="FFFFFF"/>
            <w:vAlign w:val="bottom"/>
          </w:tcPr>
          <w:p w14:paraId="03319AA0" w14:textId="77777777" w:rsidR="00FE2562" w:rsidRDefault="00FE2562" w:rsidP="00FE2562">
            <w:pPr>
              <w:spacing w:after="1"/>
              <w:jc w:val="center"/>
              <w:rPr>
                <w:b/>
                <w:color w:val="000000"/>
                <w:sz w:val="16"/>
              </w:rPr>
            </w:pPr>
            <w:r>
              <w:rPr>
                <w:rFonts w:ascii="Times New Roman" w:eastAsia="Times New Roman" w:hAnsi="Times New Roman" w:cs="Times New Roman"/>
                <w:b/>
                <w:color w:val="000000"/>
                <w:sz w:val="16"/>
              </w:rPr>
              <w:t>August 31, 2024</w:t>
            </w:r>
          </w:p>
        </w:tc>
        <w:tc>
          <w:tcPr>
            <w:tcW w:w="202" w:type="pct"/>
            <w:tcBorders>
              <w:top w:val="nil"/>
              <w:left w:val="nil"/>
              <w:bottom w:val="nil"/>
              <w:right w:val="nil"/>
              <w:tl2br w:val="nil"/>
              <w:tr2bl w:val="nil"/>
            </w:tcBorders>
            <w:shd w:val="solid" w:color="FFFFFF" w:fill="FFFFFF"/>
            <w:noWrap/>
            <w:vAlign w:val="bottom"/>
          </w:tcPr>
          <w:p w14:paraId="21058E38" w14:textId="77777777" w:rsidR="00FE2562" w:rsidRDefault="00FE2562" w:rsidP="00FE2562">
            <w:pPr>
              <w:spacing w:after="1"/>
              <w:rPr>
                <w:color w:val="000000"/>
                <w:sz w:val="16"/>
              </w:rPr>
            </w:pPr>
            <w:r>
              <w:rPr>
                <w:rFonts w:ascii="Times New Roman" w:eastAsia="Times New Roman" w:hAnsi="Times New Roman" w:cs="Times New Roman"/>
                <w:color w:val="000000"/>
                <w:sz w:val="16"/>
              </w:rPr>
              <w:t>    </w:t>
            </w:r>
          </w:p>
        </w:tc>
        <w:tc>
          <w:tcPr>
            <w:tcW w:w="1395" w:type="pct"/>
            <w:gridSpan w:val="2"/>
            <w:tcBorders>
              <w:top w:val="nil"/>
              <w:left w:val="nil"/>
              <w:bottom w:val="single" w:sz="4" w:space="0" w:color="000000"/>
              <w:right w:val="nil"/>
              <w:tl2br w:val="nil"/>
              <w:tr2bl w:val="nil"/>
            </w:tcBorders>
            <w:shd w:val="solid" w:color="FFFFFF" w:fill="FFFFFF"/>
            <w:vAlign w:val="bottom"/>
          </w:tcPr>
          <w:p w14:paraId="6D2DC69F" w14:textId="77777777" w:rsidR="00FE2562" w:rsidRDefault="00FE2562" w:rsidP="00FE2562">
            <w:pPr>
              <w:spacing w:after="1"/>
              <w:jc w:val="center"/>
              <w:rPr>
                <w:b/>
                <w:color w:val="000000"/>
                <w:sz w:val="16"/>
              </w:rPr>
            </w:pPr>
            <w:r>
              <w:rPr>
                <w:rFonts w:ascii="Times New Roman" w:eastAsia="Times New Roman" w:hAnsi="Times New Roman" w:cs="Times New Roman"/>
                <w:b/>
                <w:color w:val="000000"/>
                <w:sz w:val="16"/>
              </w:rPr>
              <w:t>August 31, 2023</w:t>
            </w:r>
          </w:p>
        </w:tc>
      </w:tr>
      <w:tr w:rsidR="00FE2562" w14:paraId="4C3251CE" w14:textId="77777777" w:rsidTr="00FE2562">
        <w:tc>
          <w:tcPr>
            <w:tcW w:w="1973" w:type="pct"/>
            <w:tcBorders>
              <w:top w:val="nil"/>
              <w:left w:val="nil"/>
              <w:bottom w:val="nil"/>
              <w:right w:val="nil"/>
              <w:tl2br w:val="nil"/>
              <w:tr2bl w:val="nil"/>
            </w:tcBorders>
            <w:shd w:val="solid" w:color="FFFFFF" w:fill="FFFFFF"/>
            <w:vAlign w:val="center"/>
          </w:tcPr>
          <w:p w14:paraId="2A3172DD" w14:textId="77777777" w:rsidR="00FE2562" w:rsidRDefault="00FE2562" w:rsidP="00FE2562">
            <w:pPr>
              <w:spacing w:after="1"/>
              <w:rPr>
                <w:color w:val="000000"/>
                <w:sz w:val="20"/>
              </w:rPr>
            </w:pPr>
            <w:r>
              <w:rPr>
                <w:rFonts w:ascii="Times New Roman" w:eastAsia="Times New Roman" w:hAnsi="Times New Roman" w:cs="Times New Roman"/>
                <w:color w:val="000000"/>
                <w:sz w:val="20"/>
              </w:rPr>
              <w:t>Net Income</w:t>
            </w:r>
          </w:p>
        </w:tc>
        <w:tc>
          <w:tcPr>
            <w:tcW w:w="202" w:type="pct"/>
            <w:tcBorders>
              <w:top w:val="nil"/>
              <w:left w:val="nil"/>
              <w:bottom w:val="nil"/>
              <w:right w:val="nil"/>
              <w:tl2br w:val="nil"/>
              <w:tr2bl w:val="nil"/>
            </w:tcBorders>
            <w:shd w:val="solid" w:color="FFFFFF" w:fill="FFFFFF"/>
            <w:vAlign w:val="bottom"/>
          </w:tcPr>
          <w:p w14:paraId="46106040"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7D495A87"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nil"/>
              <w:right w:val="nil"/>
              <w:tl2br w:val="nil"/>
              <w:tr2bl w:val="nil"/>
            </w:tcBorders>
            <w:shd w:val="solid" w:color="FFFFFF" w:fill="FFFFFF"/>
            <w:noWrap/>
            <w:vAlign w:val="bottom"/>
          </w:tcPr>
          <w:p w14:paraId="0222E0BD"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6,605</w:t>
            </w:r>
          </w:p>
        </w:tc>
        <w:tc>
          <w:tcPr>
            <w:tcW w:w="202" w:type="pct"/>
            <w:tcBorders>
              <w:top w:val="nil"/>
              <w:left w:val="nil"/>
              <w:bottom w:val="nil"/>
              <w:right w:val="nil"/>
              <w:tl2br w:val="nil"/>
              <w:tr2bl w:val="nil"/>
            </w:tcBorders>
            <w:shd w:val="solid" w:color="FFFFFF" w:fill="FFFFFF"/>
            <w:noWrap/>
            <w:vAlign w:val="bottom"/>
          </w:tcPr>
          <w:p w14:paraId="0F145129"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197A429A"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nil"/>
              <w:right w:val="nil"/>
              <w:tl2br w:val="nil"/>
              <w:tr2bl w:val="nil"/>
            </w:tcBorders>
            <w:shd w:val="solid" w:color="FFFFFF" w:fill="FFFFFF"/>
            <w:noWrap/>
            <w:vAlign w:val="bottom"/>
          </w:tcPr>
          <w:p w14:paraId="0259DAFA"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1,056</w:t>
            </w:r>
          </w:p>
        </w:tc>
      </w:tr>
      <w:tr w:rsidR="00FE2562" w14:paraId="6917B3F1" w14:textId="77777777" w:rsidTr="00FE2562">
        <w:tc>
          <w:tcPr>
            <w:tcW w:w="1973" w:type="pct"/>
            <w:tcBorders>
              <w:top w:val="nil"/>
              <w:left w:val="nil"/>
              <w:bottom w:val="nil"/>
              <w:right w:val="nil"/>
              <w:tl2br w:val="nil"/>
              <w:tr2bl w:val="nil"/>
            </w:tcBorders>
            <w:shd w:val="solid" w:color="FFFFFF" w:fill="FFFFFF"/>
            <w:vAlign w:val="center"/>
          </w:tcPr>
          <w:p w14:paraId="41793364" w14:textId="77777777" w:rsidR="00FE2562" w:rsidRDefault="00FE2562" w:rsidP="00FE2562">
            <w:pPr>
              <w:spacing w:after="1"/>
              <w:rPr>
                <w:color w:val="000000"/>
                <w:sz w:val="20"/>
              </w:rPr>
            </w:pPr>
            <w:r>
              <w:rPr>
                <w:rFonts w:ascii="Times New Roman" w:eastAsia="Times New Roman" w:hAnsi="Times New Roman" w:cs="Times New Roman"/>
                <w:color w:val="000000"/>
                <w:sz w:val="20"/>
              </w:rPr>
              <w:t>Add back:</w:t>
            </w:r>
          </w:p>
        </w:tc>
        <w:tc>
          <w:tcPr>
            <w:tcW w:w="202" w:type="pct"/>
            <w:tcBorders>
              <w:top w:val="nil"/>
              <w:left w:val="nil"/>
              <w:bottom w:val="nil"/>
              <w:right w:val="nil"/>
              <w:tl2br w:val="nil"/>
              <w:tr2bl w:val="nil"/>
            </w:tcBorders>
            <w:shd w:val="solid" w:color="FFFFFF" w:fill="FFFFFF"/>
            <w:vAlign w:val="bottom"/>
          </w:tcPr>
          <w:p w14:paraId="61B54EDB"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039F0500"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068F7186" w14:textId="77777777" w:rsidR="00FE2562" w:rsidRDefault="00FE2562" w:rsidP="00FE2562">
            <w:pPr>
              <w:spacing w:after="1"/>
              <w:jc w:val="right"/>
              <w:rPr>
                <w:color w:val="000000"/>
                <w:sz w:val="20"/>
              </w:rPr>
            </w:pPr>
          </w:p>
        </w:tc>
        <w:tc>
          <w:tcPr>
            <w:tcW w:w="202" w:type="pct"/>
            <w:tcBorders>
              <w:top w:val="nil"/>
              <w:left w:val="nil"/>
              <w:bottom w:val="nil"/>
              <w:right w:val="nil"/>
              <w:tl2br w:val="nil"/>
              <w:tr2bl w:val="nil"/>
            </w:tcBorders>
            <w:shd w:val="solid" w:color="FFFFFF" w:fill="FFFFFF"/>
            <w:noWrap/>
            <w:vAlign w:val="bottom"/>
          </w:tcPr>
          <w:p w14:paraId="4802CEB6"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2EC0FC54"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3C9CDEAF" w14:textId="77777777" w:rsidR="00FE2562" w:rsidRDefault="00FE2562" w:rsidP="00FE2562">
            <w:pPr>
              <w:spacing w:after="1"/>
              <w:jc w:val="right"/>
              <w:rPr>
                <w:color w:val="000000"/>
                <w:sz w:val="20"/>
              </w:rPr>
            </w:pPr>
          </w:p>
        </w:tc>
      </w:tr>
      <w:tr w:rsidR="00FE2562" w14:paraId="63C448D8" w14:textId="77777777" w:rsidTr="00FE2562">
        <w:tc>
          <w:tcPr>
            <w:tcW w:w="1973" w:type="pct"/>
            <w:tcBorders>
              <w:top w:val="nil"/>
              <w:left w:val="nil"/>
              <w:bottom w:val="nil"/>
              <w:right w:val="nil"/>
              <w:tl2br w:val="nil"/>
              <w:tr2bl w:val="nil"/>
            </w:tcBorders>
            <w:shd w:val="solid" w:color="FFFFFF" w:fill="FFFFFF"/>
            <w:vAlign w:val="center"/>
          </w:tcPr>
          <w:p w14:paraId="4D5F129F"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Interest expense, net</w:t>
            </w:r>
          </w:p>
        </w:tc>
        <w:tc>
          <w:tcPr>
            <w:tcW w:w="202" w:type="pct"/>
            <w:tcBorders>
              <w:top w:val="nil"/>
              <w:left w:val="nil"/>
              <w:bottom w:val="nil"/>
              <w:right w:val="nil"/>
              <w:tl2br w:val="nil"/>
              <w:tr2bl w:val="nil"/>
            </w:tcBorders>
            <w:shd w:val="solid" w:color="FFFFFF" w:fill="FFFFFF"/>
            <w:vAlign w:val="bottom"/>
          </w:tcPr>
          <w:p w14:paraId="535A3115"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4619CBDE"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66AEEA4C"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111</w:t>
            </w:r>
          </w:p>
        </w:tc>
        <w:tc>
          <w:tcPr>
            <w:tcW w:w="202" w:type="pct"/>
            <w:tcBorders>
              <w:top w:val="nil"/>
              <w:left w:val="nil"/>
              <w:bottom w:val="nil"/>
              <w:right w:val="nil"/>
              <w:tl2br w:val="nil"/>
              <w:tr2bl w:val="nil"/>
            </w:tcBorders>
            <w:shd w:val="solid" w:color="FFFFFF" w:fill="FFFFFF"/>
            <w:noWrap/>
            <w:vAlign w:val="bottom"/>
          </w:tcPr>
          <w:p w14:paraId="5F5F5FF7"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68F17852"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12A1C9B8"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57</w:t>
            </w:r>
          </w:p>
        </w:tc>
      </w:tr>
      <w:tr w:rsidR="00FE2562" w14:paraId="33DA1D8F" w14:textId="77777777" w:rsidTr="00FE2562">
        <w:tc>
          <w:tcPr>
            <w:tcW w:w="1973" w:type="pct"/>
            <w:tcBorders>
              <w:top w:val="nil"/>
              <w:left w:val="nil"/>
              <w:bottom w:val="nil"/>
              <w:right w:val="nil"/>
              <w:tl2br w:val="nil"/>
              <w:tr2bl w:val="nil"/>
            </w:tcBorders>
            <w:shd w:val="solid" w:color="FFFFFF" w:fill="FFFFFF"/>
            <w:vAlign w:val="center"/>
          </w:tcPr>
          <w:p w14:paraId="7C2B7EBA"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Taxes</w:t>
            </w:r>
          </w:p>
        </w:tc>
        <w:tc>
          <w:tcPr>
            <w:tcW w:w="202" w:type="pct"/>
            <w:tcBorders>
              <w:top w:val="nil"/>
              <w:left w:val="nil"/>
              <w:bottom w:val="nil"/>
              <w:right w:val="nil"/>
              <w:tl2br w:val="nil"/>
              <w:tr2bl w:val="nil"/>
            </w:tcBorders>
            <w:shd w:val="solid" w:color="FFFFFF" w:fill="FFFFFF"/>
            <w:vAlign w:val="bottom"/>
          </w:tcPr>
          <w:p w14:paraId="2BA993DE"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239A6D83"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76680777"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2,214</w:t>
            </w:r>
          </w:p>
        </w:tc>
        <w:tc>
          <w:tcPr>
            <w:tcW w:w="202" w:type="pct"/>
            <w:tcBorders>
              <w:top w:val="nil"/>
              <w:left w:val="nil"/>
              <w:bottom w:val="nil"/>
              <w:right w:val="nil"/>
              <w:tl2br w:val="nil"/>
              <w:tr2bl w:val="nil"/>
            </w:tcBorders>
            <w:shd w:val="solid" w:color="FFFFFF" w:fill="FFFFFF"/>
            <w:noWrap/>
            <w:vAlign w:val="bottom"/>
          </w:tcPr>
          <w:p w14:paraId="0FF34802"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031E3E3C"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3A463E8B"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177</w:t>
            </w:r>
          </w:p>
        </w:tc>
      </w:tr>
      <w:tr w:rsidR="00FE2562" w14:paraId="5E73729A" w14:textId="77777777" w:rsidTr="00FE2562">
        <w:tc>
          <w:tcPr>
            <w:tcW w:w="1973" w:type="pct"/>
            <w:tcBorders>
              <w:top w:val="nil"/>
              <w:left w:val="nil"/>
              <w:bottom w:val="nil"/>
              <w:right w:val="nil"/>
              <w:tl2br w:val="nil"/>
              <w:tr2bl w:val="nil"/>
            </w:tcBorders>
            <w:shd w:val="solid" w:color="FFFFFF" w:fill="FFFFFF"/>
            <w:vAlign w:val="center"/>
          </w:tcPr>
          <w:p w14:paraId="51ACD73B"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Depreciation / amortization</w:t>
            </w:r>
          </w:p>
        </w:tc>
        <w:tc>
          <w:tcPr>
            <w:tcW w:w="202" w:type="pct"/>
            <w:tcBorders>
              <w:top w:val="nil"/>
              <w:left w:val="nil"/>
              <w:bottom w:val="nil"/>
              <w:right w:val="nil"/>
              <w:tl2br w:val="nil"/>
              <w:tr2bl w:val="nil"/>
            </w:tcBorders>
            <w:shd w:val="solid" w:color="FFFFFF" w:fill="FFFFFF"/>
            <w:vAlign w:val="bottom"/>
          </w:tcPr>
          <w:p w14:paraId="6EC9DBEE" w14:textId="77777777" w:rsidR="00FE2562" w:rsidRDefault="00FE2562" w:rsidP="00FE2562">
            <w:pPr>
              <w:spacing w:after="1"/>
              <w:rPr>
                <w:color w:val="000000"/>
                <w:sz w:val="20"/>
              </w:rPr>
            </w:pPr>
          </w:p>
        </w:tc>
        <w:tc>
          <w:tcPr>
            <w:tcW w:w="137" w:type="pct"/>
            <w:tcBorders>
              <w:top w:val="nil"/>
              <w:left w:val="nil"/>
              <w:bottom w:val="single" w:sz="4" w:space="0" w:color="000000"/>
              <w:right w:val="nil"/>
              <w:tl2br w:val="nil"/>
              <w:tr2bl w:val="nil"/>
            </w:tcBorders>
            <w:shd w:val="solid" w:color="FFFFFF" w:fill="FFFFFF"/>
            <w:noWrap/>
            <w:vAlign w:val="bottom"/>
          </w:tcPr>
          <w:p w14:paraId="51073012" w14:textId="77777777" w:rsidR="00FE2562" w:rsidRDefault="00FE2562" w:rsidP="00FE2562">
            <w:pPr>
              <w:spacing w:after="1"/>
              <w:rPr>
                <w:color w:val="000000"/>
                <w:sz w:val="20"/>
              </w:rPr>
            </w:pPr>
          </w:p>
        </w:tc>
        <w:tc>
          <w:tcPr>
            <w:tcW w:w="1091" w:type="pct"/>
            <w:tcBorders>
              <w:top w:val="nil"/>
              <w:left w:val="nil"/>
              <w:bottom w:val="single" w:sz="4" w:space="0" w:color="000000"/>
              <w:right w:val="nil"/>
              <w:tl2br w:val="nil"/>
              <w:tr2bl w:val="nil"/>
            </w:tcBorders>
            <w:shd w:val="solid" w:color="FFFFFF" w:fill="FFFFFF"/>
            <w:noWrap/>
            <w:vAlign w:val="bottom"/>
          </w:tcPr>
          <w:p w14:paraId="1BCC1110"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521</w:t>
            </w:r>
          </w:p>
        </w:tc>
        <w:tc>
          <w:tcPr>
            <w:tcW w:w="202" w:type="pct"/>
            <w:tcBorders>
              <w:top w:val="nil"/>
              <w:left w:val="nil"/>
              <w:bottom w:val="nil"/>
              <w:right w:val="nil"/>
              <w:tl2br w:val="nil"/>
              <w:tr2bl w:val="nil"/>
            </w:tcBorders>
            <w:shd w:val="solid" w:color="FFFFFF" w:fill="FFFFFF"/>
            <w:noWrap/>
            <w:vAlign w:val="bottom"/>
          </w:tcPr>
          <w:p w14:paraId="7EB74336" w14:textId="77777777" w:rsidR="00FE2562" w:rsidRDefault="00FE2562" w:rsidP="00FE2562">
            <w:pPr>
              <w:spacing w:after="1"/>
              <w:rPr>
                <w:color w:val="000000"/>
                <w:sz w:val="20"/>
              </w:rPr>
            </w:pPr>
          </w:p>
        </w:tc>
        <w:tc>
          <w:tcPr>
            <w:tcW w:w="303" w:type="pct"/>
            <w:tcBorders>
              <w:top w:val="nil"/>
              <w:left w:val="nil"/>
              <w:bottom w:val="single" w:sz="4" w:space="0" w:color="000000"/>
              <w:right w:val="nil"/>
              <w:tl2br w:val="nil"/>
              <w:tr2bl w:val="nil"/>
            </w:tcBorders>
            <w:shd w:val="solid" w:color="FFFFFF" w:fill="FFFFFF"/>
            <w:noWrap/>
            <w:vAlign w:val="bottom"/>
          </w:tcPr>
          <w:p w14:paraId="579A7BDB" w14:textId="77777777" w:rsidR="00FE2562" w:rsidRDefault="00FE2562" w:rsidP="00FE2562">
            <w:pPr>
              <w:spacing w:after="1"/>
              <w:rPr>
                <w:color w:val="000000"/>
                <w:sz w:val="20"/>
              </w:rPr>
            </w:pPr>
          </w:p>
        </w:tc>
        <w:tc>
          <w:tcPr>
            <w:tcW w:w="1091" w:type="pct"/>
            <w:tcBorders>
              <w:top w:val="nil"/>
              <w:left w:val="nil"/>
              <w:bottom w:val="single" w:sz="4" w:space="0" w:color="000000"/>
              <w:right w:val="nil"/>
              <w:tl2br w:val="nil"/>
              <w:tr2bl w:val="nil"/>
            </w:tcBorders>
            <w:shd w:val="solid" w:color="FFFFFF" w:fill="FFFFFF"/>
            <w:noWrap/>
            <w:vAlign w:val="bottom"/>
          </w:tcPr>
          <w:p w14:paraId="5C8E6988"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562</w:t>
            </w:r>
          </w:p>
        </w:tc>
      </w:tr>
      <w:tr w:rsidR="00FE2562" w14:paraId="159E6084" w14:textId="77777777" w:rsidTr="00FE2562">
        <w:tc>
          <w:tcPr>
            <w:tcW w:w="1973" w:type="pct"/>
            <w:tcBorders>
              <w:top w:val="nil"/>
              <w:left w:val="nil"/>
              <w:bottom w:val="nil"/>
              <w:right w:val="nil"/>
              <w:tl2br w:val="nil"/>
              <w:tr2bl w:val="nil"/>
            </w:tcBorders>
            <w:shd w:val="solid" w:color="FFFFFF" w:fill="FFFFFF"/>
            <w:vAlign w:val="center"/>
          </w:tcPr>
          <w:p w14:paraId="0E0062E1" w14:textId="77777777" w:rsidR="00FE2562" w:rsidRDefault="00FE2562" w:rsidP="00FE2562">
            <w:pPr>
              <w:spacing w:after="1"/>
              <w:rPr>
                <w:color w:val="000000"/>
                <w:sz w:val="20"/>
              </w:rPr>
            </w:pPr>
            <w:r>
              <w:rPr>
                <w:rFonts w:ascii="Times New Roman" w:eastAsia="Times New Roman" w:hAnsi="Times New Roman" w:cs="Times New Roman"/>
                <w:color w:val="000000"/>
                <w:sz w:val="20"/>
              </w:rPr>
              <w:t>EBITDA</w:t>
            </w:r>
          </w:p>
        </w:tc>
        <w:tc>
          <w:tcPr>
            <w:tcW w:w="202" w:type="pct"/>
            <w:tcBorders>
              <w:top w:val="nil"/>
              <w:left w:val="nil"/>
              <w:bottom w:val="nil"/>
              <w:right w:val="nil"/>
              <w:tl2br w:val="nil"/>
              <w:tr2bl w:val="nil"/>
            </w:tcBorders>
            <w:shd w:val="solid" w:color="FFFFFF" w:fill="FFFFFF"/>
            <w:vAlign w:val="bottom"/>
          </w:tcPr>
          <w:p w14:paraId="3FDDF88D" w14:textId="77777777" w:rsidR="00FE2562" w:rsidRDefault="00FE2562" w:rsidP="00FE2562">
            <w:pPr>
              <w:spacing w:after="1"/>
              <w:rPr>
                <w:color w:val="000000"/>
                <w:sz w:val="20"/>
              </w:rPr>
            </w:pPr>
          </w:p>
        </w:tc>
        <w:tc>
          <w:tcPr>
            <w:tcW w:w="137" w:type="pct"/>
            <w:tcBorders>
              <w:top w:val="nil"/>
              <w:left w:val="nil"/>
              <w:bottom w:val="double" w:sz="4" w:space="0" w:color="000000"/>
              <w:right w:val="nil"/>
              <w:tl2br w:val="nil"/>
              <w:tr2bl w:val="nil"/>
            </w:tcBorders>
            <w:shd w:val="solid" w:color="FFFFFF" w:fill="FFFFFF"/>
            <w:noWrap/>
            <w:vAlign w:val="bottom"/>
          </w:tcPr>
          <w:p w14:paraId="41951682"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0F8D588A"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9,451</w:t>
            </w:r>
          </w:p>
        </w:tc>
        <w:tc>
          <w:tcPr>
            <w:tcW w:w="202" w:type="pct"/>
            <w:tcBorders>
              <w:top w:val="nil"/>
              <w:left w:val="nil"/>
              <w:bottom w:val="nil"/>
              <w:right w:val="nil"/>
              <w:tl2br w:val="nil"/>
              <w:tr2bl w:val="nil"/>
            </w:tcBorders>
            <w:shd w:val="solid" w:color="FFFFFF" w:fill="FFFFFF"/>
            <w:noWrap/>
            <w:vAlign w:val="bottom"/>
          </w:tcPr>
          <w:p w14:paraId="3C8A5B68" w14:textId="77777777" w:rsidR="00FE2562" w:rsidRDefault="00FE2562" w:rsidP="00FE2562">
            <w:pPr>
              <w:spacing w:after="1"/>
              <w:rPr>
                <w:color w:val="000000"/>
                <w:sz w:val="20"/>
              </w:rPr>
            </w:pPr>
          </w:p>
        </w:tc>
        <w:tc>
          <w:tcPr>
            <w:tcW w:w="303" w:type="pct"/>
            <w:tcBorders>
              <w:top w:val="nil"/>
              <w:left w:val="nil"/>
              <w:bottom w:val="double" w:sz="4" w:space="0" w:color="000000"/>
              <w:right w:val="nil"/>
              <w:tl2br w:val="nil"/>
              <w:tr2bl w:val="nil"/>
            </w:tcBorders>
            <w:shd w:val="solid" w:color="FFFFFF" w:fill="FFFFFF"/>
            <w:noWrap/>
            <w:vAlign w:val="bottom"/>
          </w:tcPr>
          <w:p w14:paraId="22E1843E"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409B01BC"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1,852</w:t>
            </w:r>
          </w:p>
        </w:tc>
      </w:tr>
      <w:tr w:rsidR="00FE2562" w14:paraId="1A90C054" w14:textId="77777777" w:rsidTr="00FE2562">
        <w:tc>
          <w:tcPr>
            <w:tcW w:w="1973" w:type="pct"/>
            <w:tcBorders>
              <w:top w:val="nil"/>
              <w:left w:val="nil"/>
              <w:bottom w:val="nil"/>
              <w:right w:val="nil"/>
              <w:tl2br w:val="nil"/>
              <w:tr2bl w:val="nil"/>
            </w:tcBorders>
            <w:shd w:val="solid" w:color="FFFFFF" w:fill="FFFFFF"/>
            <w:vAlign w:val="center"/>
          </w:tcPr>
          <w:p w14:paraId="77E96BE9" w14:textId="77777777" w:rsidR="00FE2562" w:rsidRDefault="00FE2562" w:rsidP="00FE2562">
            <w:pPr>
              <w:spacing w:after="1"/>
              <w:rPr>
                <w:color w:val="000000"/>
                <w:sz w:val="20"/>
              </w:rPr>
            </w:pPr>
          </w:p>
        </w:tc>
        <w:tc>
          <w:tcPr>
            <w:tcW w:w="202" w:type="pct"/>
            <w:tcBorders>
              <w:top w:val="nil"/>
              <w:left w:val="nil"/>
              <w:bottom w:val="nil"/>
              <w:right w:val="nil"/>
              <w:tl2br w:val="nil"/>
              <w:tr2bl w:val="nil"/>
            </w:tcBorders>
            <w:shd w:val="solid" w:color="FFFFFF" w:fill="FFFFFF"/>
            <w:vAlign w:val="bottom"/>
          </w:tcPr>
          <w:p w14:paraId="50DDC02E"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66228C56"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566EA119" w14:textId="77777777" w:rsidR="00FE2562" w:rsidRDefault="00FE2562" w:rsidP="00FE2562">
            <w:pPr>
              <w:spacing w:after="1"/>
              <w:jc w:val="right"/>
              <w:rPr>
                <w:color w:val="000000"/>
                <w:sz w:val="20"/>
              </w:rPr>
            </w:pPr>
          </w:p>
        </w:tc>
        <w:tc>
          <w:tcPr>
            <w:tcW w:w="202" w:type="pct"/>
            <w:tcBorders>
              <w:top w:val="nil"/>
              <w:left w:val="nil"/>
              <w:bottom w:val="nil"/>
              <w:right w:val="nil"/>
              <w:tl2br w:val="nil"/>
              <w:tr2bl w:val="nil"/>
            </w:tcBorders>
            <w:shd w:val="solid" w:color="FFFFFF" w:fill="FFFFFF"/>
            <w:noWrap/>
            <w:vAlign w:val="bottom"/>
          </w:tcPr>
          <w:p w14:paraId="6D271E76"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10C881AB"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772326B4" w14:textId="77777777" w:rsidR="00FE2562" w:rsidRDefault="00FE2562" w:rsidP="00FE2562">
            <w:pPr>
              <w:spacing w:after="1"/>
              <w:jc w:val="right"/>
              <w:rPr>
                <w:color w:val="000000"/>
                <w:sz w:val="20"/>
              </w:rPr>
            </w:pPr>
          </w:p>
        </w:tc>
      </w:tr>
      <w:tr w:rsidR="00FE2562" w14:paraId="7244D279" w14:textId="77777777" w:rsidTr="00FE2562">
        <w:tc>
          <w:tcPr>
            <w:tcW w:w="1973" w:type="pct"/>
            <w:tcBorders>
              <w:top w:val="nil"/>
              <w:left w:val="nil"/>
              <w:bottom w:val="nil"/>
              <w:right w:val="nil"/>
              <w:tl2br w:val="nil"/>
              <w:tr2bl w:val="nil"/>
            </w:tcBorders>
            <w:shd w:val="solid" w:color="FFFFFF" w:fill="FFFFFF"/>
            <w:vAlign w:val="center"/>
          </w:tcPr>
          <w:p w14:paraId="3E2F1096" w14:textId="77777777" w:rsidR="00FE2562" w:rsidRDefault="00FE2562" w:rsidP="00FE2562">
            <w:pPr>
              <w:spacing w:after="1"/>
              <w:rPr>
                <w:color w:val="000000"/>
                <w:sz w:val="20"/>
              </w:rPr>
            </w:pPr>
            <w:r>
              <w:rPr>
                <w:rFonts w:ascii="Times New Roman" w:eastAsia="Times New Roman" w:hAnsi="Times New Roman" w:cs="Times New Roman"/>
                <w:color w:val="000000"/>
                <w:sz w:val="20"/>
              </w:rPr>
              <w:t>Earnings per common share - basic and diluted</w:t>
            </w:r>
          </w:p>
        </w:tc>
        <w:tc>
          <w:tcPr>
            <w:tcW w:w="202" w:type="pct"/>
            <w:tcBorders>
              <w:top w:val="nil"/>
              <w:left w:val="nil"/>
              <w:bottom w:val="nil"/>
              <w:right w:val="nil"/>
              <w:tl2br w:val="nil"/>
              <w:tr2bl w:val="nil"/>
            </w:tcBorders>
            <w:shd w:val="solid" w:color="FFFFFF" w:fill="FFFFFF"/>
            <w:vAlign w:val="bottom"/>
          </w:tcPr>
          <w:p w14:paraId="2E9C1B91" w14:textId="77777777" w:rsidR="00FE2562" w:rsidRDefault="00FE2562" w:rsidP="00FE2562">
            <w:pPr>
              <w:spacing w:after="1"/>
              <w:rPr>
                <w:color w:val="000000"/>
                <w:sz w:val="20"/>
              </w:rPr>
            </w:pPr>
          </w:p>
        </w:tc>
        <w:tc>
          <w:tcPr>
            <w:tcW w:w="137" w:type="pct"/>
            <w:tcBorders>
              <w:top w:val="nil"/>
              <w:left w:val="nil"/>
              <w:bottom w:val="nil"/>
              <w:right w:val="nil"/>
              <w:tl2br w:val="nil"/>
              <w:tr2bl w:val="nil"/>
            </w:tcBorders>
            <w:shd w:val="solid" w:color="FFFFFF" w:fill="FFFFFF"/>
            <w:noWrap/>
            <w:vAlign w:val="bottom"/>
          </w:tcPr>
          <w:p w14:paraId="35DA51AF"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137C6F68" w14:textId="77777777" w:rsidR="00FE2562" w:rsidRDefault="00FE2562" w:rsidP="00FE2562">
            <w:pPr>
              <w:spacing w:after="1"/>
              <w:jc w:val="right"/>
              <w:rPr>
                <w:color w:val="000000"/>
                <w:sz w:val="20"/>
              </w:rPr>
            </w:pPr>
          </w:p>
        </w:tc>
        <w:tc>
          <w:tcPr>
            <w:tcW w:w="202" w:type="pct"/>
            <w:tcBorders>
              <w:top w:val="nil"/>
              <w:left w:val="nil"/>
              <w:bottom w:val="nil"/>
              <w:right w:val="nil"/>
              <w:tl2br w:val="nil"/>
              <w:tr2bl w:val="nil"/>
            </w:tcBorders>
            <w:shd w:val="solid" w:color="FFFFFF" w:fill="FFFFFF"/>
            <w:noWrap/>
            <w:vAlign w:val="bottom"/>
          </w:tcPr>
          <w:p w14:paraId="27CAB18A" w14:textId="77777777" w:rsidR="00FE2562" w:rsidRDefault="00FE2562" w:rsidP="00FE2562">
            <w:pPr>
              <w:spacing w:after="1"/>
              <w:rPr>
                <w:color w:val="000000"/>
                <w:sz w:val="20"/>
              </w:rPr>
            </w:pPr>
          </w:p>
        </w:tc>
        <w:tc>
          <w:tcPr>
            <w:tcW w:w="303" w:type="pct"/>
            <w:tcBorders>
              <w:top w:val="nil"/>
              <w:left w:val="nil"/>
              <w:bottom w:val="nil"/>
              <w:right w:val="nil"/>
              <w:tl2br w:val="nil"/>
              <w:tr2bl w:val="nil"/>
            </w:tcBorders>
            <w:shd w:val="solid" w:color="FFFFFF" w:fill="FFFFFF"/>
            <w:noWrap/>
            <w:vAlign w:val="bottom"/>
          </w:tcPr>
          <w:p w14:paraId="2609BCEC" w14:textId="77777777" w:rsidR="00FE2562" w:rsidRDefault="00FE2562" w:rsidP="00FE2562">
            <w:pPr>
              <w:spacing w:after="1"/>
              <w:rPr>
                <w:color w:val="000000"/>
                <w:sz w:val="20"/>
              </w:rPr>
            </w:pPr>
          </w:p>
        </w:tc>
        <w:tc>
          <w:tcPr>
            <w:tcW w:w="1091" w:type="pct"/>
            <w:tcBorders>
              <w:top w:val="nil"/>
              <w:left w:val="nil"/>
              <w:bottom w:val="nil"/>
              <w:right w:val="nil"/>
              <w:tl2br w:val="nil"/>
              <w:tr2bl w:val="nil"/>
            </w:tcBorders>
            <w:shd w:val="solid" w:color="FFFFFF" w:fill="FFFFFF"/>
            <w:noWrap/>
            <w:vAlign w:val="bottom"/>
          </w:tcPr>
          <w:p w14:paraId="5EA16FA4" w14:textId="77777777" w:rsidR="00FE2562" w:rsidRDefault="00FE2562" w:rsidP="00FE2562">
            <w:pPr>
              <w:spacing w:after="1"/>
              <w:jc w:val="right"/>
              <w:rPr>
                <w:color w:val="000000"/>
                <w:sz w:val="20"/>
              </w:rPr>
            </w:pPr>
          </w:p>
        </w:tc>
      </w:tr>
      <w:tr w:rsidR="00FE2562" w14:paraId="15AA755B" w14:textId="77777777" w:rsidTr="00FE2562">
        <w:tc>
          <w:tcPr>
            <w:tcW w:w="1973" w:type="pct"/>
            <w:tcBorders>
              <w:top w:val="nil"/>
              <w:left w:val="nil"/>
              <w:bottom w:val="nil"/>
              <w:right w:val="nil"/>
              <w:tl2br w:val="nil"/>
              <w:tr2bl w:val="nil"/>
            </w:tcBorders>
            <w:shd w:val="solid" w:color="FFFFFF" w:fill="FFFFFF"/>
            <w:vAlign w:val="center"/>
          </w:tcPr>
          <w:p w14:paraId="554B5B60"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Basic</w:t>
            </w:r>
          </w:p>
        </w:tc>
        <w:tc>
          <w:tcPr>
            <w:tcW w:w="202" w:type="pct"/>
            <w:tcBorders>
              <w:top w:val="nil"/>
              <w:left w:val="nil"/>
              <w:bottom w:val="nil"/>
              <w:right w:val="nil"/>
              <w:tl2br w:val="nil"/>
              <w:tr2bl w:val="nil"/>
            </w:tcBorders>
            <w:shd w:val="solid" w:color="FFFFFF" w:fill="FFFFFF"/>
            <w:vAlign w:val="bottom"/>
          </w:tcPr>
          <w:p w14:paraId="46FD4F9C" w14:textId="77777777" w:rsidR="00FE2562" w:rsidRDefault="00FE2562" w:rsidP="00FE2562">
            <w:pPr>
              <w:spacing w:after="1"/>
              <w:rPr>
                <w:color w:val="000000"/>
                <w:sz w:val="20"/>
              </w:rPr>
            </w:pPr>
          </w:p>
        </w:tc>
        <w:tc>
          <w:tcPr>
            <w:tcW w:w="137" w:type="pct"/>
            <w:tcBorders>
              <w:top w:val="nil"/>
              <w:left w:val="nil"/>
              <w:bottom w:val="double" w:sz="4" w:space="0" w:color="000000"/>
              <w:right w:val="nil"/>
              <w:tl2br w:val="nil"/>
              <w:tr2bl w:val="nil"/>
            </w:tcBorders>
            <w:shd w:val="solid" w:color="FFFFFF" w:fill="FFFFFF"/>
            <w:noWrap/>
            <w:vAlign w:val="bottom"/>
          </w:tcPr>
          <w:p w14:paraId="7EE3F66D"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0A719CE0"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0.27</w:t>
            </w:r>
          </w:p>
        </w:tc>
        <w:tc>
          <w:tcPr>
            <w:tcW w:w="202" w:type="pct"/>
            <w:tcBorders>
              <w:top w:val="nil"/>
              <w:left w:val="nil"/>
              <w:bottom w:val="nil"/>
              <w:right w:val="nil"/>
              <w:tl2br w:val="nil"/>
              <w:tr2bl w:val="nil"/>
            </w:tcBorders>
            <w:shd w:val="solid" w:color="FFFFFF" w:fill="FFFFFF"/>
            <w:noWrap/>
            <w:vAlign w:val="bottom"/>
          </w:tcPr>
          <w:p w14:paraId="439BF8CB" w14:textId="77777777" w:rsidR="00FE2562" w:rsidRDefault="00FE2562" w:rsidP="00FE2562">
            <w:pPr>
              <w:spacing w:after="1"/>
              <w:rPr>
                <w:color w:val="000000"/>
                <w:sz w:val="20"/>
              </w:rPr>
            </w:pPr>
          </w:p>
        </w:tc>
        <w:tc>
          <w:tcPr>
            <w:tcW w:w="303" w:type="pct"/>
            <w:tcBorders>
              <w:top w:val="nil"/>
              <w:left w:val="nil"/>
              <w:bottom w:val="double" w:sz="4" w:space="0" w:color="000000"/>
              <w:right w:val="nil"/>
              <w:tl2br w:val="nil"/>
              <w:tr2bl w:val="nil"/>
            </w:tcBorders>
            <w:shd w:val="solid" w:color="FFFFFF" w:fill="FFFFFF"/>
            <w:noWrap/>
            <w:vAlign w:val="bottom"/>
          </w:tcPr>
          <w:p w14:paraId="51A45F28"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29E37273"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0.04</w:t>
            </w:r>
          </w:p>
        </w:tc>
      </w:tr>
      <w:tr w:rsidR="00FE2562" w14:paraId="54AD8ABD" w14:textId="77777777" w:rsidTr="00FE2562">
        <w:tc>
          <w:tcPr>
            <w:tcW w:w="1973" w:type="pct"/>
            <w:tcBorders>
              <w:top w:val="nil"/>
              <w:left w:val="nil"/>
              <w:bottom w:val="nil"/>
              <w:right w:val="nil"/>
              <w:tl2br w:val="nil"/>
              <w:tr2bl w:val="nil"/>
            </w:tcBorders>
            <w:shd w:val="solid" w:color="FFFFFF" w:fill="FFFFFF"/>
            <w:vAlign w:val="center"/>
          </w:tcPr>
          <w:p w14:paraId="4764D3CA"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Diluted</w:t>
            </w:r>
          </w:p>
        </w:tc>
        <w:tc>
          <w:tcPr>
            <w:tcW w:w="202" w:type="pct"/>
            <w:tcBorders>
              <w:top w:val="nil"/>
              <w:left w:val="nil"/>
              <w:bottom w:val="nil"/>
              <w:right w:val="nil"/>
              <w:tl2br w:val="nil"/>
              <w:tr2bl w:val="nil"/>
            </w:tcBorders>
            <w:shd w:val="solid" w:color="FFFFFF" w:fill="FFFFFF"/>
            <w:vAlign w:val="bottom"/>
          </w:tcPr>
          <w:p w14:paraId="021DBAE9" w14:textId="77777777" w:rsidR="00FE2562" w:rsidRDefault="00FE2562" w:rsidP="00FE2562">
            <w:pPr>
              <w:spacing w:after="1"/>
              <w:rPr>
                <w:color w:val="000000"/>
                <w:sz w:val="20"/>
              </w:rPr>
            </w:pPr>
          </w:p>
        </w:tc>
        <w:tc>
          <w:tcPr>
            <w:tcW w:w="137" w:type="pct"/>
            <w:tcBorders>
              <w:top w:val="nil"/>
              <w:left w:val="nil"/>
              <w:bottom w:val="double" w:sz="4" w:space="0" w:color="000000"/>
              <w:right w:val="nil"/>
              <w:tl2br w:val="nil"/>
              <w:tr2bl w:val="nil"/>
            </w:tcBorders>
            <w:shd w:val="solid" w:color="FFFFFF" w:fill="FFFFFF"/>
            <w:noWrap/>
            <w:vAlign w:val="bottom"/>
          </w:tcPr>
          <w:p w14:paraId="49983DE8"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708BCF23"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0.27</w:t>
            </w:r>
          </w:p>
        </w:tc>
        <w:tc>
          <w:tcPr>
            <w:tcW w:w="202" w:type="pct"/>
            <w:tcBorders>
              <w:top w:val="nil"/>
              <w:left w:val="nil"/>
              <w:bottom w:val="nil"/>
              <w:right w:val="nil"/>
              <w:tl2br w:val="nil"/>
              <w:tr2bl w:val="nil"/>
            </w:tcBorders>
            <w:shd w:val="solid" w:color="FFFFFF" w:fill="FFFFFF"/>
            <w:noWrap/>
            <w:vAlign w:val="bottom"/>
          </w:tcPr>
          <w:p w14:paraId="3E966B19" w14:textId="77777777" w:rsidR="00FE2562" w:rsidRDefault="00FE2562" w:rsidP="00FE2562">
            <w:pPr>
              <w:spacing w:after="1"/>
              <w:rPr>
                <w:color w:val="000000"/>
                <w:sz w:val="20"/>
              </w:rPr>
            </w:pPr>
          </w:p>
        </w:tc>
        <w:tc>
          <w:tcPr>
            <w:tcW w:w="303" w:type="pct"/>
            <w:tcBorders>
              <w:top w:val="nil"/>
              <w:left w:val="nil"/>
              <w:bottom w:val="double" w:sz="4" w:space="0" w:color="000000"/>
              <w:right w:val="nil"/>
              <w:tl2br w:val="nil"/>
              <w:tr2bl w:val="nil"/>
            </w:tcBorders>
            <w:shd w:val="solid" w:color="FFFFFF" w:fill="FFFFFF"/>
            <w:noWrap/>
            <w:vAlign w:val="bottom"/>
          </w:tcPr>
          <w:p w14:paraId="2B9781D0" w14:textId="77777777" w:rsidR="00FE2562" w:rsidRDefault="00FE2562" w:rsidP="00FE2562">
            <w:pPr>
              <w:spacing w:after="1"/>
              <w:rPr>
                <w:color w:val="000000"/>
                <w:sz w:val="20"/>
              </w:rPr>
            </w:pPr>
            <w:r>
              <w:rPr>
                <w:rFonts w:ascii="Times New Roman" w:eastAsia="Times New Roman" w:hAnsi="Times New Roman" w:cs="Times New Roman"/>
                <w:color w:val="000000"/>
                <w:sz w:val="20"/>
              </w:rPr>
              <w:t>$</w:t>
            </w:r>
          </w:p>
        </w:tc>
        <w:tc>
          <w:tcPr>
            <w:tcW w:w="1091" w:type="pct"/>
            <w:tcBorders>
              <w:top w:val="nil"/>
              <w:left w:val="nil"/>
              <w:bottom w:val="double" w:sz="4" w:space="0" w:color="000000"/>
              <w:right w:val="nil"/>
              <w:tl2br w:val="nil"/>
              <w:tr2bl w:val="nil"/>
            </w:tcBorders>
            <w:shd w:val="solid" w:color="FFFFFF" w:fill="FFFFFF"/>
            <w:noWrap/>
            <w:vAlign w:val="bottom"/>
          </w:tcPr>
          <w:p w14:paraId="6E5BD955"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0.04</w:t>
            </w:r>
          </w:p>
        </w:tc>
      </w:tr>
      <w:tr w:rsidR="00FE2562" w14:paraId="6E42105D" w14:textId="77777777" w:rsidTr="00FE2562">
        <w:tc>
          <w:tcPr>
            <w:tcW w:w="1973" w:type="pct"/>
            <w:tcBorders>
              <w:top w:val="nil"/>
              <w:left w:val="nil"/>
              <w:bottom w:val="nil"/>
              <w:right w:val="nil"/>
              <w:tl2br w:val="nil"/>
              <w:tr2bl w:val="nil"/>
            </w:tcBorders>
            <w:shd w:val="solid" w:color="FFFFFF" w:fill="FFFFFF"/>
            <w:noWrap/>
            <w:vAlign w:val="bottom"/>
          </w:tcPr>
          <w:p w14:paraId="20B04E0D" w14:textId="77777777" w:rsidR="00FE2562" w:rsidRDefault="00FE2562" w:rsidP="00FE2562">
            <w:pPr>
              <w:spacing w:after="1"/>
              <w:rPr>
                <w:color w:val="000000"/>
              </w:rPr>
            </w:pPr>
          </w:p>
        </w:tc>
        <w:tc>
          <w:tcPr>
            <w:tcW w:w="202" w:type="pct"/>
            <w:tcBorders>
              <w:top w:val="nil"/>
              <w:left w:val="nil"/>
              <w:bottom w:val="nil"/>
              <w:right w:val="nil"/>
              <w:tl2br w:val="nil"/>
              <w:tr2bl w:val="nil"/>
            </w:tcBorders>
            <w:shd w:val="solid" w:color="FFFFFF" w:fill="FFFFFF"/>
            <w:noWrap/>
            <w:vAlign w:val="bottom"/>
          </w:tcPr>
          <w:p w14:paraId="26AF16F3" w14:textId="77777777" w:rsidR="00FE2562" w:rsidRDefault="00FE2562" w:rsidP="00FE2562">
            <w:pPr>
              <w:spacing w:after="1"/>
              <w:rPr>
                <w:color w:val="000000"/>
              </w:rPr>
            </w:pPr>
          </w:p>
        </w:tc>
        <w:tc>
          <w:tcPr>
            <w:tcW w:w="137" w:type="pct"/>
            <w:tcBorders>
              <w:top w:val="nil"/>
              <w:left w:val="nil"/>
              <w:bottom w:val="nil"/>
              <w:right w:val="nil"/>
              <w:tl2br w:val="nil"/>
              <w:tr2bl w:val="nil"/>
            </w:tcBorders>
            <w:shd w:val="solid" w:color="FFFFFF" w:fill="FFFFFF"/>
            <w:noWrap/>
            <w:vAlign w:val="bottom"/>
          </w:tcPr>
          <w:p w14:paraId="26103408" w14:textId="77777777" w:rsidR="00FE2562" w:rsidRDefault="00FE2562" w:rsidP="00FE2562">
            <w:pPr>
              <w:spacing w:after="1"/>
              <w:rPr>
                <w:color w:val="000000"/>
              </w:rPr>
            </w:pPr>
          </w:p>
        </w:tc>
        <w:tc>
          <w:tcPr>
            <w:tcW w:w="1091" w:type="pct"/>
            <w:tcBorders>
              <w:top w:val="nil"/>
              <w:left w:val="nil"/>
              <w:bottom w:val="nil"/>
              <w:right w:val="nil"/>
              <w:tl2br w:val="nil"/>
              <w:tr2bl w:val="nil"/>
            </w:tcBorders>
            <w:shd w:val="solid" w:color="FFFFFF" w:fill="FFFFFF"/>
            <w:noWrap/>
            <w:vAlign w:val="bottom"/>
          </w:tcPr>
          <w:p w14:paraId="56A8E2E2" w14:textId="77777777" w:rsidR="00FE2562" w:rsidRDefault="00FE2562" w:rsidP="00FE2562">
            <w:pPr>
              <w:spacing w:after="1"/>
              <w:jc w:val="right"/>
              <w:rPr>
                <w:color w:val="000000"/>
              </w:rPr>
            </w:pPr>
          </w:p>
        </w:tc>
        <w:tc>
          <w:tcPr>
            <w:tcW w:w="202" w:type="pct"/>
            <w:tcBorders>
              <w:top w:val="nil"/>
              <w:left w:val="nil"/>
              <w:bottom w:val="nil"/>
              <w:right w:val="nil"/>
              <w:tl2br w:val="nil"/>
              <w:tr2bl w:val="nil"/>
            </w:tcBorders>
            <w:shd w:val="solid" w:color="FFFFFF" w:fill="FFFFFF"/>
            <w:noWrap/>
            <w:vAlign w:val="bottom"/>
          </w:tcPr>
          <w:p w14:paraId="2814D8FC" w14:textId="77777777" w:rsidR="00FE2562" w:rsidRDefault="00FE2562" w:rsidP="00FE2562">
            <w:pPr>
              <w:spacing w:after="1"/>
              <w:rPr>
                <w:color w:val="000000"/>
              </w:rPr>
            </w:pPr>
          </w:p>
        </w:tc>
        <w:tc>
          <w:tcPr>
            <w:tcW w:w="303" w:type="pct"/>
            <w:tcBorders>
              <w:top w:val="nil"/>
              <w:left w:val="nil"/>
              <w:bottom w:val="nil"/>
              <w:right w:val="nil"/>
              <w:tl2br w:val="nil"/>
              <w:tr2bl w:val="nil"/>
            </w:tcBorders>
            <w:shd w:val="solid" w:color="FFFFFF" w:fill="FFFFFF"/>
            <w:noWrap/>
            <w:vAlign w:val="bottom"/>
          </w:tcPr>
          <w:p w14:paraId="42D51011" w14:textId="77777777" w:rsidR="00FE2562" w:rsidRDefault="00FE2562" w:rsidP="00FE2562">
            <w:pPr>
              <w:spacing w:after="1"/>
              <w:rPr>
                <w:color w:val="000000"/>
              </w:rPr>
            </w:pPr>
          </w:p>
        </w:tc>
        <w:tc>
          <w:tcPr>
            <w:tcW w:w="1091" w:type="pct"/>
            <w:tcBorders>
              <w:top w:val="nil"/>
              <w:left w:val="nil"/>
              <w:bottom w:val="nil"/>
              <w:right w:val="nil"/>
              <w:tl2br w:val="nil"/>
              <w:tr2bl w:val="nil"/>
            </w:tcBorders>
            <w:shd w:val="solid" w:color="FFFFFF" w:fill="FFFFFF"/>
            <w:noWrap/>
            <w:vAlign w:val="bottom"/>
          </w:tcPr>
          <w:p w14:paraId="02D631D3" w14:textId="77777777" w:rsidR="00FE2562" w:rsidRDefault="00FE2562" w:rsidP="00FE2562">
            <w:pPr>
              <w:spacing w:after="1"/>
              <w:jc w:val="right"/>
              <w:rPr>
                <w:color w:val="000000"/>
              </w:rPr>
            </w:pPr>
          </w:p>
        </w:tc>
      </w:tr>
      <w:tr w:rsidR="00FE2562" w14:paraId="726F7638" w14:textId="77777777" w:rsidTr="00FE2562">
        <w:tc>
          <w:tcPr>
            <w:tcW w:w="1973" w:type="pct"/>
            <w:tcBorders>
              <w:top w:val="nil"/>
              <w:left w:val="nil"/>
              <w:bottom w:val="nil"/>
              <w:right w:val="nil"/>
              <w:tl2br w:val="nil"/>
              <w:tr2bl w:val="nil"/>
            </w:tcBorders>
            <w:shd w:val="solid" w:color="FFFFFF" w:fill="FFFFFF"/>
            <w:vAlign w:val="center"/>
          </w:tcPr>
          <w:p w14:paraId="777AC023" w14:textId="77777777" w:rsidR="00FE2562" w:rsidRDefault="00FE2562" w:rsidP="00FE2562">
            <w:pPr>
              <w:spacing w:after="1"/>
              <w:rPr>
                <w:color w:val="000000"/>
                <w:sz w:val="20"/>
              </w:rPr>
            </w:pPr>
            <w:r>
              <w:rPr>
                <w:rFonts w:ascii="Times New Roman" w:eastAsia="Times New Roman" w:hAnsi="Times New Roman" w:cs="Times New Roman"/>
                <w:color w:val="000000"/>
                <w:sz w:val="20"/>
              </w:rPr>
              <w:t>Weighted average common shares outstanding:</w:t>
            </w:r>
          </w:p>
        </w:tc>
        <w:tc>
          <w:tcPr>
            <w:tcW w:w="202" w:type="pct"/>
            <w:tcBorders>
              <w:top w:val="nil"/>
              <w:left w:val="nil"/>
              <w:bottom w:val="nil"/>
              <w:right w:val="nil"/>
              <w:tl2br w:val="nil"/>
              <w:tr2bl w:val="nil"/>
            </w:tcBorders>
            <w:shd w:val="solid" w:color="FFFFFF" w:fill="FFFFFF"/>
            <w:noWrap/>
            <w:vAlign w:val="bottom"/>
          </w:tcPr>
          <w:p w14:paraId="3B29F554" w14:textId="77777777" w:rsidR="00FE2562" w:rsidRDefault="00FE2562" w:rsidP="00FE2562">
            <w:pPr>
              <w:spacing w:after="1"/>
              <w:rPr>
                <w:color w:val="000000"/>
              </w:rPr>
            </w:pPr>
          </w:p>
        </w:tc>
        <w:tc>
          <w:tcPr>
            <w:tcW w:w="137" w:type="pct"/>
            <w:tcBorders>
              <w:top w:val="nil"/>
              <w:left w:val="nil"/>
              <w:bottom w:val="nil"/>
              <w:right w:val="nil"/>
              <w:tl2br w:val="nil"/>
              <w:tr2bl w:val="nil"/>
            </w:tcBorders>
            <w:shd w:val="solid" w:color="FFFFFF" w:fill="FFFFFF"/>
            <w:noWrap/>
            <w:vAlign w:val="bottom"/>
          </w:tcPr>
          <w:p w14:paraId="53B55FAC" w14:textId="77777777" w:rsidR="00FE2562" w:rsidRDefault="00FE2562" w:rsidP="00FE2562">
            <w:pPr>
              <w:spacing w:after="1"/>
              <w:rPr>
                <w:color w:val="000000"/>
              </w:rPr>
            </w:pPr>
          </w:p>
        </w:tc>
        <w:tc>
          <w:tcPr>
            <w:tcW w:w="1091" w:type="pct"/>
            <w:tcBorders>
              <w:top w:val="nil"/>
              <w:left w:val="nil"/>
              <w:bottom w:val="nil"/>
              <w:right w:val="nil"/>
              <w:tl2br w:val="nil"/>
              <w:tr2bl w:val="nil"/>
            </w:tcBorders>
            <w:shd w:val="solid" w:color="FFFFFF" w:fill="FFFFFF"/>
            <w:noWrap/>
            <w:vAlign w:val="bottom"/>
          </w:tcPr>
          <w:p w14:paraId="70242040" w14:textId="77777777" w:rsidR="00FE2562" w:rsidRDefault="00FE2562" w:rsidP="00FE2562">
            <w:pPr>
              <w:spacing w:after="1"/>
              <w:jc w:val="right"/>
              <w:rPr>
                <w:color w:val="000000"/>
              </w:rPr>
            </w:pPr>
          </w:p>
        </w:tc>
        <w:tc>
          <w:tcPr>
            <w:tcW w:w="202" w:type="pct"/>
            <w:tcBorders>
              <w:top w:val="nil"/>
              <w:left w:val="nil"/>
              <w:bottom w:val="nil"/>
              <w:right w:val="nil"/>
              <w:tl2br w:val="nil"/>
              <w:tr2bl w:val="nil"/>
            </w:tcBorders>
            <w:shd w:val="solid" w:color="FFFFFF" w:fill="FFFFFF"/>
            <w:noWrap/>
            <w:vAlign w:val="bottom"/>
          </w:tcPr>
          <w:p w14:paraId="34F61E21" w14:textId="77777777" w:rsidR="00FE2562" w:rsidRDefault="00FE2562" w:rsidP="00FE2562">
            <w:pPr>
              <w:spacing w:after="1"/>
              <w:rPr>
                <w:color w:val="000000"/>
              </w:rPr>
            </w:pPr>
          </w:p>
        </w:tc>
        <w:tc>
          <w:tcPr>
            <w:tcW w:w="303" w:type="pct"/>
            <w:tcBorders>
              <w:top w:val="nil"/>
              <w:left w:val="nil"/>
              <w:bottom w:val="nil"/>
              <w:right w:val="nil"/>
              <w:tl2br w:val="nil"/>
              <w:tr2bl w:val="nil"/>
            </w:tcBorders>
            <w:shd w:val="solid" w:color="FFFFFF" w:fill="FFFFFF"/>
            <w:noWrap/>
            <w:vAlign w:val="bottom"/>
          </w:tcPr>
          <w:p w14:paraId="60EE9A99" w14:textId="77777777" w:rsidR="00FE2562" w:rsidRDefault="00FE2562" w:rsidP="00FE2562">
            <w:pPr>
              <w:spacing w:after="1"/>
              <w:rPr>
                <w:color w:val="000000"/>
              </w:rPr>
            </w:pPr>
          </w:p>
        </w:tc>
        <w:tc>
          <w:tcPr>
            <w:tcW w:w="1091" w:type="pct"/>
            <w:tcBorders>
              <w:top w:val="nil"/>
              <w:left w:val="nil"/>
              <w:bottom w:val="nil"/>
              <w:right w:val="nil"/>
              <w:tl2br w:val="nil"/>
              <w:tr2bl w:val="nil"/>
            </w:tcBorders>
            <w:shd w:val="solid" w:color="FFFFFF" w:fill="FFFFFF"/>
            <w:noWrap/>
            <w:vAlign w:val="bottom"/>
          </w:tcPr>
          <w:p w14:paraId="3CADCBC7" w14:textId="77777777" w:rsidR="00FE2562" w:rsidRDefault="00FE2562" w:rsidP="00FE2562">
            <w:pPr>
              <w:spacing w:after="1"/>
              <w:jc w:val="right"/>
              <w:rPr>
                <w:color w:val="000000"/>
              </w:rPr>
            </w:pPr>
          </w:p>
        </w:tc>
      </w:tr>
      <w:tr w:rsidR="00FE2562" w14:paraId="547E7F66" w14:textId="77777777" w:rsidTr="00FE2562">
        <w:tc>
          <w:tcPr>
            <w:tcW w:w="1973" w:type="pct"/>
            <w:tcBorders>
              <w:top w:val="nil"/>
              <w:left w:val="nil"/>
              <w:bottom w:val="nil"/>
              <w:right w:val="nil"/>
              <w:tl2br w:val="nil"/>
              <w:tr2bl w:val="nil"/>
            </w:tcBorders>
            <w:shd w:val="solid" w:color="FFFFFF" w:fill="FFFFFF"/>
            <w:vAlign w:val="center"/>
          </w:tcPr>
          <w:p w14:paraId="391735E2"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Basic</w:t>
            </w:r>
          </w:p>
        </w:tc>
        <w:tc>
          <w:tcPr>
            <w:tcW w:w="202" w:type="pct"/>
            <w:tcBorders>
              <w:top w:val="nil"/>
              <w:left w:val="nil"/>
              <w:bottom w:val="nil"/>
              <w:right w:val="nil"/>
              <w:tl2br w:val="nil"/>
              <w:tr2bl w:val="nil"/>
            </w:tcBorders>
            <w:shd w:val="solid" w:color="FFFFFF" w:fill="FFFFFF"/>
            <w:noWrap/>
            <w:vAlign w:val="bottom"/>
          </w:tcPr>
          <w:p w14:paraId="4A7AFC89" w14:textId="77777777" w:rsidR="00FE2562" w:rsidRDefault="00FE2562" w:rsidP="00FE2562">
            <w:pPr>
              <w:spacing w:after="1"/>
              <w:rPr>
                <w:color w:val="000000"/>
              </w:rPr>
            </w:pPr>
          </w:p>
        </w:tc>
        <w:tc>
          <w:tcPr>
            <w:tcW w:w="137" w:type="pct"/>
            <w:tcBorders>
              <w:top w:val="nil"/>
              <w:left w:val="nil"/>
              <w:bottom w:val="double" w:sz="4" w:space="0" w:color="000000"/>
              <w:right w:val="nil"/>
              <w:tl2br w:val="nil"/>
              <w:tr2bl w:val="nil"/>
            </w:tcBorders>
            <w:shd w:val="solid" w:color="FFFFFF" w:fill="FFFFFF"/>
            <w:noWrap/>
            <w:vAlign w:val="bottom"/>
          </w:tcPr>
          <w:p w14:paraId="6B370103" w14:textId="77777777" w:rsidR="00FE2562" w:rsidRDefault="00FE2562" w:rsidP="00FE2562">
            <w:pPr>
              <w:spacing w:after="1"/>
              <w:jc w:val="right"/>
              <w:rPr>
                <w:color w:val="000000"/>
                <w:sz w:val="20"/>
              </w:rPr>
            </w:pPr>
          </w:p>
        </w:tc>
        <w:tc>
          <w:tcPr>
            <w:tcW w:w="1091" w:type="pct"/>
            <w:tcBorders>
              <w:top w:val="nil"/>
              <w:left w:val="nil"/>
              <w:bottom w:val="double" w:sz="4" w:space="0" w:color="000000"/>
              <w:right w:val="nil"/>
              <w:tl2br w:val="nil"/>
              <w:tr2bl w:val="nil"/>
            </w:tcBorders>
            <w:shd w:val="solid" w:color="FFFFFF" w:fill="FFFFFF"/>
            <w:noWrap/>
            <w:vAlign w:val="bottom"/>
          </w:tcPr>
          <w:p w14:paraId="382EC9D9"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24,075,325</w:t>
            </w:r>
          </w:p>
        </w:tc>
        <w:tc>
          <w:tcPr>
            <w:tcW w:w="202" w:type="pct"/>
            <w:tcBorders>
              <w:top w:val="nil"/>
              <w:left w:val="nil"/>
              <w:bottom w:val="double" w:sz="4" w:space="0" w:color="000000"/>
              <w:right w:val="nil"/>
              <w:tl2br w:val="nil"/>
              <w:tr2bl w:val="nil"/>
            </w:tcBorders>
            <w:shd w:val="solid" w:color="FFFFFF" w:fill="FFFFFF"/>
            <w:noWrap/>
            <w:vAlign w:val="bottom"/>
          </w:tcPr>
          <w:p w14:paraId="76026A1D" w14:textId="77777777" w:rsidR="00FE2562" w:rsidRDefault="00FE2562" w:rsidP="00FE2562">
            <w:pPr>
              <w:spacing w:after="1"/>
              <w:jc w:val="right"/>
              <w:rPr>
                <w:color w:val="000000"/>
                <w:sz w:val="20"/>
              </w:rPr>
            </w:pPr>
          </w:p>
        </w:tc>
        <w:tc>
          <w:tcPr>
            <w:tcW w:w="303" w:type="pct"/>
            <w:tcBorders>
              <w:top w:val="nil"/>
              <w:left w:val="nil"/>
              <w:bottom w:val="double" w:sz="4" w:space="0" w:color="000000"/>
              <w:right w:val="nil"/>
              <w:tl2br w:val="nil"/>
              <w:tr2bl w:val="nil"/>
            </w:tcBorders>
            <w:shd w:val="solid" w:color="FFFFFF" w:fill="FFFFFF"/>
            <w:noWrap/>
            <w:vAlign w:val="bottom"/>
          </w:tcPr>
          <w:p w14:paraId="55ADC408" w14:textId="77777777" w:rsidR="00FE2562" w:rsidRDefault="00FE2562" w:rsidP="00FE2562">
            <w:pPr>
              <w:spacing w:after="1"/>
              <w:jc w:val="right"/>
              <w:rPr>
                <w:color w:val="000000"/>
                <w:sz w:val="20"/>
              </w:rPr>
            </w:pPr>
          </w:p>
        </w:tc>
        <w:tc>
          <w:tcPr>
            <w:tcW w:w="1091" w:type="pct"/>
            <w:tcBorders>
              <w:top w:val="nil"/>
              <w:left w:val="nil"/>
              <w:bottom w:val="double" w:sz="4" w:space="0" w:color="000000"/>
              <w:right w:val="nil"/>
              <w:tl2br w:val="nil"/>
              <w:tr2bl w:val="nil"/>
            </w:tcBorders>
            <w:shd w:val="solid" w:color="FFFFFF" w:fill="FFFFFF"/>
            <w:noWrap/>
            <w:vAlign w:val="bottom"/>
          </w:tcPr>
          <w:p w14:paraId="06465D86"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24,059,214</w:t>
            </w:r>
          </w:p>
        </w:tc>
      </w:tr>
      <w:tr w:rsidR="00FE2562" w14:paraId="1D05107F" w14:textId="77777777" w:rsidTr="00FE2562">
        <w:tc>
          <w:tcPr>
            <w:tcW w:w="1973" w:type="pct"/>
            <w:tcBorders>
              <w:top w:val="nil"/>
              <w:left w:val="nil"/>
              <w:bottom w:val="nil"/>
              <w:right w:val="nil"/>
              <w:tl2br w:val="nil"/>
              <w:tr2bl w:val="nil"/>
            </w:tcBorders>
            <w:shd w:val="solid" w:color="FFFFFF" w:fill="FFFFFF"/>
            <w:vAlign w:val="center"/>
          </w:tcPr>
          <w:p w14:paraId="13EA3BDB" w14:textId="77777777" w:rsidR="00FE2562" w:rsidRDefault="00FE2562" w:rsidP="00FE2562">
            <w:pPr>
              <w:spacing w:after="1"/>
              <w:ind w:left="120"/>
              <w:rPr>
                <w:color w:val="000000"/>
                <w:sz w:val="20"/>
              </w:rPr>
            </w:pPr>
            <w:r>
              <w:rPr>
                <w:rFonts w:ascii="Times New Roman" w:eastAsia="Times New Roman" w:hAnsi="Times New Roman" w:cs="Times New Roman"/>
                <w:color w:val="000000"/>
                <w:sz w:val="20"/>
              </w:rPr>
              <w:t>Diluted</w:t>
            </w:r>
          </w:p>
        </w:tc>
        <w:tc>
          <w:tcPr>
            <w:tcW w:w="202" w:type="pct"/>
            <w:tcBorders>
              <w:top w:val="nil"/>
              <w:left w:val="nil"/>
              <w:bottom w:val="nil"/>
              <w:right w:val="nil"/>
              <w:tl2br w:val="nil"/>
              <w:tr2bl w:val="nil"/>
            </w:tcBorders>
            <w:shd w:val="solid" w:color="FFFFFF" w:fill="FFFFFF"/>
            <w:noWrap/>
            <w:vAlign w:val="bottom"/>
          </w:tcPr>
          <w:p w14:paraId="1C070532" w14:textId="77777777" w:rsidR="00FE2562" w:rsidRDefault="00FE2562" w:rsidP="00FE2562">
            <w:pPr>
              <w:spacing w:after="1"/>
              <w:rPr>
                <w:color w:val="000000"/>
              </w:rPr>
            </w:pPr>
          </w:p>
        </w:tc>
        <w:tc>
          <w:tcPr>
            <w:tcW w:w="137" w:type="pct"/>
            <w:tcBorders>
              <w:top w:val="nil"/>
              <w:left w:val="nil"/>
              <w:bottom w:val="double" w:sz="4" w:space="0" w:color="000000"/>
              <w:right w:val="nil"/>
              <w:tl2br w:val="nil"/>
              <w:tr2bl w:val="nil"/>
            </w:tcBorders>
            <w:shd w:val="solid" w:color="FFFFFF" w:fill="FFFFFF"/>
            <w:noWrap/>
            <w:vAlign w:val="bottom"/>
          </w:tcPr>
          <w:p w14:paraId="545F1153" w14:textId="77777777" w:rsidR="00FE2562" w:rsidRDefault="00FE2562" w:rsidP="00FE2562">
            <w:pPr>
              <w:spacing w:after="1"/>
              <w:jc w:val="right"/>
              <w:rPr>
                <w:color w:val="000000"/>
                <w:sz w:val="20"/>
              </w:rPr>
            </w:pPr>
          </w:p>
        </w:tc>
        <w:tc>
          <w:tcPr>
            <w:tcW w:w="1091" w:type="pct"/>
            <w:tcBorders>
              <w:top w:val="nil"/>
              <w:left w:val="nil"/>
              <w:bottom w:val="double" w:sz="4" w:space="0" w:color="000000"/>
              <w:right w:val="nil"/>
              <w:tl2br w:val="nil"/>
              <w:tr2bl w:val="nil"/>
            </w:tcBorders>
            <w:shd w:val="solid" w:color="FFFFFF" w:fill="FFFFFF"/>
            <w:noWrap/>
            <w:vAlign w:val="bottom"/>
          </w:tcPr>
          <w:p w14:paraId="5E2885E7"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24,128,165</w:t>
            </w:r>
          </w:p>
        </w:tc>
        <w:tc>
          <w:tcPr>
            <w:tcW w:w="202" w:type="pct"/>
            <w:tcBorders>
              <w:top w:val="nil"/>
              <w:left w:val="nil"/>
              <w:bottom w:val="double" w:sz="4" w:space="0" w:color="000000"/>
              <w:right w:val="nil"/>
              <w:tl2br w:val="nil"/>
              <w:tr2bl w:val="nil"/>
            </w:tcBorders>
            <w:shd w:val="solid" w:color="FFFFFF" w:fill="FFFFFF"/>
            <w:noWrap/>
            <w:vAlign w:val="bottom"/>
          </w:tcPr>
          <w:p w14:paraId="53A5C635" w14:textId="77777777" w:rsidR="00FE2562" w:rsidRDefault="00FE2562" w:rsidP="00FE2562">
            <w:pPr>
              <w:spacing w:after="1"/>
              <w:jc w:val="right"/>
              <w:rPr>
                <w:color w:val="000000"/>
                <w:sz w:val="20"/>
              </w:rPr>
            </w:pPr>
          </w:p>
        </w:tc>
        <w:tc>
          <w:tcPr>
            <w:tcW w:w="303" w:type="pct"/>
            <w:tcBorders>
              <w:top w:val="nil"/>
              <w:left w:val="nil"/>
              <w:bottom w:val="double" w:sz="4" w:space="0" w:color="000000"/>
              <w:right w:val="nil"/>
              <w:tl2br w:val="nil"/>
              <w:tr2bl w:val="nil"/>
            </w:tcBorders>
            <w:shd w:val="solid" w:color="FFFFFF" w:fill="FFFFFF"/>
            <w:noWrap/>
            <w:vAlign w:val="bottom"/>
          </w:tcPr>
          <w:p w14:paraId="19B1D08C" w14:textId="77777777" w:rsidR="00FE2562" w:rsidRDefault="00FE2562" w:rsidP="00FE2562">
            <w:pPr>
              <w:spacing w:after="1"/>
              <w:jc w:val="right"/>
              <w:rPr>
                <w:color w:val="000000"/>
                <w:sz w:val="20"/>
              </w:rPr>
            </w:pPr>
          </w:p>
        </w:tc>
        <w:tc>
          <w:tcPr>
            <w:tcW w:w="1091" w:type="pct"/>
            <w:tcBorders>
              <w:top w:val="nil"/>
              <w:left w:val="nil"/>
              <w:bottom w:val="double" w:sz="4" w:space="0" w:color="000000"/>
              <w:right w:val="nil"/>
              <w:tl2br w:val="nil"/>
              <w:tr2bl w:val="nil"/>
            </w:tcBorders>
            <w:shd w:val="solid" w:color="FFFFFF" w:fill="FFFFFF"/>
            <w:noWrap/>
            <w:vAlign w:val="bottom"/>
          </w:tcPr>
          <w:p w14:paraId="559A56E9" w14:textId="77777777" w:rsidR="00FE2562" w:rsidRDefault="00FE2562" w:rsidP="00FE2562">
            <w:pPr>
              <w:spacing w:after="1"/>
              <w:ind w:right="70"/>
              <w:jc w:val="right"/>
              <w:rPr>
                <w:color w:val="000000"/>
                <w:sz w:val="20"/>
              </w:rPr>
            </w:pPr>
            <w:r>
              <w:rPr>
                <w:rFonts w:ascii="Times New Roman" w:eastAsia="Times New Roman" w:hAnsi="Times New Roman" w:cs="Times New Roman"/>
                <w:color w:val="000000"/>
                <w:sz w:val="20"/>
              </w:rPr>
              <w:t xml:space="preserve"> 24,125,471</w:t>
            </w:r>
          </w:p>
        </w:tc>
      </w:tr>
    </w:tbl>
    <w:p w14:paraId="6656A888" w14:textId="77777777" w:rsidR="00F67C32" w:rsidRDefault="00F67C32" w:rsidP="00B43B76">
      <w:pPr>
        <w:pStyle w:val="para"/>
        <w:tabs>
          <w:tab w:val="right" w:pos="9360"/>
        </w:tabs>
        <w:spacing w:after="0"/>
        <w:ind w:right="270"/>
        <w:rPr>
          <w:sz w:val="20"/>
          <w:szCs w:val="20"/>
        </w:rPr>
      </w:pPr>
    </w:p>
    <w:p w14:paraId="258C65CA" w14:textId="77777777" w:rsidR="00B43B76" w:rsidRDefault="00434A11" w:rsidP="00AB5904">
      <w:pPr>
        <w:pStyle w:val="canvas-atom"/>
        <w:keepNext/>
        <w:tabs>
          <w:tab w:val="right" w:pos="9360"/>
        </w:tabs>
        <w:spacing w:before="0" w:beforeAutospacing="0" w:after="0" w:afterAutospacing="0"/>
        <w:ind w:right="274"/>
        <w:jc w:val="both"/>
        <w:rPr>
          <w:b/>
          <w:bCs/>
          <w:sz w:val="20"/>
          <w:szCs w:val="20"/>
          <w:u w:val="single"/>
        </w:rPr>
      </w:pPr>
      <w:r>
        <w:rPr>
          <w:b/>
          <w:bCs/>
          <w:sz w:val="20"/>
          <w:szCs w:val="20"/>
          <w:u w:val="single"/>
        </w:rPr>
        <w:t>Full Year</w:t>
      </w:r>
      <w:r w:rsidR="005326FC">
        <w:rPr>
          <w:b/>
          <w:bCs/>
          <w:sz w:val="20"/>
          <w:szCs w:val="20"/>
          <w:u w:val="single"/>
        </w:rPr>
        <w:t xml:space="preserve"> 2024 Financial</w:t>
      </w:r>
      <w:r w:rsidR="00B43B76">
        <w:rPr>
          <w:b/>
          <w:bCs/>
          <w:sz w:val="20"/>
          <w:szCs w:val="20"/>
          <w:u w:val="single"/>
        </w:rPr>
        <w:t xml:space="preserve"> Summary</w:t>
      </w:r>
    </w:p>
    <w:p w14:paraId="1629BDF1" w14:textId="77777777" w:rsidR="00B43B76" w:rsidRDefault="00B43B76" w:rsidP="00AB5904">
      <w:pPr>
        <w:pStyle w:val="canvas-atom"/>
        <w:keepNext/>
        <w:tabs>
          <w:tab w:val="right" w:pos="9360"/>
        </w:tabs>
        <w:spacing w:before="0" w:beforeAutospacing="0" w:after="0" w:afterAutospacing="0"/>
        <w:ind w:right="274"/>
        <w:jc w:val="both"/>
        <w:rPr>
          <w:i/>
          <w:iCs/>
          <w:sz w:val="20"/>
          <w:szCs w:val="20"/>
        </w:rPr>
      </w:pPr>
    </w:p>
    <w:p w14:paraId="5A688BEF" w14:textId="77777777" w:rsidR="00B43B76" w:rsidRDefault="00B43B76" w:rsidP="00FC4827">
      <w:pPr>
        <w:pStyle w:val="canvas-atom"/>
        <w:tabs>
          <w:tab w:val="right" w:pos="9360"/>
        </w:tabs>
        <w:spacing w:before="0" w:beforeAutospacing="0" w:after="0" w:afterAutospacing="0"/>
        <w:ind w:right="270"/>
        <w:jc w:val="both"/>
        <w:rPr>
          <w:i/>
          <w:iCs/>
          <w:sz w:val="20"/>
          <w:szCs w:val="20"/>
        </w:rPr>
      </w:pPr>
      <w:r>
        <w:rPr>
          <w:i/>
          <w:iCs/>
          <w:sz w:val="20"/>
          <w:szCs w:val="20"/>
        </w:rPr>
        <w:t>Revenue</w:t>
      </w:r>
      <w:r w:rsidR="004A3599">
        <w:rPr>
          <w:i/>
          <w:iCs/>
          <w:sz w:val="20"/>
          <w:szCs w:val="20"/>
        </w:rPr>
        <w:t>s</w:t>
      </w:r>
    </w:p>
    <w:p w14:paraId="77CD314E" w14:textId="77777777" w:rsidR="00B5666B" w:rsidRDefault="00B5666B" w:rsidP="00FC4827">
      <w:pPr>
        <w:pStyle w:val="NormalWeb"/>
        <w:shd w:val="clear" w:color="auto" w:fill="FFFFFF"/>
        <w:spacing w:before="0" w:beforeAutospacing="0" w:after="300" w:afterAutospacing="0"/>
        <w:jc w:val="both"/>
        <w:rPr>
          <w:sz w:val="20"/>
          <w:szCs w:val="20"/>
        </w:rPr>
      </w:pPr>
      <w:r w:rsidRPr="00B5666B">
        <w:rPr>
          <w:sz w:val="20"/>
          <w:szCs w:val="20"/>
        </w:rPr>
        <w:t xml:space="preserve">For the </w:t>
      </w:r>
      <w:r w:rsidR="00A5043F">
        <w:rPr>
          <w:sz w:val="20"/>
          <w:szCs w:val="20"/>
        </w:rPr>
        <w:t>years</w:t>
      </w:r>
      <w:r w:rsidR="002F4899">
        <w:rPr>
          <w:sz w:val="20"/>
          <w:szCs w:val="20"/>
        </w:rPr>
        <w:t xml:space="preserve"> </w:t>
      </w:r>
      <w:r w:rsidRPr="00B5666B">
        <w:rPr>
          <w:sz w:val="20"/>
          <w:szCs w:val="20"/>
        </w:rPr>
        <w:t xml:space="preserve">ended </w:t>
      </w:r>
      <w:r w:rsidR="00A5043F">
        <w:rPr>
          <w:sz w:val="20"/>
          <w:szCs w:val="20"/>
        </w:rPr>
        <w:t>August</w:t>
      </w:r>
      <w:r w:rsidR="004B596D">
        <w:rPr>
          <w:sz w:val="20"/>
          <w:szCs w:val="20"/>
        </w:rPr>
        <w:t xml:space="preserve"> 31</w:t>
      </w:r>
      <w:r w:rsidRPr="00B5666B">
        <w:rPr>
          <w:sz w:val="20"/>
          <w:szCs w:val="20"/>
        </w:rPr>
        <w:t xml:space="preserve">, </w:t>
      </w:r>
      <w:r w:rsidR="00343C8E" w:rsidRPr="00B5666B">
        <w:rPr>
          <w:sz w:val="20"/>
          <w:szCs w:val="20"/>
        </w:rPr>
        <w:t>202</w:t>
      </w:r>
      <w:r w:rsidR="004A684F">
        <w:rPr>
          <w:sz w:val="20"/>
          <w:szCs w:val="20"/>
        </w:rPr>
        <w:t>4</w:t>
      </w:r>
      <w:r w:rsidR="00343C8E">
        <w:rPr>
          <w:sz w:val="20"/>
          <w:szCs w:val="20"/>
        </w:rPr>
        <w:t>,</w:t>
      </w:r>
      <w:r w:rsidRPr="00B5666B">
        <w:rPr>
          <w:sz w:val="20"/>
          <w:szCs w:val="20"/>
        </w:rPr>
        <w:t xml:space="preserve"> and 202</w:t>
      </w:r>
      <w:r w:rsidR="00783243">
        <w:rPr>
          <w:sz w:val="20"/>
          <w:szCs w:val="20"/>
        </w:rPr>
        <w:t>3</w:t>
      </w:r>
      <w:r w:rsidRPr="00B5666B">
        <w:rPr>
          <w:sz w:val="20"/>
          <w:szCs w:val="20"/>
        </w:rPr>
        <w:t>, we reported total revenue of $</w:t>
      </w:r>
      <w:r w:rsidR="00A5043F">
        <w:rPr>
          <w:sz w:val="20"/>
          <w:szCs w:val="20"/>
        </w:rPr>
        <w:t>28</w:t>
      </w:r>
      <w:r w:rsidRPr="00B5666B">
        <w:rPr>
          <w:sz w:val="20"/>
          <w:szCs w:val="20"/>
        </w:rPr>
        <w:t>.</w:t>
      </w:r>
      <w:r w:rsidR="00A5043F">
        <w:rPr>
          <w:sz w:val="20"/>
          <w:szCs w:val="20"/>
        </w:rPr>
        <w:t>7</w:t>
      </w:r>
      <w:r w:rsidRPr="00B5666B">
        <w:rPr>
          <w:sz w:val="20"/>
          <w:szCs w:val="20"/>
        </w:rPr>
        <w:t xml:space="preserve"> million and $</w:t>
      </w:r>
      <w:r w:rsidR="00A5043F">
        <w:rPr>
          <w:sz w:val="20"/>
          <w:szCs w:val="20"/>
        </w:rPr>
        <w:t>14</w:t>
      </w:r>
      <w:r>
        <w:rPr>
          <w:sz w:val="20"/>
          <w:szCs w:val="20"/>
        </w:rPr>
        <w:t>.</w:t>
      </w:r>
      <w:r w:rsidR="00A5043F">
        <w:rPr>
          <w:sz w:val="20"/>
          <w:szCs w:val="20"/>
        </w:rPr>
        <w:t>6</w:t>
      </w:r>
      <w:r w:rsidRPr="00B5666B">
        <w:rPr>
          <w:sz w:val="20"/>
          <w:szCs w:val="20"/>
        </w:rPr>
        <w:t xml:space="preserve"> million with $</w:t>
      </w:r>
      <w:r w:rsidR="00A5043F">
        <w:rPr>
          <w:sz w:val="20"/>
          <w:szCs w:val="20"/>
        </w:rPr>
        <w:t>11</w:t>
      </w:r>
      <w:r w:rsidR="002F4899">
        <w:rPr>
          <w:sz w:val="20"/>
          <w:szCs w:val="20"/>
        </w:rPr>
        <w:t>.</w:t>
      </w:r>
      <w:r w:rsidR="002E7263">
        <w:rPr>
          <w:sz w:val="20"/>
          <w:szCs w:val="20"/>
        </w:rPr>
        <w:t>6</w:t>
      </w:r>
      <w:r w:rsidRPr="00B5666B">
        <w:rPr>
          <w:sz w:val="20"/>
          <w:szCs w:val="20"/>
        </w:rPr>
        <w:t xml:space="preserve"> million and $</w:t>
      </w:r>
      <w:r w:rsidR="00A5043F">
        <w:rPr>
          <w:sz w:val="20"/>
          <w:szCs w:val="20"/>
        </w:rPr>
        <w:t>7</w:t>
      </w:r>
      <w:r w:rsidRPr="00B5666B">
        <w:rPr>
          <w:sz w:val="20"/>
          <w:szCs w:val="20"/>
        </w:rPr>
        <w:t>.</w:t>
      </w:r>
      <w:r w:rsidR="00A5043F">
        <w:rPr>
          <w:sz w:val="20"/>
          <w:szCs w:val="20"/>
        </w:rPr>
        <w:t>3</w:t>
      </w:r>
      <w:r w:rsidRPr="00B5666B">
        <w:rPr>
          <w:sz w:val="20"/>
          <w:szCs w:val="20"/>
        </w:rPr>
        <w:t xml:space="preserve"> million being generated in our water and wastewater resource development segment, $</w:t>
      </w:r>
      <w:r w:rsidR="00A5043F">
        <w:rPr>
          <w:sz w:val="20"/>
          <w:szCs w:val="20"/>
        </w:rPr>
        <w:t>16</w:t>
      </w:r>
      <w:r w:rsidR="00F3354E">
        <w:rPr>
          <w:sz w:val="20"/>
          <w:szCs w:val="20"/>
        </w:rPr>
        <w:t>.</w:t>
      </w:r>
      <w:r w:rsidR="00A5043F">
        <w:rPr>
          <w:sz w:val="20"/>
          <w:szCs w:val="20"/>
        </w:rPr>
        <w:t>7</w:t>
      </w:r>
      <w:r w:rsidRPr="00B5666B">
        <w:rPr>
          <w:sz w:val="20"/>
          <w:szCs w:val="20"/>
        </w:rPr>
        <w:t xml:space="preserve"> million and </w:t>
      </w:r>
      <w:r w:rsidR="002F4899">
        <w:rPr>
          <w:sz w:val="20"/>
          <w:szCs w:val="20"/>
        </w:rPr>
        <w:t>$</w:t>
      </w:r>
      <w:r w:rsidR="00A5043F">
        <w:rPr>
          <w:sz w:val="20"/>
          <w:szCs w:val="20"/>
        </w:rPr>
        <w:t>7</w:t>
      </w:r>
      <w:r w:rsidRPr="00B5666B">
        <w:rPr>
          <w:sz w:val="20"/>
          <w:szCs w:val="20"/>
        </w:rPr>
        <w:t>.</w:t>
      </w:r>
      <w:r w:rsidR="00A5043F">
        <w:rPr>
          <w:sz w:val="20"/>
          <w:szCs w:val="20"/>
        </w:rPr>
        <w:t>1</w:t>
      </w:r>
      <w:r w:rsidRPr="00B5666B">
        <w:rPr>
          <w:sz w:val="20"/>
          <w:szCs w:val="20"/>
        </w:rPr>
        <w:t xml:space="preserve"> million generated by our land development segment, and $0.</w:t>
      </w:r>
      <w:r w:rsidR="00A5043F">
        <w:rPr>
          <w:sz w:val="20"/>
          <w:szCs w:val="20"/>
        </w:rPr>
        <w:t>5</w:t>
      </w:r>
      <w:r w:rsidRPr="00B5666B">
        <w:rPr>
          <w:sz w:val="20"/>
          <w:szCs w:val="20"/>
        </w:rPr>
        <w:t xml:space="preserve"> million and</w:t>
      </w:r>
      <w:r w:rsidR="002F4899">
        <w:rPr>
          <w:sz w:val="20"/>
          <w:szCs w:val="20"/>
        </w:rPr>
        <w:t xml:space="preserve"> </w:t>
      </w:r>
      <w:r w:rsidRPr="00B5666B">
        <w:rPr>
          <w:sz w:val="20"/>
          <w:szCs w:val="20"/>
        </w:rPr>
        <w:t>$0</w:t>
      </w:r>
      <w:r>
        <w:rPr>
          <w:sz w:val="20"/>
          <w:szCs w:val="20"/>
        </w:rPr>
        <w:t>.</w:t>
      </w:r>
      <w:r w:rsidR="00A5043F">
        <w:rPr>
          <w:sz w:val="20"/>
          <w:szCs w:val="20"/>
        </w:rPr>
        <w:t>2</w:t>
      </w:r>
      <w:r w:rsidR="002F4899">
        <w:rPr>
          <w:sz w:val="20"/>
          <w:szCs w:val="20"/>
        </w:rPr>
        <w:t xml:space="preserve"> million</w:t>
      </w:r>
      <w:r w:rsidRPr="00B5666B">
        <w:rPr>
          <w:sz w:val="20"/>
          <w:szCs w:val="20"/>
        </w:rPr>
        <w:t xml:space="preserve"> reported in our single-family rental business.</w:t>
      </w:r>
    </w:p>
    <w:p w14:paraId="15E9633E" w14:textId="77777777" w:rsidR="00DC6FE8" w:rsidRPr="004B596D" w:rsidRDefault="00B11198" w:rsidP="00FC4827">
      <w:pPr>
        <w:pStyle w:val="NormalWeb"/>
        <w:shd w:val="clear" w:color="auto" w:fill="FFFFFF"/>
        <w:spacing w:before="0" w:beforeAutospacing="0" w:after="300" w:afterAutospacing="0"/>
        <w:jc w:val="both"/>
        <w:rPr>
          <w:sz w:val="20"/>
          <w:szCs w:val="20"/>
        </w:rPr>
      </w:pPr>
      <w:r w:rsidRPr="004B596D">
        <w:rPr>
          <w:sz w:val="20"/>
          <w:szCs w:val="20"/>
        </w:rPr>
        <w:t xml:space="preserve">For the </w:t>
      </w:r>
      <w:r w:rsidR="00AF4D95">
        <w:rPr>
          <w:sz w:val="20"/>
          <w:szCs w:val="20"/>
        </w:rPr>
        <w:t>years</w:t>
      </w:r>
      <w:r w:rsidRPr="004B596D">
        <w:rPr>
          <w:sz w:val="20"/>
          <w:szCs w:val="20"/>
        </w:rPr>
        <w:t xml:space="preserve"> ended </w:t>
      </w:r>
      <w:r w:rsidR="00AF4D95">
        <w:rPr>
          <w:sz w:val="20"/>
          <w:szCs w:val="20"/>
        </w:rPr>
        <w:t>August</w:t>
      </w:r>
      <w:r w:rsidR="004B596D">
        <w:rPr>
          <w:sz w:val="20"/>
          <w:szCs w:val="20"/>
        </w:rPr>
        <w:t xml:space="preserve"> 31</w:t>
      </w:r>
      <w:r w:rsidRPr="004B596D">
        <w:rPr>
          <w:sz w:val="20"/>
          <w:szCs w:val="20"/>
        </w:rPr>
        <w:t xml:space="preserve">, 2024, and 2023, we sold </w:t>
      </w:r>
      <w:r w:rsidR="00AF4D95">
        <w:rPr>
          <w:sz w:val="20"/>
          <w:szCs w:val="20"/>
        </w:rPr>
        <w:t>73</w:t>
      </w:r>
      <w:r w:rsidRPr="004B596D">
        <w:rPr>
          <w:sz w:val="20"/>
          <w:szCs w:val="20"/>
        </w:rPr>
        <w:t xml:space="preserve"> and </w:t>
      </w:r>
      <w:r w:rsidR="00AF4D95">
        <w:rPr>
          <w:sz w:val="20"/>
          <w:szCs w:val="20"/>
        </w:rPr>
        <w:t>104</w:t>
      </w:r>
      <w:r w:rsidRPr="004B596D">
        <w:rPr>
          <w:sz w:val="20"/>
          <w:szCs w:val="20"/>
        </w:rPr>
        <w:t xml:space="preserve"> water </w:t>
      </w:r>
      <w:r w:rsidR="00164111" w:rsidRPr="004B596D">
        <w:rPr>
          <w:sz w:val="20"/>
          <w:szCs w:val="20"/>
        </w:rPr>
        <w:t xml:space="preserve">or water </w:t>
      </w:r>
      <w:r w:rsidRPr="004B596D">
        <w:rPr>
          <w:sz w:val="20"/>
          <w:szCs w:val="20"/>
        </w:rPr>
        <w:t>and wastewater taps for $</w:t>
      </w:r>
      <w:r w:rsidR="00AF4D95">
        <w:rPr>
          <w:sz w:val="20"/>
          <w:szCs w:val="20"/>
        </w:rPr>
        <w:t>3</w:t>
      </w:r>
      <w:r w:rsidRPr="004B596D">
        <w:rPr>
          <w:sz w:val="20"/>
          <w:szCs w:val="20"/>
        </w:rPr>
        <w:t>.</w:t>
      </w:r>
      <w:r w:rsidR="00AF4D95">
        <w:rPr>
          <w:sz w:val="20"/>
          <w:szCs w:val="20"/>
        </w:rPr>
        <w:t>4</w:t>
      </w:r>
      <w:r w:rsidRPr="004B596D">
        <w:rPr>
          <w:sz w:val="20"/>
          <w:szCs w:val="20"/>
        </w:rPr>
        <w:t xml:space="preserve"> million and $</w:t>
      </w:r>
      <w:r w:rsidR="00AF4D95">
        <w:rPr>
          <w:sz w:val="20"/>
          <w:szCs w:val="20"/>
        </w:rPr>
        <w:t>3</w:t>
      </w:r>
      <w:r w:rsidRPr="004B596D">
        <w:rPr>
          <w:sz w:val="20"/>
          <w:szCs w:val="20"/>
        </w:rPr>
        <w:t>.</w:t>
      </w:r>
      <w:r w:rsidR="00AF4D95">
        <w:rPr>
          <w:sz w:val="20"/>
          <w:szCs w:val="20"/>
        </w:rPr>
        <w:t>0</w:t>
      </w:r>
      <w:r w:rsidRPr="004B596D">
        <w:rPr>
          <w:sz w:val="20"/>
          <w:szCs w:val="20"/>
        </w:rPr>
        <w:t xml:space="preserve"> million. </w:t>
      </w:r>
      <w:r w:rsidR="00CF6F83" w:rsidRPr="00CF6F83">
        <w:rPr>
          <w:sz w:val="20"/>
          <w:szCs w:val="20"/>
        </w:rPr>
        <w:t>As of August 31, 2024, we have sold 777 water and wastewater taps at Sky Ranch in Phases 1, 2A, and 2B. Based on current prices and engineering estimates, we believe Phase 2 of Sky Ranch will produce additional tap fee revenue of $19.8 million in water and wastewater tap fee revenue and cash over the next three years.</w:t>
      </w:r>
    </w:p>
    <w:p w14:paraId="3590F633" w14:textId="77777777" w:rsidR="00164111" w:rsidRPr="00724E6B" w:rsidRDefault="00164111" w:rsidP="00FC4827">
      <w:pPr>
        <w:pStyle w:val="NormalWeb"/>
        <w:shd w:val="clear" w:color="auto" w:fill="FFFFFF"/>
        <w:spacing w:before="0" w:beforeAutospacing="0" w:after="300" w:afterAutospacing="0"/>
        <w:jc w:val="both"/>
        <w:rPr>
          <w:rFonts w:eastAsiaTheme="minorHAnsi"/>
          <w:kern w:val="2"/>
          <w:sz w:val="20"/>
          <w:szCs w:val="20"/>
          <w14:ligatures w14:val="standardContextual"/>
        </w:rPr>
      </w:pPr>
      <w:r w:rsidRPr="00724E6B">
        <w:rPr>
          <w:rFonts w:eastAsiaTheme="minorHAnsi"/>
          <w:kern w:val="2"/>
          <w:sz w:val="20"/>
          <w:szCs w:val="20"/>
          <w14:ligatures w14:val="standardContextual"/>
        </w:rPr>
        <w:t xml:space="preserve">As of </w:t>
      </w:r>
      <w:r w:rsidR="00CF6F83" w:rsidRPr="00724E6B">
        <w:rPr>
          <w:rFonts w:eastAsiaTheme="minorHAnsi"/>
          <w:kern w:val="2"/>
          <w:sz w:val="20"/>
          <w:szCs w:val="20"/>
          <w14:ligatures w14:val="standardContextual"/>
        </w:rPr>
        <w:t>August</w:t>
      </w:r>
      <w:r w:rsidR="004B596D" w:rsidRPr="00724E6B">
        <w:rPr>
          <w:rFonts w:eastAsiaTheme="minorHAnsi"/>
          <w:kern w:val="2"/>
          <w:sz w:val="20"/>
          <w:szCs w:val="20"/>
          <w14:ligatures w14:val="standardContextual"/>
        </w:rPr>
        <w:t xml:space="preserve"> 31</w:t>
      </w:r>
      <w:r w:rsidRPr="00724E6B">
        <w:rPr>
          <w:rFonts w:eastAsiaTheme="minorHAnsi"/>
          <w:kern w:val="2"/>
          <w:sz w:val="20"/>
          <w:szCs w:val="20"/>
          <w14:ligatures w14:val="standardContextual"/>
        </w:rPr>
        <w:t>, 2024, the first development phase (509 lots) is complete and the second development phase (8</w:t>
      </w:r>
      <w:r w:rsidR="00CE7344" w:rsidRPr="00724E6B">
        <w:rPr>
          <w:rFonts w:eastAsiaTheme="minorHAnsi"/>
          <w:kern w:val="2"/>
          <w:sz w:val="20"/>
          <w:szCs w:val="20"/>
          <w14:ligatures w14:val="standardContextual"/>
        </w:rPr>
        <w:t>74</w:t>
      </w:r>
      <w:r w:rsidRPr="00724E6B">
        <w:rPr>
          <w:rFonts w:eastAsiaTheme="minorHAnsi"/>
          <w:kern w:val="2"/>
          <w:sz w:val="20"/>
          <w:szCs w:val="20"/>
          <w14:ligatures w14:val="standardContextual"/>
        </w:rPr>
        <w:t xml:space="preserve"> lots) is being developed in four subphases, referred to as Phase 2A (229 lots), Phase 2B (211 lots), Phase 2C (2</w:t>
      </w:r>
      <w:r w:rsidR="00CE7344" w:rsidRPr="00724E6B">
        <w:rPr>
          <w:rFonts w:eastAsiaTheme="minorHAnsi"/>
          <w:kern w:val="2"/>
          <w:sz w:val="20"/>
          <w:szCs w:val="20"/>
          <w14:ligatures w14:val="standardContextual"/>
        </w:rPr>
        <w:t>28</w:t>
      </w:r>
      <w:r w:rsidRPr="00724E6B">
        <w:rPr>
          <w:rFonts w:eastAsiaTheme="minorHAnsi"/>
          <w:kern w:val="2"/>
          <w:sz w:val="20"/>
          <w:szCs w:val="20"/>
          <w14:ligatures w14:val="standardContextual"/>
        </w:rPr>
        <w:t xml:space="preserve"> </w:t>
      </w:r>
      <w:r w:rsidRPr="00724E6B">
        <w:rPr>
          <w:rFonts w:eastAsiaTheme="minorHAnsi"/>
          <w:kern w:val="2"/>
          <w:sz w:val="20"/>
          <w:szCs w:val="20"/>
          <w14:ligatures w14:val="standardContextual"/>
        </w:rPr>
        <w:lastRenderedPageBreak/>
        <w:t>lots) and Phase 2D (2</w:t>
      </w:r>
      <w:r w:rsidR="002E7263">
        <w:rPr>
          <w:rFonts w:eastAsiaTheme="minorHAnsi"/>
          <w:kern w:val="2"/>
          <w:sz w:val="20"/>
          <w:szCs w:val="20"/>
          <w14:ligatures w14:val="standardContextual"/>
        </w:rPr>
        <w:t>18</w:t>
      </w:r>
      <w:r w:rsidRPr="00724E6B">
        <w:rPr>
          <w:rFonts w:eastAsiaTheme="minorHAnsi"/>
          <w:kern w:val="2"/>
          <w:sz w:val="20"/>
          <w:szCs w:val="20"/>
          <w14:ligatures w14:val="standardContextual"/>
        </w:rPr>
        <w:t xml:space="preserve"> lots). As of </w:t>
      </w:r>
      <w:r w:rsidR="00CF6F83" w:rsidRPr="00724E6B">
        <w:rPr>
          <w:rFonts w:eastAsiaTheme="minorHAnsi"/>
          <w:kern w:val="2"/>
          <w:sz w:val="20"/>
          <w:szCs w:val="20"/>
          <w14:ligatures w14:val="standardContextual"/>
        </w:rPr>
        <w:t>August</w:t>
      </w:r>
      <w:r w:rsidR="004B596D" w:rsidRPr="00724E6B">
        <w:rPr>
          <w:rFonts w:eastAsiaTheme="minorHAnsi"/>
          <w:kern w:val="2"/>
          <w:sz w:val="20"/>
          <w:szCs w:val="20"/>
          <w14:ligatures w14:val="standardContextual"/>
        </w:rPr>
        <w:t xml:space="preserve"> 31</w:t>
      </w:r>
      <w:r w:rsidRPr="00724E6B">
        <w:rPr>
          <w:rFonts w:eastAsiaTheme="minorHAnsi"/>
          <w:kern w:val="2"/>
          <w:sz w:val="20"/>
          <w:szCs w:val="20"/>
          <w14:ligatures w14:val="standardContextual"/>
        </w:rPr>
        <w:t>, 2024, Phase 2A is approximately 9</w:t>
      </w:r>
      <w:r w:rsidR="00CF6F83" w:rsidRPr="00724E6B">
        <w:rPr>
          <w:rFonts w:eastAsiaTheme="minorHAnsi"/>
          <w:kern w:val="2"/>
          <w:sz w:val="20"/>
          <w:szCs w:val="20"/>
          <w14:ligatures w14:val="standardContextual"/>
        </w:rPr>
        <w:t>9</w:t>
      </w:r>
      <w:r w:rsidR="004B596D" w:rsidRPr="00724E6B">
        <w:rPr>
          <w:rFonts w:eastAsiaTheme="minorHAnsi"/>
          <w:kern w:val="2"/>
          <w:sz w:val="20"/>
          <w:szCs w:val="20"/>
          <w14:ligatures w14:val="standardContextual"/>
        </w:rPr>
        <w:t xml:space="preserve">% complete, Phase 2B is approximately </w:t>
      </w:r>
      <w:r w:rsidR="00CF6F83" w:rsidRPr="00724E6B">
        <w:rPr>
          <w:rFonts w:eastAsiaTheme="minorHAnsi"/>
          <w:kern w:val="2"/>
          <w:sz w:val="20"/>
          <w:szCs w:val="20"/>
          <w14:ligatures w14:val="standardContextual"/>
        </w:rPr>
        <w:t>92</w:t>
      </w:r>
      <w:r w:rsidR="004B596D" w:rsidRPr="00724E6B">
        <w:rPr>
          <w:rFonts w:eastAsiaTheme="minorHAnsi"/>
          <w:kern w:val="2"/>
          <w:sz w:val="20"/>
          <w:szCs w:val="20"/>
          <w14:ligatures w14:val="standardContextual"/>
        </w:rPr>
        <w:t>% complete and Phase 2C is approximately 2</w:t>
      </w:r>
      <w:r w:rsidR="00CF6F83" w:rsidRPr="00724E6B">
        <w:rPr>
          <w:rFonts w:eastAsiaTheme="minorHAnsi"/>
          <w:kern w:val="2"/>
          <w:sz w:val="20"/>
          <w:szCs w:val="20"/>
          <w14:ligatures w14:val="standardContextual"/>
        </w:rPr>
        <w:t>7</w:t>
      </w:r>
      <w:r w:rsidR="004B596D" w:rsidRPr="00724E6B">
        <w:rPr>
          <w:rFonts w:eastAsiaTheme="minorHAnsi"/>
          <w:kern w:val="2"/>
          <w:sz w:val="20"/>
          <w:szCs w:val="20"/>
          <w14:ligatures w14:val="standardContextual"/>
        </w:rPr>
        <w:t>% complete</w:t>
      </w:r>
      <w:r w:rsidRPr="00724E6B">
        <w:rPr>
          <w:rFonts w:eastAsiaTheme="minorHAnsi"/>
          <w:kern w:val="2"/>
          <w:sz w:val="20"/>
          <w:szCs w:val="20"/>
          <w14:ligatures w14:val="standardContextual"/>
        </w:rPr>
        <w:t xml:space="preserve">. </w:t>
      </w:r>
      <w:r w:rsidR="004B596D" w:rsidRPr="00724E6B">
        <w:rPr>
          <w:rFonts w:eastAsiaTheme="minorHAnsi"/>
          <w:kern w:val="2"/>
          <w:sz w:val="20"/>
          <w:szCs w:val="20"/>
          <w14:ligatures w14:val="standardContextual"/>
        </w:rPr>
        <w:t>Phase</w:t>
      </w:r>
      <w:r w:rsidR="004A3599">
        <w:rPr>
          <w:rFonts w:eastAsiaTheme="minorHAnsi"/>
          <w:kern w:val="2"/>
          <w:sz w:val="20"/>
          <w:szCs w:val="20"/>
          <w14:ligatures w14:val="standardContextual"/>
        </w:rPr>
        <w:t>s</w:t>
      </w:r>
      <w:r w:rsidR="004B596D" w:rsidRPr="00724E6B">
        <w:rPr>
          <w:rFonts w:eastAsiaTheme="minorHAnsi"/>
          <w:kern w:val="2"/>
          <w:sz w:val="20"/>
          <w:szCs w:val="20"/>
          <w14:ligatures w14:val="standardContextual"/>
        </w:rPr>
        <w:t xml:space="preserve"> 2A </w:t>
      </w:r>
      <w:r w:rsidR="00CF6F83" w:rsidRPr="00724E6B">
        <w:rPr>
          <w:rFonts w:eastAsiaTheme="minorHAnsi"/>
          <w:kern w:val="2"/>
          <w:sz w:val="20"/>
          <w:szCs w:val="20"/>
          <w14:ligatures w14:val="standardContextual"/>
        </w:rPr>
        <w:t>and 2B are</w:t>
      </w:r>
      <w:r w:rsidR="004B596D" w:rsidRPr="00724E6B">
        <w:rPr>
          <w:rFonts w:eastAsiaTheme="minorHAnsi"/>
          <w:kern w:val="2"/>
          <w:sz w:val="20"/>
          <w:szCs w:val="20"/>
          <w14:ligatures w14:val="standardContextual"/>
        </w:rPr>
        <w:t xml:space="preserve"> substantially completed with some landscaping items remaining. Phase 2</w:t>
      </w:r>
      <w:r w:rsidR="00CF6F83" w:rsidRPr="00724E6B">
        <w:rPr>
          <w:rFonts w:eastAsiaTheme="minorHAnsi"/>
          <w:kern w:val="2"/>
          <w:sz w:val="20"/>
          <w:szCs w:val="20"/>
          <w14:ligatures w14:val="standardContextual"/>
        </w:rPr>
        <w:t>C</w:t>
      </w:r>
      <w:r w:rsidR="004B596D" w:rsidRPr="00724E6B">
        <w:rPr>
          <w:rFonts w:eastAsiaTheme="minorHAnsi"/>
          <w:kern w:val="2"/>
          <w:sz w:val="20"/>
          <w:szCs w:val="20"/>
          <w14:ligatures w14:val="standardContextual"/>
        </w:rPr>
        <w:t xml:space="preserve"> is expected to be complete by the end of Pure Cycle’s fiscal 202</w:t>
      </w:r>
      <w:r w:rsidR="00CF6F83" w:rsidRPr="00724E6B">
        <w:rPr>
          <w:rFonts w:eastAsiaTheme="minorHAnsi"/>
          <w:kern w:val="2"/>
          <w:sz w:val="20"/>
          <w:szCs w:val="20"/>
          <w14:ligatures w14:val="standardContextual"/>
        </w:rPr>
        <w:t>5</w:t>
      </w:r>
      <w:r w:rsidR="004B596D" w:rsidRPr="00724E6B">
        <w:rPr>
          <w:rFonts w:eastAsiaTheme="minorHAnsi"/>
          <w:kern w:val="2"/>
          <w:sz w:val="20"/>
          <w:szCs w:val="20"/>
          <w14:ligatures w14:val="standardContextual"/>
        </w:rPr>
        <w:t xml:space="preserve"> and Phase 2</w:t>
      </w:r>
      <w:r w:rsidR="00CF6F83" w:rsidRPr="00724E6B">
        <w:rPr>
          <w:rFonts w:eastAsiaTheme="minorHAnsi"/>
          <w:kern w:val="2"/>
          <w:sz w:val="20"/>
          <w:szCs w:val="20"/>
          <w14:ligatures w14:val="standardContextual"/>
        </w:rPr>
        <w:t>D</w:t>
      </w:r>
      <w:r w:rsidR="004B596D" w:rsidRPr="00724E6B">
        <w:rPr>
          <w:rFonts w:eastAsiaTheme="minorHAnsi"/>
          <w:kern w:val="2"/>
          <w:sz w:val="20"/>
          <w:szCs w:val="20"/>
          <w14:ligatures w14:val="standardContextual"/>
        </w:rPr>
        <w:t xml:space="preserve"> is expected to be complete </w:t>
      </w:r>
      <w:r w:rsidR="00CF6F83" w:rsidRPr="00724E6B">
        <w:rPr>
          <w:rFonts w:eastAsiaTheme="minorHAnsi"/>
          <w:kern w:val="2"/>
          <w:sz w:val="20"/>
          <w:szCs w:val="20"/>
          <w14:ligatures w14:val="standardContextual"/>
        </w:rPr>
        <w:t>by the end of calendar</w:t>
      </w:r>
      <w:r w:rsidR="004B596D" w:rsidRPr="00724E6B">
        <w:rPr>
          <w:rFonts w:eastAsiaTheme="minorHAnsi"/>
          <w:kern w:val="2"/>
          <w:sz w:val="20"/>
          <w:szCs w:val="20"/>
          <w14:ligatures w14:val="standardContextual"/>
        </w:rPr>
        <w:t xml:space="preserve"> 2025.</w:t>
      </w:r>
    </w:p>
    <w:p w14:paraId="1541D09B" w14:textId="77777777" w:rsidR="00B43B76" w:rsidRPr="006E03FC" w:rsidRDefault="00B43B76" w:rsidP="00FC4827">
      <w:pPr>
        <w:shd w:val="clear" w:color="auto" w:fill="FFFFFF"/>
        <w:tabs>
          <w:tab w:val="right" w:pos="9360"/>
        </w:tabs>
        <w:spacing w:after="300"/>
        <w:jc w:val="both"/>
        <w:rPr>
          <w:rFonts w:ascii="Times New Roman" w:hAnsi="Times New Roman" w:cs="Times New Roman"/>
          <w:sz w:val="20"/>
          <w:szCs w:val="20"/>
        </w:rPr>
      </w:pPr>
      <w:r w:rsidRPr="006E03FC">
        <w:rPr>
          <w:rFonts w:ascii="Times New Roman" w:hAnsi="Times New Roman" w:cs="Times New Roman"/>
          <w:sz w:val="20"/>
          <w:szCs w:val="20"/>
        </w:rPr>
        <w:t xml:space="preserve">As of </w:t>
      </w:r>
      <w:r w:rsidR="00724E6B" w:rsidRPr="006E03FC">
        <w:rPr>
          <w:rFonts w:ascii="Times New Roman" w:hAnsi="Times New Roman" w:cs="Times New Roman"/>
          <w:sz w:val="20"/>
          <w:szCs w:val="20"/>
        </w:rPr>
        <w:t xml:space="preserve">August </w:t>
      </w:r>
      <w:r w:rsidR="004B596D" w:rsidRPr="006E03FC">
        <w:rPr>
          <w:rFonts w:ascii="Times New Roman" w:hAnsi="Times New Roman" w:cs="Times New Roman"/>
          <w:sz w:val="20"/>
          <w:szCs w:val="20"/>
        </w:rPr>
        <w:t>31</w:t>
      </w:r>
      <w:r w:rsidRPr="006E03FC">
        <w:rPr>
          <w:rFonts w:ascii="Times New Roman" w:hAnsi="Times New Roman" w:cs="Times New Roman"/>
          <w:sz w:val="20"/>
          <w:szCs w:val="20"/>
        </w:rPr>
        <w:t>, 202</w:t>
      </w:r>
      <w:r w:rsidR="00B11198" w:rsidRPr="006E03FC">
        <w:rPr>
          <w:rFonts w:ascii="Times New Roman" w:hAnsi="Times New Roman" w:cs="Times New Roman"/>
          <w:sz w:val="20"/>
          <w:szCs w:val="20"/>
        </w:rPr>
        <w:t>4</w:t>
      </w:r>
      <w:r w:rsidRPr="006E03FC">
        <w:rPr>
          <w:rFonts w:ascii="Times New Roman" w:hAnsi="Times New Roman" w:cs="Times New Roman"/>
          <w:sz w:val="20"/>
          <w:szCs w:val="20"/>
        </w:rPr>
        <w:t>, the single-family rental business ha</w:t>
      </w:r>
      <w:r w:rsidR="004467B7" w:rsidRPr="006E03FC">
        <w:rPr>
          <w:rFonts w:ascii="Times New Roman" w:hAnsi="Times New Roman" w:cs="Times New Roman"/>
          <w:sz w:val="20"/>
          <w:szCs w:val="20"/>
        </w:rPr>
        <w:t>d</w:t>
      </w:r>
      <w:r w:rsidRPr="006E03FC">
        <w:rPr>
          <w:rFonts w:ascii="Times New Roman" w:hAnsi="Times New Roman" w:cs="Times New Roman"/>
          <w:sz w:val="20"/>
          <w:szCs w:val="20"/>
        </w:rPr>
        <w:t xml:space="preserve"> </w:t>
      </w:r>
      <w:r w:rsidR="005F2B51" w:rsidRPr="006E03FC">
        <w:rPr>
          <w:rFonts w:ascii="Times New Roman" w:hAnsi="Times New Roman" w:cs="Times New Roman"/>
          <w:sz w:val="20"/>
          <w:szCs w:val="20"/>
        </w:rPr>
        <w:t>1</w:t>
      </w:r>
      <w:r w:rsidR="007D1956" w:rsidRPr="006E03FC">
        <w:rPr>
          <w:rFonts w:ascii="Times New Roman" w:hAnsi="Times New Roman" w:cs="Times New Roman"/>
          <w:sz w:val="20"/>
          <w:szCs w:val="20"/>
        </w:rPr>
        <w:t>4</w:t>
      </w:r>
      <w:r w:rsidRPr="006E03FC">
        <w:rPr>
          <w:rFonts w:ascii="Times New Roman" w:hAnsi="Times New Roman" w:cs="Times New Roman"/>
          <w:sz w:val="20"/>
          <w:szCs w:val="20"/>
        </w:rPr>
        <w:t xml:space="preserve"> homes built and rented </w:t>
      </w:r>
      <w:r w:rsidR="007F481A" w:rsidRPr="006E03FC">
        <w:rPr>
          <w:rFonts w:ascii="Times New Roman" w:hAnsi="Times New Roman" w:cs="Times New Roman"/>
          <w:sz w:val="20"/>
          <w:szCs w:val="20"/>
        </w:rPr>
        <w:t xml:space="preserve">in Sky Ranch and </w:t>
      </w:r>
      <w:r w:rsidR="00825AB0" w:rsidRPr="006E03FC">
        <w:rPr>
          <w:rFonts w:ascii="Times New Roman" w:hAnsi="Times New Roman" w:cs="Times New Roman"/>
          <w:sz w:val="20"/>
          <w:szCs w:val="20"/>
        </w:rPr>
        <w:t>1</w:t>
      </w:r>
      <w:r w:rsidR="007D1956" w:rsidRPr="006E03FC">
        <w:rPr>
          <w:rFonts w:ascii="Times New Roman" w:hAnsi="Times New Roman" w:cs="Times New Roman"/>
          <w:sz w:val="20"/>
          <w:szCs w:val="20"/>
        </w:rPr>
        <w:t>7</w:t>
      </w:r>
      <w:r w:rsidR="00825AB0" w:rsidRPr="006E03FC">
        <w:rPr>
          <w:rFonts w:ascii="Times New Roman" w:hAnsi="Times New Roman" w:cs="Times New Roman"/>
          <w:sz w:val="20"/>
          <w:szCs w:val="20"/>
        </w:rPr>
        <w:t xml:space="preserve"> additional </w:t>
      </w:r>
      <w:r w:rsidR="00356252" w:rsidRPr="006E03FC">
        <w:rPr>
          <w:rFonts w:ascii="Times New Roman" w:hAnsi="Times New Roman" w:cs="Times New Roman"/>
          <w:sz w:val="20"/>
          <w:szCs w:val="20"/>
        </w:rPr>
        <w:t xml:space="preserve">homes </w:t>
      </w:r>
      <w:r w:rsidR="00825AB0" w:rsidRPr="006E03FC">
        <w:rPr>
          <w:rFonts w:ascii="Times New Roman" w:hAnsi="Times New Roman" w:cs="Times New Roman"/>
          <w:sz w:val="20"/>
          <w:szCs w:val="20"/>
        </w:rPr>
        <w:t xml:space="preserve">forecasted for </w:t>
      </w:r>
      <w:r w:rsidRPr="006E03FC">
        <w:rPr>
          <w:rFonts w:ascii="Times New Roman" w:hAnsi="Times New Roman" w:cs="Times New Roman"/>
          <w:sz w:val="20"/>
          <w:szCs w:val="20"/>
        </w:rPr>
        <w:t xml:space="preserve">construction </w:t>
      </w:r>
      <w:r w:rsidR="007F481A" w:rsidRPr="006E03FC">
        <w:rPr>
          <w:rFonts w:ascii="Times New Roman" w:hAnsi="Times New Roman" w:cs="Times New Roman"/>
          <w:sz w:val="20"/>
          <w:szCs w:val="20"/>
        </w:rPr>
        <w:t>in Phase 2</w:t>
      </w:r>
      <w:r w:rsidR="00825AB0" w:rsidRPr="006E03FC">
        <w:rPr>
          <w:rFonts w:ascii="Times New Roman" w:hAnsi="Times New Roman" w:cs="Times New Roman"/>
          <w:sz w:val="20"/>
          <w:szCs w:val="20"/>
        </w:rPr>
        <w:t>B</w:t>
      </w:r>
      <w:r w:rsidR="00724E6B" w:rsidRPr="006E03FC">
        <w:rPr>
          <w:rFonts w:ascii="Times New Roman" w:hAnsi="Times New Roman" w:cs="Times New Roman"/>
          <w:sz w:val="20"/>
          <w:szCs w:val="20"/>
        </w:rPr>
        <w:t xml:space="preserve"> with</w:t>
      </w:r>
      <w:r w:rsidR="006E03FC">
        <w:rPr>
          <w:rFonts w:ascii="Times New Roman" w:hAnsi="Times New Roman" w:cs="Times New Roman"/>
          <w:sz w:val="20"/>
          <w:szCs w:val="20"/>
        </w:rPr>
        <w:t xml:space="preserve"> 12 currently under contract to build</w:t>
      </w:r>
      <w:r w:rsidR="007F481A" w:rsidRPr="006E03FC">
        <w:rPr>
          <w:rFonts w:ascii="Times New Roman" w:hAnsi="Times New Roman" w:cs="Times New Roman"/>
          <w:sz w:val="20"/>
          <w:szCs w:val="20"/>
        </w:rPr>
        <w:t>.</w:t>
      </w:r>
      <w:r w:rsidR="007829BB" w:rsidRPr="006E03FC">
        <w:rPr>
          <w:rFonts w:ascii="Times New Roman" w:hAnsi="Times New Roman" w:cs="Times New Roman"/>
          <w:sz w:val="20"/>
          <w:szCs w:val="20"/>
        </w:rPr>
        <w:t xml:space="preserve">  </w:t>
      </w:r>
      <w:r w:rsidRPr="006E03FC">
        <w:rPr>
          <w:rFonts w:ascii="Times New Roman" w:hAnsi="Times New Roman" w:cs="Times New Roman"/>
          <w:sz w:val="20"/>
          <w:szCs w:val="20"/>
        </w:rPr>
        <w:t>As noted in the prior quarter</w:t>
      </w:r>
      <w:r w:rsidR="00343C8E" w:rsidRPr="006E03FC">
        <w:rPr>
          <w:rFonts w:ascii="Times New Roman" w:hAnsi="Times New Roman" w:cs="Times New Roman"/>
          <w:sz w:val="20"/>
          <w:szCs w:val="20"/>
        </w:rPr>
        <w:t>s</w:t>
      </w:r>
      <w:r w:rsidRPr="006E03FC">
        <w:rPr>
          <w:rFonts w:ascii="Times New Roman" w:hAnsi="Times New Roman" w:cs="Times New Roman"/>
          <w:sz w:val="20"/>
          <w:szCs w:val="20"/>
        </w:rPr>
        <w:t xml:space="preserve">, due to the overwhelming demand for rental </w:t>
      </w:r>
      <w:r w:rsidR="00356252" w:rsidRPr="006E03FC">
        <w:rPr>
          <w:rFonts w:ascii="Times New Roman" w:hAnsi="Times New Roman" w:cs="Times New Roman"/>
          <w:sz w:val="20"/>
          <w:szCs w:val="20"/>
        </w:rPr>
        <w:t>homes</w:t>
      </w:r>
      <w:r w:rsidRPr="006E03FC">
        <w:rPr>
          <w:rFonts w:ascii="Times New Roman" w:hAnsi="Times New Roman" w:cs="Times New Roman"/>
          <w:sz w:val="20"/>
          <w:szCs w:val="20"/>
        </w:rPr>
        <w:t xml:space="preserve"> at Sky </w:t>
      </w:r>
      <w:r w:rsidR="00343C8E" w:rsidRPr="006E03FC">
        <w:rPr>
          <w:rFonts w:ascii="Times New Roman" w:hAnsi="Times New Roman" w:cs="Times New Roman"/>
          <w:sz w:val="20"/>
          <w:szCs w:val="20"/>
        </w:rPr>
        <w:t xml:space="preserve">Ranch, we expect to </w:t>
      </w:r>
      <w:r w:rsidR="007D1956" w:rsidRPr="006E03FC">
        <w:rPr>
          <w:rFonts w:ascii="Times New Roman" w:hAnsi="Times New Roman" w:cs="Times New Roman"/>
          <w:sz w:val="20"/>
          <w:szCs w:val="20"/>
        </w:rPr>
        <w:t>have</w:t>
      </w:r>
      <w:r w:rsidR="00343C8E" w:rsidRPr="006E03FC">
        <w:rPr>
          <w:rFonts w:ascii="Times New Roman" w:hAnsi="Times New Roman" w:cs="Times New Roman"/>
          <w:sz w:val="20"/>
          <w:szCs w:val="20"/>
        </w:rPr>
        <w:t xml:space="preserve"> </w:t>
      </w:r>
      <w:r w:rsidR="007D1956" w:rsidRPr="006E03FC">
        <w:rPr>
          <w:rFonts w:ascii="Times New Roman" w:hAnsi="Times New Roman" w:cs="Times New Roman"/>
          <w:sz w:val="20"/>
          <w:szCs w:val="20"/>
        </w:rPr>
        <w:t xml:space="preserve">a total </w:t>
      </w:r>
      <w:r w:rsidR="008B5425" w:rsidRPr="006E03FC">
        <w:rPr>
          <w:rFonts w:ascii="Times New Roman" w:hAnsi="Times New Roman" w:cs="Times New Roman"/>
          <w:sz w:val="20"/>
          <w:szCs w:val="20"/>
        </w:rPr>
        <w:t xml:space="preserve">of </w:t>
      </w:r>
      <w:r w:rsidR="000305A6" w:rsidRPr="006E03FC">
        <w:rPr>
          <w:rFonts w:ascii="Times New Roman" w:hAnsi="Times New Roman" w:cs="Times New Roman"/>
          <w:sz w:val="20"/>
          <w:szCs w:val="20"/>
        </w:rPr>
        <w:t>9</w:t>
      </w:r>
      <w:r w:rsidR="002E7263">
        <w:rPr>
          <w:rFonts w:ascii="Times New Roman" w:hAnsi="Times New Roman" w:cs="Times New Roman"/>
          <w:sz w:val="20"/>
          <w:szCs w:val="20"/>
        </w:rPr>
        <w:t>4</w:t>
      </w:r>
      <w:r w:rsidR="00343C8E" w:rsidRPr="006E03FC">
        <w:rPr>
          <w:rFonts w:ascii="Times New Roman" w:hAnsi="Times New Roman" w:cs="Times New Roman"/>
          <w:sz w:val="20"/>
          <w:szCs w:val="20"/>
        </w:rPr>
        <w:t xml:space="preserve"> homes in Phase 2 with the ability to add more than </w:t>
      </w:r>
      <w:r w:rsidR="005F2B51" w:rsidRPr="006E03FC">
        <w:rPr>
          <w:rFonts w:ascii="Times New Roman" w:hAnsi="Times New Roman" w:cs="Times New Roman"/>
          <w:sz w:val="20"/>
          <w:szCs w:val="20"/>
        </w:rPr>
        <w:t>2</w:t>
      </w:r>
      <w:r w:rsidR="00343C8E" w:rsidRPr="006E03FC">
        <w:rPr>
          <w:rFonts w:ascii="Times New Roman" w:hAnsi="Times New Roman" w:cs="Times New Roman"/>
          <w:sz w:val="20"/>
          <w:szCs w:val="20"/>
        </w:rPr>
        <w:t xml:space="preserve">00 </w:t>
      </w:r>
      <w:r w:rsidR="00356252" w:rsidRPr="006E03FC">
        <w:rPr>
          <w:rFonts w:ascii="Times New Roman" w:hAnsi="Times New Roman" w:cs="Times New Roman"/>
          <w:sz w:val="20"/>
          <w:szCs w:val="20"/>
        </w:rPr>
        <w:t>homes</w:t>
      </w:r>
      <w:r w:rsidR="00343C8E" w:rsidRPr="006E03FC">
        <w:rPr>
          <w:rFonts w:ascii="Times New Roman" w:hAnsi="Times New Roman" w:cs="Times New Roman"/>
          <w:sz w:val="20"/>
          <w:szCs w:val="20"/>
        </w:rPr>
        <w:t xml:space="preserve"> as Sky Ranch builds out</w:t>
      </w:r>
      <w:r w:rsidRPr="006E03FC">
        <w:rPr>
          <w:rFonts w:ascii="Times New Roman" w:hAnsi="Times New Roman" w:cs="Times New Roman"/>
          <w:sz w:val="20"/>
          <w:szCs w:val="20"/>
        </w:rPr>
        <w:t>.</w:t>
      </w:r>
    </w:p>
    <w:p w14:paraId="18EC8821" w14:textId="77777777" w:rsidR="006E03FC" w:rsidRPr="006E03FC" w:rsidRDefault="00B43B76" w:rsidP="00CF6F83">
      <w:pPr>
        <w:pStyle w:val="centertitle"/>
        <w:rPr>
          <w:iCs w:val="0"/>
        </w:rPr>
      </w:pPr>
      <w:r w:rsidRPr="00B06798">
        <w:rPr>
          <w:iCs w:val="0"/>
        </w:rPr>
        <w:t>“</w:t>
      </w:r>
      <w:r w:rsidR="006E03FC" w:rsidRPr="00B06798">
        <w:rPr>
          <w:iCs w:val="0"/>
        </w:rPr>
        <w:t xml:space="preserve">Our land development </w:t>
      </w:r>
      <w:r w:rsidR="00B06798" w:rsidRPr="00B06798">
        <w:rPr>
          <w:iCs w:val="0"/>
        </w:rPr>
        <w:t>segment continue</w:t>
      </w:r>
      <w:r w:rsidR="00F67C32">
        <w:rPr>
          <w:iCs w:val="0"/>
        </w:rPr>
        <w:t>d</w:t>
      </w:r>
      <w:r w:rsidR="00B06798" w:rsidRPr="00B06798">
        <w:rPr>
          <w:iCs w:val="0"/>
        </w:rPr>
        <w:t xml:space="preserve"> to ramp up in </w:t>
      </w:r>
      <w:r w:rsidR="00F67C32">
        <w:rPr>
          <w:iCs w:val="0"/>
        </w:rPr>
        <w:t xml:space="preserve">fiscal </w:t>
      </w:r>
      <w:r w:rsidR="006E03FC" w:rsidRPr="00B06798">
        <w:rPr>
          <w:iCs w:val="0"/>
        </w:rPr>
        <w:t xml:space="preserve">2024, and we expect this trend to </w:t>
      </w:r>
      <w:r w:rsidR="00B06798" w:rsidRPr="00B06798">
        <w:rPr>
          <w:iCs w:val="0"/>
        </w:rPr>
        <w:t>continue</w:t>
      </w:r>
      <w:r w:rsidR="006E03FC" w:rsidRPr="00B06798">
        <w:rPr>
          <w:iCs w:val="0"/>
        </w:rPr>
        <w:t xml:space="preserve"> into the next fiscal year with various phases </w:t>
      </w:r>
      <w:r w:rsidR="00AA1D9F">
        <w:rPr>
          <w:iCs w:val="0"/>
        </w:rPr>
        <w:t>con</w:t>
      </w:r>
      <w:r w:rsidR="006E03FC" w:rsidRPr="00B06798">
        <w:rPr>
          <w:iCs w:val="0"/>
        </w:rPr>
        <w:t>currently under development</w:t>
      </w:r>
      <w:r w:rsidR="00B06798" w:rsidRPr="00B06798">
        <w:rPr>
          <w:iCs w:val="0"/>
        </w:rPr>
        <w:t>,” commented Marc Spezialy, CFO of Pure Cycle. “</w:t>
      </w:r>
      <w:r w:rsidR="006E03FC" w:rsidRPr="00B06798">
        <w:rPr>
          <w:iCs w:val="0"/>
        </w:rPr>
        <w:t>We have delivered 949 finished lots to home builders in Sky Ranch while retaining 31 lots for our single-family rental segment</w:t>
      </w:r>
      <w:r w:rsidR="00AA1D9F">
        <w:rPr>
          <w:iCs w:val="0"/>
        </w:rPr>
        <w:t>,</w:t>
      </w:r>
      <w:r w:rsidR="006E03FC" w:rsidRPr="00B06798">
        <w:rPr>
          <w:iCs w:val="0"/>
        </w:rPr>
        <w:t xml:space="preserve"> and we are under construction on 22</w:t>
      </w:r>
      <w:r w:rsidR="002E7263">
        <w:rPr>
          <w:iCs w:val="0"/>
        </w:rPr>
        <w:t>8</w:t>
      </w:r>
      <w:r w:rsidR="006E03FC" w:rsidRPr="00B06798">
        <w:rPr>
          <w:iCs w:val="0"/>
        </w:rPr>
        <w:t xml:space="preserve"> lots in Phase 2C scheduled for delivery in fiscal 2025. </w:t>
      </w:r>
      <w:r w:rsidR="00B06798" w:rsidRPr="00B06798">
        <w:rPr>
          <w:iCs w:val="0"/>
        </w:rPr>
        <w:t xml:space="preserve">  We will also begin to develop an additional 218 lots in Phase 2D with scheduled delivery in fiscal 2026,” concluded Mr. Spezialy.  </w:t>
      </w:r>
    </w:p>
    <w:p w14:paraId="452F07D8" w14:textId="77777777" w:rsidR="00CF6F83" w:rsidRDefault="00CF6F83" w:rsidP="00CF6F83">
      <w:pPr>
        <w:pStyle w:val="centertitle"/>
        <w:rPr>
          <w:i/>
          <w:iCs w:val="0"/>
        </w:rPr>
      </w:pPr>
    </w:p>
    <w:p w14:paraId="384CC99A" w14:textId="77777777" w:rsidR="00B43B76" w:rsidRDefault="00B43B76" w:rsidP="00FC4827">
      <w:pPr>
        <w:pStyle w:val="canvas-atom"/>
        <w:tabs>
          <w:tab w:val="right" w:pos="9360"/>
        </w:tabs>
        <w:spacing w:before="0" w:beforeAutospacing="0" w:after="0" w:afterAutospacing="0"/>
        <w:ind w:right="274"/>
        <w:jc w:val="both"/>
        <w:rPr>
          <w:i/>
          <w:iCs/>
          <w:sz w:val="20"/>
          <w:szCs w:val="20"/>
        </w:rPr>
      </w:pPr>
      <w:r>
        <w:rPr>
          <w:i/>
          <w:iCs/>
          <w:sz w:val="20"/>
          <w:szCs w:val="20"/>
        </w:rPr>
        <w:t>Working Capital</w:t>
      </w:r>
    </w:p>
    <w:p w14:paraId="74DEF481" w14:textId="77777777" w:rsidR="00356314" w:rsidRDefault="00B43B76" w:rsidP="00FC4827">
      <w:pPr>
        <w:pStyle w:val="canvas-atom"/>
        <w:tabs>
          <w:tab w:val="right" w:pos="9360"/>
        </w:tabs>
        <w:spacing w:before="0" w:beforeAutospacing="0" w:after="0" w:afterAutospacing="0"/>
        <w:ind w:right="274"/>
        <w:jc w:val="both"/>
        <w:rPr>
          <w:sz w:val="20"/>
          <w:szCs w:val="20"/>
        </w:rPr>
      </w:pPr>
      <w:r>
        <w:rPr>
          <w:sz w:val="20"/>
          <w:szCs w:val="20"/>
        </w:rPr>
        <w:t xml:space="preserve">We reported working capital (current assets </w:t>
      </w:r>
      <w:proofErr w:type="gramStart"/>
      <w:r>
        <w:rPr>
          <w:sz w:val="20"/>
          <w:szCs w:val="20"/>
        </w:rPr>
        <w:t>less</w:t>
      </w:r>
      <w:proofErr w:type="gramEnd"/>
      <w:r>
        <w:rPr>
          <w:sz w:val="20"/>
          <w:szCs w:val="20"/>
        </w:rPr>
        <w:t xml:space="preserve"> current liabilities) of $</w:t>
      </w:r>
      <w:r w:rsidR="000C1C01">
        <w:rPr>
          <w:sz w:val="20"/>
          <w:szCs w:val="20"/>
        </w:rPr>
        <w:t>28</w:t>
      </w:r>
      <w:r>
        <w:rPr>
          <w:sz w:val="20"/>
          <w:szCs w:val="20"/>
        </w:rPr>
        <w:t>.</w:t>
      </w:r>
      <w:r w:rsidR="000C1C01">
        <w:rPr>
          <w:sz w:val="20"/>
          <w:szCs w:val="20"/>
        </w:rPr>
        <w:t>5</w:t>
      </w:r>
      <w:r>
        <w:rPr>
          <w:sz w:val="20"/>
          <w:szCs w:val="20"/>
        </w:rPr>
        <w:t xml:space="preserve"> million as of </w:t>
      </w:r>
      <w:r w:rsidR="000C1C01">
        <w:rPr>
          <w:sz w:val="20"/>
          <w:szCs w:val="20"/>
        </w:rPr>
        <w:t>August</w:t>
      </w:r>
      <w:r w:rsidR="004B596D">
        <w:rPr>
          <w:sz w:val="20"/>
          <w:szCs w:val="20"/>
        </w:rPr>
        <w:t xml:space="preserve"> 31</w:t>
      </w:r>
      <w:r>
        <w:rPr>
          <w:sz w:val="20"/>
          <w:szCs w:val="20"/>
        </w:rPr>
        <w:t>, 202</w:t>
      </w:r>
      <w:r w:rsidR="00783243">
        <w:rPr>
          <w:sz w:val="20"/>
          <w:szCs w:val="20"/>
        </w:rPr>
        <w:t>4</w:t>
      </w:r>
      <w:r>
        <w:rPr>
          <w:sz w:val="20"/>
          <w:szCs w:val="20"/>
        </w:rPr>
        <w:t>, with $</w:t>
      </w:r>
      <w:r w:rsidR="0020288B">
        <w:rPr>
          <w:sz w:val="20"/>
          <w:szCs w:val="20"/>
        </w:rPr>
        <w:t>2</w:t>
      </w:r>
      <w:r w:rsidR="000C1C01">
        <w:rPr>
          <w:sz w:val="20"/>
          <w:szCs w:val="20"/>
        </w:rPr>
        <w:t>2</w:t>
      </w:r>
      <w:r w:rsidR="00C511D3">
        <w:rPr>
          <w:sz w:val="20"/>
          <w:szCs w:val="20"/>
        </w:rPr>
        <w:t>.</w:t>
      </w:r>
      <w:r w:rsidR="000C1C01">
        <w:rPr>
          <w:sz w:val="20"/>
          <w:szCs w:val="20"/>
        </w:rPr>
        <w:t>1</w:t>
      </w:r>
      <w:r>
        <w:rPr>
          <w:sz w:val="20"/>
          <w:szCs w:val="20"/>
        </w:rPr>
        <w:t xml:space="preserve"> million of cash</w:t>
      </w:r>
      <w:r w:rsidR="00C511D3">
        <w:rPr>
          <w:sz w:val="20"/>
          <w:szCs w:val="20"/>
        </w:rPr>
        <w:t xml:space="preserve"> and cash equivalents</w:t>
      </w:r>
      <w:r>
        <w:rPr>
          <w:sz w:val="20"/>
          <w:szCs w:val="20"/>
        </w:rPr>
        <w:t xml:space="preserve">. </w:t>
      </w:r>
    </w:p>
    <w:p w14:paraId="2856F7B8" w14:textId="77777777" w:rsidR="00B43B76" w:rsidRDefault="00B43B76" w:rsidP="00B43B76">
      <w:pPr>
        <w:pStyle w:val="canvas-atom"/>
        <w:tabs>
          <w:tab w:val="right" w:pos="9360"/>
        </w:tabs>
        <w:spacing w:before="0" w:beforeAutospacing="0" w:after="0" w:afterAutospacing="0"/>
        <w:ind w:right="274"/>
        <w:jc w:val="both"/>
        <w:rPr>
          <w:i/>
          <w:iCs/>
          <w:sz w:val="20"/>
          <w:szCs w:val="20"/>
        </w:rPr>
      </w:pPr>
    </w:p>
    <w:p w14:paraId="2B6A1541" w14:textId="77777777" w:rsidR="005326FC" w:rsidRPr="005326FC" w:rsidRDefault="00434A11" w:rsidP="005326FC">
      <w:pPr>
        <w:tabs>
          <w:tab w:val="right" w:pos="9360"/>
        </w:tabs>
        <w:ind w:right="270"/>
        <w:jc w:val="both"/>
        <w:rPr>
          <w:rFonts w:ascii="Times New Roman" w:hAnsi="Times New Roman" w:cs="Times New Roman"/>
          <w:b/>
          <w:bCs/>
          <w:sz w:val="20"/>
          <w:szCs w:val="20"/>
          <w:u w:val="single"/>
        </w:rPr>
      </w:pPr>
      <w:r>
        <w:rPr>
          <w:rFonts w:ascii="Times New Roman" w:hAnsi="Times New Roman" w:cs="Times New Roman"/>
          <w:b/>
          <w:bCs/>
          <w:sz w:val="20"/>
          <w:szCs w:val="20"/>
          <w:u w:val="single"/>
        </w:rPr>
        <w:t>Full Year</w:t>
      </w:r>
      <w:r w:rsidR="005326FC">
        <w:rPr>
          <w:rFonts w:ascii="Times New Roman" w:hAnsi="Times New Roman" w:cs="Times New Roman"/>
          <w:b/>
          <w:bCs/>
          <w:sz w:val="20"/>
          <w:szCs w:val="20"/>
          <w:u w:val="single"/>
        </w:rPr>
        <w:t xml:space="preserve"> 2024</w:t>
      </w:r>
      <w:r w:rsidR="00193A10">
        <w:rPr>
          <w:rFonts w:ascii="Times New Roman" w:hAnsi="Times New Roman" w:cs="Times New Roman"/>
          <w:b/>
          <w:bCs/>
          <w:sz w:val="20"/>
          <w:szCs w:val="20"/>
          <w:u w:val="single"/>
        </w:rPr>
        <w:t xml:space="preserve"> </w:t>
      </w:r>
      <w:r w:rsidR="00B43B76">
        <w:rPr>
          <w:rFonts w:ascii="Times New Roman" w:hAnsi="Times New Roman" w:cs="Times New Roman"/>
          <w:b/>
          <w:bCs/>
          <w:sz w:val="20"/>
          <w:szCs w:val="20"/>
          <w:u w:val="single"/>
        </w:rPr>
        <w:t>Operational Summary</w:t>
      </w:r>
    </w:p>
    <w:p w14:paraId="1FBE1610" w14:textId="77777777" w:rsidR="00B5666B" w:rsidRPr="00654C79" w:rsidRDefault="00B5666B" w:rsidP="00FC4827">
      <w:pPr>
        <w:pStyle w:val="canvas-atom"/>
        <w:tabs>
          <w:tab w:val="right" w:pos="9360"/>
        </w:tabs>
        <w:spacing w:before="0" w:beforeAutospacing="0" w:after="0" w:afterAutospacing="0"/>
        <w:ind w:right="270"/>
        <w:jc w:val="both"/>
        <w:rPr>
          <w:i/>
          <w:iCs/>
          <w:sz w:val="20"/>
          <w:szCs w:val="20"/>
        </w:rPr>
      </w:pPr>
      <w:r w:rsidRPr="00654C79">
        <w:rPr>
          <w:i/>
          <w:iCs/>
          <w:sz w:val="20"/>
          <w:szCs w:val="20"/>
        </w:rPr>
        <w:t>Water and Wastewater Resource Development</w:t>
      </w:r>
    </w:p>
    <w:p w14:paraId="5A61272C" w14:textId="77777777" w:rsidR="00D14387" w:rsidRPr="00B06798" w:rsidRDefault="0040033A" w:rsidP="00FC4827">
      <w:pPr>
        <w:pStyle w:val="BodyText"/>
        <w:jc w:val="both"/>
        <w:rPr>
          <w:rFonts w:ascii="Times New Roman" w:hAnsi="Times New Roman"/>
          <w:sz w:val="20"/>
          <w:szCs w:val="20"/>
        </w:rPr>
      </w:pPr>
      <w:r w:rsidRPr="00B06798">
        <w:rPr>
          <w:rFonts w:ascii="Times New Roman" w:hAnsi="Times New Roman"/>
          <w:sz w:val="20"/>
          <w:szCs w:val="20"/>
        </w:rPr>
        <w:t xml:space="preserve">Water deliveries increased for the </w:t>
      </w:r>
      <w:r w:rsidR="00B06798" w:rsidRPr="00B06798">
        <w:rPr>
          <w:rFonts w:ascii="Times New Roman" w:hAnsi="Times New Roman"/>
          <w:sz w:val="20"/>
          <w:szCs w:val="20"/>
        </w:rPr>
        <w:t>year</w:t>
      </w:r>
      <w:r w:rsidRPr="00B06798">
        <w:rPr>
          <w:rFonts w:ascii="Times New Roman" w:hAnsi="Times New Roman"/>
          <w:sz w:val="20"/>
          <w:szCs w:val="20"/>
        </w:rPr>
        <w:t xml:space="preserve"> ended </w:t>
      </w:r>
      <w:r w:rsidR="00B06798" w:rsidRPr="00B06798">
        <w:rPr>
          <w:rFonts w:ascii="Times New Roman" w:hAnsi="Times New Roman"/>
          <w:sz w:val="20"/>
          <w:szCs w:val="20"/>
        </w:rPr>
        <w:t xml:space="preserve">August </w:t>
      </w:r>
      <w:r w:rsidR="00654C79" w:rsidRPr="00B06798">
        <w:rPr>
          <w:rFonts w:ascii="Times New Roman" w:hAnsi="Times New Roman"/>
          <w:sz w:val="20"/>
          <w:szCs w:val="20"/>
        </w:rPr>
        <w:t>31</w:t>
      </w:r>
      <w:r w:rsidRPr="00B06798">
        <w:rPr>
          <w:rFonts w:ascii="Times New Roman" w:hAnsi="Times New Roman"/>
          <w:sz w:val="20"/>
          <w:szCs w:val="20"/>
        </w:rPr>
        <w:t>, 2024, to a record 1,</w:t>
      </w:r>
      <w:r w:rsidR="00B06798" w:rsidRPr="00B06798">
        <w:rPr>
          <w:rFonts w:ascii="Times New Roman" w:hAnsi="Times New Roman"/>
          <w:sz w:val="20"/>
          <w:szCs w:val="20"/>
        </w:rPr>
        <w:t>818</w:t>
      </w:r>
      <w:r w:rsidRPr="00B06798">
        <w:rPr>
          <w:rFonts w:ascii="Times New Roman" w:hAnsi="Times New Roman"/>
          <w:sz w:val="20"/>
          <w:szCs w:val="20"/>
        </w:rPr>
        <w:t xml:space="preserve"> acre-feet delivered as compared to </w:t>
      </w:r>
      <w:r w:rsidR="00B06798" w:rsidRPr="00B06798">
        <w:rPr>
          <w:rFonts w:ascii="Times New Roman" w:hAnsi="Times New Roman"/>
          <w:sz w:val="20"/>
          <w:szCs w:val="20"/>
        </w:rPr>
        <w:t>964</w:t>
      </w:r>
      <w:r w:rsidRPr="00B06798">
        <w:rPr>
          <w:rFonts w:ascii="Times New Roman" w:hAnsi="Times New Roman"/>
          <w:sz w:val="20"/>
          <w:szCs w:val="20"/>
        </w:rPr>
        <w:t xml:space="preserve"> acre-feet delivered </w:t>
      </w:r>
      <w:r w:rsidR="00B06798" w:rsidRPr="00B06798">
        <w:rPr>
          <w:rFonts w:ascii="Times New Roman" w:hAnsi="Times New Roman"/>
          <w:sz w:val="20"/>
          <w:szCs w:val="20"/>
        </w:rPr>
        <w:t xml:space="preserve">for </w:t>
      </w:r>
      <w:r w:rsidRPr="00B06798">
        <w:rPr>
          <w:rFonts w:ascii="Times New Roman" w:hAnsi="Times New Roman"/>
          <w:sz w:val="20"/>
          <w:szCs w:val="20"/>
        </w:rPr>
        <w:t>2023.</w:t>
      </w:r>
      <w:r w:rsidR="00B06798" w:rsidRPr="00B06798">
        <w:rPr>
          <w:rFonts w:ascii="Times New Roman" w:hAnsi="Times New Roman"/>
          <w:sz w:val="20"/>
          <w:szCs w:val="20"/>
        </w:rPr>
        <w:t xml:space="preserve"> Of this, 77% and 64% </w:t>
      </w:r>
      <w:r w:rsidR="00F67C32">
        <w:rPr>
          <w:rFonts w:ascii="Times New Roman" w:hAnsi="Times New Roman"/>
          <w:sz w:val="20"/>
          <w:szCs w:val="20"/>
        </w:rPr>
        <w:t>were</w:t>
      </w:r>
      <w:r w:rsidR="00B06798" w:rsidRPr="00B06798">
        <w:rPr>
          <w:rFonts w:ascii="Times New Roman" w:hAnsi="Times New Roman"/>
          <w:sz w:val="20"/>
          <w:szCs w:val="20"/>
        </w:rPr>
        <w:t xml:space="preserve"> sold to oil and gas operations. </w:t>
      </w:r>
      <w:r w:rsidRPr="00B06798">
        <w:rPr>
          <w:rFonts w:ascii="Times New Roman" w:hAnsi="Times New Roman"/>
          <w:sz w:val="20"/>
          <w:szCs w:val="20"/>
        </w:rPr>
        <w:t xml:space="preserve"> </w:t>
      </w:r>
      <w:r w:rsidR="00E831E9" w:rsidRPr="00B06798">
        <w:rPr>
          <w:rFonts w:ascii="Times New Roman" w:hAnsi="Times New Roman"/>
          <w:sz w:val="20"/>
          <w:szCs w:val="20"/>
        </w:rPr>
        <w:t xml:space="preserve">Oil and gas operations are highly variable and dependent on oil prices, demand for gas, and timing of </w:t>
      </w:r>
      <w:r w:rsidR="004467B7" w:rsidRPr="00B06798">
        <w:rPr>
          <w:rFonts w:ascii="Times New Roman" w:hAnsi="Times New Roman"/>
          <w:sz w:val="20"/>
          <w:szCs w:val="20"/>
        </w:rPr>
        <w:t xml:space="preserve">development of </w:t>
      </w:r>
      <w:r w:rsidR="00E831E9" w:rsidRPr="00B06798">
        <w:rPr>
          <w:rFonts w:ascii="Times New Roman" w:hAnsi="Times New Roman"/>
          <w:sz w:val="20"/>
          <w:szCs w:val="20"/>
        </w:rPr>
        <w:t xml:space="preserve">other leases in our service areas; </w:t>
      </w:r>
      <w:r w:rsidRPr="00B06798">
        <w:rPr>
          <w:rFonts w:ascii="Times New Roman" w:hAnsi="Times New Roman"/>
          <w:sz w:val="20"/>
          <w:szCs w:val="20"/>
        </w:rPr>
        <w:t>however</w:t>
      </w:r>
      <w:r w:rsidR="002351FD" w:rsidRPr="00B06798">
        <w:rPr>
          <w:rFonts w:ascii="Times New Roman" w:hAnsi="Times New Roman"/>
          <w:sz w:val="20"/>
          <w:szCs w:val="20"/>
        </w:rPr>
        <w:t>,</w:t>
      </w:r>
      <w:r w:rsidRPr="00B06798">
        <w:rPr>
          <w:rFonts w:ascii="Times New Roman" w:hAnsi="Times New Roman"/>
          <w:sz w:val="20"/>
          <w:szCs w:val="20"/>
        </w:rPr>
        <w:t xml:space="preserve"> </w:t>
      </w:r>
      <w:r w:rsidR="008B5425" w:rsidRPr="00B06798">
        <w:rPr>
          <w:rFonts w:ascii="Times New Roman" w:hAnsi="Times New Roman"/>
          <w:sz w:val="20"/>
          <w:szCs w:val="20"/>
        </w:rPr>
        <w:t xml:space="preserve">our current expectation is for continued strong demand for oil and gas water sales </w:t>
      </w:r>
      <w:r w:rsidR="00B06798">
        <w:rPr>
          <w:rFonts w:ascii="Times New Roman" w:hAnsi="Times New Roman"/>
          <w:sz w:val="20"/>
          <w:szCs w:val="20"/>
        </w:rPr>
        <w:t>for the com</w:t>
      </w:r>
      <w:r w:rsidR="00376784">
        <w:rPr>
          <w:rFonts w:ascii="Times New Roman" w:hAnsi="Times New Roman"/>
          <w:sz w:val="20"/>
          <w:szCs w:val="20"/>
        </w:rPr>
        <w:t>ing years</w:t>
      </w:r>
      <w:r w:rsidR="00E831E9" w:rsidRPr="00B06798">
        <w:rPr>
          <w:rFonts w:ascii="Times New Roman" w:hAnsi="Times New Roman"/>
          <w:sz w:val="20"/>
          <w:szCs w:val="20"/>
        </w:rPr>
        <w:t>. As Sky Ranch continues to develop, we anticipate continued growth in our residential water and wastewater service revenues.</w:t>
      </w:r>
      <w:r w:rsidR="00016462" w:rsidRPr="00B06798">
        <w:rPr>
          <w:rFonts w:ascii="Times New Roman" w:hAnsi="Times New Roman"/>
          <w:sz w:val="20"/>
          <w:szCs w:val="20"/>
        </w:rPr>
        <w:t xml:space="preserve"> </w:t>
      </w:r>
      <w:r w:rsidR="00376784" w:rsidRPr="00376784">
        <w:rPr>
          <w:rFonts w:ascii="Times New Roman" w:hAnsi="Times New Roman"/>
          <w:sz w:val="20"/>
          <w:szCs w:val="20"/>
        </w:rPr>
        <w:t>Water and wastewater tap sales increased in 2024 compared to 2023, primarily due to the type of taps (commercial vs. residential) sold during each year and a price increase of water and wastewater taps in 2024.</w:t>
      </w:r>
    </w:p>
    <w:p w14:paraId="5C28A823" w14:textId="77777777" w:rsidR="00D14387" w:rsidRPr="000C1C01" w:rsidRDefault="00D14387" w:rsidP="00FC4827">
      <w:pPr>
        <w:pStyle w:val="BodyText"/>
        <w:jc w:val="both"/>
        <w:rPr>
          <w:rFonts w:ascii="Times New Roman" w:hAnsi="Times New Roman"/>
          <w:sz w:val="20"/>
          <w:szCs w:val="20"/>
          <w:highlight w:val="yellow"/>
        </w:rPr>
      </w:pPr>
    </w:p>
    <w:p w14:paraId="1EC728CC" w14:textId="77777777" w:rsidR="00B5666B" w:rsidRPr="00580CFA" w:rsidRDefault="00B5666B" w:rsidP="00FC4827">
      <w:pPr>
        <w:pStyle w:val="canvas-atom"/>
        <w:tabs>
          <w:tab w:val="right" w:pos="9360"/>
        </w:tabs>
        <w:spacing w:before="0" w:beforeAutospacing="0" w:after="0" w:afterAutospacing="0"/>
        <w:ind w:right="270"/>
        <w:jc w:val="both"/>
        <w:rPr>
          <w:i/>
          <w:iCs/>
          <w:sz w:val="20"/>
          <w:szCs w:val="20"/>
        </w:rPr>
      </w:pPr>
      <w:r w:rsidRPr="00580CFA">
        <w:rPr>
          <w:i/>
          <w:iCs/>
          <w:sz w:val="20"/>
          <w:szCs w:val="20"/>
        </w:rPr>
        <w:t>Land Development</w:t>
      </w:r>
    </w:p>
    <w:p w14:paraId="5974EB08" w14:textId="77777777" w:rsidR="00580CFA" w:rsidRPr="00580CFA" w:rsidRDefault="00B5666B" w:rsidP="00580CFA">
      <w:pPr>
        <w:pStyle w:val="NormalWeb"/>
        <w:shd w:val="clear" w:color="auto" w:fill="FFFFFF"/>
        <w:spacing w:before="0" w:beforeAutospacing="0" w:after="300" w:afterAutospacing="0"/>
        <w:jc w:val="both"/>
        <w:rPr>
          <w:rFonts w:eastAsiaTheme="minorHAnsi"/>
          <w:kern w:val="2"/>
          <w:sz w:val="20"/>
          <w:szCs w:val="20"/>
          <w14:ligatures w14:val="standardContextual"/>
        </w:rPr>
      </w:pPr>
      <w:r w:rsidRPr="00580CFA">
        <w:rPr>
          <w:rFonts w:eastAsiaTheme="minorHAnsi"/>
          <w:kern w:val="2"/>
          <w:sz w:val="20"/>
          <w:szCs w:val="20"/>
          <w14:ligatures w14:val="standardContextual"/>
        </w:rPr>
        <w:t xml:space="preserve">Lot sales revenue </w:t>
      </w:r>
      <w:r w:rsidR="004B596D" w:rsidRPr="00580CFA">
        <w:rPr>
          <w:rFonts w:eastAsiaTheme="minorHAnsi"/>
          <w:kern w:val="2"/>
          <w:sz w:val="20"/>
          <w:szCs w:val="20"/>
          <w14:ligatures w14:val="standardContextual"/>
        </w:rPr>
        <w:t>increased</w:t>
      </w:r>
      <w:r w:rsidR="000D20E7" w:rsidRPr="00580CFA">
        <w:rPr>
          <w:rFonts w:eastAsiaTheme="minorHAnsi"/>
          <w:kern w:val="2"/>
          <w:sz w:val="20"/>
          <w:szCs w:val="20"/>
          <w14:ligatures w14:val="standardContextual"/>
        </w:rPr>
        <w:t xml:space="preserve"> </w:t>
      </w:r>
      <w:r w:rsidR="00BE69DC" w:rsidRPr="00580CFA">
        <w:rPr>
          <w:rFonts w:eastAsiaTheme="minorHAnsi"/>
          <w:kern w:val="2"/>
          <w:sz w:val="20"/>
          <w:szCs w:val="20"/>
          <w14:ligatures w14:val="standardContextual"/>
        </w:rPr>
        <w:t>to $</w:t>
      </w:r>
      <w:r w:rsidR="00376784" w:rsidRPr="00580CFA">
        <w:rPr>
          <w:rFonts w:eastAsiaTheme="minorHAnsi"/>
          <w:kern w:val="2"/>
          <w:sz w:val="20"/>
          <w:szCs w:val="20"/>
          <w14:ligatures w14:val="standardContextual"/>
        </w:rPr>
        <w:t>16</w:t>
      </w:r>
      <w:r w:rsidR="00114609" w:rsidRPr="00580CFA">
        <w:rPr>
          <w:rFonts w:eastAsiaTheme="minorHAnsi"/>
          <w:kern w:val="2"/>
          <w:sz w:val="20"/>
          <w:szCs w:val="20"/>
          <w14:ligatures w14:val="standardContextual"/>
        </w:rPr>
        <w:t>.</w:t>
      </w:r>
      <w:r w:rsidR="00376784" w:rsidRPr="00580CFA">
        <w:rPr>
          <w:rFonts w:eastAsiaTheme="minorHAnsi"/>
          <w:kern w:val="2"/>
          <w:sz w:val="20"/>
          <w:szCs w:val="20"/>
          <w14:ligatures w14:val="standardContextual"/>
        </w:rPr>
        <w:t>0</w:t>
      </w:r>
      <w:r w:rsidR="00BE69DC" w:rsidRPr="00580CFA">
        <w:rPr>
          <w:rFonts w:eastAsiaTheme="minorHAnsi"/>
          <w:kern w:val="2"/>
          <w:sz w:val="20"/>
          <w:szCs w:val="20"/>
          <w14:ligatures w14:val="standardContextual"/>
        </w:rPr>
        <w:t xml:space="preserve"> million for </w:t>
      </w:r>
      <w:r w:rsidR="00376784" w:rsidRPr="00580CFA">
        <w:rPr>
          <w:rFonts w:eastAsiaTheme="minorHAnsi"/>
          <w:kern w:val="2"/>
          <w:sz w:val="20"/>
          <w:szCs w:val="20"/>
          <w14:ligatures w14:val="standardContextual"/>
        </w:rPr>
        <w:t>the year</w:t>
      </w:r>
      <w:r w:rsidR="00BE69DC" w:rsidRPr="00580CFA">
        <w:rPr>
          <w:rFonts w:eastAsiaTheme="minorHAnsi"/>
          <w:kern w:val="2"/>
          <w:sz w:val="20"/>
          <w:szCs w:val="20"/>
          <w14:ligatures w14:val="standardContextual"/>
        </w:rPr>
        <w:t xml:space="preserve"> ended </w:t>
      </w:r>
      <w:r w:rsidR="00376784" w:rsidRPr="00580CFA">
        <w:rPr>
          <w:rFonts w:eastAsiaTheme="minorHAnsi"/>
          <w:kern w:val="2"/>
          <w:sz w:val="20"/>
          <w:szCs w:val="20"/>
          <w14:ligatures w14:val="standardContextual"/>
        </w:rPr>
        <w:t>August</w:t>
      </w:r>
      <w:r w:rsidR="00BE69DC" w:rsidRPr="00580CFA">
        <w:rPr>
          <w:rFonts w:eastAsiaTheme="minorHAnsi"/>
          <w:kern w:val="2"/>
          <w:sz w:val="20"/>
          <w:szCs w:val="20"/>
          <w14:ligatures w14:val="standardContextual"/>
        </w:rPr>
        <w:t xml:space="preserve"> 31, </w:t>
      </w:r>
      <w:proofErr w:type="gramStart"/>
      <w:r w:rsidR="00BE69DC" w:rsidRPr="00580CFA">
        <w:rPr>
          <w:rFonts w:eastAsiaTheme="minorHAnsi"/>
          <w:kern w:val="2"/>
          <w:sz w:val="20"/>
          <w:szCs w:val="20"/>
          <w14:ligatures w14:val="standardContextual"/>
        </w:rPr>
        <w:t>2024</w:t>
      </w:r>
      <w:proofErr w:type="gramEnd"/>
      <w:r w:rsidRPr="00580CFA">
        <w:rPr>
          <w:rFonts w:eastAsiaTheme="minorHAnsi"/>
          <w:kern w:val="2"/>
          <w:sz w:val="20"/>
          <w:szCs w:val="20"/>
          <w14:ligatures w14:val="standardContextual"/>
        </w:rPr>
        <w:t xml:space="preserve"> compared to </w:t>
      </w:r>
      <w:r w:rsidR="00BE69DC" w:rsidRPr="00580CFA">
        <w:rPr>
          <w:rFonts w:eastAsiaTheme="minorHAnsi"/>
          <w:kern w:val="2"/>
          <w:sz w:val="20"/>
          <w:szCs w:val="20"/>
          <w14:ligatures w14:val="standardContextual"/>
        </w:rPr>
        <w:t>$</w:t>
      </w:r>
      <w:r w:rsidR="00376784" w:rsidRPr="00580CFA">
        <w:rPr>
          <w:rFonts w:eastAsiaTheme="minorHAnsi"/>
          <w:kern w:val="2"/>
          <w:sz w:val="20"/>
          <w:szCs w:val="20"/>
          <w14:ligatures w14:val="standardContextual"/>
        </w:rPr>
        <w:t>6</w:t>
      </w:r>
      <w:r w:rsidR="00BE69DC" w:rsidRPr="00580CFA">
        <w:rPr>
          <w:rFonts w:eastAsiaTheme="minorHAnsi"/>
          <w:kern w:val="2"/>
          <w:sz w:val="20"/>
          <w:szCs w:val="20"/>
          <w14:ligatures w14:val="standardContextual"/>
        </w:rPr>
        <w:t>.</w:t>
      </w:r>
      <w:r w:rsidR="00376784" w:rsidRPr="00580CFA">
        <w:rPr>
          <w:rFonts w:eastAsiaTheme="minorHAnsi"/>
          <w:kern w:val="2"/>
          <w:sz w:val="20"/>
          <w:szCs w:val="20"/>
          <w14:ligatures w14:val="standardContextual"/>
        </w:rPr>
        <w:t>8</w:t>
      </w:r>
      <w:r w:rsidR="00BE69DC" w:rsidRPr="00580CFA">
        <w:rPr>
          <w:rFonts w:eastAsiaTheme="minorHAnsi"/>
          <w:kern w:val="2"/>
          <w:sz w:val="20"/>
          <w:szCs w:val="20"/>
          <w14:ligatures w14:val="standardContextual"/>
        </w:rPr>
        <w:t xml:space="preserve"> million in</w:t>
      </w:r>
      <w:r w:rsidR="000D20E7" w:rsidRPr="00580CFA">
        <w:rPr>
          <w:rFonts w:eastAsiaTheme="minorHAnsi"/>
          <w:kern w:val="2"/>
          <w:sz w:val="20"/>
          <w:szCs w:val="20"/>
          <w14:ligatures w14:val="standardContextual"/>
        </w:rPr>
        <w:t xml:space="preserve"> 2023</w:t>
      </w:r>
      <w:r w:rsidR="00BE69DC" w:rsidRPr="00580CFA">
        <w:rPr>
          <w:rFonts w:eastAsiaTheme="minorHAnsi"/>
          <w:kern w:val="2"/>
          <w:sz w:val="20"/>
          <w:szCs w:val="20"/>
          <w14:ligatures w14:val="standardContextual"/>
        </w:rPr>
        <w:t>.</w:t>
      </w:r>
      <w:r w:rsidR="00580CFA" w:rsidRPr="00580CFA">
        <w:rPr>
          <w:rFonts w:eastAsiaTheme="minorHAnsi"/>
          <w:kern w:val="2"/>
          <w:sz w:val="20"/>
          <w:szCs w:val="20"/>
          <w14:ligatures w14:val="standardContextual"/>
        </w:rPr>
        <w:t xml:space="preserve"> </w:t>
      </w:r>
      <w:r w:rsidR="00BE69DC" w:rsidRPr="00580CFA">
        <w:rPr>
          <w:rFonts w:eastAsiaTheme="minorHAnsi"/>
          <w:kern w:val="2"/>
          <w:sz w:val="20"/>
          <w:szCs w:val="20"/>
          <w14:ligatures w14:val="standardContextual"/>
        </w:rPr>
        <w:t xml:space="preserve">Increases </w:t>
      </w:r>
      <w:r w:rsidR="00580CFA" w:rsidRPr="00580CFA">
        <w:rPr>
          <w:rFonts w:eastAsiaTheme="minorHAnsi"/>
          <w:kern w:val="2"/>
          <w:sz w:val="20"/>
          <w:szCs w:val="20"/>
          <w14:ligatures w14:val="standardContextual"/>
        </w:rPr>
        <w:t>during the year are</w:t>
      </w:r>
      <w:r w:rsidR="00376784" w:rsidRPr="00580CFA">
        <w:rPr>
          <w:rFonts w:eastAsiaTheme="minorHAnsi"/>
          <w:kern w:val="2"/>
          <w:sz w:val="20"/>
          <w:szCs w:val="20"/>
          <w14:ligatures w14:val="standardContextual"/>
        </w:rPr>
        <w:t xml:space="preserve"> primarily due to an increase in lot deliveries at Sky Ranch and our accelerated development activities with three ongoing phases in our Sky Ranch Master Planned Community. </w:t>
      </w:r>
      <w:r w:rsidR="00580CFA" w:rsidRPr="00580CFA">
        <w:rPr>
          <w:rFonts w:eastAsiaTheme="minorHAnsi"/>
          <w:kern w:val="2"/>
          <w:sz w:val="20"/>
          <w:szCs w:val="20"/>
          <w14:ligatures w14:val="standardContextual"/>
        </w:rPr>
        <w:t xml:space="preserve">The number of lots delivered increased in 2024 compared to 2023 due to the remaining lots of Phase 2B and beginning lots of Phase 2C </w:t>
      </w:r>
      <w:r w:rsidR="004A3599">
        <w:rPr>
          <w:rFonts w:eastAsiaTheme="minorHAnsi"/>
          <w:kern w:val="2"/>
          <w:sz w:val="20"/>
          <w:szCs w:val="20"/>
          <w14:ligatures w14:val="standardContextual"/>
        </w:rPr>
        <w:t xml:space="preserve">having </w:t>
      </w:r>
      <w:r w:rsidR="00580CFA" w:rsidRPr="00580CFA">
        <w:rPr>
          <w:rFonts w:eastAsiaTheme="minorHAnsi"/>
          <w:kern w:val="2"/>
          <w:sz w:val="20"/>
          <w:szCs w:val="20"/>
          <w14:ligatures w14:val="standardContextual"/>
        </w:rPr>
        <w:t>been delivered by the end of fiscal 2024.</w:t>
      </w:r>
    </w:p>
    <w:p w14:paraId="75697256" w14:textId="77777777" w:rsidR="00DC6FE8" w:rsidRPr="00376784" w:rsidRDefault="00B5666B" w:rsidP="00FC4827">
      <w:pPr>
        <w:pStyle w:val="canvas-atom"/>
        <w:tabs>
          <w:tab w:val="right" w:pos="9360"/>
        </w:tabs>
        <w:spacing w:before="0" w:beforeAutospacing="0" w:after="0" w:afterAutospacing="0"/>
        <w:ind w:right="270"/>
        <w:jc w:val="both"/>
        <w:rPr>
          <w:i/>
          <w:iCs/>
          <w:sz w:val="20"/>
          <w:szCs w:val="20"/>
        </w:rPr>
      </w:pPr>
      <w:r w:rsidRPr="00376784">
        <w:rPr>
          <w:i/>
          <w:iCs/>
          <w:sz w:val="20"/>
          <w:szCs w:val="20"/>
        </w:rPr>
        <w:t>Single Family Rentals</w:t>
      </w:r>
    </w:p>
    <w:p w14:paraId="695444AD" w14:textId="77777777" w:rsidR="00EF2757" w:rsidRDefault="00376784" w:rsidP="00FC4827">
      <w:pPr>
        <w:pStyle w:val="NormalWeb"/>
        <w:shd w:val="clear" w:color="auto" w:fill="FFFFFF"/>
        <w:spacing w:before="0" w:beforeAutospacing="0" w:after="300" w:afterAutospacing="0"/>
        <w:jc w:val="both"/>
        <w:rPr>
          <w:rFonts w:eastAsiaTheme="minorHAnsi"/>
          <w:kern w:val="2"/>
          <w:sz w:val="20"/>
          <w:szCs w:val="20"/>
          <w14:ligatures w14:val="standardContextual"/>
        </w:rPr>
      </w:pPr>
      <w:r w:rsidRPr="00376784">
        <w:rPr>
          <w:rFonts w:eastAsiaTheme="minorHAnsi"/>
          <w:kern w:val="2"/>
          <w:sz w:val="20"/>
          <w:szCs w:val="20"/>
          <w14:ligatures w14:val="standardContextual"/>
        </w:rPr>
        <w:t xml:space="preserve">Fiscal </w:t>
      </w:r>
      <w:r w:rsidR="000D20E7" w:rsidRPr="00376784">
        <w:rPr>
          <w:rFonts w:eastAsiaTheme="minorHAnsi"/>
          <w:kern w:val="2"/>
          <w:sz w:val="20"/>
          <w:szCs w:val="20"/>
          <w14:ligatures w14:val="standardContextual"/>
        </w:rPr>
        <w:t>2024</w:t>
      </w:r>
      <w:r w:rsidR="00016462" w:rsidRPr="00376784">
        <w:rPr>
          <w:rFonts w:eastAsiaTheme="minorHAnsi"/>
          <w:kern w:val="2"/>
          <w:sz w:val="20"/>
          <w:szCs w:val="20"/>
          <w14:ligatures w14:val="standardContextual"/>
        </w:rPr>
        <w:t xml:space="preserve"> represent</w:t>
      </w:r>
      <w:r w:rsidR="000D20E7" w:rsidRPr="00376784">
        <w:rPr>
          <w:rFonts w:eastAsiaTheme="minorHAnsi"/>
          <w:kern w:val="2"/>
          <w:sz w:val="20"/>
          <w:szCs w:val="20"/>
          <w14:ligatures w14:val="standardContextual"/>
        </w:rPr>
        <w:t>ed</w:t>
      </w:r>
      <w:r w:rsidR="00016462" w:rsidRPr="00376784">
        <w:rPr>
          <w:rFonts w:eastAsiaTheme="minorHAnsi"/>
          <w:kern w:val="2"/>
          <w:sz w:val="20"/>
          <w:szCs w:val="20"/>
          <w14:ligatures w14:val="standardContextual"/>
        </w:rPr>
        <w:t xml:space="preserve"> our first </w:t>
      </w:r>
      <w:r w:rsidRPr="00376784">
        <w:rPr>
          <w:rFonts w:eastAsiaTheme="minorHAnsi"/>
          <w:kern w:val="2"/>
          <w:sz w:val="20"/>
          <w:szCs w:val="20"/>
          <w14:ligatures w14:val="standardContextual"/>
        </w:rPr>
        <w:t>year</w:t>
      </w:r>
      <w:r w:rsidR="00016462" w:rsidRPr="00376784">
        <w:rPr>
          <w:rFonts w:eastAsiaTheme="minorHAnsi"/>
          <w:kern w:val="2"/>
          <w:sz w:val="20"/>
          <w:szCs w:val="20"/>
          <w14:ligatures w14:val="standardContextual"/>
        </w:rPr>
        <w:t xml:space="preserve"> of rental income for our </w:t>
      </w:r>
      <w:r w:rsidR="005F2B51" w:rsidRPr="00376784">
        <w:rPr>
          <w:rFonts w:eastAsiaTheme="minorHAnsi"/>
          <w:kern w:val="2"/>
          <w:sz w:val="20"/>
          <w:szCs w:val="20"/>
          <w14:ligatures w14:val="standardContextual"/>
        </w:rPr>
        <w:t>14</w:t>
      </w:r>
      <w:r w:rsidR="00016462" w:rsidRPr="00376784">
        <w:rPr>
          <w:rFonts w:eastAsiaTheme="minorHAnsi"/>
          <w:kern w:val="2"/>
          <w:sz w:val="20"/>
          <w:szCs w:val="20"/>
          <w14:ligatures w14:val="standardContextual"/>
        </w:rPr>
        <w:t xml:space="preserve"> completed homes.  </w:t>
      </w:r>
      <w:r w:rsidR="00356252" w:rsidRPr="00376784">
        <w:rPr>
          <w:sz w:val="20"/>
          <w:szCs w:val="20"/>
        </w:rPr>
        <w:t xml:space="preserve">An additional </w:t>
      </w:r>
      <w:r w:rsidR="00016462" w:rsidRPr="00376784">
        <w:rPr>
          <w:sz w:val="20"/>
          <w:szCs w:val="20"/>
        </w:rPr>
        <w:t>1</w:t>
      </w:r>
      <w:r w:rsidR="000D20E7" w:rsidRPr="00376784">
        <w:rPr>
          <w:sz w:val="20"/>
          <w:szCs w:val="20"/>
        </w:rPr>
        <w:t>7</w:t>
      </w:r>
      <w:r w:rsidR="00016462" w:rsidRPr="00376784">
        <w:rPr>
          <w:sz w:val="20"/>
          <w:szCs w:val="20"/>
        </w:rPr>
        <w:t xml:space="preserve"> </w:t>
      </w:r>
      <w:r w:rsidR="00356252" w:rsidRPr="00376784">
        <w:rPr>
          <w:sz w:val="20"/>
          <w:szCs w:val="20"/>
        </w:rPr>
        <w:t>homes</w:t>
      </w:r>
      <w:r w:rsidR="00016462" w:rsidRPr="00376784">
        <w:rPr>
          <w:sz w:val="20"/>
          <w:szCs w:val="20"/>
        </w:rPr>
        <w:t xml:space="preserve"> </w:t>
      </w:r>
      <w:r w:rsidR="00356252" w:rsidRPr="00376784">
        <w:rPr>
          <w:sz w:val="20"/>
          <w:szCs w:val="20"/>
        </w:rPr>
        <w:t xml:space="preserve">are </w:t>
      </w:r>
      <w:r w:rsidR="00016462" w:rsidRPr="00376784">
        <w:rPr>
          <w:sz w:val="20"/>
          <w:szCs w:val="20"/>
        </w:rPr>
        <w:t>forecasted for construction in Phase 2B</w:t>
      </w:r>
      <w:r w:rsidR="00356252" w:rsidRPr="00376784">
        <w:rPr>
          <w:sz w:val="20"/>
          <w:szCs w:val="20"/>
        </w:rPr>
        <w:t xml:space="preserve"> in </w:t>
      </w:r>
      <w:r w:rsidR="000D20E7" w:rsidRPr="00376784">
        <w:rPr>
          <w:sz w:val="20"/>
          <w:szCs w:val="20"/>
        </w:rPr>
        <w:t>calendar</w:t>
      </w:r>
      <w:r w:rsidR="00356252" w:rsidRPr="00376784">
        <w:rPr>
          <w:sz w:val="20"/>
          <w:szCs w:val="20"/>
        </w:rPr>
        <w:t xml:space="preserve"> 202</w:t>
      </w:r>
      <w:r w:rsidRPr="00376784">
        <w:rPr>
          <w:sz w:val="20"/>
          <w:szCs w:val="20"/>
        </w:rPr>
        <w:t>5</w:t>
      </w:r>
      <w:r w:rsidR="00356252" w:rsidRPr="00376784">
        <w:rPr>
          <w:sz w:val="20"/>
          <w:szCs w:val="20"/>
        </w:rPr>
        <w:t>.</w:t>
      </w:r>
      <w:r w:rsidR="00016462">
        <w:rPr>
          <w:rFonts w:eastAsiaTheme="minorHAnsi"/>
          <w:kern w:val="2"/>
          <w:sz w:val="20"/>
          <w:szCs w:val="20"/>
          <w14:ligatures w14:val="standardContextual"/>
        </w:rPr>
        <w:t xml:space="preserve"> </w:t>
      </w:r>
    </w:p>
    <w:p w14:paraId="60DB8F5D" w14:textId="77777777" w:rsidR="00145D22" w:rsidRDefault="00145D22" w:rsidP="00FC4827">
      <w:pPr>
        <w:pStyle w:val="NormalWeb"/>
        <w:shd w:val="clear" w:color="auto" w:fill="FFFFFF"/>
        <w:spacing w:before="0" w:beforeAutospacing="0" w:after="300" w:afterAutospacing="0"/>
        <w:jc w:val="both"/>
        <w:rPr>
          <w:rFonts w:eastAsiaTheme="minorHAnsi"/>
          <w:kern w:val="2"/>
          <w:sz w:val="20"/>
          <w:szCs w:val="20"/>
          <w14:ligatures w14:val="standardContextual"/>
        </w:rPr>
      </w:pPr>
    </w:p>
    <w:p w14:paraId="6217DFEA" w14:textId="77777777" w:rsidR="00145D22" w:rsidRDefault="00145D22" w:rsidP="00FC4827">
      <w:pPr>
        <w:pStyle w:val="NormalWeb"/>
        <w:shd w:val="clear" w:color="auto" w:fill="FFFFFF"/>
        <w:spacing w:before="0" w:beforeAutospacing="0" w:after="300" w:afterAutospacing="0"/>
        <w:jc w:val="both"/>
        <w:rPr>
          <w:rFonts w:eastAsiaTheme="minorHAnsi"/>
          <w:kern w:val="2"/>
          <w:sz w:val="20"/>
          <w:szCs w:val="20"/>
          <w14:ligatures w14:val="standardContextual"/>
        </w:rPr>
      </w:pPr>
    </w:p>
    <w:p w14:paraId="4A8A1F80" w14:textId="77777777" w:rsidR="00B17A15" w:rsidRDefault="00B17A15" w:rsidP="00FC4827">
      <w:pPr>
        <w:pStyle w:val="NormalWeb"/>
        <w:shd w:val="clear" w:color="auto" w:fill="FFFFFF"/>
        <w:spacing w:before="0" w:beforeAutospacing="0" w:after="300" w:afterAutospacing="0"/>
        <w:jc w:val="both"/>
        <w:rPr>
          <w:rFonts w:eastAsiaTheme="minorHAnsi"/>
          <w:kern w:val="2"/>
          <w:sz w:val="20"/>
          <w:szCs w:val="20"/>
          <w14:ligatures w14:val="standardContextual"/>
        </w:rPr>
      </w:pPr>
    </w:p>
    <w:p w14:paraId="48F5FAE2" w14:textId="77777777" w:rsidR="00145D22" w:rsidRDefault="00145D22" w:rsidP="00FC4827">
      <w:pPr>
        <w:pStyle w:val="NormalWeb"/>
        <w:shd w:val="clear" w:color="auto" w:fill="FFFFFF"/>
        <w:spacing w:before="0" w:beforeAutospacing="0" w:after="300" w:afterAutospacing="0"/>
        <w:jc w:val="both"/>
        <w:rPr>
          <w:rFonts w:eastAsiaTheme="minorHAnsi"/>
          <w:kern w:val="2"/>
          <w:sz w:val="20"/>
          <w:szCs w:val="20"/>
          <w14:ligatures w14:val="standardContextual"/>
        </w:rPr>
      </w:pPr>
    </w:p>
    <w:p w14:paraId="1FA69901" w14:textId="77777777" w:rsidR="00145D22" w:rsidRPr="00DC6FE8" w:rsidRDefault="00145D22" w:rsidP="00FC4827">
      <w:pPr>
        <w:pStyle w:val="NormalWeb"/>
        <w:shd w:val="clear" w:color="auto" w:fill="FFFFFF"/>
        <w:spacing w:before="0" w:beforeAutospacing="0" w:after="300" w:afterAutospacing="0"/>
        <w:jc w:val="both"/>
        <w:rPr>
          <w:rFonts w:eastAsiaTheme="minorHAnsi"/>
          <w:kern w:val="2"/>
          <w:sz w:val="20"/>
          <w:szCs w:val="20"/>
          <w14:ligatures w14:val="standardContextual"/>
        </w:rPr>
      </w:pPr>
    </w:p>
    <w:p w14:paraId="55487A3A" w14:textId="77777777" w:rsidR="00B43B76" w:rsidRPr="00FB5AFF" w:rsidRDefault="00B43B76" w:rsidP="00B43B76">
      <w:pPr>
        <w:widowControl w:val="0"/>
        <w:tabs>
          <w:tab w:val="right" w:pos="9360"/>
        </w:tabs>
        <w:jc w:val="both"/>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 xml:space="preserve">Earnings Call </w:t>
      </w:r>
      <w:r w:rsidRPr="00FB5AFF">
        <w:rPr>
          <w:rFonts w:ascii="Times New Roman" w:hAnsi="Times New Roman" w:cs="Times New Roman"/>
          <w:b/>
          <w:bCs/>
          <w:sz w:val="20"/>
          <w:szCs w:val="20"/>
          <w:u w:val="single"/>
        </w:rPr>
        <w:t>Information</w:t>
      </w:r>
    </w:p>
    <w:p w14:paraId="5885EC1E" w14:textId="77777777" w:rsidR="00B43B76" w:rsidRPr="00FB5AFF" w:rsidRDefault="00B43B76" w:rsidP="00B43B76">
      <w:pPr>
        <w:widowControl w:val="0"/>
        <w:tabs>
          <w:tab w:val="right" w:pos="9360"/>
        </w:tabs>
        <w:jc w:val="both"/>
        <w:rPr>
          <w:rFonts w:ascii="Times New Roman" w:hAnsi="Times New Roman" w:cs="Times New Roman"/>
          <w:bCs/>
          <w:sz w:val="20"/>
          <w:szCs w:val="20"/>
        </w:rPr>
      </w:pPr>
      <w:r w:rsidRPr="00FB5AFF">
        <w:rPr>
          <w:rFonts w:ascii="Times New Roman" w:hAnsi="Times New Roman" w:cs="Times New Roman"/>
          <w:bCs/>
          <w:sz w:val="20"/>
          <w:szCs w:val="20"/>
        </w:rPr>
        <w:t xml:space="preserve">Pure Cycle will host a conference call on </w:t>
      </w:r>
      <w:r w:rsidR="004053C8">
        <w:rPr>
          <w:rFonts w:ascii="Times New Roman" w:hAnsi="Times New Roman" w:cs="Times New Roman"/>
          <w:bCs/>
          <w:sz w:val="20"/>
          <w:szCs w:val="20"/>
        </w:rPr>
        <w:t>Thursday</w:t>
      </w:r>
      <w:r w:rsidRPr="00FB5AFF">
        <w:rPr>
          <w:rFonts w:ascii="Times New Roman" w:hAnsi="Times New Roman" w:cs="Times New Roman"/>
          <w:bCs/>
          <w:sz w:val="20"/>
          <w:szCs w:val="20"/>
        </w:rPr>
        <w:t xml:space="preserve"> </w:t>
      </w:r>
      <w:r w:rsidR="00434A11">
        <w:rPr>
          <w:rFonts w:ascii="Times New Roman" w:hAnsi="Times New Roman" w:cs="Times New Roman"/>
          <w:bCs/>
          <w:sz w:val="20"/>
          <w:szCs w:val="20"/>
        </w:rPr>
        <w:t>November 14</w:t>
      </w:r>
      <w:r w:rsidRPr="00FB5AFF">
        <w:rPr>
          <w:rFonts w:ascii="Times New Roman" w:hAnsi="Times New Roman" w:cs="Times New Roman"/>
          <w:bCs/>
          <w:sz w:val="20"/>
          <w:szCs w:val="20"/>
        </w:rPr>
        <w:t>, 202</w:t>
      </w:r>
      <w:r w:rsidR="00DE424C">
        <w:rPr>
          <w:rFonts w:ascii="Times New Roman" w:hAnsi="Times New Roman" w:cs="Times New Roman"/>
          <w:bCs/>
          <w:sz w:val="20"/>
          <w:szCs w:val="20"/>
        </w:rPr>
        <w:t>4</w:t>
      </w:r>
      <w:r w:rsidRPr="00FB5AFF">
        <w:rPr>
          <w:rFonts w:ascii="Times New Roman" w:hAnsi="Times New Roman" w:cs="Times New Roman"/>
          <w:bCs/>
          <w:sz w:val="20"/>
          <w:szCs w:val="20"/>
        </w:rPr>
        <w:t>, at 8:30AM Eastern (6:30AM Mountain) to discuss the financial results and answer questions. Call details are presented below. We will post a detailed slide presentation</w:t>
      </w:r>
      <w:r w:rsidR="004467B7">
        <w:rPr>
          <w:rFonts w:ascii="Times New Roman" w:hAnsi="Times New Roman" w:cs="Times New Roman"/>
          <w:bCs/>
          <w:sz w:val="20"/>
          <w:szCs w:val="20"/>
        </w:rPr>
        <w:t xml:space="preserve"> on our website</w:t>
      </w:r>
      <w:r w:rsidRPr="00FB5AFF">
        <w:rPr>
          <w:rFonts w:ascii="Times New Roman" w:hAnsi="Times New Roman" w:cs="Times New Roman"/>
          <w:bCs/>
          <w:sz w:val="20"/>
          <w:szCs w:val="20"/>
        </w:rPr>
        <w:t xml:space="preserve">, which </w:t>
      </w:r>
      <w:r w:rsidR="004467B7">
        <w:rPr>
          <w:rFonts w:ascii="Times New Roman" w:hAnsi="Times New Roman" w:cs="Times New Roman"/>
          <w:bCs/>
          <w:sz w:val="20"/>
          <w:szCs w:val="20"/>
        </w:rPr>
        <w:t xml:space="preserve">will </w:t>
      </w:r>
      <w:r w:rsidRPr="00FB5AFF">
        <w:rPr>
          <w:rFonts w:ascii="Times New Roman" w:hAnsi="Times New Roman" w:cs="Times New Roman"/>
          <w:bCs/>
          <w:sz w:val="20"/>
          <w:szCs w:val="20"/>
        </w:rPr>
        <w:t xml:space="preserve">provide an overview of Pure Cycle and present summary financial results </w:t>
      </w:r>
      <w:r w:rsidR="004467B7">
        <w:rPr>
          <w:rFonts w:ascii="Times New Roman" w:hAnsi="Times New Roman" w:cs="Times New Roman"/>
          <w:bCs/>
          <w:sz w:val="20"/>
          <w:szCs w:val="20"/>
        </w:rPr>
        <w:t>and</w:t>
      </w:r>
      <w:r w:rsidRPr="00FB5AFF">
        <w:rPr>
          <w:rFonts w:ascii="Times New Roman" w:hAnsi="Times New Roman" w:cs="Times New Roman"/>
          <w:bCs/>
          <w:sz w:val="20"/>
          <w:szCs w:val="20"/>
        </w:rPr>
        <w:t xml:space="preserve"> can be accessed at </w:t>
      </w:r>
      <w:hyperlink r:id="rId7" w:history="1">
        <w:r w:rsidRPr="00FB5AFF">
          <w:rPr>
            <w:rStyle w:val="Hyperlink"/>
            <w:rFonts w:ascii="Times New Roman" w:hAnsi="Times New Roman" w:cs="Times New Roman"/>
            <w:bCs/>
            <w:sz w:val="20"/>
            <w:szCs w:val="20"/>
          </w:rPr>
          <w:t>www.purecyclewater.com</w:t>
        </w:r>
      </w:hyperlink>
      <w:r w:rsidRPr="00FB5AFF">
        <w:rPr>
          <w:rFonts w:ascii="Times New Roman" w:hAnsi="Times New Roman" w:cs="Times New Roman"/>
          <w:bCs/>
          <w:sz w:val="20"/>
          <w:szCs w:val="20"/>
        </w:rPr>
        <w:t>.</w:t>
      </w:r>
    </w:p>
    <w:p w14:paraId="24C02E11" w14:textId="77777777" w:rsidR="00832B73" w:rsidRPr="00832B73" w:rsidRDefault="00832B73" w:rsidP="00832B73">
      <w:pPr>
        <w:pStyle w:val="NoSpacing"/>
        <w:rPr>
          <w:rFonts w:ascii="Times New Roman" w:hAnsi="Times New Roman" w:cs="Times New Roman"/>
          <w:sz w:val="20"/>
          <w:szCs w:val="20"/>
        </w:rPr>
      </w:pPr>
      <w:r w:rsidRPr="00832B73">
        <w:rPr>
          <w:rFonts w:ascii="Times New Roman" w:hAnsi="Times New Roman" w:cs="Times New Roman"/>
          <w:sz w:val="20"/>
          <w:szCs w:val="20"/>
        </w:rPr>
        <w:t xml:space="preserve">When:                                         8:30AM Eastern (6:30AM Mountain) on </w:t>
      </w:r>
      <w:r w:rsidR="00434A11">
        <w:rPr>
          <w:rFonts w:ascii="Times New Roman" w:hAnsi="Times New Roman" w:cs="Times New Roman"/>
          <w:sz w:val="20"/>
          <w:szCs w:val="20"/>
        </w:rPr>
        <w:t>November 14</w:t>
      </w:r>
      <w:r w:rsidRPr="00832B73">
        <w:rPr>
          <w:rFonts w:ascii="Times New Roman" w:hAnsi="Times New Roman" w:cs="Times New Roman"/>
          <w:sz w:val="20"/>
          <w:szCs w:val="20"/>
        </w:rPr>
        <w:t>, 2024</w:t>
      </w:r>
    </w:p>
    <w:p w14:paraId="7BB3FC9E" w14:textId="77777777" w:rsidR="00AF4D95" w:rsidRDefault="00832B73" w:rsidP="00AF4D95">
      <w:pPr>
        <w:pStyle w:val="NoSpacing"/>
        <w:rPr>
          <w:rFonts w:ascii="Times New Roman" w:hAnsi="Times New Roman" w:cs="Times New Roman"/>
          <w:sz w:val="20"/>
          <w:szCs w:val="20"/>
        </w:rPr>
      </w:pPr>
      <w:r w:rsidRPr="00832B73">
        <w:rPr>
          <w:rFonts w:ascii="Times New Roman" w:hAnsi="Times New Roman" w:cs="Times New Roman"/>
          <w:sz w:val="20"/>
          <w:szCs w:val="20"/>
        </w:rPr>
        <w:t xml:space="preserve">Call in number:                           </w:t>
      </w:r>
      <w:r w:rsidR="00AF4D95" w:rsidRPr="00AF4D95">
        <w:rPr>
          <w:rFonts w:ascii="Times New Roman" w:hAnsi="Times New Roman" w:cs="Times New Roman"/>
          <w:sz w:val="20"/>
          <w:szCs w:val="20"/>
        </w:rPr>
        <w:t>877-545-0523</w:t>
      </w:r>
      <w:r w:rsidR="00AF4D95">
        <w:rPr>
          <w:rFonts w:ascii="Times New Roman" w:hAnsi="Times New Roman" w:cs="Times New Roman"/>
          <w:sz w:val="20"/>
          <w:szCs w:val="20"/>
        </w:rPr>
        <w:t xml:space="preserve"> </w:t>
      </w:r>
      <w:r w:rsidRPr="00AF4D95">
        <w:rPr>
          <w:rFonts w:ascii="Times New Roman" w:hAnsi="Times New Roman" w:cs="Times New Roman"/>
          <w:sz w:val="20"/>
          <w:szCs w:val="20"/>
        </w:rPr>
        <w:t xml:space="preserve">(access code: </w:t>
      </w:r>
      <w:r w:rsidR="00AF4D95">
        <w:rPr>
          <w:rFonts w:ascii="Times New Roman" w:hAnsi="Times New Roman" w:cs="Times New Roman"/>
          <w:sz w:val="20"/>
          <w:szCs w:val="20"/>
        </w:rPr>
        <w:t>999464</w:t>
      </w:r>
      <w:r w:rsidRPr="00AF4D95">
        <w:rPr>
          <w:rFonts w:ascii="Times New Roman" w:hAnsi="Times New Roman" w:cs="Times New Roman"/>
          <w:sz w:val="20"/>
          <w:szCs w:val="20"/>
        </w:rPr>
        <w:t>)</w:t>
      </w:r>
    </w:p>
    <w:p w14:paraId="42EF2D50" w14:textId="77777777" w:rsidR="00832B73" w:rsidRPr="00AF4D95" w:rsidRDefault="00832B73" w:rsidP="00AF4D95">
      <w:pPr>
        <w:pStyle w:val="NoSpacing"/>
        <w:rPr>
          <w:rFonts w:ascii="Times New Roman" w:hAnsi="Times New Roman" w:cs="Times New Roman"/>
          <w:sz w:val="20"/>
          <w:szCs w:val="20"/>
        </w:rPr>
      </w:pPr>
      <w:r w:rsidRPr="00AF4D95">
        <w:rPr>
          <w:rFonts w:ascii="Times New Roman" w:hAnsi="Times New Roman" w:cs="Times New Roman"/>
          <w:sz w:val="20"/>
          <w:szCs w:val="20"/>
        </w:rPr>
        <w:t>International call-in number:      973-528-001</w:t>
      </w:r>
      <w:r w:rsidR="00AF4D95">
        <w:rPr>
          <w:rFonts w:ascii="Times New Roman" w:hAnsi="Times New Roman" w:cs="Times New Roman"/>
          <w:sz w:val="20"/>
          <w:szCs w:val="20"/>
        </w:rPr>
        <w:t>6</w:t>
      </w:r>
      <w:r w:rsidRPr="00AF4D95">
        <w:rPr>
          <w:rFonts w:ascii="Times New Roman" w:hAnsi="Times New Roman" w:cs="Times New Roman"/>
          <w:sz w:val="20"/>
          <w:szCs w:val="20"/>
        </w:rPr>
        <w:t xml:space="preserve"> (access code: </w:t>
      </w:r>
      <w:r w:rsidR="00AF4D95">
        <w:rPr>
          <w:rFonts w:ascii="Times New Roman" w:hAnsi="Times New Roman" w:cs="Times New Roman"/>
          <w:sz w:val="20"/>
          <w:szCs w:val="20"/>
        </w:rPr>
        <w:t>999464</w:t>
      </w:r>
      <w:r w:rsidRPr="00AF4D95">
        <w:rPr>
          <w:rFonts w:ascii="Times New Roman" w:hAnsi="Times New Roman" w:cs="Times New Roman"/>
          <w:sz w:val="20"/>
          <w:szCs w:val="20"/>
        </w:rPr>
        <w:t>)</w:t>
      </w:r>
    </w:p>
    <w:p w14:paraId="6CAA2FE6" w14:textId="77777777" w:rsidR="00832B73" w:rsidRPr="00AF4D95" w:rsidRDefault="00832B73" w:rsidP="00832B73">
      <w:pPr>
        <w:pStyle w:val="NoSpacing"/>
        <w:rPr>
          <w:rFonts w:ascii="Times New Roman" w:hAnsi="Times New Roman" w:cs="Times New Roman"/>
          <w:sz w:val="20"/>
          <w:szCs w:val="20"/>
        </w:rPr>
      </w:pPr>
      <w:r w:rsidRPr="00AF4D95">
        <w:rPr>
          <w:rFonts w:ascii="Times New Roman" w:hAnsi="Times New Roman" w:cs="Times New Roman"/>
          <w:sz w:val="20"/>
          <w:szCs w:val="20"/>
        </w:rPr>
        <w:t>Replay numbers:                         877-481-4010 | 919-882-2331 (passcode: 5</w:t>
      </w:r>
      <w:r w:rsidR="00AF4D95">
        <w:rPr>
          <w:rFonts w:ascii="Times New Roman" w:hAnsi="Times New Roman" w:cs="Times New Roman"/>
          <w:sz w:val="20"/>
          <w:szCs w:val="20"/>
        </w:rPr>
        <w:t>1565</w:t>
      </w:r>
      <w:r w:rsidRPr="00AF4D95">
        <w:rPr>
          <w:rFonts w:ascii="Times New Roman" w:hAnsi="Times New Roman" w:cs="Times New Roman"/>
          <w:sz w:val="20"/>
          <w:szCs w:val="20"/>
        </w:rPr>
        <w:t>)</w:t>
      </w:r>
    </w:p>
    <w:p w14:paraId="57FC8297" w14:textId="77777777" w:rsidR="00832B73" w:rsidRPr="00AF4D95" w:rsidRDefault="00832B73" w:rsidP="00832B73">
      <w:pPr>
        <w:pStyle w:val="NoSpacing"/>
        <w:rPr>
          <w:rFonts w:ascii="Times New Roman" w:hAnsi="Times New Roman" w:cs="Times New Roman"/>
          <w:sz w:val="20"/>
          <w:szCs w:val="20"/>
        </w:rPr>
      </w:pPr>
      <w:r w:rsidRPr="00AF4D95">
        <w:rPr>
          <w:rFonts w:ascii="Times New Roman" w:hAnsi="Times New Roman" w:cs="Times New Roman"/>
          <w:sz w:val="20"/>
          <w:szCs w:val="20"/>
        </w:rPr>
        <w:t xml:space="preserve">Replay available until:                </w:t>
      </w:r>
      <w:r w:rsidR="00AF4D95">
        <w:rPr>
          <w:rFonts w:ascii="Times New Roman" w:hAnsi="Times New Roman" w:cs="Times New Roman"/>
          <w:sz w:val="20"/>
          <w:szCs w:val="20"/>
        </w:rPr>
        <w:t>February 14</w:t>
      </w:r>
      <w:r w:rsidRPr="00AF4D95">
        <w:rPr>
          <w:rFonts w:ascii="Times New Roman" w:hAnsi="Times New Roman" w:cs="Times New Roman"/>
          <w:sz w:val="20"/>
          <w:szCs w:val="20"/>
        </w:rPr>
        <w:t xml:space="preserve">, </w:t>
      </w:r>
      <w:proofErr w:type="gramStart"/>
      <w:r w:rsidRPr="00AF4D95">
        <w:rPr>
          <w:rFonts w:ascii="Times New Roman" w:hAnsi="Times New Roman" w:cs="Times New Roman"/>
          <w:sz w:val="20"/>
          <w:szCs w:val="20"/>
        </w:rPr>
        <w:t>202</w:t>
      </w:r>
      <w:r w:rsidR="00AF4D95">
        <w:rPr>
          <w:rFonts w:ascii="Times New Roman" w:hAnsi="Times New Roman" w:cs="Times New Roman"/>
          <w:sz w:val="20"/>
          <w:szCs w:val="20"/>
        </w:rPr>
        <w:t>5</w:t>
      </w:r>
      <w:proofErr w:type="gramEnd"/>
      <w:r w:rsidRPr="00AF4D95">
        <w:rPr>
          <w:rFonts w:ascii="Times New Roman" w:hAnsi="Times New Roman" w:cs="Times New Roman"/>
          <w:sz w:val="20"/>
          <w:szCs w:val="20"/>
        </w:rPr>
        <w:t xml:space="preserve"> at 8:30AM ET</w:t>
      </w:r>
    </w:p>
    <w:p w14:paraId="0D2AB466" w14:textId="77777777" w:rsidR="00AF4D95" w:rsidRPr="00AF4D95" w:rsidRDefault="00832B73" w:rsidP="00AF4D95">
      <w:pPr>
        <w:pStyle w:val="NoSpacing"/>
        <w:rPr>
          <w:rFonts w:ascii="Times New Roman" w:hAnsi="Times New Roman" w:cs="Times New Roman"/>
          <w:sz w:val="20"/>
          <w:szCs w:val="20"/>
        </w:rPr>
      </w:pPr>
      <w:r w:rsidRPr="00AF4D95">
        <w:rPr>
          <w:rFonts w:ascii="Times New Roman" w:hAnsi="Times New Roman" w:cs="Times New Roman"/>
          <w:sz w:val="20"/>
          <w:szCs w:val="20"/>
        </w:rPr>
        <w:t>Event link:</w:t>
      </w:r>
      <w:r w:rsidR="00AF4D95">
        <w:rPr>
          <w:rFonts w:ascii="Times New Roman" w:hAnsi="Times New Roman" w:cs="Times New Roman"/>
          <w:sz w:val="20"/>
          <w:szCs w:val="20"/>
        </w:rPr>
        <w:tab/>
      </w:r>
      <w:r w:rsidR="00AF4D95">
        <w:rPr>
          <w:rFonts w:ascii="Times New Roman" w:hAnsi="Times New Roman" w:cs="Times New Roman"/>
          <w:sz w:val="20"/>
          <w:szCs w:val="20"/>
        </w:rPr>
        <w:tab/>
        <w:t xml:space="preserve">         </w:t>
      </w:r>
      <w:r w:rsidR="00AF4D95" w:rsidRPr="00AF4D95">
        <w:rPr>
          <w:rFonts w:ascii="Times New Roman" w:hAnsi="Times New Roman" w:cs="Times New Roman"/>
          <w:sz w:val="20"/>
          <w:szCs w:val="20"/>
        </w:rPr>
        <w:t>https://www.webcaster4.com/Webcast/Page/2247/51565</w:t>
      </w:r>
    </w:p>
    <w:p w14:paraId="3A5762DB" w14:textId="77777777" w:rsidR="006D02DF" w:rsidRDefault="006D02DF" w:rsidP="00AF4D95">
      <w:pPr>
        <w:pStyle w:val="NoSpacing"/>
        <w:rPr>
          <w:rFonts w:ascii="Segoe UI" w:hAnsi="Segoe UI" w:cs="Segoe UI"/>
          <w:sz w:val="18"/>
          <w:szCs w:val="18"/>
        </w:rPr>
      </w:pPr>
    </w:p>
    <w:p w14:paraId="45782F12" w14:textId="77777777" w:rsidR="00B43B76" w:rsidRPr="00FB5AFF" w:rsidRDefault="00B43B76" w:rsidP="006D02DF">
      <w:pPr>
        <w:tabs>
          <w:tab w:val="left" w:pos="9270"/>
          <w:tab w:val="right" w:pos="9360"/>
        </w:tabs>
        <w:spacing w:after="0"/>
        <w:ind w:right="-120"/>
        <w:rPr>
          <w:rFonts w:ascii="Times New Roman" w:hAnsi="Times New Roman" w:cs="Times New Roman"/>
          <w:color w:val="2F373C"/>
          <w:sz w:val="20"/>
          <w:szCs w:val="20"/>
        </w:rPr>
      </w:pPr>
    </w:p>
    <w:p w14:paraId="2EB29244" w14:textId="77777777" w:rsidR="00B43B76" w:rsidRPr="00FB5AFF" w:rsidRDefault="00B43B76" w:rsidP="00B43B76">
      <w:pPr>
        <w:pStyle w:val="para"/>
        <w:tabs>
          <w:tab w:val="right" w:pos="9360"/>
        </w:tabs>
        <w:spacing w:after="0"/>
        <w:ind w:right="270"/>
        <w:jc w:val="left"/>
        <w:rPr>
          <w:sz w:val="20"/>
          <w:szCs w:val="20"/>
        </w:rPr>
      </w:pPr>
      <w:r w:rsidRPr="00FB5AFF">
        <w:rPr>
          <w:sz w:val="20"/>
          <w:szCs w:val="20"/>
        </w:rPr>
        <w:t xml:space="preserve">   </w:t>
      </w:r>
    </w:p>
    <w:p w14:paraId="13A2148C" w14:textId="77777777" w:rsidR="0063575B" w:rsidRPr="00016462" w:rsidRDefault="00B43B76" w:rsidP="00016462">
      <w:pPr>
        <w:widowControl w:val="0"/>
        <w:tabs>
          <w:tab w:val="right" w:pos="9360"/>
        </w:tabs>
        <w:jc w:val="both"/>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Other Important </w:t>
      </w:r>
      <w:r w:rsidRPr="00FB5AFF">
        <w:rPr>
          <w:rFonts w:ascii="Times New Roman" w:hAnsi="Times New Roman" w:cs="Times New Roman"/>
          <w:b/>
          <w:bCs/>
          <w:sz w:val="20"/>
          <w:szCs w:val="20"/>
          <w:u w:val="single"/>
        </w:rPr>
        <w:t>Information</w:t>
      </w:r>
      <w:r w:rsidR="0063575B" w:rsidRPr="00FB5AFF">
        <w:rPr>
          <w:rFonts w:ascii="Times New Roman" w:hAnsi="Times New Roman" w:cs="Times New Roman"/>
          <w:sz w:val="20"/>
          <w:szCs w:val="20"/>
        </w:rPr>
        <w:br w:type="page"/>
      </w:r>
    </w:p>
    <w:p w14:paraId="4BFAEA2B" w14:textId="77777777" w:rsidR="001252A5" w:rsidRPr="00FB5AFF" w:rsidRDefault="001252A5" w:rsidP="00FB5AFF">
      <w:pPr>
        <w:pStyle w:val="canvas-atom"/>
        <w:shd w:val="clear" w:color="auto" w:fill="FFFFFF" w:themeFill="background1"/>
        <w:tabs>
          <w:tab w:val="right" w:pos="9360"/>
        </w:tabs>
        <w:spacing w:before="0" w:beforeAutospacing="0" w:after="0" w:afterAutospacing="0"/>
        <w:jc w:val="both"/>
        <w:rPr>
          <w:sz w:val="20"/>
          <w:szCs w:val="20"/>
        </w:rPr>
      </w:pPr>
      <w:r w:rsidRPr="00FB5AFF">
        <w:rPr>
          <w:sz w:val="20"/>
          <w:szCs w:val="20"/>
        </w:rPr>
        <w:lastRenderedPageBreak/>
        <w:t xml:space="preserve">The table </w:t>
      </w:r>
      <w:r w:rsidR="00EF2757">
        <w:rPr>
          <w:sz w:val="20"/>
          <w:szCs w:val="20"/>
        </w:rPr>
        <w:t xml:space="preserve">below </w:t>
      </w:r>
      <w:r w:rsidRPr="00FB5AFF">
        <w:rPr>
          <w:sz w:val="20"/>
          <w:szCs w:val="20"/>
        </w:rPr>
        <w:t xml:space="preserve">presents our </w:t>
      </w:r>
      <w:r w:rsidR="005326FC">
        <w:rPr>
          <w:sz w:val="20"/>
          <w:szCs w:val="20"/>
        </w:rPr>
        <w:t xml:space="preserve">consolidated </w:t>
      </w:r>
      <w:r w:rsidRPr="00FB5AFF">
        <w:rPr>
          <w:sz w:val="20"/>
          <w:szCs w:val="20"/>
        </w:rPr>
        <w:t xml:space="preserve">results of operations for the </w:t>
      </w:r>
      <w:r w:rsidR="00F4381D">
        <w:rPr>
          <w:sz w:val="20"/>
          <w:szCs w:val="20"/>
        </w:rPr>
        <w:t>years</w:t>
      </w:r>
      <w:r w:rsidR="007517C2">
        <w:rPr>
          <w:sz w:val="20"/>
          <w:szCs w:val="20"/>
        </w:rPr>
        <w:t xml:space="preserve"> ended </w:t>
      </w:r>
      <w:r w:rsidR="00F4381D">
        <w:rPr>
          <w:sz w:val="20"/>
          <w:szCs w:val="20"/>
        </w:rPr>
        <w:t>August</w:t>
      </w:r>
      <w:r w:rsidR="00AF478E">
        <w:rPr>
          <w:sz w:val="20"/>
          <w:szCs w:val="20"/>
        </w:rPr>
        <w:t xml:space="preserve"> 31</w:t>
      </w:r>
      <w:r w:rsidR="005326FC">
        <w:rPr>
          <w:sz w:val="20"/>
          <w:szCs w:val="20"/>
        </w:rPr>
        <w:t>,</w:t>
      </w:r>
      <w:r w:rsidR="007517C2">
        <w:rPr>
          <w:sz w:val="20"/>
          <w:szCs w:val="20"/>
        </w:rPr>
        <w:t xml:space="preserve"> </w:t>
      </w:r>
      <w:proofErr w:type="gramStart"/>
      <w:r w:rsidR="007517C2">
        <w:rPr>
          <w:sz w:val="20"/>
          <w:szCs w:val="20"/>
        </w:rPr>
        <w:t>202</w:t>
      </w:r>
      <w:r w:rsidR="000874FB">
        <w:rPr>
          <w:sz w:val="20"/>
          <w:szCs w:val="20"/>
        </w:rPr>
        <w:t>4</w:t>
      </w:r>
      <w:proofErr w:type="gramEnd"/>
      <w:r w:rsidR="007517C2">
        <w:rPr>
          <w:sz w:val="20"/>
          <w:szCs w:val="20"/>
        </w:rPr>
        <w:t xml:space="preserve"> and 202</w:t>
      </w:r>
      <w:r w:rsidR="000874FB">
        <w:rPr>
          <w:sz w:val="20"/>
          <w:szCs w:val="20"/>
        </w:rPr>
        <w:t>3</w:t>
      </w:r>
      <w:r w:rsidRPr="00FB5AFF">
        <w:rPr>
          <w:sz w:val="20"/>
          <w:szCs w:val="20"/>
        </w:rPr>
        <w:t xml:space="preserve">: </w:t>
      </w:r>
    </w:p>
    <w:p w14:paraId="73F64D02" w14:textId="77777777" w:rsidR="0063575B" w:rsidRPr="00FB5AFF" w:rsidRDefault="001252A5" w:rsidP="00FB5AFF">
      <w:pPr>
        <w:pStyle w:val="canvas-atom"/>
        <w:shd w:val="clear" w:color="auto" w:fill="FFFFFF" w:themeFill="background1"/>
        <w:tabs>
          <w:tab w:val="right" w:pos="9360"/>
        </w:tabs>
        <w:spacing w:before="0" w:beforeAutospacing="0" w:after="0" w:afterAutospacing="0"/>
        <w:jc w:val="both"/>
        <w:rPr>
          <w:rStyle w:val="Strong"/>
          <w:sz w:val="20"/>
          <w:szCs w:val="20"/>
        </w:rPr>
      </w:pPr>
      <w:r w:rsidRPr="00FB5AFF">
        <w:rPr>
          <w:rStyle w:val="Strong"/>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0"/>
        <w:gridCol w:w="195"/>
        <w:gridCol w:w="185"/>
        <w:gridCol w:w="1520"/>
        <w:gridCol w:w="185"/>
        <w:gridCol w:w="185"/>
        <w:gridCol w:w="1520"/>
      </w:tblGrid>
      <w:tr w:rsidR="00FE2562" w14:paraId="5325BFD8" w14:textId="77777777" w:rsidTr="00FE2562">
        <w:trPr>
          <w:trHeight w:hRule="exact" w:val="20"/>
        </w:trPr>
        <w:tc>
          <w:tcPr>
            <w:tcW w:w="2935" w:type="pct"/>
            <w:tcBorders>
              <w:top w:val="nil"/>
              <w:left w:val="nil"/>
              <w:bottom w:val="nil"/>
              <w:right w:val="nil"/>
            </w:tcBorders>
            <w:vAlign w:val="bottom"/>
          </w:tcPr>
          <w:p w14:paraId="4AF53A51" w14:textId="77777777" w:rsidR="00FE2562" w:rsidRDefault="00FE2562" w:rsidP="00FE2562">
            <w:pPr>
              <w:keepNext/>
              <w:spacing w:before="1" w:after="1"/>
              <w:rPr>
                <w:sz w:val="2"/>
              </w:rPr>
            </w:pPr>
          </w:p>
        </w:tc>
        <w:tc>
          <w:tcPr>
            <w:tcW w:w="106" w:type="pct"/>
            <w:tcBorders>
              <w:top w:val="nil"/>
              <w:left w:val="nil"/>
              <w:bottom w:val="nil"/>
              <w:right w:val="nil"/>
            </w:tcBorders>
            <w:noWrap/>
            <w:vAlign w:val="bottom"/>
          </w:tcPr>
          <w:p w14:paraId="3CCB012E" w14:textId="77777777" w:rsidR="00FE2562" w:rsidRDefault="00FE2562" w:rsidP="00FE2562">
            <w:pPr>
              <w:keepNext/>
              <w:spacing w:before="1" w:after="1"/>
              <w:rPr>
                <w:sz w:val="2"/>
              </w:rPr>
            </w:pPr>
          </w:p>
        </w:tc>
        <w:tc>
          <w:tcPr>
            <w:tcW w:w="101" w:type="pct"/>
            <w:tcBorders>
              <w:top w:val="nil"/>
              <w:left w:val="nil"/>
              <w:bottom w:val="nil"/>
              <w:right w:val="nil"/>
            </w:tcBorders>
            <w:noWrap/>
            <w:vAlign w:val="bottom"/>
          </w:tcPr>
          <w:p w14:paraId="52F90DB0" w14:textId="77777777" w:rsidR="00FE2562" w:rsidRDefault="00FE2562" w:rsidP="00FE2562">
            <w:pPr>
              <w:keepNext/>
              <w:spacing w:before="1" w:after="1"/>
              <w:rPr>
                <w:sz w:val="2"/>
              </w:rPr>
            </w:pPr>
          </w:p>
        </w:tc>
        <w:tc>
          <w:tcPr>
            <w:tcW w:w="828" w:type="pct"/>
            <w:tcBorders>
              <w:top w:val="nil"/>
              <w:left w:val="nil"/>
              <w:bottom w:val="nil"/>
              <w:right w:val="nil"/>
            </w:tcBorders>
            <w:noWrap/>
            <w:vAlign w:val="bottom"/>
          </w:tcPr>
          <w:p w14:paraId="378EF9D2" w14:textId="77777777" w:rsidR="00FE2562" w:rsidRDefault="00FE2562" w:rsidP="00FE2562">
            <w:pPr>
              <w:keepNext/>
              <w:spacing w:before="1" w:after="1"/>
              <w:rPr>
                <w:sz w:val="2"/>
              </w:rPr>
            </w:pPr>
          </w:p>
        </w:tc>
        <w:tc>
          <w:tcPr>
            <w:tcW w:w="101" w:type="pct"/>
            <w:tcBorders>
              <w:top w:val="nil"/>
              <w:left w:val="nil"/>
              <w:bottom w:val="nil"/>
              <w:right w:val="nil"/>
            </w:tcBorders>
            <w:noWrap/>
            <w:vAlign w:val="bottom"/>
          </w:tcPr>
          <w:p w14:paraId="0312C1D0" w14:textId="77777777" w:rsidR="00FE2562" w:rsidRDefault="00FE2562" w:rsidP="00FE2562">
            <w:pPr>
              <w:keepNext/>
              <w:spacing w:before="1" w:after="1"/>
              <w:rPr>
                <w:sz w:val="2"/>
              </w:rPr>
            </w:pPr>
          </w:p>
        </w:tc>
        <w:tc>
          <w:tcPr>
            <w:tcW w:w="101" w:type="pct"/>
            <w:tcBorders>
              <w:top w:val="nil"/>
              <w:left w:val="nil"/>
              <w:bottom w:val="nil"/>
              <w:right w:val="nil"/>
            </w:tcBorders>
            <w:noWrap/>
            <w:vAlign w:val="bottom"/>
          </w:tcPr>
          <w:p w14:paraId="01A1F7D9" w14:textId="77777777" w:rsidR="00FE2562" w:rsidRDefault="00FE2562" w:rsidP="00FE2562">
            <w:pPr>
              <w:keepNext/>
              <w:spacing w:before="1" w:after="1"/>
              <w:rPr>
                <w:sz w:val="2"/>
              </w:rPr>
            </w:pPr>
          </w:p>
        </w:tc>
        <w:tc>
          <w:tcPr>
            <w:tcW w:w="828" w:type="pct"/>
            <w:tcBorders>
              <w:top w:val="nil"/>
              <w:left w:val="nil"/>
              <w:bottom w:val="nil"/>
              <w:right w:val="nil"/>
            </w:tcBorders>
            <w:noWrap/>
            <w:vAlign w:val="bottom"/>
          </w:tcPr>
          <w:p w14:paraId="3DADE48D" w14:textId="77777777" w:rsidR="00FE2562" w:rsidRDefault="00FE2562" w:rsidP="00FE2562">
            <w:pPr>
              <w:keepNext/>
              <w:spacing w:before="1" w:after="1"/>
              <w:rPr>
                <w:sz w:val="2"/>
              </w:rPr>
            </w:pPr>
          </w:p>
        </w:tc>
      </w:tr>
      <w:tr w:rsidR="00FE2562" w14:paraId="7F52B754" w14:textId="77777777" w:rsidTr="00FE2562">
        <w:tc>
          <w:tcPr>
            <w:tcW w:w="2935" w:type="pct"/>
            <w:tcBorders>
              <w:top w:val="nil"/>
              <w:left w:val="nil"/>
              <w:bottom w:val="nil"/>
              <w:right w:val="nil"/>
              <w:tl2br w:val="nil"/>
              <w:tr2bl w:val="nil"/>
            </w:tcBorders>
            <w:shd w:val="clear" w:color="auto" w:fill="auto"/>
            <w:vAlign w:val="bottom"/>
          </w:tcPr>
          <w:p w14:paraId="6A3DAB44" w14:textId="77777777" w:rsidR="00FE2562" w:rsidRDefault="00FE2562" w:rsidP="00FE2562">
            <w:pPr>
              <w:spacing w:before="1" w:after="1"/>
              <w:rPr>
                <w:color w:val="000000"/>
                <w:sz w:val="18"/>
              </w:rPr>
            </w:pPr>
          </w:p>
        </w:tc>
        <w:tc>
          <w:tcPr>
            <w:tcW w:w="106" w:type="pct"/>
            <w:tcBorders>
              <w:top w:val="nil"/>
              <w:left w:val="nil"/>
              <w:bottom w:val="nil"/>
              <w:right w:val="nil"/>
              <w:tl2br w:val="nil"/>
              <w:tr2bl w:val="nil"/>
            </w:tcBorders>
            <w:shd w:val="clear" w:color="auto" w:fill="auto"/>
            <w:noWrap/>
            <w:vAlign w:val="bottom"/>
          </w:tcPr>
          <w:p w14:paraId="5AE03BD3" w14:textId="77777777" w:rsidR="00FE2562" w:rsidRDefault="00FE2562" w:rsidP="00FE2562">
            <w:pPr>
              <w:spacing w:before="1" w:after="1"/>
              <w:jc w:val="center"/>
              <w:rPr>
                <w:b/>
                <w:color w:val="000000"/>
                <w:sz w:val="18"/>
              </w:rPr>
            </w:pPr>
          </w:p>
        </w:tc>
        <w:tc>
          <w:tcPr>
            <w:tcW w:w="1959" w:type="pct"/>
            <w:gridSpan w:val="5"/>
            <w:tcBorders>
              <w:top w:val="nil"/>
              <w:left w:val="nil"/>
              <w:bottom w:val="single" w:sz="4" w:space="0" w:color="000000"/>
              <w:right w:val="nil"/>
              <w:tl2br w:val="nil"/>
              <w:tr2bl w:val="nil"/>
            </w:tcBorders>
            <w:shd w:val="clear" w:color="auto" w:fill="auto"/>
            <w:noWrap/>
            <w:vAlign w:val="bottom"/>
          </w:tcPr>
          <w:p w14:paraId="6763EB9C" w14:textId="77777777" w:rsidR="00FE2562" w:rsidRDefault="00FE2562" w:rsidP="00FE2562">
            <w:pPr>
              <w:spacing w:before="1" w:after="1"/>
              <w:jc w:val="center"/>
              <w:rPr>
                <w:b/>
                <w:color w:val="000000"/>
                <w:sz w:val="18"/>
              </w:rPr>
            </w:pPr>
            <w:r>
              <w:rPr>
                <w:rFonts w:ascii="Times New Roman" w:eastAsia="Times New Roman" w:hAnsi="Times New Roman" w:cs="Times New Roman"/>
                <w:b/>
                <w:color w:val="000000"/>
                <w:sz w:val="18"/>
              </w:rPr>
              <w:t xml:space="preserve">Year Ended </w:t>
            </w:r>
          </w:p>
        </w:tc>
      </w:tr>
      <w:tr w:rsidR="00FE2562" w14:paraId="36F03383" w14:textId="77777777" w:rsidTr="00FE2562">
        <w:tc>
          <w:tcPr>
            <w:tcW w:w="2935" w:type="pct"/>
            <w:tcBorders>
              <w:top w:val="nil"/>
              <w:left w:val="nil"/>
              <w:bottom w:val="nil"/>
              <w:right w:val="nil"/>
              <w:tl2br w:val="nil"/>
              <w:tr2bl w:val="nil"/>
            </w:tcBorders>
            <w:shd w:val="clear" w:color="auto" w:fill="auto"/>
            <w:vAlign w:val="bottom"/>
          </w:tcPr>
          <w:p w14:paraId="235014CB" w14:textId="77777777" w:rsidR="00FE2562" w:rsidRDefault="00FE2562" w:rsidP="00FE2562">
            <w:pPr>
              <w:spacing w:before="1" w:after="1"/>
              <w:rPr>
                <w:i/>
                <w:color w:val="000000"/>
                <w:sz w:val="18"/>
              </w:rPr>
            </w:pPr>
            <w:r>
              <w:rPr>
                <w:rFonts w:ascii="Times New Roman" w:eastAsia="Times New Roman" w:hAnsi="Times New Roman" w:cs="Times New Roman"/>
                <w:i/>
                <w:color w:val="000000"/>
                <w:sz w:val="18"/>
              </w:rPr>
              <w:t>(In thousands, except share information)</w:t>
            </w:r>
          </w:p>
        </w:tc>
        <w:tc>
          <w:tcPr>
            <w:tcW w:w="106" w:type="pct"/>
            <w:tcBorders>
              <w:top w:val="nil"/>
              <w:left w:val="nil"/>
              <w:bottom w:val="nil"/>
              <w:right w:val="nil"/>
              <w:tl2br w:val="nil"/>
              <w:tr2bl w:val="nil"/>
            </w:tcBorders>
            <w:shd w:val="clear" w:color="auto" w:fill="auto"/>
            <w:noWrap/>
            <w:vAlign w:val="bottom"/>
          </w:tcPr>
          <w:p w14:paraId="523A6C36" w14:textId="77777777" w:rsidR="00FE2562" w:rsidRDefault="00FE2562" w:rsidP="00FE2562">
            <w:pPr>
              <w:spacing w:before="1" w:after="1"/>
              <w:jc w:val="center"/>
              <w:rPr>
                <w:b/>
                <w:color w:val="000000"/>
                <w:sz w:val="18"/>
              </w:rPr>
            </w:pPr>
            <w:r>
              <w:rPr>
                <w:rFonts w:ascii="Times New Roman" w:eastAsia="Times New Roman" w:hAnsi="Times New Roman" w:cs="Times New Roman"/>
                <w:b/>
                <w:color w:val="000000"/>
                <w:sz w:val="18"/>
              </w:rPr>
              <w:t>    </w:t>
            </w:r>
          </w:p>
        </w:tc>
        <w:tc>
          <w:tcPr>
            <w:tcW w:w="929" w:type="pct"/>
            <w:gridSpan w:val="2"/>
            <w:tcBorders>
              <w:top w:val="nil"/>
              <w:left w:val="nil"/>
              <w:bottom w:val="single" w:sz="4" w:space="0" w:color="000000"/>
              <w:right w:val="nil"/>
              <w:tl2br w:val="nil"/>
              <w:tr2bl w:val="nil"/>
            </w:tcBorders>
            <w:shd w:val="clear" w:color="auto" w:fill="auto"/>
            <w:noWrap/>
            <w:vAlign w:val="bottom"/>
          </w:tcPr>
          <w:p w14:paraId="265643DD" w14:textId="77777777" w:rsidR="00FE2562" w:rsidRDefault="00FE2562" w:rsidP="00FE2562">
            <w:pPr>
              <w:spacing w:before="1" w:after="1"/>
              <w:jc w:val="center"/>
              <w:rPr>
                <w:b/>
                <w:color w:val="000000"/>
                <w:sz w:val="18"/>
              </w:rPr>
            </w:pPr>
            <w:r>
              <w:rPr>
                <w:rFonts w:ascii="Times New Roman" w:eastAsia="Times New Roman" w:hAnsi="Times New Roman" w:cs="Times New Roman"/>
                <w:b/>
                <w:color w:val="000000"/>
                <w:sz w:val="18"/>
              </w:rPr>
              <w:t>August 31, 2024</w:t>
            </w:r>
          </w:p>
        </w:tc>
        <w:tc>
          <w:tcPr>
            <w:tcW w:w="101" w:type="pct"/>
            <w:tcBorders>
              <w:top w:val="nil"/>
              <w:left w:val="nil"/>
              <w:bottom w:val="nil"/>
              <w:right w:val="nil"/>
              <w:tl2br w:val="nil"/>
              <w:tr2bl w:val="nil"/>
            </w:tcBorders>
            <w:shd w:val="clear" w:color="auto" w:fill="auto"/>
            <w:noWrap/>
            <w:vAlign w:val="bottom"/>
          </w:tcPr>
          <w:p w14:paraId="56762C82" w14:textId="77777777" w:rsidR="00FE2562" w:rsidRDefault="00FE2562" w:rsidP="00FE2562">
            <w:pPr>
              <w:spacing w:before="1" w:after="1"/>
              <w:jc w:val="center"/>
              <w:rPr>
                <w:b/>
                <w:color w:val="000000"/>
                <w:sz w:val="18"/>
              </w:rPr>
            </w:pPr>
            <w:r>
              <w:rPr>
                <w:rFonts w:ascii="Times New Roman" w:eastAsia="Times New Roman" w:hAnsi="Times New Roman" w:cs="Times New Roman"/>
                <w:b/>
                <w:color w:val="000000"/>
                <w:sz w:val="18"/>
              </w:rPr>
              <w:t>    </w:t>
            </w:r>
          </w:p>
        </w:tc>
        <w:tc>
          <w:tcPr>
            <w:tcW w:w="929" w:type="pct"/>
            <w:gridSpan w:val="2"/>
            <w:tcBorders>
              <w:top w:val="nil"/>
              <w:left w:val="nil"/>
              <w:bottom w:val="single" w:sz="4" w:space="0" w:color="000000"/>
              <w:right w:val="nil"/>
              <w:tl2br w:val="nil"/>
              <w:tr2bl w:val="nil"/>
            </w:tcBorders>
            <w:shd w:val="clear" w:color="auto" w:fill="auto"/>
            <w:noWrap/>
            <w:vAlign w:val="bottom"/>
          </w:tcPr>
          <w:p w14:paraId="0E964C0C" w14:textId="77777777" w:rsidR="00FE2562" w:rsidRDefault="00FE2562" w:rsidP="00FE2562">
            <w:pPr>
              <w:spacing w:before="1" w:after="1"/>
              <w:jc w:val="center"/>
              <w:rPr>
                <w:b/>
                <w:color w:val="000000"/>
                <w:sz w:val="18"/>
              </w:rPr>
            </w:pPr>
            <w:r>
              <w:rPr>
                <w:rFonts w:ascii="Times New Roman" w:eastAsia="Times New Roman" w:hAnsi="Times New Roman" w:cs="Times New Roman"/>
                <w:b/>
                <w:color w:val="000000"/>
                <w:sz w:val="18"/>
              </w:rPr>
              <w:t>August 31, 2023</w:t>
            </w:r>
          </w:p>
        </w:tc>
      </w:tr>
      <w:tr w:rsidR="00FE2562" w14:paraId="3C9A7E20" w14:textId="77777777" w:rsidTr="00FE2562">
        <w:tc>
          <w:tcPr>
            <w:tcW w:w="2935" w:type="pct"/>
            <w:tcBorders>
              <w:top w:val="nil"/>
              <w:left w:val="nil"/>
              <w:bottom w:val="nil"/>
              <w:right w:val="nil"/>
              <w:tl2br w:val="nil"/>
              <w:tr2bl w:val="nil"/>
            </w:tcBorders>
            <w:shd w:val="clear" w:color="auto" w:fill="auto"/>
            <w:vAlign w:val="bottom"/>
          </w:tcPr>
          <w:p w14:paraId="37F5098C"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Revenues:</w:t>
            </w:r>
          </w:p>
        </w:tc>
        <w:tc>
          <w:tcPr>
            <w:tcW w:w="106" w:type="pct"/>
            <w:tcBorders>
              <w:top w:val="nil"/>
              <w:left w:val="nil"/>
              <w:bottom w:val="nil"/>
              <w:right w:val="nil"/>
              <w:tl2br w:val="nil"/>
              <w:tr2bl w:val="nil"/>
            </w:tcBorders>
            <w:shd w:val="clear" w:color="auto" w:fill="auto"/>
            <w:noWrap/>
            <w:vAlign w:val="bottom"/>
          </w:tcPr>
          <w:p w14:paraId="4E7C1B59"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101" w:type="pct"/>
            <w:tcBorders>
              <w:top w:val="nil"/>
              <w:left w:val="nil"/>
              <w:bottom w:val="nil"/>
              <w:right w:val="nil"/>
              <w:tl2br w:val="nil"/>
              <w:tr2bl w:val="nil"/>
            </w:tcBorders>
            <w:shd w:val="clear" w:color="auto" w:fill="auto"/>
            <w:noWrap/>
            <w:vAlign w:val="bottom"/>
          </w:tcPr>
          <w:p w14:paraId="0A31F6DC"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39D7FB03" w14:textId="77777777" w:rsidR="00FE2562" w:rsidRDefault="00FE2562" w:rsidP="00FE2562">
            <w:pPr>
              <w:spacing w:before="1" w:after="1"/>
              <w:jc w:val="right"/>
              <w:rPr>
                <w:color w:val="000000"/>
                <w:sz w:val="18"/>
              </w:rPr>
            </w:pPr>
            <w:r>
              <w:rPr>
                <w:rFonts w:ascii="Times New Roman" w:eastAsia="Times New Roman" w:hAnsi="Times New Roman" w:cs="Times New Roman"/>
                <w:color w:val="000000"/>
                <w:sz w:val="18"/>
              </w:rPr>
              <w:t>  </w:t>
            </w:r>
          </w:p>
        </w:tc>
        <w:tc>
          <w:tcPr>
            <w:tcW w:w="101" w:type="pct"/>
            <w:tcBorders>
              <w:top w:val="nil"/>
              <w:left w:val="nil"/>
              <w:bottom w:val="nil"/>
              <w:right w:val="nil"/>
              <w:tl2br w:val="nil"/>
              <w:tr2bl w:val="nil"/>
            </w:tcBorders>
            <w:shd w:val="clear" w:color="auto" w:fill="auto"/>
            <w:noWrap/>
            <w:vAlign w:val="bottom"/>
          </w:tcPr>
          <w:p w14:paraId="2DC5788F"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101" w:type="pct"/>
            <w:tcBorders>
              <w:top w:val="nil"/>
              <w:left w:val="nil"/>
              <w:bottom w:val="nil"/>
              <w:right w:val="nil"/>
              <w:tl2br w:val="nil"/>
              <w:tr2bl w:val="nil"/>
            </w:tcBorders>
            <w:shd w:val="clear" w:color="auto" w:fill="auto"/>
            <w:noWrap/>
            <w:vAlign w:val="bottom"/>
          </w:tcPr>
          <w:p w14:paraId="0BAED0F5"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4C92F3A9" w14:textId="77777777" w:rsidR="00FE2562" w:rsidRDefault="00FE2562" w:rsidP="00FE2562">
            <w:pPr>
              <w:spacing w:before="1" w:after="1"/>
              <w:jc w:val="right"/>
              <w:rPr>
                <w:color w:val="000000"/>
                <w:sz w:val="18"/>
              </w:rPr>
            </w:pPr>
            <w:r>
              <w:rPr>
                <w:rFonts w:ascii="Times New Roman" w:eastAsia="Times New Roman" w:hAnsi="Times New Roman" w:cs="Times New Roman"/>
                <w:color w:val="000000"/>
                <w:sz w:val="18"/>
              </w:rPr>
              <w:t>  </w:t>
            </w:r>
          </w:p>
        </w:tc>
      </w:tr>
      <w:tr w:rsidR="00FE2562" w14:paraId="70618E81" w14:textId="77777777" w:rsidTr="00FE2562">
        <w:tc>
          <w:tcPr>
            <w:tcW w:w="2935" w:type="pct"/>
            <w:tcBorders>
              <w:top w:val="nil"/>
              <w:left w:val="nil"/>
              <w:bottom w:val="nil"/>
              <w:right w:val="nil"/>
              <w:tl2br w:val="nil"/>
              <w:tr2bl w:val="nil"/>
            </w:tcBorders>
            <w:shd w:val="clear" w:color="auto" w:fill="auto"/>
            <w:vAlign w:val="bottom"/>
          </w:tcPr>
          <w:p w14:paraId="0DE56267"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 xml:space="preserve">Metered water usage from: </w:t>
            </w:r>
          </w:p>
        </w:tc>
        <w:tc>
          <w:tcPr>
            <w:tcW w:w="106" w:type="pct"/>
            <w:tcBorders>
              <w:top w:val="nil"/>
              <w:left w:val="nil"/>
              <w:bottom w:val="nil"/>
              <w:right w:val="nil"/>
              <w:tl2br w:val="nil"/>
              <w:tr2bl w:val="nil"/>
            </w:tcBorders>
            <w:shd w:val="clear" w:color="auto" w:fill="auto"/>
            <w:noWrap/>
            <w:vAlign w:val="bottom"/>
          </w:tcPr>
          <w:p w14:paraId="33FCB58D"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00CDBB8B"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6FA06463"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77382033"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3F384208"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6C4A1055" w14:textId="77777777" w:rsidR="00FE2562" w:rsidRDefault="00FE2562" w:rsidP="00FE2562">
            <w:pPr>
              <w:spacing w:before="1" w:after="1"/>
              <w:rPr>
                <w:color w:val="000000"/>
                <w:sz w:val="18"/>
              </w:rPr>
            </w:pPr>
          </w:p>
        </w:tc>
      </w:tr>
      <w:tr w:rsidR="00FE2562" w14:paraId="6F160D87" w14:textId="77777777" w:rsidTr="00FE2562">
        <w:tc>
          <w:tcPr>
            <w:tcW w:w="2935" w:type="pct"/>
            <w:tcBorders>
              <w:top w:val="nil"/>
              <w:left w:val="nil"/>
              <w:bottom w:val="nil"/>
              <w:right w:val="nil"/>
              <w:tl2br w:val="nil"/>
              <w:tr2bl w:val="nil"/>
            </w:tcBorders>
            <w:shd w:val="clear" w:color="auto" w:fill="auto"/>
            <w:vAlign w:val="bottom"/>
          </w:tcPr>
          <w:p w14:paraId="69A4CDFE" w14:textId="77777777" w:rsidR="00FE2562" w:rsidRDefault="00FE2562" w:rsidP="00FE2562">
            <w:pPr>
              <w:spacing w:before="1" w:after="1"/>
              <w:ind w:left="240"/>
              <w:rPr>
                <w:color w:val="000000"/>
                <w:sz w:val="18"/>
              </w:rPr>
            </w:pPr>
            <w:r>
              <w:rPr>
                <w:rFonts w:ascii="Times New Roman" w:eastAsia="Times New Roman" w:hAnsi="Times New Roman" w:cs="Times New Roman"/>
                <w:color w:val="000000"/>
                <w:sz w:val="18"/>
              </w:rPr>
              <w:t>Municipal customers</w:t>
            </w:r>
          </w:p>
        </w:tc>
        <w:tc>
          <w:tcPr>
            <w:tcW w:w="106" w:type="pct"/>
            <w:tcBorders>
              <w:top w:val="nil"/>
              <w:left w:val="nil"/>
              <w:bottom w:val="nil"/>
              <w:right w:val="nil"/>
              <w:tl2br w:val="nil"/>
              <w:tr2bl w:val="nil"/>
            </w:tcBorders>
            <w:shd w:val="clear" w:color="auto" w:fill="auto"/>
            <w:noWrap/>
            <w:vAlign w:val="bottom"/>
          </w:tcPr>
          <w:p w14:paraId="727F6F19"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DD60C84"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w:t>
            </w:r>
          </w:p>
        </w:tc>
        <w:tc>
          <w:tcPr>
            <w:tcW w:w="828" w:type="pct"/>
            <w:tcBorders>
              <w:top w:val="nil"/>
              <w:left w:val="nil"/>
              <w:bottom w:val="nil"/>
              <w:right w:val="nil"/>
              <w:tl2br w:val="nil"/>
              <w:tr2bl w:val="nil"/>
            </w:tcBorders>
            <w:shd w:val="clear" w:color="auto" w:fill="auto"/>
            <w:noWrap/>
            <w:vAlign w:val="bottom"/>
          </w:tcPr>
          <w:p w14:paraId="37AAF64D"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788</w:t>
            </w:r>
          </w:p>
        </w:tc>
        <w:tc>
          <w:tcPr>
            <w:tcW w:w="101" w:type="pct"/>
            <w:tcBorders>
              <w:top w:val="nil"/>
              <w:left w:val="nil"/>
              <w:bottom w:val="nil"/>
              <w:right w:val="nil"/>
              <w:tl2br w:val="nil"/>
              <w:tr2bl w:val="nil"/>
            </w:tcBorders>
            <w:shd w:val="clear" w:color="auto" w:fill="auto"/>
            <w:noWrap/>
            <w:vAlign w:val="bottom"/>
          </w:tcPr>
          <w:p w14:paraId="34B7B35A"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06685333"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w:t>
            </w:r>
          </w:p>
        </w:tc>
        <w:tc>
          <w:tcPr>
            <w:tcW w:w="828" w:type="pct"/>
            <w:tcBorders>
              <w:top w:val="nil"/>
              <w:left w:val="nil"/>
              <w:bottom w:val="nil"/>
              <w:right w:val="nil"/>
              <w:tl2br w:val="nil"/>
              <w:tr2bl w:val="nil"/>
            </w:tcBorders>
            <w:shd w:val="clear" w:color="auto" w:fill="auto"/>
            <w:noWrap/>
            <w:vAlign w:val="bottom"/>
          </w:tcPr>
          <w:p w14:paraId="6B4C7449"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504</w:t>
            </w:r>
          </w:p>
        </w:tc>
      </w:tr>
      <w:tr w:rsidR="00FE2562" w14:paraId="2B092542" w14:textId="77777777" w:rsidTr="00FE2562">
        <w:tc>
          <w:tcPr>
            <w:tcW w:w="2935" w:type="pct"/>
            <w:tcBorders>
              <w:top w:val="nil"/>
              <w:left w:val="nil"/>
              <w:bottom w:val="nil"/>
              <w:right w:val="nil"/>
              <w:tl2br w:val="nil"/>
              <w:tr2bl w:val="nil"/>
            </w:tcBorders>
            <w:shd w:val="clear" w:color="auto" w:fill="auto"/>
            <w:vAlign w:val="bottom"/>
          </w:tcPr>
          <w:p w14:paraId="3C11DB5F" w14:textId="77777777" w:rsidR="00FE2562" w:rsidRDefault="00FE2562" w:rsidP="00FE2562">
            <w:pPr>
              <w:spacing w:before="1" w:after="1"/>
              <w:ind w:left="240"/>
              <w:rPr>
                <w:color w:val="000000"/>
                <w:sz w:val="18"/>
              </w:rPr>
            </w:pPr>
            <w:r>
              <w:rPr>
                <w:rFonts w:ascii="Times New Roman" w:eastAsia="Times New Roman" w:hAnsi="Times New Roman" w:cs="Times New Roman"/>
                <w:color w:val="000000"/>
                <w:sz w:val="18"/>
              </w:rPr>
              <w:t>Commercial customers</w:t>
            </w:r>
          </w:p>
        </w:tc>
        <w:tc>
          <w:tcPr>
            <w:tcW w:w="106" w:type="pct"/>
            <w:tcBorders>
              <w:top w:val="nil"/>
              <w:left w:val="nil"/>
              <w:bottom w:val="nil"/>
              <w:right w:val="nil"/>
              <w:tl2br w:val="nil"/>
              <w:tr2bl w:val="nil"/>
            </w:tcBorders>
            <w:shd w:val="clear" w:color="auto" w:fill="auto"/>
            <w:noWrap/>
            <w:vAlign w:val="bottom"/>
          </w:tcPr>
          <w:p w14:paraId="14199193"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33F26183"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74939F66"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6,095</w:t>
            </w:r>
          </w:p>
        </w:tc>
        <w:tc>
          <w:tcPr>
            <w:tcW w:w="101" w:type="pct"/>
            <w:tcBorders>
              <w:top w:val="nil"/>
              <w:left w:val="nil"/>
              <w:bottom w:val="nil"/>
              <w:right w:val="nil"/>
              <w:tl2br w:val="nil"/>
              <w:tr2bl w:val="nil"/>
            </w:tcBorders>
            <w:shd w:val="clear" w:color="auto" w:fill="auto"/>
            <w:noWrap/>
            <w:vAlign w:val="bottom"/>
          </w:tcPr>
          <w:p w14:paraId="5E5710D3"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4D2D69C2"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623F2206"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3,059</w:t>
            </w:r>
          </w:p>
        </w:tc>
      </w:tr>
      <w:tr w:rsidR="00FE2562" w14:paraId="2725ADFC" w14:textId="77777777" w:rsidTr="00FE2562">
        <w:tc>
          <w:tcPr>
            <w:tcW w:w="2935" w:type="pct"/>
            <w:tcBorders>
              <w:top w:val="nil"/>
              <w:left w:val="nil"/>
              <w:bottom w:val="nil"/>
              <w:right w:val="nil"/>
              <w:tl2br w:val="nil"/>
              <w:tr2bl w:val="nil"/>
            </w:tcBorders>
            <w:shd w:val="clear" w:color="auto" w:fill="auto"/>
            <w:vAlign w:val="center"/>
          </w:tcPr>
          <w:p w14:paraId="18E73018"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Wastewater treatment fees</w:t>
            </w:r>
          </w:p>
        </w:tc>
        <w:tc>
          <w:tcPr>
            <w:tcW w:w="106" w:type="pct"/>
            <w:tcBorders>
              <w:top w:val="nil"/>
              <w:left w:val="nil"/>
              <w:bottom w:val="nil"/>
              <w:right w:val="nil"/>
              <w:tl2br w:val="nil"/>
              <w:tr2bl w:val="nil"/>
            </w:tcBorders>
            <w:shd w:val="clear" w:color="auto" w:fill="auto"/>
            <w:noWrap/>
            <w:vAlign w:val="bottom"/>
          </w:tcPr>
          <w:p w14:paraId="782CB765"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684A41C"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0998C148"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343</w:t>
            </w:r>
          </w:p>
        </w:tc>
        <w:tc>
          <w:tcPr>
            <w:tcW w:w="101" w:type="pct"/>
            <w:tcBorders>
              <w:top w:val="nil"/>
              <w:left w:val="nil"/>
              <w:bottom w:val="nil"/>
              <w:right w:val="nil"/>
              <w:tl2br w:val="nil"/>
              <w:tr2bl w:val="nil"/>
            </w:tcBorders>
            <w:shd w:val="clear" w:color="auto" w:fill="auto"/>
            <w:noWrap/>
            <w:vAlign w:val="bottom"/>
          </w:tcPr>
          <w:p w14:paraId="443BAB57"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40290DAF"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01FECDB1"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302</w:t>
            </w:r>
          </w:p>
        </w:tc>
      </w:tr>
      <w:tr w:rsidR="00FE2562" w14:paraId="2508B857" w14:textId="77777777" w:rsidTr="00FE2562">
        <w:tc>
          <w:tcPr>
            <w:tcW w:w="2935" w:type="pct"/>
            <w:tcBorders>
              <w:top w:val="nil"/>
              <w:left w:val="nil"/>
              <w:bottom w:val="nil"/>
              <w:right w:val="nil"/>
              <w:tl2br w:val="nil"/>
              <w:tr2bl w:val="nil"/>
            </w:tcBorders>
            <w:shd w:val="clear" w:color="auto" w:fill="auto"/>
            <w:vAlign w:val="center"/>
          </w:tcPr>
          <w:p w14:paraId="6B90563E"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Water and wastewater tap fees</w:t>
            </w:r>
          </w:p>
        </w:tc>
        <w:tc>
          <w:tcPr>
            <w:tcW w:w="106" w:type="pct"/>
            <w:tcBorders>
              <w:top w:val="nil"/>
              <w:left w:val="nil"/>
              <w:bottom w:val="nil"/>
              <w:right w:val="nil"/>
              <w:tl2br w:val="nil"/>
              <w:tr2bl w:val="nil"/>
            </w:tcBorders>
            <w:shd w:val="clear" w:color="auto" w:fill="auto"/>
            <w:noWrap/>
            <w:vAlign w:val="bottom"/>
          </w:tcPr>
          <w:p w14:paraId="1B49741F"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BF89CCE"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3BA478FB"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3,384</w:t>
            </w:r>
          </w:p>
        </w:tc>
        <w:tc>
          <w:tcPr>
            <w:tcW w:w="101" w:type="pct"/>
            <w:tcBorders>
              <w:top w:val="nil"/>
              <w:left w:val="nil"/>
              <w:bottom w:val="nil"/>
              <w:right w:val="nil"/>
              <w:tl2br w:val="nil"/>
              <w:tr2bl w:val="nil"/>
            </w:tcBorders>
            <w:shd w:val="clear" w:color="auto" w:fill="auto"/>
            <w:noWrap/>
            <w:vAlign w:val="bottom"/>
          </w:tcPr>
          <w:p w14:paraId="2FC20FA0"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42DE29D1"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5FF715B5"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2,991</w:t>
            </w:r>
          </w:p>
        </w:tc>
      </w:tr>
      <w:tr w:rsidR="00FE2562" w14:paraId="581305A5" w14:textId="77777777" w:rsidTr="00FE2562">
        <w:tc>
          <w:tcPr>
            <w:tcW w:w="2935" w:type="pct"/>
            <w:tcBorders>
              <w:top w:val="nil"/>
              <w:left w:val="nil"/>
              <w:bottom w:val="nil"/>
              <w:right w:val="nil"/>
              <w:tl2br w:val="nil"/>
              <w:tr2bl w:val="nil"/>
            </w:tcBorders>
            <w:shd w:val="clear" w:color="auto" w:fill="auto"/>
            <w:vAlign w:val="center"/>
          </w:tcPr>
          <w:p w14:paraId="5A94B78C"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Lot sales</w:t>
            </w:r>
          </w:p>
        </w:tc>
        <w:tc>
          <w:tcPr>
            <w:tcW w:w="106" w:type="pct"/>
            <w:tcBorders>
              <w:top w:val="nil"/>
              <w:left w:val="nil"/>
              <w:bottom w:val="nil"/>
              <w:right w:val="nil"/>
              <w:tl2br w:val="nil"/>
              <w:tr2bl w:val="nil"/>
            </w:tcBorders>
            <w:shd w:val="clear" w:color="auto" w:fill="auto"/>
            <w:noWrap/>
            <w:vAlign w:val="bottom"/>
          </w:tcPr>
          <w:p w14:paraId="16525CD0"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70BF6111"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78FBAA48"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15,998</w:t>
            </w:r>
          </w:p>
        </w:tc>
        <w:tc>
          <w:tcPr>
            <w:tcW w:w="101" w:type="pct"/>
            <w:tcBorders>
              <w:top w:val="nil"/>
              <w:left w:val="nil"/>
              <w:bottom w:val="nil"/>
              <w:right w:val="nil"/>
              <w:tl2br w:val="nil"/>
              <w:tr2bl w:val="nil"/>
            </w:tcBorders>
            <w:shd w:val="clear" w:color="auto" w:fill="auto"/>
            <w:noWrap/>
            <w:vAlign w:val="bottom"/>
          </w:tcPr>
          <w:p w14:paraId="69C07594"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76B9E7D"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16ABCE38"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6,815</w:t>
            </w:r>
          </w:p>
        </w:tc>
      </w:tr>
      <w:tr w:rsidR="00FE2562" w14:paraId="790A137A" w14:textId="77777777" w:rsidTr="00FE2562">
        <w:tc>
          <w:tcPr>
            <w:tcW w:w="2935" w:type="pct"/>
            <w:tcBorders>
              <w:top w:val="nil"/>
              <w:left w:val="nil"/>
              <w:bottom w:val="nil"/>
              <w:right w:val="nil"/>
              <w:tl2br w:val="nil"/>
              <w:tr2bl w:val="nil"/>
            </w:tcBorders>
            <w:shd w:val="clear" w:color="auto" w:fill="auto"/>
            <w:vAlign w:val="bottom"/>
          </w:tcPr>
          <w:p w14:paraId="6CCC79D5"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Project management fees</w:t>
            </w:r>
          </w:p>
        </w:tc>
        <w:tc>
          <w:tcPr>
            <w:tcW w:w="106" w:type="pct"/>
            <w:tcBorders>
              <w:top w:val="nil"/>
              <w:left w:val="nil"/>
              <w:bottom w:val="nil"/>
              <w:right w:val="nil"/>
              <w:tl2br w:val="nil"/>
              <w:tr2bl w:val="nil"/>
            </w:tcBorders>
            <w:shd w:val="clear" w:color="auto" w:fill="auto"/>
            <w:noWrap/>
            <w:vAlign w:val="bottom"/>
          </w:tcPr>
          <w:p w14:paraId="7B6AD9FC"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4D399142"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34865C6E"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707</w:t>
            </w:r>
          </w:p>
        </w:tc>
        <w:tc>
          <w:tcPr>
            <w:tcW w:w="101" w:type="pct"/>
            <w:tcBorders>
              <w:top w:val="nil"/>
              <w:left w:val="nil"/>
              <w:bottom w:val="nil"/>
              <w:right w:val="nil"/>
              <w:tl2br w:val="nil"/>
              <w:tr2bl w:val="nil"/>
            </w:tcBorders>
            <w:shd w:val="clear" w:color="auto" w:fill="auto"/>
            <w:noWrap/>
            <w:vAlign w:val="bottom"/>
          </w:tcPr>
          <w:p w14:paraId="2194BE6E"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25A4CF6"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3D4772C0"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283</w:t>
            </w:r>
          </w:p>
        </w:tc>
      </w:tr>
      <w:tr w:rsidR="00FE2562" w14:paraId="2A013D8D" w14:textId="77777777" w:rsidTr="00FE2562">
        <w:tc>
          <w:tcPr>
            <w:tcW w:w="2935" w:type="pct"/>
            <w:tcBorders>
              <w:top w:val="nil"/>
              <w:left w:val="nil"/>
              <w:bottom w:val="nil"/>
              <w:right w:val="nil"/>
              <w:tl2br w:val="nil"/>
              <w:tr2bl w:val="nil"/>
            </w:tcBorders>
            <w:shd w:val="clear" w:color="auto" w:fill="auto"/>
            <w:vAlign w:val="bottom"/>
          </w:tcPr>
          <w:p w14:paraId="129A2676"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 xml:space="preserve">Single-family rentals </w:t>
            </w:r>
          </w:p>
        </w:tc>
        <w:tc>
          <w:tcPr>
            <w:tcW w:w="106" w:type="pct"/>
            <w:tcBorders>
              <w:top w:val="nil"/>
              <w:left w:val="nil"/>
              <w:bottom w:val="nil"/>
              <w:right w:val="nil"/>
              <w:tl2br w:val="nil"/>
              <w:tr2bl w:val="nil"/>
            </w:tcBorders>
            <w:shd w:val="clear" w:color="auto" w:fill="auto"/>
            <w:noWrap/>
            <w:vAlign w:val="bottom"/>
          </w:tcPr>
          <w:p w14:paraId="3EC22926"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39B17E0E"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693DC476"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481</w:t>
            </w:r>
          </w:p>
        </w:tc>
        <w:tc>
          <w:tcPr>
            <w:tcW w:w="101" w:type="pct"/>
            <w:tcBorders>
              <w:top w:val="nil"/>
              <w:left w:val="nil"/>
              <w:bottom w:val="nil"/>
              <w:right w:val="nil"/>
              <w:tl2br w:val="nil"/>
              <w:tr2bl w:val="nil"/>
            </w:tcBorders>
            <w:shd w:val="clear" w:color="auto" w:fill="auto"/>
            <w:noWrap/>
            <w:vAlign w:val="bottom"/>
          </w:tcPr>
          <w:p w14:paraId="01A6D9DC"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79006B1D"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201A3F75"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165</w:t>
            </w:r>
          </w:p>
        </w:tc>
      </w:tr>
      <w:tr w:rsidR="00FE2562" w14:paraId="493445CB" w14:textId="77777777" w:rsidTr="00FE2562">
        <w:tc>
          <w:tcPr>
            <w:tcW w:w="2935" w:type="pct"/>
            <w:tcBorders>
              <w:top w:val="nil"/>
              <w:left w:val="nil"/>
              <w:bottom w:val="nil"/>
              <w:right w:val="nil"/>
              <w:tl2br w:val="nil"/>
              <w:tr2bl w:val="nil"/>
            </w:tcBorders>
            <w:shd w:val="clear" w:color="auto" w:fill="auto"/>
            <w:vAlign w:val="bottom"/>
          </w:tcPr>
          <w:p w14:paraId="0CA32018"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Special facility projects and other</w:t>
            </w:r>
          </w:p>
        </w:tc>
        <w:tc>
          <w:tcPr>
            <w:tcW w:w="106" w:type="pct"/>
            <w:tcBorders>
              <w:top w:val="nil"/>
              <w:left w:val="nil"/>
              <w:bottom w:val="nil"/>
              <w:right w:val="nil"/>
              <w:tl2br w:val="nil"/>
              <w:tr2bl w:val="nil"/>
            </w:tcBorders>
            <w:shd w:val="clear" w:color="auto" w:fill="auto"/>
            <w:noWrap/>
            <w:vAlign w:val="bottom"/>
          </w:tcPr>
          <w:p w14:paraId="6912F256"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16E7C13C"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single" w:sz="4" w:space="0" w:color="000000"/>
              <w:right w:val="nil"/>
              <w:tl2br w:val="nil"/>
              <w:tr2bl w:val="nil"/>
            </w:tcBorders>
            <w:shd w:val="clear" w:color="auto" w:fill="auto"/>
            <w:noWrap/>
            <w:vAlign w:val="bottom"/>
          </w:tcPr>
          <w:p w14:paraId="53ECD52A"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951</w:t>
            </w:r>
          </w:p>
        </w:tc>
        <w:tc>
          <w:tcPr>
            <w:tcW w:w="101" w:type="pct"/>
            <w:tcBorders>
              <w:top w:val="nil"/>
              <w:left w:val="nil"/>
              <w:bottom w:val="nil"/>
              <w:right w:val="nil"/>
              <w:tl2br w:val="nil"/>
              <w:tr2bl w:val="nil"/>
            </w:tcBorders>
            <w:shd w:val="clear" w:color="auto" w:fill="auto"/>
            <w:noWrap/>
            <w:vAlign w:val="bottom"/>
          </w:tcPr>
          <w:p w14:paraId="3FBA9934"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74943DC6"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single" w:sz="4" w:space="0" w:color="000000"/>
              <w:right w:val="nil"/>
              <w:tl2br w:val="nil"/>
              <w:tr2bl w:val="nil"/>
            </w:tcBorders>
            <w:shd w:val="clear" w:color="auto" w:fill="auto"/>
            <w:noWrap/>
            <w:vAlign w:val="bottom"/>
          </w:tcPr>
          <w:p w14:paraId="7612C59E"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467</w:t>
            </w:r>
          </w:p>
        </w:tc>
      </w:tr>
      <w:tr w:rsidR="00FE2562" w14:paraId="58221DC1" w14:textId="77777777" w:rsidTr="00FE2562">
        <w:tc>
          <w:tcPr>
            <w:tcW w:w="2935" w:type="pct"/>
            <w:tcBorders>
              <w:top w:val="nil"/>
              <w:left w:val="nil"/>
              <w:bottom w:val="nil"/>
              <w:right w:val="nil"/>
              <w:tl2br w:val="nil"/>
              <w:tr2bl w:val="nil"/>
            </w:tcBorders>
            <w:shd w:val="clear" w:color="auto" w:fill="auto"/>
            <w:vAlign w:val="bottom"/>
          </w:tcPr>
          <w:p w14:paraId="75665F46" w14:textId="77777777" w:rsidR="00FE2562" w:rsidRDefault="00FE2562" w:rsidP="00FE2562">
            <w:pPr>
              <w:spacing w:before="1" w:after="1"/>
              <w:ind w:left="240"/>
              <w:rPr>
                <w:color w:val="000000"/>
                <w:sz w:val="18"/>
              </w:rPr>
            </w:pPr>
            <w:r>
              <w:rPr>
                <w:rFonts w:ascii="Times New Roman" w:eastAsia="Times New Roman" w:hAnsi="Times New Roman" w:cs="Times New Roman"/>
                <w:color w:val="000000"/>
                <w:sz w:val="18"/>
              </w:rPr>
              <w:t>Total revenues</w:t>
            </w:r>
          </w:p>
        </w:tc>
        <w:tc>
          <w:tcPr>
            <w:tcW w:w="106" w:type="pct"/>
            <w:tcBorders>
              <w:top w:val="nil"/>
              <w:left w:val="nil"/>
              <w:bottom w:val="nil"/>
              <w:right w:val="nil"/>
              <w:tl2br w:val="nil"/>
              <w:tr2bl w:val="nil"/>
            </w:tcBorders>
            <w:shd w:val="clear" w:color="auto" w:fill="auto"/>
            <w:noWrap/>
            <w:vAlign w:val="bottom"/>
          </w:tcPr>
          <w:p w14:paraId="7361FB29"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10ED421E"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single" w:sz="4" w:space="0" w:color="000000"/>
              <w:right w:val="nil"/>
              <w:tl2br w:val="nil"/>
              <w:tr2bl w:val="nil"/>
            </w:tcBorders>
            <w:shd w:val="clear" w:color="auto" w:fill="auto"/>
            <w:noWrap/>
            <w:vAlign w:val="bottom"/>
          </w:tcPr>
          <w:p w14:paraId="790E33DD"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28,747</w:t>
            </w:r>
          </w:p>
        </w:tc>
        <w:tc>
          <w:tcPr>
            <w:tcW w:w="101" w:type="pct"/>
            <w:tcBorders>
              <w:top w:val="nil"/>
              <w:left w:val="nil"/>
              <w:bottom w:val="nil"/>
              <w:right w:val="nil"/>
              <w:tl2br w:val="nil"/>
              <w:tr2bl w:val="nil"/>
            </w:tcBorders>
            <w:shd w:val="clear" w:color="auto" w:fill="auto"/>
            <w:noWrap/>
            <w:vAlign w:val="bottom"/>
          </w:tcPr>
          <w:p w14:paraId="30E8A39E"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67D9A177"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single" w:sz="4" w:space="0" w:color="000000"/>
              <w:right w:val="nil"/>
              <w:tl2br w:val="nil"/>
              <w:tr2bl w:val="nil"/>
            </w:tcBorders>
            <w:shd w:val="clear" w:color="auto" w:fill="auto"/>
            <w:noWrap/>
            <w:vAlign w:val="bottom"/>
          </w:tcPr>
          <w:p w14:paraId="23142D7F"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14,586</w:t>
            </w:r>
          </w:p>
        </w:tc>
      </w:tr>
      <w:tr w:rsidR="00FE2562" w14:paraId="66B8B6A5" w14:textId="77777777" w:rsidTr="00FE2562">
        <w:tc>
          <w:tcPr>
            <w:tcW w:w="2935" w:type="pct"/>
            <w:tcBorders>
              <w:top w:val="nil"/>
              <w:left w:val="nil"/>
              <w:bottom w:val="nil"/>
              <w:right w:val="nil"/>
              <w:tl2br w:val="nil"/>
              <w:tr2bl w:val="nil"/>
            </w:tcBorders>
            <w:shd w:val="clear" w:color="auto" w:fill="auto"/>
            <w:vAlign w:val="bottom"/>
          </w:tcPr>
          <w:p w14:paraId="2FDC4CEE" w14:textId="77777777" w:rsidR="00FE2562" w:rsidRDefault="00FE2562" w:rsidP="00FE2562">
            <w:pPr>
              <w:spacing w:before="1" w:after="1"/>
              <w:rPr>
                <w:color w:val="000000"/>
                <w:sz w:val="18"/>
              </w:rPr>
            </w:pPr>
          </w:p>
        </w:tc>
        <w:tc>
          <w:tcPr>
            <w:tcW w:w="106" w:type="pct"/>
            <w:tcBorders>
              <w:top w:val="nil"/>
              <w:left w:val="nil"/>
              <w:bottom w:val="nil"/>
              <w:right w:val="nil"/>
              <w:tl2br w:val="nil"/>
              <w:tr2bl w:val="nil"/>
            </w:tcBorders>
            <w:shd w:val="clear" w:color="auto" w:fill="auto"/>
            <w:noWrap/>
            <w:vAlign w:val="bottom"/>
          </w:tcPr>
          <w:p w14:paraId="31801BCE"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AB78368"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0D38F0E5" w14:textId="77777777" w:rsidR="00FE2562" w:rsidRDefault="00FE2562" w:rsidP="00FE2562">
            <w:pPr>
              <w:spacing w:before="1" w:after="1"/>
              <w:jc w:val="right"/>
              <w:rPr>
                <w:color w:val="000000"/>
                <w:sz w:val="18"/>
              </w:rPr>
            </w:pPr>
          </w:p>
        </w:tc>
        <w:tc>
          <w:tcPr>
            <w:tcW w:w="101" w:type="pct"/>
            <w:tcBorders>
              <w:top w:val="nil"/>
              <w:left w:val="nil"/>
              <w:bottom w:val="nil"/>
              <w:right w:val="nil"/>
              <w:tl2br w:val="nil"/>
              <w:tr2bl w:val="nil"/>
            </w:tcBorders>
            <w:shd w:val="clear" w:color="auto" w:fill="auto"/>
            <w:noWrap/>
            <w:vAlign w:val="bottom"/>
          </w:tcPr>
          <w:p w14:paraId="5C7E38F0"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715B2E6B"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5210B9E7" w14:textId="77777777" w:rsidR="00FE2562" w:rsidRDefault="00FE2562" w:rsidP="00FE2562">
            <w:pPr>
              <w:spacing w:before="1" w:after="1"/>
              <w:jc w:val="right"/>
              <w:rPr>
                <w:color w:val="000000"/>
                <w:sz w:val="18"/>
              </w:rPr>
            </w:pPr>
          </w:p>
        </w:tc>
      </w:tr>
      <w:tr w:rsidR="00FE2562" w14:paraId="774B97BE" w14:textId="77777777" w:rsidTr="00FE2562">
        <w:tc>
          <w:tcPr>
            <w:tcW w:w="2935" w:type="pct"/>
            <w:tcBorders>
              <w:top w:val="nil"/>
              <w:left w:val="nil"/>
              <w:bottom w:val="nil"/>
              <w:right w:val="nil"/>
              <w:tl2br w:val="nil"/>
              <w:tr2bl w:val="nil"/>
            </w:tcBorders>
            <w:shd w:val="clear" w:color="auto" w:fill="auto"/>
            <w:vAlign w:val="bottom"/>
          </w:tcPr>
          <w:p w14:paraId="5743CF14"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Cost of revenues:</w:t>
            </w:r>
          </w:p>
        </w:tc>
        <w:tc>
          <w:tcPr>
            <w:tcW w:w="106" w:type="pct"/>
            <w:tcBorders>
              <w:top w:val="nil"/>
              <w:left w:val="nil"/>
              <w:bottom w:val="nil"/>
              <w:right w:val="nil"/>
              <w:tl2br w:val="nil"/>
              <w:tr2bl w:val="nil"/>
            </w:tcBorders>
            <w:shd w:val="clear" w:color="auto" w:fill="auto"/>
            <w:noWrap/>
            <w:vAlign w:val="bottom"/>
          </w:tcPr>
          <w:p w14:paraId="5F6C04C3"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4DFF8627"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5ECA73C9" w14:textId="77777777" w:rsidR="00FE2562" w:rsidRDefault="00FE2562" w:rsidP="00FE2562">
            <w:pPr>
              <w:spacing w:before="1" w:after="1"/>
              <w:jc w:val="right"/>
              <w:rPr>
                <w:color w:val="000000"/>
                <w:sz w:val="18"/>
              </w:rPr>
            </w:pPr>
          </w:p>
        </w:tc>
        <w:tc>
          <w:tcPr>
            <w:tcW w:w="101" w:type="pct"/>
            <w:tcBorders>
              <w:top w:val="nil"/>
              <w:left w:val="nil"/>
              <w:bottom w:val="nil"/>
              <w:right w:val="nil"/>
              <w:tl2br w:val="nil"/>
              <w:tr2bl w:val="nil"/>
            </w:tcBorders>
            <w:shd w:val="clear" w:color="auto" w:fill="auto"/>
            <w:noWrap/>
            <w:vAlign w:val="bottom"/>
          </w:tcPr>
          <w:p w14:paraId="17C8DC42"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0FB69B95"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6B7B612B" w14:textId="77777777" w:rsidR="00FE2562" w:rsidRDefault="00FE2562" w:rsidP="00FE2562">
            <w:pPr>
              <w:spacing w:before="1" w:after="1"/>
              <w:jc w:val="right"/>
              <w:rPr>
                <w:color w:val="000000"/>
                <w:sz w:val="18"/>
              </w:rPr>
            </w:pPr>
          </w:p>
        </w:tc>
      </w:tr>
      <w:tr w:rsidR="00FE2562" w14:paraId="1AE0B27A" w14:textId="77777777" w:rsidTr="00FE2562">
        <w:tc>
          <w:tcPr>
            <w:tcW w:w="2935" w:type="pct"/>
            <w:tcBorders>
              <w:top w:val="nil"/>
              <w:left w:val="nil"/>
              <w:bottom w:val="nil"/>
              <w:right w:val="nil"/>
              <w:tl2br w:val="nil"/>
              <w:tr2bl w:val="nil"/>
            </w:tcBorders>
            <w:shd w:val="clear" w:color="auto" w:fill="auto"/>
            <w:vAlign w:val="bottom"/>
          </w:tcPr>
          <w:p w14:paraId="2A094E3C"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Water service operations</w:t>
            </w:r>
          </w:p>
        </w:tc>
        <w:tc>
          <w:tcPr>
            <w:tcW w:w="106" w:type="pct"/>
            <w:tcBorders>
              <w:top w:val="nil"/>
              <w:left w:val="nil"/>
              <w:bottom w:val="nil"/>
              <w:right w:val="nil"/>
              <w:tl2br w:val="nil"/>
              <w:tr2bl w:val="nil"/>
            </w:tcBorders>
            <w:shd w:val="clear" w:color="auto" w:fill="auto"/>
            <w:noWrap/>
            <w:vAlign w:val="bottom"/>
          </w:tcPr>
          <w:p w14:paraId="420B112A"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3D9E4908"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7C648A66"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2,204</w:t>
            </w:r>
          </w:p>
        </w:tc>
        <w:tc>
          <w:tcPr>
            <w:tcW w:w="101" w:type="pct"/>
            <w:tcBorders>
              <w:top w:val="nil"/>
              <w:left w:val="nil"/>
              <w:bottom w:val="nil"/>
              <w:right w:val="nil"/>
              <w:tl2br w:val="nil"/>
              <w:tr2bl w:val="nil"/>
            </w:tcBorders>
            <w:shd w:val="clear" w:color="auto" w:fill="auto"/>
            <w:noWrap/>
            <w:vAlign w:val="bottom"/>
          </w:tcPr>
          <w:p w14:paraId="381E6ABC"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01F1758F"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27379876"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1,757</w:t>
            </w:r>
          </w:p>
        </w:tc>
      </w:tr>
      <w:tr w:rsidR="00FE2562" w14:paraId="3F0CC9D3" w14:textId="77777777" w:rsidTr="00FE2562">
        <w:tc>
          <w:tcPr>
            <w:tcW w:w="2935" w:type="pct"/>
            <w:tcBorders>
              <w:top w:val="nil"/>
              <w:left w:val="nil"/>
              <w:bottom w:val="nil"/>
              <w:right w:val="nil"/>
              <w:tl2br w:val="nil"/>
              <w:tr2bl w:val="nil"/>
            </w:tcBorders>
            <w:shd w:val="clear" w:color="auto" w:fill="auto"/>
            <w:vAlign w:val="bottom"/>
          </w:tcPr>
          <w:p w14:paraId="392BA100"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Wastewater service operations</w:t>
            </w:r>
          </w:p>
        </w:tc>
        <w:tc>
          <w:tcPr>
            <w:tcW w:w="106" w:type="pct"/>
            <w:tcBorders>
              <w:top w:val="nil"/>
              <w:left w:val="nil"/>
              <w:bottom w:val="nil"/>
              <w:right w:val="nil"/>
              <w:tl2br w:val="nil"/>
              <w:tr2bl w:val="nil"/>
            </w:tcBorders>
            <w:shd w:val="clear" w:color="auto" w:fill="auto"/>
            <w:noWrap/>
            <w:vAlign w:val="bottom"/>
          </w:tcPr>
          <w:p w14:paraId="59CC5D0F"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01ADD0C"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719ECB9B"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691</w:t>
            </w:r>
          </w:p>
        </w:tc>
        <w:tc>
          <w:tcPr>
            <w:tcW w:w="101" w:type="pct"/>
            <w:tcBorders>
              <w:top w:val="nil"/>
              <w:left w:val="nil"/>
              <w:bottom w:val="nil"/>
              <w:right w:val="nil"/>
              <w:tl2br w:val="nil"/>
              <w:tr2bl w:val="nil"/>
            </w:tcBorders>
            <w:shd w:val="clear" w:color="auto" w:fill="auto"/>
            <w:noWrap/>
            <w:vAlign w:val="bottom"/>
          </w:tcPr>
          <w:p w14:paraId="73F5E6A0"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3B9D88ED"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259ACF3B"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675</w:t>
            </w:r>
          </w:p>
        </w:tc>
      </w:tr>
      <w:tr w:rsidR="00FE2562" w14:paraId="3A9F5D2F" w14:textId="77777777" w:rsidTr="00FE2562">
        <w:tc>
          <w:tcPr>
            <w:tcW w:w="2935" w:type="pct"/>
            <w:tcBorders>
              <w:top w:val="nil"/>
              <w:left w:val="nil"/>
              <w:bottom w:val="nil"/>
              <w:right w:val="nil"/>
              <w:tl2br w:val="nil"/>
              <w:tr2bl w:val="nil"/>
            </w:tcBorders>
            <w:shd w:val="clear" w:color="auto" w:fill="auto"/>
            <w:vAlign w:val="bottom"/>
          </w:tcPr>
          <w:p w14:paraId="68A770C0"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Land development construction costs</w:t>
            </w:r>
          </w:p>
        </w:tc>
        <w:tc>
          <w:tcPr>
            <w:tcW w:w="106" w:type="pct"/>
            <w:tcBorders>
              <w:top w:val="nil"/>
              <w:left w:val="nil"/>
              <w:bottom w:val="nil"/>
              <w:right w:val="nil"/>
              <w:tl2br w:val="nil"/>
              <w:tr2bl w:val="nil"/>
            </w:tcBorders>
            <w:shd w:val="clear" w:color="auto" w:fill="auto"/>
            <w:noWrap/>
            <w:vAlign w:val="bottom"/>
          </w:tcPr>
          <w:p w14:paraId="7A9D726D"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053BC965"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61A9DCAA"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3,037</w:t>
            </w:r>
          </w:p>
        </w:tc>
        <w:tc>
          <w:tcPr>
            <w:tcW w:w="101" w:type="pct"/>
            <w:tcBorders>
              <w:top w:val="nil"/>
              <w:left w:val="nil"/>
              <w:bottom w:val="nil"/>
              <w:right w:val="nil"/>
              <w:tl2br w:val="nil"/>
              <w:tr2bl w:val="nil"/>
            </w:tcBorders>
            <w:shd w:val="clear" w:color="auto" w:fill="auto"/>
            <w:noWrap/>
            <w:vAlign w:val="bottom"/>
          </w:tcPr>
          <w:p w14:paraId="4C834FB5"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495A672"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5C1F5F7E"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1,606</w:t>
            </w:r>
          </w:p>
        </w:tc>
      </w:tr>
      <w:tr w:rsidR="00FE2562" w14:paraId="2135AE76" w14:textId="77777777" w:rsidTr="00FE2562">
        <w:tc>
          <w:tcPr>
            <w:tcW w:w="2935" w:type="pct"/>
            <w:tcBorders>
              <w:top w:val="nil"/>
              <w:left w:val="nil"/>
              <w:bottom w:val="nil"/>
              <w:right w:val="nil"/>
              <w:tl2br w:val="nil"/>
              <w:tr2bl w:val="nil"/>
            </w:tcBorders>
            <w:shd w:val="clear" w:color="auto" w:fill="auto"/>
            <w:vAlign w:val="bottom"/>
          </w:tcPr>
          <w:p w14:paraId="0EC6A9F2"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Project management costs</w:t>
            </w:r>
          </w:p>
        </w:tc>
        <w:tc>
          <w:tcPr>
            <w:tcW w:w="106" w:type="pct"/>
            <w:tcBorders>
              <w:top w:val="nil"/>
              <w:left w:val="nil"/>
              <w:bottom w:val="nil"/>
              <w:right w:val="nil"/>
              <w:tl2br w:val="nil"/>
              <w:tr2bl w:val="nil"/>
            </w:tcBorders>
            <w:shd w:val="clear" w:color="auto" w:fill="auto"/>
            <w:noWrap/>
            <w:vAlign w:val="bottom"/>
          </w:tcPr>
          <w:p w14:paraId="76726288"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D3AEF66"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78FED66C"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482</w:t>
            </w:r>
          </w:p>
        </w:tc>
        <w:tc>
          <w:tcPr>
            <w:tcW w:w="101" w:type="pct"/>
            <w:tcBorders>
              <w:top w:val="nil"/>
              <w:left w:val="nil"/>
              <w:bottom w:val="nil"/>
              <w:right w:val="nil"/>
              <w:tl2br w:val="nil"/>
              <w:tr2bl w:val="nil"/>
            </w:tcBorders>
            <w:shd w:val="clear" w:color="auto" w:fill="auto"/>
            <w:noWrap/>
            <w:vAlign w:val="bottom"/>
          </w:tcPr>
          <w:p w14:paraId="6374DA2E"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4E2F4C0"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61D41BA7"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286</w:t>
            </w:r>
          </w:p>
        </w:tc>
      </w:tr>
      <w:tr w:rsidR="00FE2562" w14:paraId="1A8F4308" w14:textId="77777777" w:rsidTr="00FE2562">
        <w:tc>
          <w:tcPr>
            <w:tcW w:w="2935" w:type="pct"/>
            <w:tcBorders>
              <w:top w:val="nil"/>
              <w:left w:val="nil"/>
              <w:bottom w:val="nil"/>
              <w:right w:val="nil"/>
              <w:tl2br w:val="nil"/>
              <w:tr2bl w:val="nil"/>
            </w:tcBorders>
            <w:shd w:val="clear" w:color="auto" w:fill="auto"/>
            <w:vAlign w:val="bottom"/>
          </w:tcPr>
          <w:p w14:paraId="2372A1B6"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Single-family rental costs</w:t>
            </w:r>
          </w:p>
        </w:tc>
        <w:tc>
          <w:tcPr>
            <w:tcW w:w="106" w:type="pct"/>
            <w:tcBorders>
              <w:top w:val="nil"/>
              <w:left w:val="nil"/>
              <w:bottom w:val="nil"/>
              <w:right w:val="nil"/>
              <w:tl2br w:val="nil"/>
              <w:tr2bl w:val="nil"/>
            </w:tcBorders>
            <w:shd w:val="clear" w:color="auto" w:fill="auto"/>
            <w:noWrap/>
            <w:vAlign w:val="bottom"/>
          </w:tcPr>
          <w:p w14:paraId="7FB28979"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7F50D64C"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5B3A1ED0"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188</w:t>
            </w:r>
          </w:p>
        </w:tc>
        <w:tc>
          <w:tcPr>
            <w:tcW w:w="101" w:type="pct"/>
            <w:tcBorders>
              <w:top w:val="nil"/>
              <w:left w:val="nil"/>
              <w:bottom w:val="nil"/>
              <w:right w:val="nil"/>
              <w:tl2br w:val="nil"/>
              <w:tr2bl w:val="nil"/>
            </w:tcBorders>
            <w:shd w:val="clear" w:color="auto" w:fill="auto"/>
            <w:noWrap/>
            <w:vAlign w:val="bottom"/>
          </w:tcPr>
          <w:p w14:paraId="5FBCFF7B"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70A1FD6E"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11844672"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73</w:t>
            </w:r>
          </w:p>
        </w:tc>
      </w:tr>
      <w:tr w:rsidR="00FE2562" w14:paraId="147A1511" w14:textId="77777777" w:rsidTr="00FE2562">
        <w:tc>
          <w:tcPr>
            <w:tcW w:w="2935" w:type="pct"/>
            <w:tcBorders>
              <w:top w:val="nil"/>
              <w:left w:val="nil"/>
              <w:bottom w:val="nil"/>
              <w:right w:val="nil"/>
              <w:tl2br w:val="nil"/>
              <w:tr2bl w:val="nil"/>
            </w:tcBorders>
            <w:shd w:val="clear" w:color="auto" w:fill="auto"/>
            <w:vAlign w:val="bottom"/>
          </w:tcPr>
          <w:p w14:paraId="050B458E"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Depletion and depreciation</w:t>
            </w:r>
          </w:p>
        </w:tc>
        <w:tc>
          <w:tcPr>
            <w:tcW w:w="106" w:type="pct"/>
            <w:tcBorders>
              <w:top w:val="nil"/>
              <w:left w:val="nil"/>
              <w:bottom w:val="nil"/>
              <w:right w:val="nil"/>
              <w:tl2br w:val="nil"/>
              <w:tr2bl w:val="nil"/>
            </w:tcBorders>
            <w:shd w:val="clear" w:color="auto" w:fill="auto"/>
            <w:noWrap/>
            <w:vAlign w:val="bottom"/>
          </w:tcPr>
          <w:p w14:paraId="1C77FC2E"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42122EE7"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4E9E249D"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1,504</w:t>
            </w:r>
          </w:p>
        </w:tc>
        <w:tc>
          <w:tcPr>
            <w:tcW w:w="101" w:type="pct"/>
            <w:tcBorders>
              <w:top w:val="nil"/>
              <w:left w:val="nil"/>
              <w:bottom w:val="nil"/>
              <w:right w:val="nil"/>
              <w:tl2br w:val="nil"/>
              <w:tr2bl w:val="nil"/>
            </w:tcBorders>
            <w:shd w:val="clear" w:color="auto" w:fill="auto"/>
            <w:noWrap/>
            <w:vAlign w:val="bottom"/>
          </w:tcPr>
          <w:p w14:paraId="23EF8CEE"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37FE3D89"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2F8B77A7"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1,658</w:t>
            </w:r>
          </w:p>
        </w:tc>
      </w:tr>
      <w:tr w:rsidR="00FE2562" w14:paraId="75088EB7" w14:textId="77777777" w:rsidTr="00FE2562">
        <w:tc>
          <w:tcPr>
            <w:tcW w:w="2935" w:type="pct"/>
            <w:tcBorders>
              <w:top w:val="nil"/>
              <w:left w:val="nil"/>
              <w:bottom w:val="nil"/>
              <w:right w:val="nil"/>
              <w:tl2br w:val="nil"/>
              <w:tr2bl w:val="nil"/>
            </w:tcBorders>
            <w:shd w:val="clear" w:color="auto" w:fill="auto"/>
            <w:vAlign w:val="bottom"/>
          </w:tcPr>
          <w:p w14:paraId="2A86E706"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Other</w:t>
            </w:r>
          </w:p>
        </w:tc>
        <w:tc>
          <w:tcPr>
            <w:tcW w:w="106" w:type="pct"/>
            <w:tcBorders>
              <w:top w:val="nil"/>
              <w:left w:val="nil"/>
              <w:bottom w:val="nil"/>
              <w:right w:val="nil"/>
              <w:tl2br w:val="nil"/>
              <w:tr2bl w:val="nil"/>
            </w:tcBorders>
            <w:shd w:val="clear" w:color="auto" w:fill="auto"/>
            <w:noWrap/>
            <w:vAlign w:val="bottom"/>
          </w:tcPr>
          <w:p w14:paraId="14598D5A"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4A9063B3"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single" w:sz="4" w:space="0" w:color="000000"/>
              <w:right w:val="nil"/>
              <w:tl2br w:val="nil"/>
              <w:tr2bl w:val="nil"/>
            </w:tcBorders>
            <w:shd w:val="clear" w:color="auto" w:fill="auto"/>
            <w:noWrap/>
            <w:vAlign w:val="bottom"/>
          </w:tcPr>
          <w:p w14:paraId="204DB819"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882</w:t>
            </w:r>
          </w:p>
        </w:tc>
        <w:tc>
          <w:tcPr>
            <w:tcW w:w="101" w:type="pct"/>
            <w:tcBorders>
              <w:top w:val="nil"/>
              <w:left w:val="nil"/>
              <w:bottom w:val="nil"/>
              <w:right w:val="nil"/>
              <w:tl2br w:val="nil"/>
              <w:tr2bl w:val="nil"/>
            </w:tcBorders>
            <w:shd w:val="clear" w:color="auto" w:fill="auto"/>
            <w:noWrap/>
            <w:vAlign w:val="bottom"/>
          </w:tcPr>
          <w:p w14:paraId="609C6A67"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6BAACAA8"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single" w:sz="4" w:space="0" w:color="000000"/>
              <w:right w:val="nil"/>
              <w:tl2br w:val="nil"/>
              <w:tr2bl w:val="nil"/>
            </w:tcBorders>
            <w:shd w:val="clear" w:color="auto" w:fill="auto"/>
            <w:noWrap/>
            <w:vAlign w:val="bottom"/>
          </w:tcPr>
          <w:p w14:paraId="122D75B0"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491</w:t>
            </w:r>
          </w:p>
        </w:tc>
      </w:tr>
      <w:tr w:rsidR="00FE2562" w14:paraId="6F18D2C2" w14:textId="77777777" w:rsidTr="00FE2562">
        <w:tc>
          <w:tcPr>
            <w:tcW w:w="2935" w:type="pct"/>
            <w:tcBorders>
              <w:top w:val="nil"/>
              <w:left w:val="nil"/>
              <w:bottom w:val="nil"/>
              <w:right w:val="nil"/>
              <w:tl2br w:val="nil"/>
              <w:tr2bl w:val="nil"/>
            </w:tcBorders>
            <w:shd w:val="clear" w:color="auto" w:fill="auto"/>
            <w:vAlign w:val="bottom"/>
          </w:tcPr>
          <w:p w14:paraId="64580202" w14:textId="77777777" w:rsidR="00FE2562" w:rsidRDefault="00FE2562" w:rsidP="00FE2562">
            <w:pPr>
              <w:spacing w:before="1" w:after="1"/>
              <w:ind w:left="240"/>
              <w:rPr>
                <w:color w:val="000000"/>
                <w:sz w:val="18"/>
              </w:rPr>
            </w:pPr>
            <w:r>
              <w:rPr>
                <w:rFonts w:ascii="Times New Roman" w:eastAsia="Times New Roman" w:hAnsi="Times New Roman" w:cs="Times New Roman"/>
                <w:color w:val="000000"/>
                <w:sz w:val="18"/>
              </w:rPr>
              <w:t>Total cost of revenues</w:t>
            </w:r>
          </w:p>
        </w:tc>
        <w:tc>
          <w:tcPr>
            <w:tcW w:w="106" w:type="pct"/>
            <w:tcBorders>
              <w:top w:val="nil"/>
              <w:left w:val="nil"/>
              <w:bottom w:val="nil"/>
              <w:right w:val="nil"/>
              <w:tl2br w:val="nil"/>
              <w:tr2bl w:val="nil"/>
            </w:tcBorders>
            <w:shd w:val="clear" w:color="auto" w:fill="auto"/>
            <w:noWrap/>
            <w:vAlign w:val="bottom"/>
          </w:tcPr>
          <w:p w14:paraId="1F51E690"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2406E201"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371902FA"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8,988</w:t>
            </w:r>
          </w:p>
        </w:tc>
        <w:tc>
          <w:tcPr>
            <w:tcW w:w="101" w:type="pct"/>
            <w:tcBorders>
              <w:top w:val="nil"/>
              <w:left w:val="nil"/>
              <w:bottom w:val="nil"/>
              <w:right w:val="nil"/>
              <w:tl2br w:val="nil"/>
              <w:tr2bl w:val="nil"/>
            </w:tcBorders>
            <w:shd w:val="clear" w:color="auto" w:fill="auto"/>
            <w:noWrap/>
            <w:vAlign w:val="bottom"/>
          </w:tcPr>
          <w:p w14:paraId="5593F6A7"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286A4999"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10963FC3"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6,546</w:t>
            </w:r>
          </w:p>
        </w:tc>
      </w:tr>
      <w:tr w:rsidR="00FE2562" w14:paraId="0BB057AE" w14:textId="77777777" w:rsidTr="00FE2562">
        <w:tc>
          <w:tcPr>
            <w:tcW w:w="2935" w:type="pct"/>
            <w:tcBorders>
              <w:top w:val="nil"/>
              <w:left w:val="nil"/>
              <w:bottom w:val="nil"/>
              <w:right w:val="nil"/>
              <w:tl2br w:val="nil"/>
              <w:tr2bl w:val="nil"/>
            </w:tcBorders>
            <w:shd w:val="clear" w:color="auto" w:fill="auto"/>
            <w:vAlign w:val="bottom"/>
          </w:tcPr>
          <w:p w14:paraId="265A6227" w14:textId="77777777" w:rsidR="00FE2562" w:rsidRDefault="00FE2562" w:rsidP="00FE2562">
            <w:pPr>
              <w:spacing w:before="1" w:after="1"/>
              <w:rPr>
                <w:color w:val="000000"/>
                <w:sz w:val="18"/>
              </w:rPr>
            </w:pPr>
          </w:p>
        </w:tc>
        <w:tc>
          <w:tcPr>
            <w:tcW w:w="106" w:type="pct"/>
            <w:tcBorders>
              <w:top w:val="nil"/>
              <w:left w:val="nil"/>
              <w:bottom w:val="nil"/>
              <w:right w:val="nil"/>
              <w:tl2br w:val="nil"/>
              <w:tr2bl w:val="nil"/>
            </w:tcBorders>
            <w:shd w:val="clear" w:color="auto" w:fill="auto"/>
            <w:noWrap/>
            <w:vAlign w:val="bottom"/>
          </w:tcPr>
          <w:p w14:paraId="74742770"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2719F983"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2A85D9F4" w14:textId="77777777" w:rsidR="00FE2562" w:rsidRDefault="00FE2562" w:rsidP="00FE2562">
            <w:pPr>
              <w:spacing w:before="1" w:after="1"/>
              <w:jc w:val="right"/>
              <w:rPr>
                <w:color w:val="000000"/>
                <w:sz w:val="18"/>
              </w:rPr>
            </w:pPr>
          </w:p>
        </w:tc>
        <w:tc>
          <w:tcPr>
            <w:tcW w:w="101" w:type="pct"/>
            <w:tcBorders>
              <w:top w:val="nil"/>
              <w:left w:val="nil"/>
              <w:bottom w:val="nil"/>
              <w:right w:val="nil"/>
              <w:tl2br w:val="nil"/>
              <w:tr2bl w:val="nil"/>
            </w:tcBorders>
            <w:shd w:val="clear" w:color="auto" w:fill="auto"/>
            <w:noWrap/>
            <w:vAlign w:val="bottom"/>
          </w:tcPr>
          <w:p w14:paraId="6C07246E"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90D720A"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43DCE0FE" w14:textId="77777777" w:rsidR="00FE2562" w:rsidRDefault="00FE2562" w:rsidP="00FE2562">
            <w:pPr>
              <w:spacing w:before="1" w:after="1"/>
              <w:jc w:val="right"/>
              <w:rPr>
                <w:color w:val="000000"/>
                <w:sz w:val="18"/>
              </w:rPr>
            </w:pPr>
          </w:p>
        </w:tc>
      </w:tr>
      <w:tr w:rsidR="00FE2562" w14:paraId="0DD62971" w14:textId="77777777" w:rsidTr="00FE2562">
        <w:tc>
          <w:tcPr>
            <w:tcW w:w="2935" w:type="pct"/>
            <w:tcBorders>
              <w:top w:val="nil"/>
              <w:left w:val="nil"/>
              <w:bottom w:val="nil"/>
              <w:right w:val="nil"/>
              <w:tl2br w:val="nil"/>
              <w:tr2bl w:val="nil"/>
            </w:tcBorders>
            <w:shd w:val="clear" w:color="auto" w:fill="auto"/>
            <w:vAlign w:val="bottom"/>
          </w:tcPr>
          <w:p w14:paraId="072054CE"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General and administrative expenses</w:t>
            </w:r>
          </w:p>
        </w:tc>
        <w:tc>
          <w:tcPr>
            <w:tcW w:w="106" w:type="pct"/>
            <w:tcBorders>
              <w:top w:val="nil"/>
              <w:left w:val="nil"/>
              <w:bottom w:val="nil"/>
              <w:right w:val="nil"/>
              <w:tl2br w:val="nil"/>
              <w:tr2bl w:val="nil"/>
            </w:tcBorders>
            <w:shd w:val="clear" w:color="auto" w:fill="auto"/>
            <w:noWrap/>
            <w:vAlign w:val="bottom"/>
          </w:tcPr>
          <w:p w14:paraId="7E6204DA"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1610ADF"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52EAC13C"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6,921</w:t>
            </w:r>
          </w:p>
        </w:tc>
        <w:tc>
          <w:tcPr>
            <w:tcW w:w="101" w:type="pct"/>
            <w:tcBorders>
              <w:top w:val="nil"/>
              <w:left w:val="nil"/>
              <w:bottom w:val="nil"/>
              <w:right w:val="nil"/>
              <w:tl2br w:val="nil"/>
              <w:tr2bl w:val="nil"/>
            </w:tcBorders>
            <w:shd w:val="clear" w:color="auto" w:fill="auto"/>
            <w:noWrap/>
            <w:vAlign w:val="bottom"/>
          </w:tcPr>
          <w:p w14:paraId="13040BCB"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D451AED"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7F26C811"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5,470</w:t>
            </w:r>
          </w:p>
        </w:tc>
      </w:tr>
      <w:tr w:rsidR="00FE2562" w14:paraId="3F64E31C" w14:textId="77777777" w:rsidTr="00FE2562">
        <w:tc>
          <w:tcPr>
            <w:tcW w:w="2935" w:type="pct"/>
            <w:tcBorders>
              <w:top w:val="nil"/>
              <w:left w:val="nil"/>
              <w:bottom w:val="nil"/>
              <w:right w:val="nil"/>
              <w:tl2br w:val="nil"/>
              <w:tr2bl w:val="nil"/>
            </w:tcBorders>
            <w:shd w:val="clear" w:color="auto" w:fill="auto"/>
            <w:vAlign w:val="bottom"/>
          </w:tcPr>
          <w:p w14:paraId="6C0091DD"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Depreciation</w:t>
            </w:r>
          </w:p>
        </w:tc>
        <w:tc>
          <w:tcPr>
            <w:tcW w:w="106" w:type="pct"/>
            <w:tcBorders>
              <w:top w:val="nil"/>
              <w:left w:val="nil"/>
              <w:bottom w:val="nil"/>
              <w:right w:val="nil"/>
              <w:tl2br w:val="nil"/>
              <w:tr2bl w:val="nil"/>
            </w:tcBorders>
            <w:shd w:val="clear" w:color="auto" w:fill="auto"/>
            <w:noWrap/>
            <w:vAlign w:val="bottom"/>
          </w:tcPr>
          <w:p w14:paraId="6CE8C5DE"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38FBB5C8"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single" w:sz="4" w:space="0" w:color="000000"/>
              <w:right w:val="nil"/>
              <w:tl2br w:val="nil"/>
              <w:tr2bl w:val="nil"/>
            </w:tcBorders>
            <w:shd w:val="clear" w:color="auto" w:fill="auto"/>
            <w:noWrap/>
            <w:vAlign w:val="bottom"/>
          </w:tcPr>
          <w:p w14:paraId="2B79954C"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596</w:t>
            </w:r>
          </w:p>
        </w:tc>
        <w:tc>
          <w:tcPr>
            <w:tcW w:w="101" w:type="pct"/>
            <w:tcBorders>
              <w:top w:val="nil"/>
              <w:left w:val="nil"/>
              <w:bottom w:val="nil"/>
              <w:right w:val="nil"/>
              <w:tl2br w:val="nil"/>
              <w:tr2bl w:val="nil"/>
            </w:tcBorders>
            <w:shd w:val="clear" w:color="auto" w:fill="auto"/>
            <w:noWrap/>
            <w:vAlign w:val="bottom"/>
          </w:tcPr>
          <w:p w14:paraId="72613DB4"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17890BF8"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single" w:sz="4" w:space="0" w:color="000000"/>
              <w:right w:val="nil"/>
              <w:tl2br w:val="nil"/>
              <w:tr2bl w:val="nil"/>
            </w:tcBorders>
            <w:shd w:val="clear" w:color="auto" w:fill="auto"/>
            <w:noWrap/>
            <w:vAlign w:val="bottom"/>
          </w:tcPr>
          <w:p w14:paraId="7F9CDA05"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498</w:t>
            </w:r>
          </w:p>
        </w:tc>
      </w:tr>
      <w:tr w:rsidR="00FE2562" w14:paraId="47418FE0" w14:textId="77777777" w:rsidTr="00FE2562">
        <w:tc>
          <w:tcPr>
            <w:tcW w:w="2935" w:type="pct"/>
            <w:tcBorders>
              <w:top w:val="nil"/>
              <w:left w:val="nil"/>
              <w:bottom w:val="nil"/>
              <w:right w:val="nil"/>
              <w:tl2br w:val="nil"/>
              <w:tr2bl w:val="nil"/>
            </w:tcBorders>
            <w:shd w:val="clear" w:color="auto" w:fill="auto"/>
            <w:vAlign w:val="bottom"/>
          </w:tcPr>
          <w:p w14:paraId="1C69753A"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Operating income</w:t>
            </w:r>
          </w:p>
        </w:tc>
        <w:tc>
          <w:tcPr>
            <w:tcW w:w="106" w:type="pct"/>
            <w:tcBorders>
              <w:top w:val="nil"/>
              <w:left w:val="nil"/>
              <w:bottom w:val="nil"/>
              <w:right w:val="nil"/>
              <w:tl2br w:val="nil"/>
              <w:tr2bl w:val="nil"/>
            </w:tcBorders>
            <w:shd w:val="clear" w:color="auto" w:fill="auto"/>
            <w:noWrap/>
            <w:vAlign w:val="bottom"/>
          </w:tcPr>
          <w:p w14:paraId="14C2F390"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606855A"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13367D5A"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12,242</w:t>
            </w:r>
          </w:p>
        </w:tc>
        <w:tc>
          <w:tcPr>
            <w:tcW w:w="101" w:type="pct"/>
            <w:tcBorders>
              <w:top w:val="nil"/>
              <w:left w:val="nil"/>
              <w:bottom w:val="nil"/>
              <w:right w:val="nil"/>
              <w:tl2br w:val="nil"/>
              <w:tr2bl w:val="nil"/>
            </w:tcBorders>
            <w:shd w:val="clear" w:color="auto" w:fill="auto"/>
            <w:noWrap/>
            <w:vAlign w:val="bottom"/>
          </w:tcPr>
          <w:p w14:paraId="2C73AD41"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CCA5BFF"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2A38271F"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2,072</w:t>
            </w:r>
          </w:p>
        </w:tc>
      </w:tr>
      <w:tr w:rsidR="00FE2562" w14:paraId="2330D1BE" w14:textId="77777777" w:rsidTr="00FE2562">
        <w:tc>
          <w:tcPr>
            <w:tcW w:w="2935" w:type="pct"/>
            <w:tcBorders>
              <w:top w:val="nil"/>
              <w:left w:val="nil"/>
              <w:bottom w:val="nil"/>
              <w:right w:val="nil"/>
              <w:tl2br w:val="nil"/>
              <w:tr2bl w:val="nil"/>
            </w:tcBorders>
            <w:shd w:val="clear" w:color="auto" w:fill="auto"/>
            <w:vAlign w:val="bottom"/>
          </w:tcPr>
          <w:p w14:paraId="39396662" w14:textId="77777777" w:rsidR="00FE2562" w:rsidRDefault="00FE2562" w:rsidP="00FE2562">
            <w:pPr>
              <w:spacing w:before="1" w:after="1"/>
              <w:rPr>
                <w:color w:val="000000"/>
                <w:sz w:val="18"/>
              </w:rPr>
            </w:pPr>
          </w:p>
        </w:tc>
        <w:tc>
          <w:tcPr>
            <w:tcW w:w="106" w:type="pct"/>
            <w:tcBorders>
              <w:top w:val="nil"/>
              <w:left w:val="nil"/>
              <w:bottom w:val="nil"/>
              <w:right w:val="nil"/>
              <w:tl2br w:val="nil"/>
              <w:tr2bl w:val="nil"/>
            </w:tcBorders>
            <w:shd w:val="clear" w:color="auto" w:fill="auto"/>
            <w:noWrap/>
            <w:vAlign w:val="bottom"/>
          </w:tcPr>
          <w:p w14:paraId="6A19878E"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70723723"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68BA30C6" w14:textId="77777777" w:rsidR="00FE2562" w:rsidRDefault="00FE2562" w:rsidP="00FE2562">
            <w:pPr>
              <w:spacing w:before="1" w:after="1"/>
              <w:jc w:val="right"/>
              <w:rPr>
                <w:color w:val="000000"/>
                <w:sz w:val="18"/>
              </w:rPr>
            </w:pPr>
          </w:p>
        </w:tc>
        <w:tc>
          <w:tcPr>
            <w:tcW w:w="101" w:type="pct"/>
            <w:tcBorders>
              <w:top w:val="nil"/>
              <w:left w:val="nil"/>
              <w:bottom w:val="nil"/>
              <w:right w:val="nil"/>
              <w:tl2br w:val="nil"/>
              <w:tr2bl w:val="nil"/>
            </w:tcBorders>
            <w:shd w:val="clear" w:color="auto" w:fill="auto"/>
            <w:noWrap/>
            <w:vAlign w:val="bottom"/>
          </w:tcPr>
          <w:p w14:paraId="49EE0DE5"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4C97EE98"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7BA92657" w14:textId="77777777" w:rsidR="00FE2562" w:rsidRDefault="00FE2562" w:rsidP="00FE2562">
            <w:pPr>
              <w:spacing w:before="1" w:after="1"/>
              <w:jc w:val="right"/>
              <w:rPr>
                <w:color w:val="000000"/>
                <w:sz w:val="18"/>
              </w:rPr>
            </w:pPr>
          </w:p>
        </w:tc>
      </w:tr>
      <w:tr w:rsidR="00FE2562" w14:paraId="3E8AC9E8" w14:textId="77777777" w:rsidTr="00FE2562">
        <w:tc>
          <w:tcPr>
            <w:tcW w:w="2935" w:type="pct"/>
            <w:tcBorders>
              <w:top w:val="nil"/>
              <w:left w:val="nil"/>
              <w:bottom w:val="nil"/>
              <w:right w:val="nil"/>
              <w:tl2br w:val="nil"/>
              <w:tr2bl w:val="nil"/>
            </w:tcBorders>
            <w:shd w:val="clear" w:color="auto" w:fill="auto"/>
            <w:vAlign w:val="bottom"/>
          </w:tcPr>
          <w:p w14:paraId="22EB1C80"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Other income (expense):</w:t>
            </w:r>
          </w:p>
        </w:tc>
        <w:tc>
          <w:tcPr>
            <w:tcW w:w="106" w:type="pct"/>
            <w:tcBorders>
              <w:top w:val="nil"/>
              <w:left w:val="nil"/>
              <w:bottom w:val="nil"/>
              <w:right w:val="nil"/>
              <w:tl2br w:val="nil"/>
              <w:tr2bl w:val="nil"/>
            </w:tcBorders>
            <w:shd w:val="clear" w:color="auto" w:fill="auto"/>
            <w:noWrap/>
            <w:vAlign w:val="bottom"/>
          </w:tcPr>
          <w:p w14:paraId="30B11000"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3BF9E01"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391D4336" w14:textId="77777777" w:rsidR="00FE2562" w:rsidRDefault="00FE2562" w:rsidP="00FE2562">
            <w:pPr>
              <w:spacing w:before="1" w:after="1"/>
              <w:jc w:val="right"/>
              <w:rPr>
                <w:color w:val="000000"/>
                <w:sz w:val="18"/>
              </w:rPr>
            </w:pPr>
          </w:p>
        </w:tc>
        <w:tc>
          <w:tcPr>
            <w:tcW w:w="101" w:type="pct"/>
            <w:tcBorders>
              <w:top w:val="nil"/>
              <w:left w:val="nil"/>
              <w:bottom w:val="nil"/>
              <w:right w:val="nil"/>
              <w:tl2br w:val="nil"/>
              <w:tr2bl w:val="nil"/>
            </w:tcBorders>
            <w:shd w:val="clear" w:color="auto" w:fill="auto"/>
            <w:noWrap/>
            <w:vAlign w:val="bottom"/>
          </w:tcPr>
          <w:p w14:paraId="32A846F5"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7CB704C2"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143E8BED" w14:textId="77777777" w:rsidR="00FE2562" w:rsidRDefault="00FE2562" w:rsidP="00FE2562">
            <w:pPr>
              <w:spacing w:before="1" w:after="1"/>
              <w:jc w:val="right"/>
              <w:rPr>
                <w:color w:val="000000"/>
                <w:sz w:val="18"/>
              </w:rPr>
            </w:pPr>
          </w:p>
        </w:tc>
      </w:tr>
      <w:tr w:rsidR="00FE2562" w14:paraId="6974799E" w14:textId="77777777" w:rsidTr="00FE2562">
        <w:tc>
          <w:tcPr>
            <w:tcW w:w="2935" w:type="pct"/>
            <w:tcBorders>
              <w:top w:val="nil"/>
              <w:left w:val="nil"/>
              <w:bottom w:val="nil"/>
              <w:right w:val="nil"/>
              <w:tl2br w:val="nil"/>
              <w:tr2bl w:val="nil"/>
            </w:tcBorders>
            <w:shd w:val="clear" w:color="auto" w:fill="auto"/>
            <w:vAlign w:val="center"/>
          </w:tcPr>
          <w:p w14:paraId="6D7095B5"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 xml:space="preserve">Interest income - related party </w:t>
            </w:r>
          </w:p>
        </w:tc>
        <w:tc>
          <w:tcPr>
            <w:tcW w:w="106" w:type="pct"/>
            <w:tcBorders>
              <w:top w:val="nil"/>
              <w:left w:val="nil"/>
              <w:bottom w:val="nil"/>
              <w:right w:val="nil"/>
              <w:tl2br w:val="nil"/>
              <w:tr2bl w:val="nil"/>
            </w:tcBorders>
            <w:shd w:val="clear" w:color="auto" w:fill="auto"/>
            <w:noWrap/>
            <w:vAlign w:val="bottom"/>
          </w:tcPr>
          <w:p w14:paraId="132C2516"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F9778DD"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11046EC9"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1,729</w:t>
            </w:r>
          </w:p>
        </w:tc>
        <w:tc>
          <w:tcPr>
            <w:tcW w:w="101" w:type="pct"/>
            <w:tcBorders>
              <w:top w:val="nil"/>
              <w:left w:val="nil"/>
              <w:bottom w:val="nil"/>
              <w:right w:val="nil"/>
              <w:tl2br w:val="nil"/>
              <w:tr2bl w:val="nil"/>
            </w:tcBorders>
            <w:shd w:val="clear" w:color="auto" w:fill="auto"/>
            <w:noWrap/>
            <w:vAlign w:val="bottom"/>
          </w:tcPr>
          <w:p w14:paraId="721AC6D8"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084B44A8"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4A95A1FE"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1,481</w:t>
            </w:r>
          </w:p>
        </w:tc>
      </w:tr>
      <w:tr w:rsidR="00FE2562" w14:paraId="5B97A518" w14:textId="77777777" w:rsidTr="00FE2562">
        <w:tc>
          <w:tcPr>
            <w:tcW w:w="2935" w:type="pct"/>
            <w:tcBorders>
              <w:top w:val="nil"/>
              <w:left w:val="nil"/>
              <w:bottom w:val="nil"/>
              <w:right w:val="nil"/>
              <w:tl2br w:val="nil"/>
              <w:tr2bl w:val="nil"/>
            </w:tcBorders>
            <w:shd w:val="clear" w:color="auto" w:fill="auto"/>
            <w:vAlign w:val="center"/>
          </w:tcPr>
          <w:p w14:paraId="346A9544"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Interest income - Investments</w:t>
            </w:r>
          </w:p>
        </w:tc>
        <w:tc>
          <w:tcPr>
            <w:tcW w:w="106" w:type="pct"/>
            <w:tcBorders>
              <w:top w:val="nil"/>
              <w:left w:val="nil"/>
              <w:bottom w:val="nil"/>
              <w:right w:val="nil"/>
              <w:tl2br w:val="nil"/>
              <w:tr2bl w:val="nil"/>
            </w:tcBorders>
            <w:shd w:val="clear" w:color="auto" w:fill="auto"/>
            <w:noWrap/>
            <w:vAlign w:val="bottom"/>
          </w:tcPr>
          <w:p w14:paraId="77ED16A2"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5D8A4940"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1D28F498"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1,108</w:t>
            </w:r>
          </w:p>
        </w:tc>
        <w:tc>
          <w:tcPr>
            <w:tcW w:w="101" w:type="pct"/>
            <w:tcBorders>
              <w:top w:val="nil"/>
              <w:left w:val="nil"/>
              <w:bottom w:val="nil"/>
              <w:right w:val="nil"/>
              <w:tl2br w:val="nil"/>
              <w:tr2bl w:val="nil"/>
            </w:tcBorders>
            <w:shd w:val="clear" w:color="auto" w:fill="auto"/>
            <w:noWrap/>
            <w:vAlign w:val="bottom"/>
          </w:tcPr>
          <w:p w14:paraId="473C249D"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9557A1E"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0F3ABDFF"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1,023</w:t>
            </w:r>
          </w:p>
        </w:tc>
      </w:tr>
      <w:tr w:rsidR="00FE2562" w14:paraId="6BAB3124" w14:textId="77777777" w:rsidTr="00FE2562">
        <w:tc>
          <w:tcPr>
            <w:tcW w:w="2935" w:type="pct"/>
            <w:tcBorders>
              <w:top w:val="nil"/>
              <w:left w:val="nil"/>
              <w:bottom w:val="nil"/>
              <w:right w:val="nil"/>
              <w:tl2br w:val="nil"/>
              <w:tr2bl w:val="nil"/>
            </w:tcBorders>
            <w:shd w:val="clear" w:color="auto" w:fill="auto"/>
            <w:vAlign w:val="bottom"/>
          </w:tcPr>
          <w:p w14:paraId="63A5722B"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Oil and gas royalty income, net</w:t>
            </w:r>
          </w:p>
        </w:tc>
        <w:tc>
          <w:tcPr>
            <w:tcW w:w="106" w:type="pct"/>
            <w:tcBorders>
              <w:top w:val="nil"/>
              <w:left w:val="nil"/>
              <w:bottom w:val="nil"/>
              <w:right w:val="nil"/>
              <w:tl2br w:val="nil"/>
              <w:tr2bl w:val="nil"/>
            </w:tcBorders>
            <w:shd w:val="clear" w:color="auto" w:fill="auto"/>
            <w:noWrap/>
            <w:vAlign w:val="bottom"/>
          </w:tcPr>
          <w:p w14:paraId="5D19BD67"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3F83F3D5"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442DFCEF"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795</w:t>
            </w:r>
          </w:p>
        </w:tc>
        <w:tc>
          <w:tcPr>
            <w:tcW w:w="101" w:type="pct"/>
            <w:tcBorders>
              <w:top w:val="nil"/>
              <w:left w:val="nil"/>
              <w:bottom w:val="nil"/>
              <w:right w:val="nil"/>
              <w:tl2br w:val="nil"/>
              <w:tr2bl w:val="nil"/>
            </w:tcBorders>
            <w:shd w:val="clear" w:color="auto" w:fill="auto"/>
            <w:noWrap/>
            <w:vAlign w:val="bottom"/>
          </w:tcPr>
          <w:p w14:paraId="334D2C66"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32AD1B26"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35F74F55"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267</w:t>
            </w:r>
          </w:p>
        </w:tc>
      </w:tr>
      <w:tr w:rsidR="00FE2562" w14:paraId="565EC3F7" w14:textId="77777777" w:rsidTr="00FE2562">
        <w:tc>
          <w:tcPr>
            <w:tcW w:w="2935" w:type="pct"/>
            <w:tcBorders>
              <w:top w:val="nil"/>
              <w:left w:val="nil"/>
              <w:bottom w:val="nil"/>
              <w:right w:val="nil"/>
              <w:tl2br w:val="nil"/>
              <w:tr2bl w:val="nil"/>
            </w:tcBorders>
            <w:shd w:val="clear" w:color="auto" w:fill="auto"/>
            <w:vAlign w:val="bottom"/>
          </w:tcPr>
          <w:p w14:paraId="218913F0"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Oil and gas lease income, net</w:t>
            </w:r>
          </w:p>
        </w:tc>
        <w:tc>
          <w:tcPr>
            <w:tcW w:w="106" w:type="pct"/>
            <w:tcBorders>
              <w:top w:val="nil"/>
              <w:left w:val="nil"/>
              <w:bottom w:val="nil"/>
              <w:right w:val="nil"/>
              <w:tl2br w:val="nil"/>
              <w:tr2bl w:val="nil"/>
            </w:tcBorders>
            <w:shd w:val="clear" w:color="auto" w:fill="auto"/>
            <w:noWrap/>
            <w:vAlign w:val="bottom"/>
          </w:tcPr>
          <w:p w14:paraId="22CE9A5B"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B04696D"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234D68AB"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69</w:t>
            </w:r>
          </w:p>
        </w:tc>
        <w:tc>
          <w:tcPr>
            <w:tcW w:w="101" w:type="pct"/>
            <w:tcBorders>
              <w:top w:val="nil"/>
              <w:left w:val="nil"/>
              <w:bottom w:val="nil"/>
              <w:right w:val="nil"/>
              <w:tl2br w:val="nil"/>
              <w:tr2bl w:val="nil"/>
            </w:tcBorders>
            <w:shd w:val="clear" w:color="auto" w:fill="auto"/>
            <w:noWrap/>
            <w:vAlign w:val="bottom"/>
          </w:tcPr>
          <w:p w14:paraId="6BB53B84"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22B9172A"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31BA626D"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75</w:t>
            </w:r>
          </w:p>
        </w:tc>
      </w:tr>
      <w:tr w:rsidR="00FE2562" w14:paraId="5F106CB2" w14:textId="77777777" w:rsidTr="00FE2562">
        <w:tc>
          <w:tcPr>
            <w:tcW w:w="2935" w:type="pct"/>
            <w:tcBorders>
              <w:top w:val="nil"/>
              <w:left w:val="nil"/>
              <w:bottom w:val="nil"/>
              <w:right w:val="nil"/>
              <w:tl2br w:val="nil"/>
              <w:tr2bl w:val="nil"/>
            </w:tcBorders>
            <w:shd w:val="clear" w:color="auto" w:fill="auto"/>
            <w:vAlign w:val="bottom"/>
          </w:tcPr>
          <w:p w14:paraId="0C90C8CE"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Other, net</w:t>
            </w:r>
          </w:p>
        </w:tc>
        <w:tc>
          <w:tcPr>
            <w:tcW w:w="106" w:type="pct"/>
            <w:tcBorders>
              <w:top w:val="nil"/>
              <w:left w:val="nil"/>
              <w:bottom w:val="nil"/>
              <w:right w:val="nil"/>
              <w:tl2br w:val="nil"/>
              <w:tr2bl w:val="nil"/>
            </w:tcBorders>
            <w:shd w:val="clear" w:color="auto" w:fill="auto"/>
            <w:noWrap/>
            <w:vAlign w:val="bottom"/>
          </w:tcPr>
          <w:p w14:paraId="297433CB"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9F3CBFC"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48E56933"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128</w:t>
            </w:r>
          </w:p>
        </w:tc>
        <w:tc>
          <w:tcPr>
            <w:tcW w:w="101" w:type="pct"/>
            <w:tcBorders>
              <w:top w:val="nil"/>
              <w:left w:val="nil"/>
              <w:bottom w:val="nil"/>
              <w:right w:val="nil"/>
              <w:tl2br w:val="nil"/>
              <w:tr2bl w:val="nil"/>
            </w:tcBorders>
            <w:shd w:val="clear" w:color="auto" w:fill="auto"/>
            <w:noWrap/>
            <w:vAlign w:val="bottom"/>
          </w:tcPr>
          <w:p w14:paraId="24019D86"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D04E8E8"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7067F434"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1,508</w:t>
            </w:r>
          </w:p>
        </w:tc>
      </w:tr>
      <w:tr w:rsidR="00FE2562" w14:paraId="5BE7D5E9" w14:textId="77777777" w:rsidTr="00FE2562">
        <w:tc>
          <w:tcPr>
            <w:tcW w:w="2935" w:type="pct"/>
            <w:tcBorders>
              <w:top w:val="nil"/>
              <w:left w:val="nil"/>
              <w:bottom w:val="nil"/>
              <w:right w:val="nil"/>
              <w:tl2br w:val="nil"/>
              <w:tr2bl w:val="nil"/>
            </w:tcBorders>
            <w:shd w:val="clear" w:color="auto" w:fill="auto"/>
            <w:vAlign w:val="center"/>
          </w:tcPr>
          <w:p w14:paraId="1426C19B"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Interest expense, net</w:t>
            </w:r>
          </w:p>
        </w:tc>
        <w:tc>
          <w:tcPr>
            <w:tcW w:w="106" w:type="pct"/>
            <w:tcBorders>
              <w:top w:val="nil"/>
              <w:left w:val="nil"/>
              <w:bottom w:val="nil"/>
              <w:right w:val="nil"/>
              <w:tl2br w:val="nil"/>
              <w:tr2bl w:val="nil"/>
            </w:tcBorders>
            <w:shd w:val="clear" w:color="auto" w:fill="auto"/>
            <w:noWrap/>
            <w:vAlign w:val="bottom"/>
          </w:tcPr>
          <w:p w14:paraId="2DDE2217"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3DCE8A79" w14:textId="77777777" w:rsidR="00FE2562" w:rsidRDefault="00FE2562" w:rsidP="00FE2562">
            <w:pPr>
              <w:spacing w:before="1" w:after="1"/>
              <w:rPr>
                <w:color w:val="000000"/>
                <w:sz w:val="18"/>
              </w:rPr>
            </w:pPr>
          </w:p>
        </w:tc>
        <w:tc>
          <w:tcPr>
            <w:tcW w:w="828" w:type="pct"/>
            <w:tcBorders>
              <w:top w:val="nil"/>
              <w:left w:val="nil"/>
              <w:bottom w:val="single" w:sz="4" w:space="0" w:color="000000"/>
              <w:right w:val="nil"/>
              <w:tl2br w:val="nil"/>
              <w:tr2bl w:val="nil"/>
            </w:tcBorders>
            <w:shd w:val="clear" w:color="auto" w:fill="auto"/>
            <w:noWrap/>
            <w:vAlign w:val="bottom"/>
          </w:tcPr>
          <w:p w14:paraId="37A30DB0" w14:textId="77777777" w:rsidR="00FE2562" w:rsidRDefault="00FE2562" w:rsidP="00FE2562">
            <w:pPr>
              <w:spacing w:before="1" w:after="1"/>
              <w:jc w:val="right"/>
              <w:rPr>
                <w:color w:val="000000"/>
                <w:sz w:val="18"/>
              </w:rPr>
            </w:pPr>
            <w:r>
              <w:rPr>
                <w:rFonts w:ascii="Times New Roman" w:eastAsia="Times New Roman" w:hAnsi="Times New Roman" w:cs="Times New Roman"/>
                <w:color w:val="000000"/>
                <w:sz w:val="18"/>
              </w:rPr>
              <w:t xml:space="preserve"> (439)</w:t>
            </w:r>
          </w:p>
        </w:tc>
        <w:tc>
          <w:tcPr>
            <w:tcW w:w="101" w:type="pct"/>
            <w:tcBorders>
              <w:top w:val="nil"/>
              <w:left w:val="nil"/>
              <w:bottom w:val="nil"/>
              <w:right w:val="nil"/>
              <w:tl2br w:val="nil"/>
              <w:tr2bl w:val="nil"/>
            </w:tcBorders>
            <w:shd w:val="clear" w:color="auto" w:fill="auto"/>
            <w:noWrap/>
            <w:vAlign w:val="bottom"/>
          </w:tcPr>
          <w:p w14:paraId="0550E897"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0BF79F8E" w14:textId="77777777" w:rsidR="00FE2562" w:rsidRDefault="00FE2562" w:rsidP="00FE2562">
            <w:pPr>
              <w:spacing w:before="1" w:after="1"/>
              <w:rPr>
                <w:color w:val="000000"/>
                <w:sz w:val="18"/>
              </w:rPr>
            </w:pPr>
          </w:p>
        </w:tc>
        <w:tc>
          <w:tcPr>
            <w:tcW w:w="828" w:type="pct"/>
            <w:tcBorders>
              <w:top w:val="nil"/>
              <w:left w:val="nil"/>
              <w:bottom w:val="single" w:sz="4" w:space="0" w:color="000000"/>
              <w:right w:val="nil"/>
              <w:tl2br w:val="nil"/>
              <w:tr2bl w:val="nil"/>
            </w:tcBorders>
            <w:shd w:val="clear" w:color="auto" w:fill="auto"/>
            <w:noWrap/>
            <w:vAlign w:val="bottom"/>
          </w:tcPr>
          <w:p w14:paraId="35B0D4FE" w14:textId="77777777" w:rsidR="00FE2562" w:rsidRDefault="00FE2562" w:rsidP="00FE2562">
            <w:pPr>
              <w:spacing w:before="1" w:after="1"/>
              <w:jc w:val="right"/>
              <w:rPr>
                <w:color w:val="000000"/>
                <w:sz w:val="18"/>
              </w:rPr>
            </w:pPr>
            <w:r>
              <w:rPr>
                <w:rFonts w:ascii="Times New Roman" w:eastAsia="Times New Roman" w:hAnsi="Times New Roman" w:cs="Times New Roman"/>
                <w:color w:val="000000"/>
                <w:sz w:val="18"/>
              </w:rPr>
              <w:t xml:space="preserve"> (206)</w:t>
            </w:r>
          </w:p>
        </w:tc>
      </w:tr>
      <w:tr w:rsidR="00FE2562" w14:paraId="79AF0BF6" w14:textId="77777777" w:rsidTr="00FE2562">
        <w:tc>
          <w:tcPr>
            <w:tcW w:w="2935" w:type="pct"/>
            <w:tcBorders>
              <w:top w:val="nil"/>
              <w:left w:val="nil"/>
              <w:bottom w:val="nil"/>
              <w:right w:val="nil"/>
              <w:tl2br w:val="nil"/>
              <w:tr2bl w:val="nil"/>
            </w:tcBorders>
            <w:shd w:val="clear" w:color="auto" w:fill="auto"/>
            <w:vAlign w:val="bottom"/>
          </w:tcPr>
          <w:p w14:paraId="680629FA"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Income from operations before income taxes</w:t>
            </w:r>
          </w:p>
        </w:tc>
        <w:tc>
          <w:tcPr>
            <w:tcW w:w="106" w:type="pct"/>
            <w:tcBorders>
              <w:top w:val="nil"/>
              <w:left w:val="nil"/>
              <w:bottom w:val="nil"/>
              <w:right w:val="nil"/>
              <w:tl2br w:val="nil"/>
              <w:tr2bl w:val="nil"/>
            </w:tcBorders>
            <w:shd w:val="clear" w:color="auto" w:fill="auto"/>
            <w:noWrap/>
            <w:vAlign w:val="bottom"/>
          </w:tcPr>
          <w:p w14:paraId="4F854FF5"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485958AC"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26ABA331"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15,632</w:t>
            </w:r>
          </w:p>
        </w:tc>
        <w:tc>
          <w:tcPr>
            <w:tcW w:w="101" w:type="pct"/>
            <w:tcBorders>
              <w:top w:val="nil"/>
              <w:left w:val="nil"/>
              <w:bottom w:val="nil"/>
              <w:right w:val="nil"/>
              <w:tl2br w:val="nil"/>
              <w:tr2bl w:val="nil"/>
            </w:tcBorders>
            <w:shd w:val="clear" w:color="auto" w:fill="auto"/>
            <w:noWrap/>
            <w:vAlign w:val="bottom"/>
          </w:tcPr>
          <w:p w14:paraId="21A04713"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CD36731"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nil"/>
              <w:right w:val="nil"/>
              <w:tl2br w:val="nil"/>
              <w:tr2bl w:val="nil"/>
            </w:tcBorders>
            <w:shd w:val="clear" w:color="auto" w:fill="auto"/>
            <w:noWrap/>
            <w:vAlign w:val="bottom"/>
          </w:tcPr>
          <w:p w14:paraId="752A7A9F"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6,220</w:t>
            </w:r>
          </w:p>
        </w:tc>
      </w:tr>
      <w:tr w:rsidR="00FE2562" w14:paraId="518EA146" w14:textId="77777777" w:rsidTr="00FE2562">
        <w:tc>
          <w:tcPr>
            <w:tcW w:w="2935" w:type="pct"/>
            <w:tcBorders>
              <w:top w:val="nil"/>
              <w:left w:val="nil"/>
              <w:bottom w:val="nil"/>
              <w:right w:val="nil"/>
              <w:tl2br w:val="nil"/>
              <w:tr2bl w:val="nil"/>
            </w:tcBorders>
            <w:shd w:val="clear" w:color="auto" w:fill="auto"/>
            <w:vAlign w:val="bottom"/>
          </w:tcPr>
          <w:p w14:paraId="4B6AD347"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Income tax expense</w:t>
            </w:r>
          </w:p>
        </w:tc>
        <w:tc>
          <w:tcPr>
            <w:tcW w:w="106" w:type="pct"/>
            <w:tcBorders>
              <w:top w:val="nil"/>
              <w:left w:val="nil"/>
              <w:bottom w:val="nil"/>
              <w:right w:val="nil"/>
              <w:tl2br w:val="nil"/>
              <w:tr2bl w:val="nil"/>
            </w:tcBorders>
            <w:shd w:val="clear" w:color="auto" w:fill="auto"/>
            <w:noWrap/>
            <w:vAlign w:val="bottom"/>
          </w:tcPr>
          <w:p w14:paraId="5C382ED2"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72691AEF"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single" w:sz="4" w:space="0" w:color="000000"/>
              <w:right w:val="nil"/>
              <w:tl2br w:val="nil"/>
              <w:tr2bl w:val="nil"/>
            </w:tcBorders>
            <w:shd w:val="clear" w:color="auto" w:fill="auto"/>
            <w:noWrap/>
            <w:vAlign w:val="bottom"/>
          </w:tcPr>
          <w:p w14:paraId="453B2B33" w14:textId="77777777" w:rsidR="00FE2562" w:rsidRDefault="00FE2562" w:rsidP="00FE2562">
            <w:pPr>
              <w:spacing w:before="1" w:after="1"/>
              <w:jc w:val="right"/>
              <w:rPr>
                <w:color w:val="000000"/>
                <w:sz w:val="18"/>
              </w:rPr>
            </w:pPr>
            <w:r>
              <w:rPr>
                <w:rFonts w:ascii="Times New Roman" w:eastAsia="Times New Roman" w:hAnsi="Times New Roman" w:cs="Times New Roman"/>
                <w:color w:val="000000"/>
                <w:sz w:val="18"/>
              </w:rPr>
              <w:t xml:space="preserve"> (4,019)</w:t>
            </w:r>
          </w:p>
        </w:tc>
        <w:tc>
          <w:tcPr>
            <w:tcW w:w="101" w:type="pct"/>
            <w:tcBorders>
              <w:top w:val="nil"/>
              <w:left w:val="nil"/>
              <w:bottom w:val="nil"/>
              <w:right w:val="nil"/>
              <w:tl2br w:val="nil"/>
              <w:tr2bl w:val="nil"/>
            </w:tcBorders>
            <w:shd w:val="clear" w:color="auto" w:fill="auto"/>
            <w:noWrap/>
            <w:vAlign w:val="bottom"/>
          </w:tcPr>
          <w:p w14:paraId="09F51E6B" w14:textId="77777777" w:rsidR="00FE2562" w:rsidRDefault="00FE2562" w:rsidP="00FE2562">
            <w:pPr>
              <w:spacing w:before="1" w:after="1"/>
              <w:rPr>
                <w:color w:val="000000"/>
                <w:sz w:val="18"/>
              </w:rPr>
            </w:pPr>
          </w:p>
        </w:tc>
        <w:tc>
          <w:tcPr>
            <w:tcW w:w="101" w:type="pct"/>
            <w:tcBorders>
              <w:top w:val="nil"/>
              <w:left w:val="nil"/>
              <w:bottom w:val="single" w:sz="4" w:space="0" w:color="000000"/>
              <w:right w:val="nil"/>
              <w:tl2br w:val="nil"/>
              <w:tr2bl w:val="nil"/>
            </w:tcBorders>
            <w:shd w:val="clear" w:color="auto" w:fill="auto"/>
            <w:noWrap/>
            <w:vAlign w:val="bottom"/>
          </w:tcPr>
          <w:p w14:paraId="1B9CAF03"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single" w:sz="4" w:space="0" w:color="000000"/>
              <w:right w:val="nil"/>
              <w:tl2br w:val="nil"/>
              <w:tr2bl w:val="nil"/>
            </w:tcBorders>
            <w:shd w:val="clear" w:color="auto" w:fill="auto"/>
            <w:noWrap/>
            <w:vAlign w:val="bottom"/>
          </w:tcPr>
          <w:p w14:paraId="64F2CC25" w14:textId="77777777" w:rsidR="00FE2562" w:rsidRDefault="00FE2562" w:rsidP="00FE2562">
            <w:pPr>
              <w:spacing w:before="1" w:after="1"/>
              <w:jc w:val="right"/>
              <w:rPr>
                <w:color w:val="000000"/>
                <w:sz w:val="18"/>
              </w:rPr>
            </w:pPr>
            <w:r>
              <w:rPr>
                <w:rFonts w:ascii="Times New Roman" w:eastAsia="Times New Roman" w:hAnsi="Times New Roman" w:cs="Times New Roman"/>
                <w:color w:val="000000"/>
                <w:sz w:val="18"/>
              </w:rPr>
              <w:t xml:space="preserve"> (1,521)</w:t>
            </w:r>
          </w:p>
        </w:tc>
      </w:tr>
      <w:tr w:rsidR="00FE2562" w14:paraId="42BA1E61" w14:textId="77777777" w:rsidTr="00FE2562">
        <w:tc>
          <w:tcPr>
            <w:tcW w:w="2935" w:type="pct"/>
            <w:tcBorders>
              <w:top w:val="nil"/>
              <w:left w:val="nil"/>
              <w:bottom w:val="nil"/>
              <w:right w:val="nil"/>
              <w:tl2br w:val="nil"/>
              <w:tr2bl w:val="nil"/>
            </w:tcBorders>
            <w:shd w:val="clear" w:color="auto" w:fill="auto"/>
            <w:vAlign w:val="bottom"/>
          </w:tcPr>
          <w:p w14:paraId="67CDE19B"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Net income</w:t>
            </w:r>
          </w:p>
        </w:tc>
        <w:tc>
          <w:tcPr>
            <w:tcW w:w="106" w:type="pct"/>
            <w:tcBorders>
              <w:top w:val="nil"/>
              <w:left w:val="nil"/>
              <w:bottom w:val="nil"/>
              <w:right w:val="nil"/>
              <w:tl2br w:val="nil"/>
              <w:tr2bl w:val="nil"/>
            </w:tcBorders>
            <w:shd w:val="clear" w:color="auto" w:fill="auto"/>
            <w:noWrap/>
            <w:vAlign w:val="bottom"/>
          </w:tcPr>
          <w:p w14:paraId="6054D5B7" w14:textId="77777777" w:rsidR="00FE2562" w:rsidRDefault="00FE2562" w:rsidP="00FE2562">
            <w:pPr>
              <w:spacing w:before="1" w:after="1"/>
              <w:rPr>
                <w:color w:val="000000"/>
                <w:sz w:val="18"/>
              </w:rPr>
            </w:pPr>
          </w:p>
        </w:tc>
        <w:tc>
          <w:tcPr>
            <w:tcW w:w="101" w:type="pct"/>
            <w:tcBorders>
              <w:top w:val="nil"/>
              <w:left w:val="nil"/>
              <w:bottom w:val="double" w:sz="4" w:space="0" w:color="000000"/>
              <w:right w:val="nil"/>
              <w:tl2br w:val="nil"/>
              <w:tr2bl w:val="nil"/>
            </w:tcBorders>
            <w:shd w:val="clear" w:color="auto" w:fill="auto"/>
            <w:noWrap/>
            <w:vAlign w:val="bottom"/>
          </w:tcPr>
          <w:p w14:paraId="3197C897"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w:t>
            </w:r>
          </w:p>
        </w:tc>
        <w:tc>
          <w:tcPr>
            <w:tcW w:w="828" w:type="pct"/>
            <w:tcBorders>
              <w:top w:val="nil"/>
              <w:left w:val="nil"/>
              <w:bottom w:val="double" w:sz="4" w:space="0" w:color="000000"/>
              <w:right w:val="nil"/>
              <w:tl2br w:val="nil"/>
              <w:tr2bl w:val="nil"/>
            </w:tcBorders>
            <w:shd w:val="clear" w:color="auto" w:fill="auto"/>
            <w:noWrap/>
            <w:vAlign w:val="bottom"/>
          </w:tcPr>
          <w:p w14:paraId="26F70D0B"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11,613</w:t>
            </w:r>
          </w:p>
        </w:tc>
        <w:tc>
          <w:tcPr>
            <w:tcW w:w="101" w:type="pct"/>
            <w:tcBorders>
              <w:top w:val="nil"/>
              <w:left w:val="nil"/>
              <w:bottom w:val="nil"/>
              <w:right w:val="nil"/>
              <w:tl2br w:val="nil"/>
              <w:tr2bl w:val="nil"/>
            </w:tcBorders>
            <w:shd w:val="clear" w:color="auto" w:fill="auto"/>
            <w:noWrap/>
            <w:vAlign w:val="bottom"/>
          </w:tcPr>
          <w:p w14:paraId="6EBC1DB5" w14:textId="77777777" w:rsidR="00FE2562" w:rsidRDefault="00FE2562" w:rsidP="00FE2562">
            <w:pPr>
              <w:spacing w:before="1" w:after="1"/>
              <w:rPr>
                <w:color w:val="000000"/>
                <w:sz w:val="18"/>
              </w:rPr>
            </w:pPr>
          </w:p>
        </w:tc>
        <w:tc>
          <w:tcPr>
            <w:tcW w:w="101" w:type="pct"/>
            <w:tcBorders>
              <w:top w:val="nil"/>
              <w:left w:val="nil"/>
              <w:bottom w:val="double" w:sz="4" w:space="0" w:color="000000"/>
              <w:right w:val="nil"/>
              <w:tl2br w:val="nil"/>
              <w:tr2bl w:val="nil"/>
            </w:tcBorders>
            <w:shd w:val="clear" w:color="auto" w:fill="auto"/>
            <w:noWrap/>
            <w:vAlign w:val="bottom"/>
          </w:tcPr>
          <w:p w14:paraId="41CCAA3B"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w:t>
            </w:r>
          </w:p>
        </w:tc>
        <w:tc>
          <w:tcPr>
            <w:tcW w:w="828" w:type="pct"/>
            <w:tcBorders>
              <w:top w:val="nil"/>
              <w:left w:val="nil"/>
              <w:bottom w:val="double" w:sz="4" w:space="0" w:color="000000"/>
              <w:right w:val="nil"/>
              <w:tl2br w:val="nil"/>
              <w:tr2bl w:val="nil"/>
            </w:tcBorders>
            <w:shd w:val="clear" w:color="auto" w:fill="auto"/>
            <w:noWrap/>
            <w:vAlign w:val="bottom"/>
          </w:tcPr>
          <w:p w14:paraId="63AB6E7A"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4,699</w:t>
            </w:r>
          </w:p>
        </w:tc>
      </w:tr>
      <w:tr w:rsidR="00FE2562" w14:paraId="336EAFD6" w14:textId="77777777" w:rsidTr="00FE2562">
        <w:tc>
          <w:tcPr>
            <w:tcW w:w="2935" w:type="pct"/>
            <w:tcBorders>
              <w:top w:val="nil"/>
              <w:left w:val="nil"/>
              <w:bottom w:val="nil"/>
              <w:right w:val="nil"/>
              <w:tl2br w:val="nil"/>
              <w:tr2bl w:val="nil"/>
            </w:tcBorders>
            <w:shd w:val="clear" w:color="auto" w:fill="auto"/>
            <w:vAlign w:val="bottom"/>
          </w:tcPr>
          <w:p w14:paraId="792C43D4" w14:textId="77777777" w:rsidR="00FE2562" w:rsidRDefault="00FE2562" w:rsidP="00FE2562">
            <w:pPr>
              <w:spacing w:before="1" w:after="1"/>
              <w:rPr>
                <w:color w:val="000000"/>
                <w:sz w:val="18"/>
              </w:rPr>
            </w:pPr>
          </w:p>
        </w:tc>
        <w:tc>
          <w:tcPr>
            <w:tcW w:w="106" w:type="pct"/>
            <w:tcBorders>
              <w:top w:val="nil"/>
              <w:left w:val="nil"/>
              <w:bottom w:val="nil"/>
              <w:right w:val="nil"/>
              <w:tl2br w:val="nil"/>
              <w:tr2bl w:val="nil"/>
            </w:tcBorders>
            <w:shd w:val="clear" w:color="auto" w:fill="auto"/>
            <w:noWrap/>
            <w:vAlign w:val="bottom"/>
          </w:tcPr>
          <w:p w14:paraId="32331EFE"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E38BD3A"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11C05ACD" w14:textId="77777777" w:rsidR="00FE2562" w:rsidRDefault="00FE2562" w:rsidP="00FE2562">
            <w:pPr>
              <w:spacing w:before="1" w:after="1"/>
              <w:jc w:val="right"/>
              <w:rPr>
                <w:color w:val="000000"/>
                <w:sz w:val="18"/>
              </w:rPr>
            </w:pPr>
          </w:p>
        </w:tc>
        <w:tc>
          <w:tcPr>
            <w:tcW w:w="101" w:type="pct"/>
            <w:tcBorders>
              <w:top w:val="nil"/>
              <w:left w:val="nil"/>
              <w:bottom w:val="nil"/>
              <w:right w:val="nil"/>
              <w:tl2br w:val="nil"/>
              <w:tr2bl w:val="nil"/>
            </w:tcBorders>
            <w:shd w:val="clear" w:color="auto" w:fill="auto"/>
            <w:noWrap/>
            <w:vAlign w:val="bottom"/>
          </w:tcPr>
          <w:p w14:paraId="1B682059"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04ADC0D1"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18CAB42C" w14:textId="77777777" w:rsidR="00FE2562" w:rsidRDefault="00FE2562" w:rsidP="00FE2562">
            <w:pPr>
              <w:spacing w:before="1" w:after="1"/>
              <w:jc w:val="right"/>
              <w:rPr>
                <w:color w:val="000000"/>
                <w:sz w:val="18"/>
              </w:rPr>
            </w:pPr>
          </w:p>
        </w:tc>
      </w:tr>
      <w:tr w:rsidR="00FE2562" w14:paraId="7040F6D6" w14:textId="77777777" w:rsidTr="00FE2562">
        <w:tc>
          <w:tcPr>
            <w:tcW w:w="2935" w:type="pct"/>
            <w:tcBorders>
              <w:top w:val="nil"/>
              <w:left w:val="nil"/>
              <w:bottom w:val="nil"/>
              <w:right w:val="nil"/>
              <w:tl2br w:val="nil"/>
              <w:tr2bl w:val="nil"/>
            </w:tcBorders>
            <w:shd w:val="clear" w:color="auto" w:fill="auto"/>
            <w:vAlign w:val="bottom"/>
          </w:tcPr>
          <w:p w14:paraId="385C72E5"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Earnings per common share - basic and diluted</w:t>
            </w:r>
          </w:p>
        </w:tc>
        <w:tc>
          <w:tcPr>
            <w:tcW w:w="106" w:type="pct"/>
            <w:tcBorders>
              <w:top w:val="nil"/>
              <w:left w:val="nil"/>
              <w:bottom w:val="nil"/>
              <w:right w:val="nil"/>
              <w:tl2br w:val="nil"/>
              <w:tr2bl w:val="nil"/>
            </w:tcBorders>
            <w:shd w:val="clear" w:color="auto" w:fill="auto"/>
            <w:noWrap/>
            <w:vAlign w:val="bottom"/>
          </w:tcPr>
          <w:p w14:paraId="4DB07FFA"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072A69EC"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012E3CE2"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65E25BC7"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37E7CB8B"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5278682A" w14:textId="77777777" w:rsidR="00FE2562" w:rsidRDefault="00FE2562" w:rsidP="00FE2562">
            <w:pPr>
              <w:spacing w:before="1" w:after="1"/>
              <w:rPr>
                <w:color w:val="000000"/>
                <w:sz w:val="18"/>
              </w:rPr>
            </w:pPr>
          </w:p>
        </w:tc>
      </w:tr>
      <w:tr w:rsidR="00FE2562" w14:paraId="22CAAB04" w14:textId="77777777" w:rsidTr="00FE2562">
        <w:tc>
          <w:tcPr>
            <w:tcW w:w="2935" w:type="pct"/>
            <w:tcBorders>
              <w:top w:val="nil"/>
              <w:left w:val="nil"/>
              <w:bottom w:val="nil"/>
              <w:right w:val="nil"/>
              <w:tl2br w:val="nil"/>
              <w:tr2bl w:val="nil"/>
            </w:tcBorders>
            <w:shd w:val="clear" w:color="auto" w:fill="auto"/>
            <w:vAlign w:val="bottom"/>
          </w:tcPr>
          <w:p w14:paraId="074A58F2"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Basic</w:t>
            </w:r>
          </w:p>
        </w:tc>
        <w:tc>
          <w:tcPr>
            <w:tcW w:w="106" w:type="pct"/>
            <w:tcBorders>
              <w:top w:val="nil"/>
              <w:left w:val="nil"/>
              <w:bottom w:val="nil"/>
              <w:right w:val="nil"/>
              <w:tl2br w:val="nil"/>
              <w:tr2bl w:val="nil"/>
            </w:tcBorders>
            <w:shd w:val="clear" w:color="auto" w:fill="auto"/>
            <w:noWrap/>
            <w:vAlign w:val="bottom"/>
          </w:tcPr>
          <w:p w14:paraId="4A42F04A" w14:textId="77777777" w:rsidR="00FE2562" w:rsidRDefault="00FE2562" w:rsidP="00FE2562">
            <w:pPr>
              <w:spacing w:before="1" w:after="1"/>
              <w:rPr>
                <w:color w:val="000000"/>
                <w:sz w:val="18"/>
              </w:rPr>
            </w:pPr>
          </w:p>
        </w:tc>
        <w:tc>
          <w:tcPr>
            <w:tcW w:w="101" w:type="pct"/>
            <w:tcBorders>
              <w:top w:val="nil"/>
              <w:left w:val="nil"/>
              <w:bottom w:val="double" w:sz="4" w:space="0" w:color="000000"/>
              <w:right w:val="nil"/>
              <w:tl2br w:val="nil"/>
              <w:tr2bl w:val="nil"/>
            </w:tcBorders>
            <w:shd w:val="clear" w:color="auto" w:fill="auto"/>
            <w:noWrap/>
            <w:vAlign w:val="bottom"/>
          </w:tcPr>
          <w:p w14:paraId="05091F74"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w:t>
            </w:r>
          </w:p>
        </w:tc>
        <w:tc>
          <w:tcPr>
            <w:tcW w:w="828" w:type="pct"/>
            <w:tcBorders>
              <w:top w:val="nil"/>
              <w:left w:val="nil"/>
              <w:bottom w:val="double" w:sz="4" w:space="0" w:color="000000"/>
              <w:right w:val="nil"/>
              <w:tl2br w:val="nil"/>
              <w:tr2bl w:val="nil"/>
            </w:tcBorders>
            <w:shd w:val="clear" w:color="auto" w:fill="auto"/>
            <w:noWrap/>
            <w:vAlign w:val="bottom"/>
          </w:tcPr>
          <w:p w14:paraId="4A084D14"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0.48</w:t>
            </w:r>
          </w:p>
        </w:tc>
        <w:tc>
          <w:tcPr>
            <w:tcW w:w="101" w:type="pct"/>
            <w:tcBorders>
              <w:top w:val="nil"/>
              <w:left w:val="nil"/>
              <w:bottom w:val="nil"/>
              <w:right w:val="nil"/>
              <w:tl2br w:val="nil"/>
              <w:tr2bl w:val="nil"/>
            </w:tcBorders>
            <w:shd w:val="clear" w:color="auto" w:fill="auto"/>
            <w:noWrap/>
            <w:vAlign w:val="bottom"/>
          </w:tcPr>
          <w:p w14:paraId="3B81CAFD" w14:textId="77777777" w:rsidR="00FE2562" w:rsidRDefault="00FE2562" w:rsidP="00FE2562">
            <w:pPr>
              <w:spacing w:before="1" w:after="1"/>
              <w:rPr>
                <w:color w:val="000000"/>
                <w:sz w:val="18"/>
              </w:rPr>
            </w:pPr>
          </w:p>
        </w:tc>
        <w:tc>
          <w:tcPr>
            <w:tcW w:w="101" w:type="pct"/>
            <w:tcBorders>
              <w:top w:val="nil"/>
              <w:left w:val="nil"/>
              <w:bottom w:val="double" w:sz="4" w:space="0" w:color="000000"/>
              <w:right w:val="nil"/>
              <w:tl2br w:val="nil"/>
              <w:tr2bl w:val="nil"/>
            </w:tcBorders>
            <w:shd w:val="clear" w:color="auto" w:fill="auto"/>
            <w:noWrap/>
            <w:vAlign w:val="bottom"/>
          </w:tcPr>
          <w:p w14:paraId="7D5513C3"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w:t>
            </w:r>
          </w:p>
        </w:tc>
        <w:tc>
          <w:tcPr>
            <w:tcW w:w="828" w:type="pct"/>
            <w:tcBorders>
              <w:top w:val="nil"/>
              <w:left w:val="nil"/>
              <w:bottom w:val="double" w:sz="4" w:space="0" w:color="000000"/>
              <w:right w:val="nil"/>
              <w:tl2br w:val="nil"/>
              <w:tr2bl w:val="nil"/>
            </w:tcBorders>
            <w:shd w:val="clear" w:color="auto" w:fill="auto"/>
            <w:noWrap/>
            <w:vAlign w:val="bottom"/>
          </w:tcPr>
          <w:p w14:paraId="43E42776"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0.20</w:t>
            </w:r>
          </w:p>
        </w:tc>
      </w:tr>
      <w:tr w:rsidR="00FE2562" w14:paraId="3547B0E9" w14:textId="77777777" w:rsidTr="00FE2562">
        <w:tc>
          <w:tcPr>
            <w:tcW w:w="2935" w:type="pct"/>
            <w:tcBorders>
              <w:top w:val="nil"/>
              <w:left w:val="nil"/>
              <w:bottom w:val="nil"/>
              <w:right w:val="nil"/>
              <w:tl2br w:val="nil"/>
              <w:tr2bl w:val="nil"/>
            </w:tcBorders>
            <w:shd w:val="clear" w:color="auto" w:fill="auto"/>
            <w:vAlign w:val="bottom"/>
          </w:tcPr>
          <w:p w14:paraId="540F876D"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Diluted</w:t>
            </w:r>
          </w:p>
        </w:tc>
        <w:tc>
          <w:tcPr>
            <w:tcW w:w="106" w:type="pct"/>
            <w:tcBorders>
              <w:top w:val="nil"/>
              <w:left w:val="nil"/>
              <w:bottom w:val="nil"/>
              <w:right w:val="nil"/>
              <w:tl2br w:val="nil"/>
              <w:tr2bl w:val="nil"/>
            </w:tcBorders>
            <w:shd w:val="clear" w:color="auto" w:fill="auto"/>
            <w:noWrap/>
            <w:vAlign w:val="bottom"/>
          </w:tcPr>
          <w:p w14:paraId="72CB4BAB" w14:textId="77777777" w:rsidR="00FE2562" w:rsidRDefault="00FE2562" w:rsidP="00FE2562">
            <w:pPr>
              <w:spacing w:before="1" w:after="1"/>
              <w:rPr>
                <w:color w:val="000000"/>
                <w:sz w:val="18"/>
              </w:rPr>
            </w:pPr>
          </w:p>
        </w:tc>
        <w:tc>
          <w:tcPr>
            <w:tcW w:w="101" w:type="pct"/>
            <w:tcBorders>
              <w:top w:val="nil"/>
              <w:left w:val="nil"/>
              <w:bottom w:val="double" w:sz="4" w:space="0" w:color="000000"/>
              <w:right w:val="nil"/>
              <w:tl2br w:val="nil"/>
              <w:tr2bl w:val="nil"/>
            </w:tcBorders>
            <w:shd w:val="clear" w:color="auto" w:fill="auto"/>
            <w:noWrap/>
            <w:vAlign w:val="bottom"/>
          </w:tcPr>
          <w:p w14:paraId="7C22CE9C"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w:t>
            </w:r>
          </w:p>
        </w:tc>
        <w:tc>
          <w:tcPr>
            <w:tcW w:w="828" w:type="pct"/>
            <w:tcBorders>
              <w:top w:val="nil"/>
              <w:left w:val="nil"/>
              <w:bottom w:val="double" w:sz="4" w:space="0" w:color="000000"/>
              <w:right w:val="nil"/>
              <w:tl2br w:val="nil"/>
              <w:tr2bl w:val="nil"/>
            </w:tcBorders>
            <w:shd w:val="clear" w:color="auto" w:fill="auto"/>
            <w:noWrap/>
            <w:vAlign w:val="bottom"/>
          </w:tcPr>
          <w:p w14:paraId="5E5D41AA"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0.48</w:t>
            </w:r>
          </w:p>
        </w:tc>
        <w:tc>
          <w:tcPr>
            <w:tcW w:w="101" w:type="pct"/>
            <w:tcBorders>
              <w:top w:val="nil"/>
              <w:left w:val="nil"/>
              <w:bottom w:val="nil"/>
              <w:right w:val="nil"/>
              <w:tl2br w:val="nil"/>
              <w:tr2bl w:val="nil"/>
            </w:tcBorders>
            <w:shd w:val="clear" w:color="auto" w:fill="auto"/>
            <w:noWrap/>
            <w:vAlign w:val="bottom"/>
          </w:tcPr>
          <w:p w14:paraId="3AACEE80" w14:textId="77777777" w:rsidR="00FE2562" w:rsidRDefault="00FE2562" w:rsidP="00FE2562">
            <w:pPr>
              <w:spacing w:before="1" w:after="1"/>
              <w:rPr>
                <w:color w:val="000000"/>
                <w:sz w:val="18"/>
              </w:rPr>
            </w:pPr>
          </w:p>
        </w:tc>
        <w:tc>
          <w:tcPr>
            <w:tcW w:w="101" w:type="pct"/>
            <w:tcBorders>
              <w:top w:val="nil"/>
              <w:left w:val="nil"/>
              <w:bottom w:val="double" w:sz="4" w:space="0" w:color="000000"/>
              <w:right w:val="nil"/>
              <w:tl2br w:val="nil"/>
              <w:tr2bl w:val="nil"/>
            </w:tcBorders>
            <w:shd w:val="clear" w:color="auto" w:fill="auto"/>
            <w:noWrap/>
            <w:vAlign w:val="bottom"/>
          </w:tcPr>
          <w:p w14:paraId="174672E1"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w:t>
            </w:r>
          </w:p>
        </w:tc>
        <w:tc>
          <w:tcPr>
            <w:tcW w:w="828" w:type="pct"/>
            <w:tcBorders>
              <w:top w:val="nil"/>
              <w:left w:val="nil"/>
              <w:bottom w:val="double" w:sz="4" w:space="0" w:color="000000"/>
              <w:right w:val="nil"/>
              <w:tl2br w:val="nil"/>
              <w:tr2bl w:val="nil"/>
            </w:tcBorders>
            <w:shd w:val="clear" w:color="auto" w:fill="auto"/>
            <w:noWrap/>
            <w:vAlign w:val="bottom"/>
          </w:tcPr>
          <w:p w14:paraId="04B1D511"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0.19</w:t>
            </w:r>
          </w:p>
        </w:tc>
      </w:tr>
      <w:tr w:rsidR="00FE2562" w14:paraId="19717FA8" w14:textId="77777777" w:rsidTr="00FE2562">
        <w:tc>
          <w:tcPr>
            <w:tcW w:w="2935" w:type="pct"/>
            <w:tcBorders>
              <w:top w:val="nil"/>
              <w:left w:val="nil"/>
              <w:bottom w:val="nil"/>
              <w:right w:val="nil"/>
              <w:tl2br w:val="nil"/>
              <w:tr2bl w:val="nil"/>
            </w:tcBorders>
            <w:shd w:val="clear" w:color="auto" w:fill="auto"/>
            <w:vAlign w:val="bottom"/>
          </w:tcPr>
          <w:p w14:paraId="1A5ABC47"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Weighted average common shares outstanding:</w:t>
            </w:r>
          </w:p>
        </w:tc>
        <w:tc>
          <w:tcPr>
            <w:tcW w:w="106" w:type="pct"/>
            <w:tcBorders>
              <w:top w:val="nil"/>
              <w:left w:val="nil"/>
              <w:bottom w:val="nil"/>
              <w:right w:val="nil"/>
              <w:tl2br w:val="nil"/>
              <w:tr2bl w:val="nil"/>
            </w:tcBorders>
            <w:shd w:val="clear" w:color="auto" w:fill="auto"/>
            <w:noWrap/>
            <w:vAlign w:val="bottom"/>
          </w:tcPr>
          <w:p w14:paraId="25F5BD45"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5F6AD2DC"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2028371D" w14:textId="77777777" w:rsidR="00FE2562" w:rsidRDefault="00FE2562" w:rsidP="00FE2562">
            <w:pPr>
              <w:spacing w:before="1" w:after="1"/>
              <w:jc w:val="right"/>
              <w:rPr>
                <w:color w:val="000000"/>
                <w:sz w:val="18"/>
              </w:rPr>
            </w:pPr>
          </w:p>
        </w:tc>
        <w:tc>
          <w:tcPr>
            <w:tcW w:w="101" w:type="pct"/>
            <w:tcBorders>
              <w:top w:val="nil"/>
              <w:left w:val="nil"/>
              <w:bottom w:val="nil"/>
              <w:right w:val="nil"/>
              <w:tl2br w:val="nil"/>
              <w:tr2bl w:val="nil"/>
            </w:tcBorders>
            <w:shd w:val="clear" w:color="auto" w:fill="auto"/>
            <w:noWrap/>
            <w:vAlign w:val="bottom"/>
          </w:tcPr>
          <w:p w14:paraId="41D70A4F"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71B34A12"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062D786C" w14:textId="77777777" w:rsidR="00FE2562" w:rsidRDefault="00FE2562" w:rsidP="00FE2562">
            <w:pPr>
              <w:spacing w:before="1" w:after="1"/>
              <w:jc w:val="right"/>
              <w:rPr>
                <w:color w:val="000000"/>
                <w:sz w:val="18"/>
              </w:rPr>
            </w:pPr>
          </w:p>
        </w:tc>
      </w:tr>
      <w:tr w:rsidR="00FE2562" w14:paraId="59D3EEBF" w14:textId="77777777" w:rsidTr="00FE2562">
        <w:tc>
          <w:tcPr>
            <w:tcW w:w="2935" w:type="pct"/>
            <w:tcBorders>
              <w:top w:val="nil"/>
              <w:left w:val="nil"/>
              <w:bottom w:val="nil"/>
              <w:right w:val="nil"/>
              <w:tl2br w:val="nil"/>
              <w:tr2bl w:val="nil"/>
            </w:tcBorders>
            <w:shd w:val="clear" w:color="auto" w:fill="auto"/>
            <w:vAlign w:val="bottom"/>
          </w:tcPr>
          <w:p w14:paraId="323B2141"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Basic</w:t>
            </w:r>
          </w:p>
        </w:tc>
        <w:tc>
          <w:tcPr>
            <w:tcW w:w="106" w:type="pct"/>
            <w:tcBorders>
              <w:top w:val="nil"/>
              <w:left w:val="nil"/>
              <w:bottom w:val="nil"/>
              <w:right w:val="nil"/>
              <w:tl2br w:val="nil"/>
              <w:tr2bl w:val="nil"/>
            </w:tcBorders>
            <w:shd w:val="clear" w:color="auto" w:fill="auto"/>
            <w:noWrap/>
            <w:vAlign w:val="bottom"/>
          </w:tcPr>
          <w:p w14:paraId="2177908F" w14:textId="77777777" w:rsidR="00FE2562" w:rsidRDefault="00FE2562" w:rsidP="00FE2562">
            <w:pPr>
              <w:spacing w:before="1" w:after="1"/>
              <w:rPr>
                <w:color w:val="000000"/>
                <w:sz w:val="18"/>
              </w:rPr>
            </w:pPr>
          </w:p>
        </w:tc>
        <w:tc>
          <w:tcPr>
            <w:tcW w:w="101" w:type="pct"/>
            <w:tcBorders>
              <w:top w:val="nil"/>
              <w:left w:val="nil"/>
              <w:bottom w:val="double" w:sz="4" w:space="0" w:color="000000"/>
              <w:right w:val="nil"/>
              <w:tl2br w:val="nil"/>
              <w:tr2bl w:val="nil"/>
            </w:tcBorders>
            <w:shd w:val="clear" w:color="auto" w:fill="auto"/>
            <w:noWrap/>
            <w:vAlign w:val="bottom"/>
          </w:tcPr>
          <w:p w14:paraId="02F17E8B"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double" w:sz="4" w:space="0" w:color="000000"/>
              <w:right w:val="nil"/>
              <w:tl2br w:val="nil"/>
              <w:tr2bl w:val="nil"/>
            </w:tcBorders>
            <w:shd w:val="clear" w:color="auto" w:fill="auto"/>
            <w:noWrap/>
            <w:vAlign w:val="bottom"/>
          </w:tcPr>
          <w:p w14:paraId="05903DA4"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24,083,001</w:t>
            </w:r>
          </w:p>
        </w:tc>
        <w:tc>
          <w:tcPr>
            <w:tcW w:w="101" w:type="pct"/>
            <w:tcBorders>
              <w:top w:val="nil"/>
              <w:left w:val="nil"/>
              <w:bottom w:val="nil"/>
              <w:right w:val="nil"/>
              <w:tl2br w:val="nil"/>
              <w:tr2bl w:val="nil"/>
            </w:tcBorders>
            <w:shd w:val="clear" w:color="auto" w:fill="auto"/>
            <w:noWrap/>
            <w:vAlign w:val="bottom"/>
          </w:tcPr>
          <w:p w14:paraId="09997754" w14:textId="77777777" w:rsidR="00FE2562" w:rsidRDefault="00FE2562" w:rsidP="00FE2562">
            <w:pPr>
              <w:spacing w:before="1" w:after="1"/>
              <w:rPr>
                <w:color w:val="000000"/>
                <w:sz w:val="18"/>
              </w:rPr>
            </w:pPr>
          </w:p>
        </w:tc>
        <w:tc>
          <w:tcPr>
            <w:tcW w:w="101" w:type="pct"/>
            <w:tcBorders>
              <w:top w:val="nil"/>
              <w:left w:val="nil"/>
              <w:bottom w:val="double" w:sz="4" w:space="0" w:color="000000"/>
              <w:right w:val="nil"/>
              <w:tl2br w:val="nil"/>
              <w:tr2bl w:val="nil"/>
            </w:tcBorders>
            <w:shd w:val="clear" w:color="auto" w:fill="auto"/>
            <w:noWrap/>
            <w:vAlign w:val="bottom"/>
          </w:tcPr>
          <w:p w14:paraId="5F838535" w14:textId="77777777" w:rsidR="00FE2562" w:rsidRDefault="00FE2562" w:rsidP="00FE2562">
            <w:pPr>
              <w:spacing w:before="1" w:after="1"/>
              <w:rPr>
                <w:color w:val="000000"/>
                <w:sz w:val="18"/>
              </w:rPr>
            </w:pPr>
          </w:p>
        </w:tc>
        <w:tc>
          <w:tcPr>
            <w:tcW w:w="828" w:type="pct"/>
            <w:tcBorders>
              <w:top w:val="nil"/>
              <w:left w:val="nil"/>
              <w:bottom w:val="double" w:sz="4" w:space="0" w:color="000000"/>
              <w:right w:val="nil"/>
              <w:tl2br w:val="nil"/>
              <w:tr2bl w:val="nil"/>
            </w:tcBorders>
            <w:shd w:val="clear" w:color="auto" w:fill="auto"/>
            <w:noWrap/>
            <w:vAlign w:val="bottom"/>
          </w:tcPr>
          <w:p w14:paraId="539A1993"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24,031,068</w:t>
            </w:r>
          </w:p>
        </w:tc>
      </w:tr>
      <w:tr w:rsidR="00FE2562" w14:paraId="5D612DA2" w14:textId="77777777" w:rsidTr="00FE2562">
        <w:tc>
          <w:tcPr>
            <w:tcW w:w="2935" w:type="pct"/>
            <w:tcBorders>
              <w:top w:val="nil"/>
              <w:left w:val="nil"/>
              <w:bottom w:val="nil"/>
              <w:right w:val="nil"/>
              <w:tl2br w:val="nil"/>
              <w:tr2bl w:val="nil"/>
            </w:tcBorders>
            <w:shd w:val="clear" w:color="auto" w:fill="auto"/>
            <w:vAlign w:val="bottom"/>
          </w:tcPr>
          <w:p w14:paraId="327B0721" w14:textId="77777777" w:rsidR="00FE2562" w:rsidRDefault="00FE2562" w:rsidP="00FE2562">
            <w:pPr>
              <w:spacing w:before="1" w:after="1"/>
              <w:ind w:left="120"/>
              <w:rPr>
                <w:color w:val="000000"/>
                <w:sz w:val="18"/>
              </w:rPr>
            </w:pPr>
            <w:r>
              <w:rPr>
                <w:rFonts w:ascii="Times New Roman" w:eastAsia="Times New Roman" w:hAnsi="Times New Roman" w:cs="Times New Roman"/>
                <w:color w:val="000000"/>
                <w:sz w:val="18"/>
              </w:rPr>
              <w:t>Diluted</w:t>
            </w:r>
          </w:p>
        </w:tc>
        <w:tc>
          <w:tcPr>
            <w:tcW w:w="106" w:type="pct"/>
            <w:tcBorders>
              <w:top w:val="nil"/>
              <w:left w:val="nil"/>
              <w:bottom w:val="nil"/>
              <w:right w:val="nil"/>
              <w:tl2br w:val="nil"/>
              <w:tr2bl w:val="nil"/>
            </w:tcBorders>
            <w:shd w:val="clear" w:color="auto" w:fill="auto"/>
            <w:noWrap/>
            <w:vAlign w:val="bottom"/>
          </w:tcPr>
          <w:p w14:paraId="34CD4C7D" w14:textId="77777777" w:rsidR="00FE2562" w:rsidRDefault="00FE2562" w:rsidP="00FE2562">
            <w:pPr>
              <w:spacing w:before="1" w:after="1"/>
              <w:rPr>
                <w:color w:val="000000"/>
                <w:sz w:val="18"/>
              </w:rPr>
            </w:pPr>
          </w:p>
        </w:tc>
        <w:tc>
          <w:tcPr>
            <w:tcW w:w="101" w:type="pct"/>
            <w:tcBorders>
              <w:top w:val="nil"/>
              <w:left w:val="nil"/>
              <w:bottom w:val="double" w:sz="4" w:space="0" w:color="000000"/>
              <w:right w:val="nil"/>
              <w:tl2br w:val="nil"/>
              <w:tr2bl w:val="nil"/>
            </w:tcBorders>
            <w:shd w:val="clear" w:color="auto" w:fill="auto"/>
            <w:noWrap/>
            <w:vAlign w:val="bottom"/>
          </w:tcPr>
          <w:p w14:paraId="42FC2689" w14:textId="77777777" w:rsidR="00FE2562" w:rsidRDefault="00FE2562" w:rsidP="00FE2562">
            <w:pPr>
              <w:spacing w:before="1" w:after="1"/>
              <w:rPr>
                <w:color w:val="000000"/>
                <w:sz w:val="18"/>
              </w:rPr>
            </w:pPr>
            <w:r>
              <w:rPr>
                <w:rFonts w:ascii="Times New Roman" w:eastAsia="Times New Roman" w:hAnsi="Times New Roman" w:cs="Times New Roman"/>
                <w:color w:val="000000"/>
                <w:sz w:val="18"/>
              </w:rPr>
              <w:t> </w:t>
            </w:r>
          </w:p>
        </w:tc>
        <w:tc>
          <w:tcPr>
            <w:tcW w:w="828" w:type="pct"/>
            <w:tcBorders>
              <w:top w:val="nil"/>
              <w:left w:val="nil"/>
              <w:bottom w:val="double" w:sz="4" w:space="0" w:color="000000"/>
              <w:right w:val="nil"/>
              <w:tl2br w:val="nil"/>
              <w:tr2bl w:val="nil"/>
            </w:tcBorders>
            <w:shd w:val="clear" w:color="auto" w:fill="auto"/>
            <w:noWrap/>
            <w:vAlign w:val="bottom"/>
          </w:tcPr>
          <w:p w14:paraId="5E5F286A"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24,140,946</w:t>
            </w:r>
          </w:p>
        </w:tc>
        <w:tc>
          <w:tcPr>
            <w:tcW w:w="101" w:type="pct"/>
            <w:tcBorders>
              <w:top w:val="nil"/>
              <w:left w:val="nil"/>
              <w:bottom w:val="nil"/>
              <w:right w:val="nil"/>
              <w:tl2br w:val="nil"/>
              <w:tr2bl w:val="nil"/>
            </w:tcBorders>
            <w:shd w:val="clear" w:color="auto" w:fill="auto"/>
            <w:noWrap/>
            <w:vAlign w:val="bottom"/>
          </w:tcPr>
          <w:p w14:paraId="039E51C3" w14:textId="77777777" w:rsidR="00FE2562" w:rsidRDefault="00FE2562" w:rsidP="00FE2562">
            <w:pPr>
              <w:spacing w:before="1" w:after="1"/>
              <w:rPr>
                <w:color w:val="000000"/>
                <w:sz w:val="18"/>
              </w:rPr>
            </w:pPr>
          </w:p>
        </w:tc>
        <w:tc>
          <w:tcPr>
            <w:tcW w:w="101" w:type="pct"/>
            <w:tcBorders>
              <w:top w:val="nil"/>
              <w:left w:val="nil"/>
              <w:bottom w:val="double" w:sz="4" w:space="0" w:color="000000"/>
              <w:right w:val="nil"/>
              <w:tl2br w:val="nil"/>
              <w:tr2bl w:val="nil"/>
            </w:tcBorders>
            <w:shd w:val="clear" w:color="auto" w:fill="auto"/>
            <w:noWrap/>
            <w:vAlign w:val="bottom"/>
          </w:tcPr>
          <w:p w14:paraId="6BB364DA" w14:textId="77777777" w:rsidR="00FE2562" w:rsidRDefault="00FE2562" w:rsidP="00FE2562">
            <w:pPr>
              <w:spacing w:before="1" w:after="1"/>
              <w:rPr>
                <w:color w:val="000000"/>
                <w:sz w:val="18"/>
              </w:rPr>
            </w:pPr>
          </w:p>
        </w:tc>
        <w:tc>
          <w:tcPr>
            <w:tcW w:w="828" w:type="pct"/>
            <w:tcBorders>
              <w:top w:val="nil"/>
              <w:left w:val="nil"/>
              <w:bottom w:val="double" w:sz="4" w:space="0" w:color="000000"/>
              <w:right w:val="nil"/>
              <w:tl2br w:val="nil"/>
              <w:tr2bl w:val="nil"/>
            </w:tcBorders>
            <w:shd w:val="clear" w:color="auto" w:fill="auto"/>
            <w:noWrap/>
            <w:vAlign w:val="bottom"/>
          </w:tcPr>
          <w:p w14:paraId="5C30F62E" w14:textId="77777777" w:rsidR="00FE2562" w:rsidRDefault="00FE2562" w:rsidP="00FE2562">
            <w:pPr>
              <w:spacing w:before="1" w:after="1"/>
              <w:ind w:right="60"/>
              <w:jc w:val="right"/>
              <w:rPr>
                <w:color w:val="000000"/>
                <w:sz w:val="18"/>
              </w:rPr>
            </w:pPr>
            <w:r>
              <w:rPr>
                <w:rFonts w:ascii="Times New Roman" w:eastAsia="Times New Roman" w:hAnsi="Times New Roman" w:cs="Times New Roman"/>
                <w:color w:val="000000"/>
                <w:sz w:val="18"/>
              </w:rPr>
              <w:t xml:space="preserve"> 24,106,067</w:t>
            </w:r>
          </w:p>
        </w:tc>
      </w:tr>
      <w:tr w:rsidR="00FE2562" w14:paraId="135C9DEA" w14:textId="77777777" w:rsidTr="00FE2562">
        <w:tc>
          <w:tcPr>
            <w:tcW w:w="2935" w:type="pct"/>
            <w:tcBorders>
              <w:top w:val="nil"/>
              <w:left w:val="nil"/>
              <w:bottom w:val="nil"/>
              <w:right w:val="nil"/>
              <w:tl2br w:val="nil"/>
              <w:tr2bl w:val="nil"/>
            </w:tcBorders>
            <w:shd w:val="clear" w:color="auto" w:fill="auto"/>
            <w:noWrap/>
            <w:vAlign w:val="bottom"/>
          </w:tcPr>
          <w:p w14:paraId="74208168" w14:textId="77777777" w:rsidR="00FE2562" w:rsidRDefault="00FE2562" w:rsidP="00FE2562">
            <w:pPr>
              <w:spacing w:before="1" w:after="1"/>
              <w:rPr>
                <w:color w:val="000000"/>
                <w:sz w:val="18"/>
              </w:rPr>
            </w:pPr>
          </w:p>
        </w:tc>
        <w:tc>
          <w:tcPr>
            <w:tcW w:w="106" w:type="pct"/>
            <w:tcBorders>
              <w:top w:val="nil"/>
              <w:left w:val="nil"/>
              <w:bottom w:val="nil"/>
              <w:right w:val="nil"/>
              <w:tl2br w:val="nil"/>
              <w:tr2bl w:val="nil"/>
            </w:tcBorders>
            <w:shd w:val="clear" w:color="auto" w:fill="auto"/>
            <w:noWrap/>
            <w:vAlign w:val="bottom"/>
          </w:tcPr>
          <w:p w14:paraId="1E115FA8"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1B8F60AA"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667C08D0"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3F6AF019" w14:textId="77777777" w:rsidR="00FE2562" w:rsidRDefault="00FE2562" w:rsidP="00FE2562">
            <w:pPr>
              <w:spacing w:before="1" w:after="1"/>
              <w:rPr>
                <w:color w:val="000000"/>
                <w:sz w:val="18"/>
              </w:rPr>
            </w:pPr>
          </w:p>
        </w:tc>
        <w:tc>
          <w:tcPr>
            <w:tcW w:w="101" w:type="pct"/>
            <w:tcBorders>
              <w:top w:val="nil"/>
              <w:left w:val="nil"/>
              <w:bottom w:val="nil"/>
              <w:right w:val="nil"/>
              <w:tl2br w:val="nil"/>
              <w:tr2bl w:val="nil"/>
            </w:tcBorders>
            <w:shd w:val="clear" w:color="auto" w:fill="auto"/>
            <w:noWrap/>
            <w:vAlign w:val="bottom"/>
          </w:tcPr>
          <w:p w14:paraId="0489D570" w14:textId="77777777" w:rsidR="00FE2562" w:rsidRDefault="00FE2562" w:rsidP="00FE2562">
            <w:pPr>
              <w:spacing w:before="1" w:after="1"/>
              <w:rPr>
                <w:color w:val="000000"/>
                <w:sz w:val="18"/>
              </w:rPr>
            </w:pPr>
          </w:p>
        </w:tc>
        <w:tc>
          <w:tcPr>
            <w:tcW w:w="828" w:type="pct"/>
            <w:tcBorders>
              <w:top w:val="nil"/>
              <w:left w:val="nil"/>
              <w:bottom w:val="nil"/>
              <w:right w:val="nil"/>
              <w:tl2br w:val="nil"/>
              <w:tr2bl w:val="nil"/>
            </w:tcBorders>
            <w:shd w:val="clear" w:color="auto" w:fill="auto"/>
            <w:noWrap/>
            <w:vAlign w:val="bottom"/>
          </w:tcPr>
          <w:p w14:paraId="36CDE1CF" w14:textId="77777777" w:rsidR="00FE2562" w:rsidRDefault="00FE2562" w:rsidP="00FE2562">
            <w:pPr>
              <w:spacing w:before="1" w:after="1"/>
              <w:rPr>
                <w:color w:val="000000"/>
                <w:sz w:val="18"/>
              </w:rPr>
            </w:pPr>
          </w:p>
        </w:tc>
      </w:tr>
    </w:tbl>
    <w:p w14:paraId="6322DA12" w14:textId="77777777" w:rsidR="00EC02E9" w:rsidRDefault="00EC02E9" w:rsidP="00FB5AFF">
      <w:pPr>
        <w:pStyle w:val="canvas-atom"/>
        <w:tabs>
          <w:tab w:val="right" w:pos="9360"/>
        </w:tabs>
        <w:spacing w:before="0" w:beforeAutospacing="0" w:after="0" w:afterAutospacing="0"/>
        <w:jc w:val="both"/>
        <w:rPr>
          <w:sz w:val="20"/>
          <w:szCs w:val="20"/>
        </w:rPr>
      </w:pPr>
    </w:p>
    <w:p w14:paraId="4B14C9FE" w14:textId="77777777" w:rsidR="00EC02E9" w:rsidRDefault="00EC02E9" w:rsidP="00FB5AFF">
      <w:pPr>
        <w:pStyle w:val="canvas-atom"/>
        <w:tabs>
          <w:tab w:val="right" w:pos="9360"/>
        </w:tabs>
        <w:spacing w:before="0" w:beforeAutospacing="0" w:after="0" w:afterAutospacing="0"/>
        <w:jc w:val="both"/>
        <w:rPr>
          <w:sz w:val="20"/>
          <w:szCs w:val="20"/>
        </w:rPr>
      </w:pPr>
    </w:p>
    <w:p w14:paraId="7795ECDD" w14:textId="77777777" w:rsidR="00832B73" w:rsidRDefault="00832B73" w:rsidP="00FB5AFF">
      <w:pPr>
        <w:pStyle w:val="canvas-atom"/>
        <w:tabs>
          <w:tab w:val="right" w:pos="9360"/>
        </w:tabs>
        <w:spacing w:before="0" w:beforeAutospacing="0" w:after="0" w:afterAutospacing="0"/>
        <w:jc w:val="both"/>
        <w:rPr>
          <w:color w:val="000000"/>
          <w:sz w:val="20"/>
          <w:szCs w:val="20"/>
        </w:rPr>
      </w:pPr>
    </w:p>
    <w:p w14:paraId="4DACC116" w14:textId="77777777" w:rsidR="00F4381D" w:rsidRDefault="00F4381D" w:rsidP="00FB5AFF">
      <w:pPr>
        <w:pStyle w:val="canvas-atom"/>
        <w:tabs>
          <w:tab w:val="right" w:pos="9360"/>
        </w:tabs>
        <w:spacing w:before="0" w:beforeAutospacing="0" w:after="0" w:afterAutospacing="0"/>
        <w:jc w:val="both"/>
        <w:rPr>
          <w:color w:val="000000"/>
          <w:sz w:val="20"/>
          <w:szCs w:val="20"/>
        </w:rPr>
      </w:pPr>
    </w:p>
    <w:p w14:paraId="77784AEC" w14:textId="77777777" w:rsidR="00F4381D" w:rsidRDefault="00F4381D" w:rsidP="00FB5AFF">
      <w:pPr>
        <w:pStyle w:val="canvas-atom"/>
        <w:tabs>
          <w:tab w:val="right" w:pos="9360"/>
        </w:tabs>
        <w:spacing w:before="0" w:beforeAutospacing="0" w:after="0" w:afterAutospacing="0"/>
        <w:jc w:val="both"/>
        <w:rPr>
          <w:color w:val="000000"/>
          <w:sz w:val="20"/>
          <w:szCs w:val="20"/>
        </w:rPr>
      </w:pPr>
    </w:p>
    <w:p w14:paraId="5CDF2915" w14:textId="77777777" w:rsidR="005326FC" w:rsidRDefault="005326FC" w:rsidP="00FB5AFF">
      <w:pPr>
        <w:pStyle w:val="canvas-atom"/>
        <w:tabs>
          <w:tab w:val="right" w:pos="9360"/>
        </w:tabs>
        <w:spacing w:before="0" w:beforeAutospacing="0" w:after="0" w:afterAutospacing="0"/>
        <w:jc w:val="both"/>
        <w:rPr>
          <w:color w:val="000000"/>
          <w:sz w:val="20"/>
          <w:szCs w:val="20"/>
        </w:rPr>
      </w:pPr>
      <w:r>
        <w:rPr>
          <w:color w:val="000000"/>
          <w:sz w:val="20"/>
          <w:szCs w:val="20"/>
        </w:rPr>
        <w:lastRenderedPageBreak/>
        <w:t xml:space="preserve">The following table presents our consolidated financial position as of </w:t>
      </w:r>
      <w:r w:rsidR="00F4381D">
        <w:rPr>
          <w:color w:val="000000"/>
          <w:sz w:val="20"/>
          <w:szCs w:val="20"/>
        </w:rPr>
        <w:t>August</w:t>
      </w:r>
      <w:r w:rsidR="00AF478E">
        <w:rPr>
          <w:color w:val="000000"/>
          <w:sz w:val="20"/>
          <w:szCs w:val="20"/>
        </w:rPr>
        <w:t xml:space="preserve"> 31</w:t>
      </w:r>
      <w:r>
        <w:rPr>
          <w:color w:val="000000"/>
          <w:sz w:val="20"/>
          <w:szCs w:val="20"/>
        </w:rPr>
        <w:t xml:space="preserve">, </w:t>
      </w:r>
      <w:proofErr w:type="gramStart"/>
      <w:r>
        <w:rPr>
          <w:color w:val="000000"/>
          <w:sz w:val="20"/>
          <w:szCs w:val="20"/>
        </w:rPr>
        <w:t>202</w:t>
      </w:r>
      <w:r w:rsidR="000874FB">
        <w:rPr>
          <w:color w:val="000000"/>
          <w:sz w:val="20"/>
          <w:szCs w:val="20"/>
        </w:rPr>
        <w:t>4</w:t>
      </w:r>
      <w:proofErr w:type="gramEnd"/>
      <w:r w:rsidR="00F4381D">
        <w:rPr>
          <w:color w:val="000000"/>
          <w:sz w:val="20"/>
          <w:szCs w:val="20"/>
        </w:rPr>
        <w:t xml:space="preserve"> and</w:t>
      </w:r>
      <w:r>
        <w:rPr>
          <w:color w:val="000000"/>
          <w:sz w:val="20"/>
          <w:szCs w:val="20"/>
        </w:rPr>
        <w:t xml:space="preserve"> 2023:</w:t>
      </w:r>
    </w:p>
    <w:p w14:paraId="7837F373" w14:textId="77777777" w:rsidR="00832B73" w:rsidRPr="000874FB" w:rsidRDefault="00832B73" w:rsidP="00FB5AFF">
      <w:pPr>
        <w:pStyle w:val="canvas-atom"/>
        <w:tabs>
          <w:tab w:val="right" w:pos="9360"/>
        </w:tabs>
        <w:spacing w:before="0" w:beforeAutospacing="0" w:after="0" w:afterAutospacing="0"/>
        <w:jc w:val="both"/>
        <w:rPr>
          <w:color w:val="000000"/>
          <w:sz w:val="20"/>
          <w:szCs w:val="20"/>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29"/>
        <w:gridCol w:w="246"/>
        <w:gridCol w:w="157"/>
        <w:gridCol w:w="1537"/>
        <w:gridCol w:w="246"/>
        <w:gridCol w:w="157"/>
        <w:gridCol w:w="1291"/>
      </w:tblGrid>
      <w:tr w:rsidR="00300D51" w14:paraId="33AD6A82" w14:textId="77777777" w:rsidTr="00300D51">
        <w:trPr>
          <w:trHeight w:hRule="exact" w:val="20"/>
        </w:trPr>
        <w:tc>
          <w:tcPr>
            <w:tcW w:w="3080" w:type="pct"/>
            <w:tcBorders>
              <w:top w:val="nil"/>
              <w:left w:val="nil"/>
              <w:bottom w:val="nil"/>
              <w:right w:val="nil"/>
            </w:tcBorders>
            <w:vAlign w:val="bottom"/>
          </w:tcPr>
          <w:p w14:paraId="15838767" w14:textId="77777777" w:rsidR="00300D51" w:rsidRDefault="00300D51" w:rsidP="00300D51">
            <w:pPr>
              <w:keepNext/>
              <w:spacing w:after="1"/>
              <w:rPr>
                <w:sz w:val="2"/>
              </w:rPr>
            </w:pPr>
          </w:p>
        </w:tc>
        <w:tc>
          <w:tcPr>
            <w:tcW w:w="130" w:type="pct"/>
            <w:tcBorders>
              <w:top w:val="nil"/>
              <w:left w:val="nil"/>
              <w:bottom w:val="nil"/>
              <w:right w:val="nil"/>
            </w:tcBorders>
            <w:noWrap/>
            <w:vAlign w:val="bottom"/>
          </w:tcPr>
          <w:p w14:paraId="71EE415F" w14:textId="77777777" w:rsidR="00300D51" w:rsidRDefault="00300D51" w:rsidP="00300D51">
            <w:pPr>
              <w:keepNext/>
              <w:spacing w:after="1"/>
              <w:rPr>
                <w:sz w:val="2"/>
              </w:rPr>
            </w:pPr>
          </w:p>
        </w:tc>
        <w:tc>
          <w:tcPr>
            <w:tcW w:w="83" w:type="pct"/>
            <w:tcBorders>
              <w:top w:val="nil"/>
              <w:left w:val="nil"/>
              <w:bottom w:val="nil"/>
              <w:right w:val="nil"/>
            </w:tcBorders>
            <w:noWrap/>
            <w:vAlign w:val="bottom"/>
          </w:tcPr>
          <w:p w14:paraId="5C4EDA3D" w14:textId="77777777" w:rsidR="00300D51" w:rsidRDefault="00300D51" w:rsidP="00300D51">
            <w:pPr>
              <w:keepNext/>
              <w:spacing w:after="1"/>
              <w:rPr>
                <w:sz w:val="2"/>
              </w:rPr>
            </w:pPr>
          </w:p>
        </w:tc>
        <w:tc>
          <w:tcPr>
            <w:tcW w:w="812" w:type="pct"/>
            <w:tcBorders>
              <w:top w:val="nil"/>
              <w:left w:val="nil"/>
              <w:bottom w:val="nil"/>
              <w:right w:val="nil"/>
            </w:tcBorders>
            <w:noWrap/>
            <w:vAlign w:val="bottom"/>
          </w:tcPr>
          <w:p w14:paraId="58173265" w14:textId="77777777" w:rsidR="00300D51" w:rsidRDefault="00300D51" w:rsidP="00300D51">
            <w:pPr>
              <w:keepNext/>
              <w:spacing w:after="1"/>
              <w:rPr>
                <w:sz w:val="2"/>
              </w:rPr>
            </w:pPr>
          </w:p>
        </w:tc>
        <w:tc>
          <w:tcPr>
            <w:tcW w:w="130" w:type="pct"/>
            <w:tcBorders>
              <w:top w:val="nil"/>
              <w:left w:val="nil"/>
              <w:bottom w:val="nil"/>
              <w:right w:val="nil"/>
            </w:tcBorders>
            <w:noWrap/>
            <w:vAlign w:val="bottom"/>
          </w:tcPr>
          <w:p w14:paraId="0CF53D89" w14:textId="77777777" w:rsidR="00300D51" w:rsidRDefault="00300D51" w:rsidP="00300D51">
            <w:pPr>
              <w:keepNext/>
              <w:spacing w:after="1"/>
              <w:rPr>
                <w:sz w:val="2"/>
              </w:rPr>
            </w:pPr>
          </w:p>
        </w:tc>
        <w:tc>
          <w:tcPr>
            <w:tcW w:w="83" w:type="pct"/>
            <w:tcBorders>
              <w:top w:val="nil"/>
              <w:left w:val="nil"/>
              <w:bottom w:val="nil"/>
              <w:right w:val="nil"/>
            </w:tcBorders>
            <w:noWrap/>
            <w:vAlign w:val="bottom"/>
          </w:tcPr>
          <w:p w14:paraId="37467960" w14:textId="77777777" w:rsidR="00300D51" w:rsidRDefault="00300D51" w:rsidP="00300D51">
            <w:pPr>
              <w:keepNext/>
              <w:spacing w:after="1"/>
              <w:rPr>
                <w:sz w:val="2"/>
              </w:rPr>
            </w:pPr>
          </w:p>
        </w:tc>
        <w:tc>
          <w:tcPr>
            <w:tcW w:w="682" w:type="pct"/>
            <w:tcBorders>
              <w:top w:val="nil"/>
              <w:left w:val="nil"/>
              <w:bottom w:val="nil"/>
              <w:right w:val="nil"/>
            </w:tcBorders>
            <w:noWrap/>
            <w:vAlign w:val="bottom"/>
          </w:tcPr>
          <w:p w14:paraId="25AB3217" w14:textId="77777777" w:rsidR="00300D51" w:rsidRDefault="00300D51" w:rsidP="00300D51">
            <w:pPr>
              <w:keepNext/>
              <w:spacing w:after="1"/>
              <w:rPr>
                <w:sz w:val="2"/>
              </w:rPr>
            </w:pPr>
          </w:p>
        </w:tc>
      </w:tr>
      <w:tr w:rsidR="00300D51" w14:paraId="67211B08" w14:textId="77777777" w:rsidTr="00300D51">
        <w:tc>
          <w:tcPr>
            <w:tcW w:w="3080" w:type="pct"/>
            <w:tcBorders>
              <w:top w:val="nil"/>
              <w:left w:val="nil"/>
              <w:bottom w:val="nil"/>
              <w:right w:val="nil"/>
              <w:tl2br w:val="nil"/>
              <w:tr2bl w:val="nil"/>
            </w:tcBorders>
            <w:shd w:val="clear" w:color="auto" w:fill="auto"/>
            <w:noWrap/>
            <w:vAlign w:val="bottom"/>
          </w:tcPr>
          <w:p w14:paraId="1EDBC203" w14:textId="77777777" w:rsidR="00300D51" w:rsidRDefault="00300D51" w:rsidP="00300D51">
            <w:pPr>
              <w:spacing w:after="1"/>
              <w:rPr>
                <w:i/>
                <w:color w:val="000000"/>
                <w:sz w:val="18"/>
              </w:rPr>
            </w:pPr>
            <w:r>
              <w:rPr>
                <w:rFonts w:ascii="Times New Roman" w:eastAsia="Times New Roman" w:hAnsi="Times New Roman" w:cs="Times New Roman"/>
                <w:i/>
                <w:color w:val="000000"/>
                <w:sz w:val="18"/>
              </w:rPr>
              <w:t>(In thousands, except shares)</w:t>
            </w:r>
          </w:p>
        </w:tc>
        <w:tc>
          <w:tcPr>
            <w:tcW w:w="130" w:type="pct"/>
            <w:tcBorders>
              <w:top w:val="nil"/>
              <w:left w:val="nil"/>
              <w:bottom w:val="nil"/>
              <w:right w:val="nil"/>
              <w:tl2br w:val="nil"/>
              <w:tr2bl w:val="nil"/>
            </w:tcBorders>
            <w:shd w:val="clear" w:color="auto" w:fill="auto"/>
            <w:noWrap/>
            <w:vAlign w:val="bottom"/>
          </w:tcPr>
          <w:p w14:paraId="6FAEBD30" w14:textId="77777777" w:rsidR="00300D51" w:rsidRDefault="00300D51" w:rsidP="00300D51">
            <w:pPr>
              <w:spacing w:after="1"/>
              <w:jc w:val="center"/>
              <w:rPr>
                <w:b/>
                <w:color w:val="000000"/>
                <w:sz w:val="18"/>
              </w:rPr>
            </w:pPr>
          </w:p>
        </w:tc>
        <w:tc>
          <w:tcPr>
            <w:tcW w:w="895" w:type="pct"/>
            <w:gridSpan w:val="2"/>
            <w:tcBorders>
              <w:top w:val="nil"/>
              <w:left w:val="nil"/>
              <w:bottom w:val="single" w:sz="4" w:space="0" w:color="000000"/>
              <w:right w:val="nil"/>
              <w:tl2br w:val="nil"/>
              <w:tr2bl w:val="nil"/>
            </w:tcBorders>
            <w:shd w:val="clear" w:color="auto" w:fill="auto"/>
            <w:noWrap/>
            <w:vAlign w:val="bottom"/>
          </w:tcPr>
          <w:p w14:paraId="1D9CBAF3" w14:textId="77777777" w:rsidR="00300D51" w:rsidRDefault="00300D51" w:rsidP="00300D51">
            <w:pPr>
              <w:spacing w:after="1"/>
              <w:jc w:val="center"/>
              <w:rPr>
                <w:b/>
                <w:color w:val="000000"/>
                <w:sz w:val="18"/>
              </w:rPr>
            </w:pPr>
            <w:r>
              <w:rPr>
                <w:rFonts w:ascii="Times New Roman" w:eastAsia="Times New Roman" w:hAnsi="Times New Roman" w:cs="Times New Roman"/>
                <w:b/>
                <w:color w:val="000000"/>
                <w:sz w:val="18"/>
              </w:rPr>
              <w:t>August 31, 2024</w:t>
            </w:r>
          </w:p>
        </w:tc>
        <w:tc>
          <w:tcPr>
            <w:tcW w:w="130" w:type="pct"/>
            <w:tcBorders>
              <w:top w:val="nil"/>
              <w:left w:val="nil"/>
              <w:bottom w:val="nil"/>
              <w:right w:val="nil"/>
              <w:tl2br w:val="nil"/>
              <w:tr2bl w:val="nil"/>
            </w:tcBorders>
            <w:shd w:val="clear" w:color="auto" w:fill="auto"/>
            <w:noWrap/>
            <w:vAlign w:val="bottom"/>
          </w:tcPr>
          <w:p w14:paraId="20BCADF5" w14:textId="77777777" w:rsidR="00300D51" w:rsidRDefault="00300D51" w:rsidP="00300D51">
            <w:pPr>
              <w:spacing w:after="1"/>
              <w:jc w:val="center"/>
              <w:rPr>
                <w:b/>
                <w:color w:val="000000"/>
                <w:sz w:val="18"/>
              </w:rPr>
            </w:pPr>
            <w:r>
              <w:rPr>
                <w:rFonts w:ascii="Times New Roman" w:eastAsia="Times New Roman" w:hAnsi="Times New Roman" w:cs="Times New Roman"/>
                <w:b/>
                <w:color w:val="000000"/>
                <w:sz w:val="18"/>
              </w:rPr>
              <w:t>    </w:t>
            </w:r>
          </w:p>
        </w:tc>
        <w:tc>
          <w:tcPr>
            <w:tcW w:w="765" w:type="pct"/>
            <w:gridSpan w:val="2"/>
            <w:tcBorders>
              <w:top w:val="nil"/>
              <w:left w:val="nil"/>
              <w:bottom w:val="single" w:sz="4" w:space="0" w:color="000000"/>
              <w:right w:val="nil"/>
              <w:tl2br w:val="nil"/>
              <w:tr2bl w:val="nil"/>
            </w:tcBorders>
            <w:shd w:val="clear" w:color="auto" w:fill="auto"/>
            <w:noWrap/>
            <w:vAlign w:val="bottom"/>
          </w:tcPr>
          <w:p w14:paraId="016A53E5" w14:textId="77777777" w:rsidR="00300D51" w:rsidRDefault="00300D51" w:rsidP="00300D51">
            <w:pPr>
              <w:spacing w:after="1"/>
              <w:jc w:val="center"/>
              <w:rPr>
                <w:b/>
                <w:color w:val="000000"/>
                <w:sz w:val="18"/>
              </w:rPr>
            </w:pPr>
            <w:r>
              <w:rPr>
                <w:rFonts w:ascii="Times New Roman" w:eastAsia="Times New Roman" w:hAnsi="Times New Roman" w:cs="Times New Roman"/>
                <w:b/>
                <w:color w:val="000000"/>
                <w:sz w:val="18"/>
              </w:rPr>
              <w:t>August 31, 2023</w:t>
            </w:r>
          </w:p>
        </w:tc>
      </w:tr>
      <w:tr w:rsidR="00300D51" w14:paraId="1FA873A1" w14:textId="77777777" w:rsidTr="00300D51">
        <w:tc>
          <w:tcPr>
            <w:tcW w:w="3080" w:type="pct"/>
            <w:tcBorders>
              <w:top w:val="nil"/>
              <w:left w:val="nil"/>
              <w:bottom w:val="nil"/>
              <w:right w:val="nil"/>
              <w:tl2br w:val="nil"/>
              <w:tr2bl w:val="nil"/>
            </w:tcBorders>
            <w:shd w:val="clear" w:color="auto" w:fill="auto"/>
            <w:vAlign w:val="bottom"/>
          </w:tcPr>
          <w:p w14:paraId="7C16ED80" w14:textId="77777777" w:rsidR="00300D51" w:rsidRDefault="00300D51" w:rsidP="00300D51">
            <w:pPr>
              <w:spacing w:after="1"/>
              <w:rPr>
                <w:b/>
                <w:color w:val="000000"/>
                <w:sz w:val="18"/>
              </w:rPr>
            </w:pPr>
            <w:r>
              <w:rPr>
                <w:rFonts w:ascii="Times New Roman" w:eastAsia="Times New Roman" w:hAnsi="Times New Roman" w:cs="Times New Roman"/>
                <w:b/>
                <w:color w:val="000000"/>
                <w:sz w:val="18"/>
              </w:rPr>
              <w:t>ASSETS:</w:t>
            </w:r>
          </w:p>
        </w:tc>
        <w:tc>
          <w:tcPr>
            <w:tcW w:w="130" w:type="pct"/>
            <w:tcBorders>
              <w:top w:val="nil"/>
              <w:left w:val="nil"/>
              <w:bottom w:val="nil"/>
              <w:right w:val="nil"/>
              <w:tl2br w:val="nil"/>
              <w:tr2bl w:val="nil"/>
            </w:tcBorders>
            <w:shd w:val="clear" w:color="auto" w:fill="auto"/>
            <w:noWrap/>
            <w:vAlign w:val="bottom"/>
          </w:tcPr>
          <w:p w14:paraId="16A24CE0" w14:textId="77777777" w:rsidR="00300D51" w:rsidRDefault="00300D51" w:rsidP="00300D51">
            <w:pPr>
              <w:spacing w:after="1"/>
              <w:jc w:val="center"/>
              <w:rPr>
                <w:b/>
                <w:color w:val="000000"/>
                <w:sz w:val="18"/>
              </w:rPr>
            </w:pPr>
          </w:p>
        </w:tc>
        <w:tc>
          <w:tcPr>
            <w:tcW w:w="83" w:type="pct"/>
            <w:tcBorders>
              <w:top w:val="nil"/>
              <w:left w:val="nil"/>
              <w:bottom w:val="nil"/>
              <w:right w:val="nil"/>
              <w:tl2br w:val="nil"/>
              <w:tr2bl w:val="nil"/>
            </w:tcBorders>
            <w:shd w:val="clear" w:color="auto" w:fill="auto"/>
            <w:noWrap/>
            <w:vAlign w:val="bottom"/>
          </w:tcPr>
          <w:p w14:paraId="6B6BED23" w14:textId="77777777" w:rsidR="00300D51" w:rsidRDefault="00300D51" w:rsidP="00300D51">
            <w:pPr>
              <w:spacing w:after="1"/>
              <w:rPr>
                <w:b/>
                <w:color w:val="000000"/>
                <w:sz w:val="18"/>
              </w:rPr>
            </w:pPr>
          </w:p>
        </w:tc>
        <w:tc>
          <w:tcPr>
            <w:tcW w:w="812" w:type="pct"/>
            <w:tcBorders>
              <w:top w:val="nil"/>
              <w:left w:val="nil"/>
              <w:bottom w:val="nil"/>
              <w:right w:val="nil"/>
              <w:tl2br w:val="nil"/>
              <w:tr2bl w:val="nil"/>
            </w:tcBorders>
            <w:shd w:val="clear" w:color="auto" w:fill="auto"/>
            <w:noWrap/>
            <w:vAlign w:val="bottom"/>
          </w:tcPr>
          <w:p w14:paraId="267547A9" w14:textId="77777777" w:rsidR="00300D51" w:rsidRDefault="00300D51" w:rsidP="00300D51">
            <w:pPr>
              <w:spacing w:after="1"/>
              <w:jc w:val="center"/>
              <w:rPr>
                <w:b/>
                <w:color w:val="000000"/>
                <w:sz w:val="18"/>
              </w:rPr>
            </w:pPr>
            <w:r>
              <w:rPr>
                <w:rFonts w:ascii="Times New Roman" w:eastAsia="Times New Roman" w:hAnsi="Times New Roman" w:cs="Times New Roman"/>
                <w:b/>
                <w:color w:val="000000"/>
                <w:sz w:val="18"/>
              </w:rPr>
              <w:t>(unaudited)</w:t>
            </w:r>
          </w:p>
        </w:tc>
        <w:tc>
          <w:tcPr>
            <w:tcW w:w="130" w:type="pct"/>
            <w:tcBorders>
              <w:top w:val="nil"/>
              <w:left w:val="nil"/>
              <w:bottom w:val="nil"/>
              <w:right w:val="nil"/>
              <w:tl2br w:val="nil"/>
              <w:tr2bl w:val="nil"/>
            </w:tcBorders>
            <w:shd w:val="clear" w:color="auto" w:fill="auto"/>
            <w:noWrap/>
            <w:vAlign w:val="bottom"/>
          </w:tcPr>
          <w:p w14:paraId="7C4AE041" w14:textId="77777777" w:rsidR="00300D51" w:rsidRDefault="00300D51" w:rsidP="00300D51">
            <w:pPr>
              <w:spacing w:after="1"/>
              <w:rPr>
                <w:b/>
                <w:color w:val="000000"/>
                <w:sz w:val="18"/>
              </w:rPr>
            </w:pPr>
          </w:p>
        </w:tc>
        <w:tc>
          <w:tcPr>
            <w:tcW w:w="83" w:type="pct"/>
            <w:tcBorders>
              <w:top w:val="nil"/>
              <w:left w:val="nil"/>
              <w:bottom w:val="nil"/>
              <w:right w:val="nil"/>
              <w:tl2br w:val="nil"/>
              <w:tr2bl w:val="nil"/>
            </w:tcBorders>
            <w:shd w:val="clear" w:color="auto" w:fill="auto"/>
            <w:noWrap/>
            <w:vAlign w:val="bottom"/>
          </w:tcPr>
          <w:p w14:paraId="5F8A10DA" w14:textId="77777777" w:rsidR="00300D51" w:rsidRDefault="00300D51" w:rsidP="00300D51">
            <w:pPr>
              <w:spacing w:after="1"/>
              <w:rPr>
                <w:b/>
                <w:color w:val="000000"/>
                <w:sz w:val="18"/>
              </w:rPr>
            </w:pPr>
          </w:p>
        </w:tc>
        <w:tc>
          <w:tcPr>
            <w:tcW w:w="682" w:type="pct"/>
            <w:tcBorders>
              <w:top w:val="nil"/>
              <w:left w:val="nil"/>
              <w:bottom w:val="nil"/>
              <w:right w:val="nil"/>
              <w:tl2br w:val="nil"/>
              <w:tr2bl w:val="nil"/>
            </w:tcBorders>
            <w:shd w:val="clear" w:color="auto" w:fill="auto"/>
            <w:noWrap/>
            <w:vAlign w:val="bottom"/>
          </w:tcPr>
          <w:p w14:paraId="4EB5631F" w14:textId="77777777" w:rsidR="00300D51" w:rsidRDefault="00300D51" w:rsidP="00300D51">
            <w:pPr>
              <w:spacing w:after="1"/>
              <w:rPr>
                <w:b/>
                <w:color w:val="000000"/>
                <w:sz w:val="18"/>
              </w:rPr>
            </w:pPr>
          </w:p>
        </w:tc>
      </w:tr>
      <w:tr w:rsidR="00300D51" w14:paraId="125712B1" w14:textId="77777777" w:rsidTr="00300D51">
        <w:tc>
          <w:tcPr>
            <w:tcW w:w="3080" w:type="pct"/>
            <w:tcBorders>
              <w:top w:val="nil"/>
              <w:left w:val="nil"/>
              <w:bottom w:val="nil"/>
              <w:right w:val="nil"/>
              <w:tl2br w:val="nil"/>
              <w:tr2bl w:val="nil"/>
            </w:tcBorders>
            <w:shd w:val="clear" w:color="auto" w:fill="auto"/>
            <w:vAlign w:val="bottom"/>
          </w:tcPr>
          <w:p w14:paraId="1C68B963" w14:textId="77777777" w:rsidR="00300D51" w:rsidRDefault="00300D51" w:rsidP="00300D51">
            <w:pPr>
              <w:spacing w:after="1"/>
              <w:rPr>
                <w:color w:val="000000"/>
                <w:sz w:val="18"/>
              </w:rPr>
            </w:pPr>
            <w:r>
              <w:rPr>
                <w:rFonts w:ascii="Times New Roman" w:eastAsia="Times New Roman" w:hAnsi="Times New Roman" w:cs="Times New Roman"/>
                <w:color w:val="000000"/>
                <w:sz w:val="18"/>
              </w:rPr>
              <w:t>Current assets:</w:t>
            </w:r>
          </w:p>
        </w:tc>
        <w:tc>
          <w:tcPr>
            <w:tcW w:w="130" w:type="pct"/>
            <w:tcBorders>
              <w:top w:val="nil"/>
              <w:left w:val="nil"/>
              <w:bottom w:val="nil"/>
              <w:right w:val="nil"/>
              <w:tl2br w:val="nil"/>
              <w:tr2bl w:val="nil"/>
            </w:tcBorders>
            <w:shd w:val="clear" w:color="auto" w:fill="auto"/>
            <w:noWrap/>
            <w:vAlign w:val="bottom"/>
          </w:tcPr>
          <w:p w14:paraId="789CD2E5"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3" w:type="pct"/>
            <w:tcBorders>
              <w:top w:val="nil"/>
              <w:left w:val="nil"/>
              <w:bottom w:val="nil"/>
              <w:right w:val="nil"/>
              <w:tl2br w:val="nil"/>
              <w:tr2bl w:val="nil"/>
            </w:tcBorders>
            <w:shd w:val="clear" w:color="auto" w:fill="auto"/>
            <w:noWrap/>
            <w:vAlign w:val="bottom"/>
          </w:tcPr>
          <w:p w14:paraId="3353836B"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25E56CD3" w14:textId="77777777" w:rsidR="00300D51" w:rsidRDefault="00300D51" w:rsidP="00300D51">
            <w:pPr>
              <w:spacing w:after="1"/>
              <w:jc w:val="right"/>
              <w:rPr>
                <w:color w:val="000000"/>
                <w:sz w:val="18"/>
              </w:rPr>
            </w:pPr>
          </w:p>
        </w:tc>
        <w:tc>
          <w:tcPr>
            <w:tcW w:w="130" w:type="pct"/>
            <w:tcBorders>
              <w:top w:val="nil"/>
              <w:left w:val="nil"/>
              <w:bottom w:val="nil"/>
              <w:right w:val="nil"/>
              <w:tl2br w:val="nil"/>
              <w:tr2bl w:val="nil"/>
            </w:tcBorders>
            <w:shd w:val="clear" w:color="auto" w:fill="auto"/>
            <w:noWrap/>
            <w:vAlign w:val="bottom"/>
          </w:tcPr>
          <w:p w14:paraId="6D8CA308"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3" w:type="pct"/>
            <w:tcBorders>
              <w:top w:val="nil"/>
              <w:left w:val="nil"/>
              <w:bottom w:val="nil"/>
              <w:right w:val="nil"/>
              <w:tl2br w:val="nil"/>
              <w:tr2bl w:val="nil"/>
            </w:tcBorders>
            <w:shd w:val="clear" w:color="auto" w:fill="auto"/>
            <w:noWrap/>
            <w:vAlign w:val="bottom"/>
          </w:tcPr>
          <w:p w14:paraId="47575594"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7C7AE95A" w14:textId="77777777" w:rsidR="00300D51" w:rsidRDefault="00300D51" w:rsidP="00300D51">
            <w:pPr>
              <w:spacing w:after="1"/>
              <w:jc w:val="right"/>
              <w:rPr>
                <w:color w:val="000000"/>
                <w:sz w:val="18"/>
              </w:rPr>
            </w:pPr>
          </w:p>
        </w:tc>
      </w:tr>
      <w:tr w:rsidR="00300D51" w14:paraId="4CBCED1D" w14:textId="77777777" w:rsidTr="00300D51">
        <w:tc>
          <w:tcPr>
            <w:tcW w:w="3080" w:type="pct"/>
            <w:tcBorders>
              <w:top w:val="nil"/>
              <w:left w:val="nil"/>
              <w:bottom w:val="nil"/>
              <w:right w:val="nil"/>
              <w:tl2br w:val="nil"/>
              <w:tr2bl w:val="nil"/>
            </w:tcBorders>
            <w:shd w:val="clear" w:color="auto" w:fill="auto"/>
            <w:vAlign w:val="bottom"/>
          </w:tcPr>
          <w:p w14:paraId="3174C07B"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Cash and cash equivalents</w:t>
            </w:r>
          </w:p>
        </w:tc>
        <w:tc>
          <w:tcPr>
            <w:tcW w:w="130" w:type="pct"/>
            <w:tcBorders>
              <w:top w:val="nil"/>
              <w:left w:val="nil"/>
              <w:bottom w:val="nil"/>
              <w:right w:val="nil"/>
              <w:tl2br w:val="nil"/>
              <w:tr2bl w:val="nil"/>
            </w:tcBorders>
            <w:shd w:val="clear" w:color="auto" w:fill="auto"/>
            <w:noWrap/>
            <w:vAlign w:val="bottom"/>
          </w:tcPr>
          <w:p w14:paraId="670900A7"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5F6AFBEE" w14:textId="77777777" w:rsidR="00300D51" w:rsidRDefault="00300D51" w:rsidP="00300D51">
            <w:pPr>
              <w:spacing w:after="1"/>
              <w:rPr>
                <w:color w:val="000000"/>
                <w:sz w:val="18"/>
              </w:rPr>
            </w:pPr>
            <w:r>
              <w:rPr>
                <w:rFonts w:ascii="Times New Roman" w:eastAsia="Times New Roman" w:hAnsi="Times New Roman" w:cs="Times New Roman"/>
                <w:color w:val="000000"/>
                <w:sz w:val="18"/>
              </w:rPr>
              <w:t>$</w:t>
            </w:r>
          </w:p>
        </w:tc>
        <w:tc>
          <w:tcPr>
            <w:tcW w:w="812" w:type="pct"/>
            <w:tcBorders>
              <w:top w:val="nil"/>
              <w:left w:val="nil"/>
              <w:bottom w:val="nil"/>
              <w:right w:val="nil"/>
              <w:tl2br w:val="nil"/>
              <w:tr2bl w:val="nil"/>
            </w:tcBorders>
            <w:shd w:val="clear" w:color="auto" w:fill="auto"/>
            <w:noWrap/>
            <w:vAlign w:val="bottom"/>
          </w:tcPr>
          <w:p w14:paraId="264FBD91"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22,113</w:t>
            </w:r>
          </w:p>
        </w:tc>
        <w:tc>
          <w:tcPr>
            <w:tcW w:w="130" w:type="pct"/>
            <w:tcBorders>
              <w:top w:val="nil"/>
              <w:left w:val="nil"/>
              <w:bottom w:val="nil"/>
              <w:right w:val="nil"/>
              <w:tl2br w:val="nil"/>
              <w:tr2bl w:val="nil"/>
            </w:tcBorders>
            <w:shd w:val="clear" w:color="auto" w:fill="auto"/>
            <w:noWrap/>
            <w:vAlign w:val="bottom"/>
          </w:tcPr>
          <w:p w14:paraId="5C2830ED"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0CE9D85B" w14:textId="77777777" w:rsidR="00300D51" w:rsidRDefault="00300D51" w:rsidP="00300D51">
            <w:pPr>
              <w:spacing w:after="1"/>
              <w:rPr>
                <w:color w:val="000000"/>
                <w:sz w:val="18"/>
              </w:rPr>
            </w:pPr>
            <w:r>
              <w:rPr>
                <w:rFonts w:ascii="Times New Roman" w:eastAsia="Times New Roman" w:hAnsi="Times New Roman" w:cs="Times New Roman"/>
                <w:color w:val="000000"/>
                <w:sz w:val="18"/>
              </w:rPr>
              <w:t>$</w:t>
            </w:r>
          </w:p>
        </w:tc>
        <w:tc>
          <w:tcPr>
            <w:tcW w:w="682" w:type="pct"/>
            <w:tcBorders>
              <w:top w:val="nil"/>
              <w:left w:val="nil"/>
              <w:bottom w:val="nil"/>
              <w:right w:val="nil"/>
              <w:tl2br w:val="nil"/>
              <w:tr2bl w:val="nil"/>
            </w:tcBorders>
            <w:shd w:val="clear" w:color="auto" w:fill="auto"/>
            <w:noWrap/>
            <w:vAlign w:val="bottom"/>
          </w:tcPr>
          <w:p w14:paraId="021DCFE3"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26,012</w:t>
            </w:r>
          </w:p>
        </w:tc>
      </w:tr>
      <w:tr w:rsidR="00300D51" w14:paraId="5047558C" w14:textId="77777777" w:rsidTr="00300D51">
        <w:tc>
          <w:tcPr>
            <w:tcW w:w="3080" w:type="pct"/>
            <w:tcBorders>
              <w:top w:val="nil"/>
              <w:left w:val="nil"/>
              <w:bottom w:val="nil"/>
              <w:right w:val="nil"/>
              <w:tl2br w:val="nil"/>
              <w:tr2bl w:val="nil"/>
            </w:tcBorders>
            <w:shd w:val="clear" w:color="auto" w:fill="auto"/>
            <w:vAlign w:val="bottom"/>
          </w:tcPr>
          <w:p w14:paraId="06E14D7A"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Trade accounts receivable, net</w:t>
            </w:r>
          </w:p>
        </w:tc>
        <w:tc>
          <w:tcPr>
            <w:tcW w:w="130" w:type="pct"/>
            <w:tcBorders>
              <w:top w:val="nil"/>
              <w:left w:val="nil"/>
              <w:bottom w:val="nil"/>
              <w:right w:val="nil"/>
              <w:tl2br w:val="nil"/>
              <w:tr2bl w:val="nil"/>
            </w:tcBorders>
            <w:shd w:val="clear" w:color="auto" w:fill="auto"/>
            <w:noWrap/>
            <w:vAlign w:val="bottom"/>
          </w:tcPr>
          <w:p w14:paraId="0C6606EF"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124A87C"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36607696"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1,472</w:t>
            </w:r>
          </w:p>
        </w:tc>
        <w:tc>
          <w:tcPr>
            <w:tcW w:w="130" w:type="pct"/>
            <w:tcBorders>
              <w:top w:val="nil"/>
              <w:left w:val="nil"/>
              <w:bottom w:val="nil"/>
              <w:right w:val="nil"/>
              <w:tl2br w:val="nil"/>
              <w:tr2bl w:val="nil"/>
            </w:tcBorders>
            <w:shd w:val="clear" w:color="auto" w:fill="auto"/>
            <w:noWrap/>
            <w:vAlign w:val="bottom"/>
          </w:tcPr>
          <w:p w14:paraId="2DB234A8"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289AD48B"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56D8A539"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1,092</w:t>
            </w:r>
          </w:p>
        </w:tc>
      </w:tr>
      <w:tr w:rsidR="00300D51" w14:paraId="294E8567" w14:textId="77777777" w:rsidTr="00300D51">
        <w:tc>
          <w:tcPr>
            <w:tcW w:w="3080" w:type="pct"/>
            <w:tcBorders>
              <w:top w:val="nil"/>
              <w:left w:val="nil"/>
              <w:bottom w:val="nil"/>
              <w:right w:val="nil"/>
              <w:tl2br w:val="nil"/>
              <w:tr2bl w:val="nil"/>
            </w:tcBorders>
            <w:shd w:val="clear" w:color="auto" w:fill="auto"/>
            <w:vAlign w:val="bottom"/>
          </w:tcPr>
          <w:p w14:paraId="5BA9AD88"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Land under development</w:t>
            </w:r>
          </w:p>
        </w:tc>
        <w:tc>
          <w:tcPr>
            <w:tcW w:w="130" w:type="pct"/>
            <w:tcBorders>
              <w:top w:val="nil"/>
              <w:left w:val="nil"/>
              <w:bottom w:val="nil"/>
              <w:right w:val="nil"/>
              <w:tl2br w:val="nil"/>
              <w:tr2bl w:val="nil"/>
            </w:tcBorders>
            <w:shd w:val="clear" w:color="auto" w:fill="auto"/>
            <w:noWrap/>
            <w:vAlign w:val="bottom"/>
          </w:tcPr>
          <w:p w14:paraId="177313CC"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34CB4756"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757C79FE"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3,647</w:t>
            </w:r>
          </w:p>
        </w:tc>
        <w:tc>
          <w:tcPr>
            <w:tcW w:w="130" w:type="pct"/>
            <w:tcBorders>
              <w:top w:val="nil"/>
              <w:left w:val="nil"/>
              <w:bottom w:val="nil"/>
              <w:right w:val="nil"/>
              <w:tl2br w:val="nil"/>
              <w:tr2bl w:val="nil"/>
            </w:tcBorders>
            <w:shd w:val="clear" w:color="auto" w:fill="auto"/>
            <w:noWrap/>
            <w:vAlign w:val="bottom"/>
          </w:tcPr>
          <w:p w14:paraId="4360F79D"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7A082310"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253625A2"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1,726</w:t>
            </w:r>
          </w:p>
        </w:tc>
      </w:tr>
      <w:tr w:rsidR="00300D51" w14:paraId="2D6785E6" w14:textId="77777777" w:rsidTr="00300D51">
        <w:tc>
          <w:tcPr>
            <w:tcW w:w="3080" w:type="pct"/>
            <w:tcBorders>
              <w:top w:val="nil"/>
              <w:left w:val="nil"/>
              <w:bottom w:val="nil"/>
              <w:right w:val="nil"/>
              <w:tl2br w:val="nil"/>
              <w:tr2bl w:val="nil"/>
            </w:tcBorders>
            <w:shd w:val="clear" w:color="auto" w:fill="auto"/>
            <w:vAlign w:val="center"/>
          </w:tcPr>
          <w:p w14:paraId="44609A2F"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Reimbursable public improvements and project management fees</w:t>
            </w:r>
          </w:p>
        </w:tc>
        <w:tc>
          <w:tcPr>
            <w:tcW w:w="130" w:type="pct"/>
            <w:tcBorders>
              <w:top w:val="nil"/>
              <w:left w:val="nil"/>
              <w:bottom w:val="nil"/>
              <w:right w:val="nil"/>
              <w:tl2br w:val="nil"/>
              <w:tr2bl w:val="nil"/>
            </w:tcBorders>
            <w:shd w:val="clear" w:color="auto" w:fill="auto"/>
            <w:noWrap/>
            <w:vAlign w:val="bottom"/>
          </w:tcPr>
          <w:p w14:paraId="4907C7C7"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A87FACE"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5DAD7EAF"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10,100</w:t>
            </w:r>
          </w:p>
        </w:tc>
        <w:tc>
          <w:tcPr>
            <w:tcW w:w="130" w:type="pct"/>
            <w:tcBorders>
              <w:top w:val="nil"/>
              <w:left w:val="nil"/>
              <w:bottom w:val="nil"/>
              <w:right w:val="nil"/>
              <w:tl2br w:val="nil"/>
              <w:tr2bl w:val="nil"/>
            </w:tcBorders>
            <w:shd w:val="clear" w:color="auto" w:fill="auto"/>
            <w:noWrap/>
            <w:vAlign w:val="bottom"/>
          </w:tcPr>
          <w:p w14:paraId="63E1F536"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E88F932"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17CCF88A"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w:t>
            </w:r>
          </w:p>
        </w:tc>
      </w:tr>
      <w:tr w:rsidR="00300D51" w14:paraId="59E51906" w14:textId="77777777" w:rsidTr="00300D51">
        <w:tc>
          <w:tcPr>
            <w:tcW w:w="3080" w:type="pct"/>
            <w:tcBorders>
              <w:top w:val="nil"/>
              <w:left w:val="nil"/>
              <w:bottom w:val="nil"/>
              <w:right w:val="nil"/>
              <w:tl2br w:val="nil"/>
              <w:tr2bl w:val="nil"/>
            </w:tcBorders>
            <w:shd w:val="clear" w:color="auto" w:fill="auto"/>
            <w:vAlign w:val="bottom"/>
          </w:tcPr>
          <w:p w14:paraId="77889222"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Income taxes receivable</w:t>
            </w:r>
          </w:p>
        </w:tc>
        <w:tc>
          <w:tcPr>
            <w:tcW w:w="130" w:type="pct"/>
            <w:tcBorders>
              <w:top w:val="nil"/>
              <w:left w:val="nil"/>
              <w:bottom w:val="nil"/>
              <w:right w:val="nil"/>
              <w:tl2br w:val="nil"/>
              <w:tr2bl w:val="nil"/>
            </w:tcBorders>
            <w:shd w:val="clear" w:color="auto" w:fill="auto"/>
            <w:noWrap/>
            <w:vAlign w:val="bottom"/>
          </w:tcPr>
          <w:p w14:paraId="4D5B0A6D"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38ABDCFA"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34493372"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w:t>
            </w:r>
          </w:p>
        </w:tc>
        <w:tc>
          <w:tcPr>
            <w:tcW w:w="130" w:type="pct"/>
            <w:tcBorders>
              <w:top w:val="nil"/>
              <w:left w:val="nil"/>
              <w:bottom w:val="nil"/>
              <w:right w:val="nil"/>
              <w:tl2br w:val="nil"/>
              <w:tr2bl w:val="nil"/>
            </w:tcBorders>
            <w:shd w:val="clear" w:color="auto" w:fill="auto"/>
            <w:noWrap/>
            <w:vAlign w:val="bottom"/>
          </w:tcPr>
          <w:p w14:paraId="774760F8"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08601204"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689FEA1C"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551</w:t>
            </w:r>
          </w:p>
        </w:tc>
      </w:tr>
      <w:tr w:rsidR="00300D51" w14:paraId="744E1097" w14:textId="77777777" w:rsidTr="00300D51">
        <w:tc>
          <w:tcPr>
            <w:tcW w:w="3080" w:type="pct"/>
            <w:tcBorders>
              <w:top w:val="nil"/>
              <w:left w:val="nil"/>
              <w:bottom w:val="nil"/>
              <w:right w:val="nil"/>
              <w:tl2br w:val="nil"/>
              <w:tr2bl w:val="nil"/>
            </w:tcBorders>
            <w:shd w:val="clear" w:color="auto" w:fill="auto"/>
            <w:vAlign w:val="bottom"/>
          </w:tcPr>
          <w:p w14:paraId="44FDE7C0"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Prepaid expenses and other assets</w:t>
            </w:r>
          </w:p>
        </w:tc>
        <w:tc>
          <w:tcPr>
            <w:tcW w:w="130" w:type="pct"/>
            <w:tcBorders>
              <w:top w:val="nil"/>
              <w:left w:val="nil"/>
              <w:bottom w:val="nil"/>
              <w:right w:val="nil"/>
              <w:tl2br w:val="nil"/>
              <w:tr2bl w:val="nil"/>
            </w:tcBorders>
            <w:shd w:val="clear" w:color="auto" w:fill="auto"/>
            <w:noWrap/>
            <w:vAlign w:val="bottom"/>
          </w:tcPr>
          <w:p w14:paraId="5BB09228"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1FE3E778"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single" w:sz="4" w:space="0" w:color="000000"/>
              <w:right w:val="nil"/>
              <w:tl2br w:val="nil"/>
              <w:tr2bl w:val="nil"/>
            </w:tcBorders>
            <w:shd w:val="clear" w:color="auto" w:fill="auto"/>
            <w:noWrap/>
            <w:vAlign w:val="bottom"/>
          </w:tcPr>
          <w:p w14:paraId="05339F65"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530</w:t>
            </w:r>
          </w:p>
        </w:tc>
        <w:tc>
          <w:tcPr>
            <w:tcW w:w="130" w:type="pct"/>
            <w:tcBorders>
              <w:top w:val="nil"/>
              <w:left w:val="nil"/>
              <w:bottom w:val="nil"/>
              <w:right w:val="nil"/>
              <w:tl2br w:val="nil"/>
              <w:tr2bl w:val="nil"/>
            </w:tcBorders>
            <w:shd w:val="clear" w:color="auto" w:fill="auto"/>
            <w:noWrap/>
            <w:vAlign w:val="bottom"/>
          </w:tcPr>
          <w:p w14:paraId="28768D08"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70D2D3E"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single" w:sz="4" w:space="0" w:color="000000"/>
              <w:right w:val="nil"/>
              <w:tl2br w:val="nil"/>
              <w:tr2bl w:val="nil"/>
            </w:tcBorders>
            <w:shd w:val="clear" w:color="auto" w:fill="auto"/>
            <w:noWrap/>
            <w:vAlign w:val="bottom"/>
          </w:tcPr>
          <w:p w14:paraId="7F8D8C58"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346</w:t>
            </w:r>
          </w:p>
        </w:tc>
      </w:tr>
      <w:tr w:rsidR="00300D51" w14:paraId="73B4DF13" w14:textId="77777777" w:rsidTr="00300D51">
        <w:tc>
          <w:tcPr>
            <w:tcW w:w="3080" w:type="pct"/>
            <w:tcBorders>
              <w:top w:val="nil"/>
              <w:left w:val="nil"/>
              <w:bottom w:val="nil"/>
              <w:right w:val="nil"/>
              <w:tl2br w:val="nil"/>
              <w:tr2bl w:val="nil"/>
            </w:tcBorders>
            <w:shd w:val="clear" w:color="auto" w:fill="auto"/>
            <w:vAlign w:val="bottom"/>
          </w:tcPr>
          <w:p w14:paraId="71DF5E2C" w14:textId="77777777" w:rsidR="00300D51" w:rsidRDefault="00300D51" w:rsidP="00300D51">
            <w:pPr>
              <w:spacing w:after="1"/>
              <w:ind w:left="240"/>
              <w:rPr>
                <w:color w:val="000000"/>
                <w:sz w:val="18"/>
              </w:rPr>
            </w:pPr>
            <w:r>
              <w:rPr>
                <w:rFonts w:ascii="Times New Roman" w:eastAsia="Times New Roman" w:hAnsi="Times New Roman" w:cs="Times New Roman"/>
                <w:color w:val="000000"/>
                <w:sz w:val="18"/>
              </w:rPr>
              <w:t>Total current assets</w:t>
            </w:r>
          </w:p>
        </w:tc>
        <w:tc>
          <w:tcPr>
            <w:tcW w:w="130" w:type="pct"/>
            <w:tcBorders>
              <w:top w:val="nil"/>
              <w:left w:val="nil"/>
              <w:bottom w:val="nil"/>
              <w:right w:val="nil"/>
              <w:tl2br w:val="nil"/>
              <w:tr2bl w:val="nil"/>
            </w:tcBorders>
            <w:shd w:val="clear" w:color="auto" w:fill="auto"/>
            <w:noWrap/>
            <w:vAlign w:val="bottom"/>
          </w:tcPr>
          <w:p w14:paraId="212CBECA"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CA00826"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32657F8F"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37,862</w:t>
            </w:r>
          </w:p>
        </w:tc>
        <w:tc>
          <w:tcPr>
            <w:tcW w:w="130" w:type="pct"/>
            <w:tcBorders>
              <w:top w:val="nil"/>
              <w:left w:val="nil"/>
              <w:bottom w:val="nil"/>
              <w:right w:val="nil"/>
              <w:tl2br w:val="nil"/>
              <w:tr2bl w:val="nil"/>
            </w:tcBorders>
            <w:shd w:val="clear" w:color="auto" w:fill="auto"/>
            <w:noWrap/>
            <w:vAlign w:val="bottom"/>
          </w:tcPr>
          <w:p w14:paraId="7ADB5E0C"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CB3EF0A"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2DE63610"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29,727</w:t>
            </w:r>
          </w:p>
        </w:tc>
      </w:tr>
      <w:tr w:rsidR="00300D51" w14:paraId="16848D91" w14:textId="77777777" w:rsidTr="00300D51">
        <w:tc>
          <w:tcPr>
            <w:tcW w:w="3080" w:type="pct"/>
            <w:tcBorders>
              <w:top w:val="nil"/>
              <w:left w:val="nil"/>
              <w:bottom w:val="nil"/>
              <w:right w:val="nil"/>
              <w:tl2br w:val="nil"/>
              <w:tr2bl w:val="nil"/>
            </w:tcBorders>
            <w:shd w:val="clear" w:color="auto" w:fill="auto"/>
            <w:vAlign w:val="bottom"/>
          </w:tcPr>
          <w:p w14:paraId="7CDEBEE1" w14:textId="77777777" w:rsidR="00300D51" w:rsidRDefault="00300D51" w:rsidP="00300D51">
            <w:pPr>
              <w:spacing w:after="1"/>
              <w:rPr>
                <w:color w:val="000000"/>
                <w:sz w:val="18"/>
              </w:rPr>
            </w:pPr>
            <w:r>
              <w:rPr>
                <w:rFonts w:ascii="Times New Roman" w:eastAsia="Times New Roman" w:hAnsi="Times New Roman" w:cs="Times New Roman"/>
                <w:color w:val="000000"/>
                <w:sz w:val="18"/>
              </w:rPr>
              <w:t>Restricted cash</w:t>
            </w:r>
          </w:p>
        </w:tc>
        <w:tc>
          <w:tcPr>
            <w:tcW w:w="130" w:type="pct"/>
            <w:tcBorders>
              <w:top w:val="nil"/>
              <w:left w:val="nil"/>
              <w:bottom w:val="nil"/>
              <w:right w:val="nil"/>
              <w:tl2br w:val="nil"/>
              <w:tr2bl w:val="nil"/>
            </w:tcBorders>
            <w:shd w:val="clear" w:color="auto" w:fill="auto"/>
            <w:noWrap/>
            <w:vAlign w:val="bottom"/>
          </w:tcPr>
          <w:p w14:paraId="084DBBFF"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2931DBA9"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78C4BACF"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3,245</w:t>
            </w:r>
          </w:p>
        </w:tc>
        <w:tc>
          <w:tcPr>
            <w:tcW w:w="130" w:type="pct"/>
            <w:tcBorders>
              <w:top w:val="nil"/>
              <w:left w:val="nil"/>
              <w:bottom w:val="nil"/>
              <w:right w:val="nil"/>
              <w:tl2br w:val="nil"/>
              <w:tr2bl w:val="nil"/>
            </w:tcBorders>
            <w:shd w:val="clear" w:color="auto" w:fill="auto"/>
            <w:noWrap/>
            <w:vAlign w:val="bottom"/>
          </w:tcPr>
          <w:p w14:paraId="2E3F7DED"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54CEC822"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1BE0B4CB"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2,475</w:t>
            </w:r>
          </w:p>
        </w:tc>
      </w:tr>
      <w:tr w:rsidR="00300D51" w14:paraId="5664865A" w14:textId="77777777" w:rsidTr="00300D51">
        <w:tc>
          <w:tcPr>
            <w:tcW w:w="3080" w:type="pct"/>
            <w:tcBorders>
              <w:top w:val="nil"/>
              <w:left w:val="nil"/>
              <w:bottom w:val="nil"/>
              <w:right w:val="nil"/>
              <w:tl2br w:val="nil"/>
              <w:tr2bl w:val="nil"/>
            </w:tcBorders>
            <w:shd w:val="clear" w:color="auto" w:fill="auto"/>
            <w:vAlign w:val="bottom"/>
          </w:tcPr>
          <w:p w14:paraId="7637A187" w14:textId="77777777" w:rsidR="00300D51" w:rsidRDefault="00300D51" w:rsidP="00300D51">
            <w:pPr>
              <w:spacing w:after="1"/>
              <w:rPr>
                <w:color w:val="000000"/>
                <w:sz w:val="18"/>
              </w:rPr>
            </w:pPr>
            <w:r>
              <w:rPr>
                <w:rFonts w:ascii="Times New Roman" w:eastAsia="Times New Roman" w:hAnsi="Times New Roman" w:cs="Times New Roman"/>
                <w:color w:val="000000"/>
                <w:sz w:val="18"/>
              </w:rPr>
              <w:t>Investments in water and water systems, net</w:t>
            </w:r>
          </w:p>
        </w:tc>
        <w:tc>
          <w:tcPr>
            <w:tcW w:w="130" w:type="pct"/>
            <w:tcBorders>
              <w:top w:val="nil"/>
              <w:left w:val="nil"/>
              <w:bottom w:val="nil"/>
              <w:right w:val="nil"/>
              <w:tl2br w:val="nil"/>
              <w:tr2bl w:val="nil"/>
            </w:tcBorders>
            <w:shd w:val="clear" w:color="auto" w:fill="auto"/>
            <w:noWrap/>
            <w:vAlign w:val="bottom"/>
          </w:tcPr>
          <w:p w14:paraId="4F3CBE8A"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8668FC5"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41A65806"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60,486</w:t>
            </w:r>
          </w:p>
        </w:tc>
        <w:tc>
          <w:tcPr>
            <w:tcW w:w="130" w:type="pct"/>
            <w:tcBorders>
              <w:top w:val="nil"/>
              <w:left w:val="nil"/>
              <w:bottom w:val="nil"/>
              <w:right w:val="nil"/>
              <w:tl2br w:val="nil"/>
              <w:tr2bl w:val="nil"/>
            </w:tcBorders>
            <w:shd w:val="clear" w:color="auto" w:fill="auto"/>
            <w:noWrap/>
            <w:vAlign w:val="bottom"/>
          </w:tcPr>
          <w:p w14:paraId="258BC7C1"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7E7B0E54"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51E196D7"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57,798</w:t>
            </w:r>
          </w:p>
        </w:tc>
      </w:tr>
      <w:tr w:rsidR="00300D51" w14:paraId="38FF4F97" w14:textId="77777777" w:rsidTr="00300D51">
        <w:tc>
          <w:tcPr>
            <w:tcW w:w="3080" w:type="pct"/>
            <w:tcBorders>
              <w:top w:val="nil"/>
              <w:left w:val="nil"/>
              <w:bottom w:val="nil"/>
              <w:right w:val="nil"/>
              <w:tl2br w:val="nil"/>
              <w:tr2bl w:val="nil"/>
            </w:tcBorders>
            <w:shd w:val="clear" w:color="auto" w:fill="auto"/>
            <w:vAlign w:val="bottom"/>
          </w:tcPr>
          <w:p w14:paraId="69831923" w14:textId="77777777" w:rsidR="00300D51" w:rsidRDefault="00300D51" w:rsidP="00300D51">
            <w:pPr>
              <w:spacing w:after="1"/>
              <w:rPr>
                <w:color w:val="000000"/>
                <w:sz w:val="18"/>
              </w:rPr>
            </w:pPr>
            <w:r>
              <w:rPr>
                <w:rFonts w:ascii="Times New Roman" w:eastAsia="Times New Roman" w:hAnsi="Times New Roman" w:cs="Times New Roman"/>
                <w:color w:val="000000"/>
                <w:sz w:val="18"/>
              </w:rPr>
              <w:t>Construction in progress</w:t>
            </w:r>
          </w:p>
        </w:tc>
        <w:tc>
          <w:tcPr>
            <w:tcW w:w="130" w:type="pct"/>
            <w:tcBorders>
              <w:top w:val="nil"/>
              <w:left w:val="nil"/>
              <w:bottom w:val="nil"/>
              <w:right w:val="nil"/>
              <w:tl2br w:val="nil"/>
              <w:tr2bl w:val="nil"/>
            </w:tcBorders>
            <w:shd w:val="clear" w:color="auto" w:fill="auto"/>
            <w:noWrap/>
            <w:vAlign w:val="bottom"/>
          </w:tcPr>
          <w:p w14:paraId="656849E0"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CE7015F"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752C8209"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3,161</w:t>
            </w:r>
          </w:p>
        </w:tc>
        <w:tc>
          <w:tcPr>
            <w:tcW w:w="130" w:type="pct"/>
            <w:tcBorders>
              <w:top w:val="nil"/>
              <w:left w:val="nil"/>
              <w:bottom w:val="nil"/>
              <w:right w:val="nil"/>
              <w:tl2br w:val="nil"/>
              <w:tr2bl w:val="nil"/>
            </w:tcBorders>
            <w:shd w:val="clear" w:color="auto" w:fill="auto"/>
            <w:noWrap/>
            <w:vAlign w:val="bottom"/>
          </w:tcPr>
          <w:p w14:paraId="47857C18"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6F6830D"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1A0E7DDD"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5,457</w:t>
            </w:r>
          </w:p>
        </w:tc>
      </w:tr>
      <w:tr w:rsidR="00300D51" w14:paraId="4C49F9D0" w14:textId="77777777" w:rsidTr="00300D51">
        <w:tc>
          <w:tcPr>
            <w:tcW w:w="3080" w:type="pct"/>
            <w:tcBorders>
              <w:top w:val="nil"/>
              <w:left w:val="nil"/>
              <w:bottom w:val="nil"/>
              <w:right w:val="nil"/>
              <w:tl2br w:val="nil"/>
              <w:tr2bl w:val="nil"/>
            </w:tcBorders>
            <w:shd w:val="clear" w:color="auto" w:fill="auto"/>
            <w:vAlign w:val="bottom"/>
          </w:tcPr>
          <w:p w14:paraId="359D388F" w14:textId="77777777" w:rsidR="00300D51" w:rsidRDefault="00300D51" w:rsidP="00300D51">
            <w:pPr>
              <w:spacing w:after="1"/>
              <w:rPr>
                <w:color w:val="000000"/>
                <w:sz w:val="18"/>
              </w:rPr>
            </w:pPr>
            <w:r>
              <w:rPr>
                <w:rFonts w:ascii="Times New Roman" w:eastAsia="Times New Roman" w:hAnsi="Times New Roman" w:cs="Times New Roman"/>
                <w:color w:val="000000"/>
                <w:sz w:val="18"/>
              </w:rPr>
              <w:t>Single-family rental units</w:t>
            </w:r>
          </w:p>
        </w:tc>
        <w:tc>
          <w:tcPr>
            <w:tcW w:w="130" w:type="pct"/>
            <w:tcBorders>
              <w:top w:val="nil"/>
              <w:left w:val="nil"/>
              <w:bottom w:val="nil"/>
              <w:right w:val="nil"/>
              <w:tl2br w:val="nil"/>
              <w:tr2bl w:val="nil"/>
            </w:tcBorders>
            <w:shd w:val="clear" w:color="auto" w:fill="auto"/>
            <w:noWrap/>
            <w:vAlign w:val="bottom"/>
          </w:tcPr>
          <w:p w14:paraId="6B8FA495"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00A9D1C8"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0DE19DA2"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5,059</w:t>
            </w:r>
          </w:p>
        </w:tc>
        <w:tc>
          <w:tcPr>
            <w:tcW w:w="130" w:type="pct"/>
            <w:tcBorders>
              <w:top w:val="nil"/>
              <w:left w:val="nil"/>
              <w:bottom w:val="nil"/>
              <w:right w:val="nil"/>
              <w:tl2br w:val="nil"/>
              <w:tr2bl w:val="nil"/>
            </w:tcBorders>
            <w:shd w:val="clear" w:color="auto" w:fill="auto"/>
            <w:noWrap/>
            <w:vAlign w:val="bottom"/>
          </w:tcPr>
          <w:p w14:paraId="2368F744"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0CE2BF84"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71D9D193"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4,490</w:t>
            </w:r>
          </w:p>
        </w:tc>
      </w:tr>
      <w:tr w:rsidR="00300D51" w14:paraId="6BA3483C" w14:textId="77777777" w:rsidTr="00300D51">
        <w:tc>
          <w:tcPr>
            <w:tcW w:w="3080" w:type="pct"/>
            <w:tcBorders>
              <w:top w:val="nil"/>
              <w:left w:val="nil"/>
              <w:bottom w:val="nil"/>
              <w:right w:val="nil"/>
              <w:tl2br w:val="nil"/>
              <w:tr2bl w:val="nil"/>
            </w:tcBorders>
            <w:shd w:val="clear" w:color="auto" w:fill="auto"/>
            <w:vAlign w:val="bottom"/>
          </w:tcPr>
          <w:p w14:paraId="4D01771B" w14:textId="77777777" w:rsidR="00300D51" w:rsidRDefault="00300D51" w:rsidP="00300D51">
            <w:pPr>
              <w:spacing w:after="1"/>
              <w:rPr>
                <w:color w:val="000000"/>
                <w:sz w:val="18"/>
              </w:rPr>
            </w:pPr>
            <w:r>
              <w:rPr>
                <w:rFonts w:ascii="Times New Roman" w:eastAsia="Times New Roman" w:hAnsi="Times New Roman" w:cs="Times New Roman"/>
                <w:color w:val="000000"/>
                <w:sz w:val="18"/>
              </w:rPr>
              <w:t>Land and mineral rights:</w:t>
            </w:r>
          </w:p>
        </w:tc>
        <w:tc>
          <w:tcPr>
            <w:tcW w:w="130" w:type="pct"/>
            <w:tcBorders>
              <w:top w:val="nil"/>
              <w:left w:val="nil"/>
              <w:bottom w:val="nil"/>
              <w:right w:val="nil"/>
              <w:tl2br w:val="nil"/>
              <w:tr2bl w:val="nil"/>
            </w:tcBorders>
            <w:shd w:val="clear" w:color="auto" w:fill="auto"/>
            <w:noWrap/>
            <w:vAlign w:val="bottom"/>
          </w:tcPr>
          <w:p w14:paraId="4C4318C8"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51A7F8E"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249C4EB1" w14:textId="77777777" w:rsidR="00300D51" w:rsidRDefault="00300D51" w:rsidP="00300D51">
            <w:pPr>
              <w:spacing w:after="1"/>
              <w:jc w:val="right"/>
              <w:rPr>
                <w:color w:val="000000"/>
                <w:sz w:val="20"/>
              </w:rPr>
            </w:pPr>
          </w:p>
        </w:tc>
        <w:tc>
          <w:tcPr>
            <w:tcW w:w="130" w:type="pct"/>
            <w:tcBorders>
              <w:top w:val="nil"/>
              <w:left w:val="nil"/>
              <w:bottom w:val="nil"/>
              <w:right w:val="nil"/>
              <w:tl2br w:val="nil"/>
              <w:tr2bl w:val="nil"/>
            </w:tcBorders>
            <w:shd w:val="clear" w:color="auto" w:fill="auto"/>
            <w:noWrap/>
            <w:vAlign w:val="bottom"/>
          </w:tcPr>
          <w:p w14:paraId="1B83A98E"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250C6A7B"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685DA582" w14:textId="77777777" w:rsidR="00300D51" w:rsidRDefault="00300D51" w:rsidP="00300D51">
            <w:pPr>
              <w:spacing w:after="1"/>
              <w:jc w:val="right"/>
              <w:rPr>
                <w:color w:val="000000"/>
                <w:sz w:val="18"/>
              </w:rPr>
            </w:pPr>
          </w:p>
        </w:tc>
      </w:tr>
      <w:tr w:rsidR="00300D51" w14:paraId="5DAF6B63" w14:textId="77777777" w:rsidTr="00300D51">
        <w:tc>
          <w:tcPr>
            <w:tcW w:w="3080" w:type="pct"/>
            <w:tcBorders>
              <w:top w:val="nil"/>
              <w:left w:val="nil"/>
              <w:bottom w:val="nil"/>
              <w:right w:val="nil"/>
              <w:tl2br w:val="nil"/>
              <w:tr2bl w:val="nil"/>
            </w:tcBorders>
            <w:shd w:val="clear" w:color="auto" w:fill="auto"/>
            <w:vAlign w:val="center"/>
          </w:tcPr>
          <w:p w14:paraId="72172818" w14:textId="77777777" w:rsidR="00300D51" w:rsidRDefault="00300D51" w:rsidP="00300D51">
            <w:pPr>
              <w:spacing w:after="1"/>
              <w:ind w:left="240"/>
              <w:rPr>
                <w:color w:val="000000"/>
                <w:sz w:val="18"/>
              </w:rPr>
            </w:pPr>
            <w:r>
              <w:rPr>
                <w:rFonts w:ascii="Times New Roman" w:eastAsia="Times New Roman" w:hAnsi="Times New Roman" w:cs="Times New Roman"/>
                <w:color w:val="000000"/>
                <w:sz w:val="18"/>
              </w:rPr>
              <w:t>Held for development</w:t>
            </w:r>
          </w:p>
        </w:tc>
        <w:tc>
          <w:tcPr>
            <w:tcW w:w="130" w:type="pct"/>
            <w:tcBorders>
              <w:top w:val="nil"/>
              <w:left w:val="nil"/>
              <w:bottom w:val="nil"/>
              <w:right w:val="nil"/>
              <w:tl2br w:val="nil"/>
              <w:tr2bl w:val="nil"/>
            </w:tcBorders>
            <w:shd w:val="clear" w:color="auto" w:fill="auto"/>
            <w:noWrap/>
            <w:vAlign w:val="bottom"/>
          </w:tcPr>
          <w:p w14:paraId="7D6A1C1F"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AC5D7C1"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42F3091D"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3,683</w:t>
            </w:r>
          </w:p>
        </w:tc>
        <w:tc>
          <w:tcPr>
            <w:tcW w:w="130" w:type="pct"/>
            <w:tcBorders>
              <w:top w:val="nil"/>
              <w:left w:val="nil"/>
              <w:bottom w:val="nil"/>
              <w:right w:val="nil"/>
              <w:tl2br w:val="nil"/>
              <w:tr2bl w:val="nil"/>
            </w:tcBorders>
            <w:shd w:val="clear" w:color="auto" w:fill="auto"/>
            <w:noWrap/>
            <w:vAlign w:val="bottom"/>
          </w:tcPr>
          <w:p w14:paraId="00B17D13"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3417E5B8"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13D496F2"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4,652</w:t>
            </w:r>
          </w:p>
        </w:tc>
      </w:tr>
      <w:tr w:rsidR="00300D51" w14:paraId="5FED59C0" w14:textId="77777777" w:rsidTr="00300D51">
        <w:tc>
          <w:tcPr>
            <w:tcW w:w="3080" w:type="pct"/>
            <w:tcBorders>
              <w:top w:val="nil"/>
              <w:left w:val="nil"/>
              <w:bottom w:val="nil"/>
              <w:right w:val="nil"/>
              <w:tl2br w:val="nil"/>
              <w:tr2bl w:val="nil"/>
            </w:tcBorders>
            <w:shd w:val="clear" w:color="auto" w:fill="auto"/>
            <w:vAlign w:val="center"/>
          </w:tcPr>
          <w:p w14:paraId="2DB79044" w14:textId="77777777" w:rsidR="00300D51" w:rsidRDefault="00300D51" w:rsidP="00300D51">
            <w:pPr>
              <w:spacing w:after="1"/>
              <w:ind w:left="240"/>
              <w:rPr>
                <w:color w:val="000000"/>
                <w:sz w:val="18"/>
              </w:rPr>
            </w:pPr>
            <w:r>
              <w:rPr>
                <w:rFonts w:ascii="Times New Roman" w:eastAsia="Times New Roman" w:hAnsi="Times New Roman" w:cs="Times New Roman"/>
                <w:color w:val="000000"/>
                <w:sz w:val="18"/>
              </w:rPr>
              <w:t>Held for investment purposes</w:t>
            </w:r>
          </w:p>
        </w:tc>
        <w:tc>
          <w:tcPr>
            <w:tcW w:w="130" w:type="pct"/>
            <w:tcBorders>
              <w:top w:val="nil"/>
              <w:left w:val="nil"/>
              <w:bottom w:val="nil"/>
              <w:right w:val="nil"/>
              <w:tl2br w:val="nil"/>
              <w:tr2bl w:val="nil"/>
            </w:tcBorders>
            <w:shd w:val="clear" w:color="auto" w:fill="auto"/>
            <w:noWrap/>
            <w:vAlign w:val="bottom"/>
          </w:tcPr>
          <w:p w14:paraId="76265405"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3772436C"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35914699"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451</w:t>
            </w:r>
          </w:p>
        </w:tc>
        <w:tc>
          <w:tcPr>
            <w:tcW w:w="130" w:type="pct"/>
            <w:tcBorders>
              <w:top w:val="nil"/>
              <w:left w:val="nil"/>
              <w:bottom w:val="nil"/>
              <w:right w:val="nil"/>
              <w:tl2br w:val="nil"/>
              <w:tr2bl w:val="nil"/>
            </w:tcBorders>
            <w:shd w:val="clear" w:color="auto" w:fill="auto"/>
            <w:noWrap/>
            <w:vAlign w:val="bottom"/>
          </w:tcPr>
          <w:p w14:paraId="214E368C"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508F5FF7"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27616F08"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451</w:t>
            </w:r>
          </w:p>
        </w:tc>
      </w:tr>
      <w:tr w:rsidR="00300D51" w14:paraId="5BCE63A9" w14:textId="77777777" w:rsidTr="00300D51">
        <w:tc>
          <w:tcPr>
            <w:tcW w:w="3080" w:type="pct"/>
            <w:tcBorders>
              <w:top w:val="nil"/>
              <w:left w:val="nil"/>
              <w:bottom w:val="nil"/>
              <w:right w:val="nil"/>
              <w:tl2br w:val="nil"/>
              <w:tr2bl w:val="nil"/>
            </w:tcBorders>
            <w:shd w:val="clear" w:color="auto" w:fill="auto"/>
            <w:vAlign w:val="bottom"/>
          </w:tcPr>
          <w:p w14:paraId="2F98FE68" w14:textId="77777777" w:rsidR="00300D51" w:rsidRDefault="00300D51" w:rsidP="00300D51">
            <w:pPr>
              <w:spacing w:after="1"/>
              <w:rPr>
                <w:color w:val="000000"/>
                <w:sz w:val="18"/>
              </w:rPr>
            </w:pPr>
            <w:r>
              <w:rPr>
                <w:rFonts w:ascii="Times New Roman" w:eastAsia="Times New Roman" w:hAnsi="Times New Roman" w:cs="Times New Roman"/>
                <w:color w:val="000000"/>
                <w:sz w:val="18"/>
              </w:rPr>
              <w:t>Other assets</w:t>
            </w:r>
          </w:p>
        </w:tc>
        <w:tc>
          <w:tcPr>
            <w:tcW w:w="130" w:type="pct"/>
            <w:tcBorders>
              <w:top w:val="nil"/>
              <w:left w:val="nil"/>
              <w:bottom w:val="nil"/>
              <w:right w:val="nil"/>
              <w:tl2br w:val="nil"/>
              <w:tr2bl w:val="nil"/>
            </w:tcBorders>
            <w:shd w:val="clear" w:color="auto" w:fill="auto"/>
            <w:noWrap/>
            <w:vAlign w:val="bottom"/>
          </w:tcPr>
          <w:p w14:paraId="1B64A597"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7F31421B"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1FC2051D"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1,164</w:t>
            </w:r>
          </w:p>
        </w:tc>
        <w:tc>
          <w:tcPr>
            <w:tcW w:w="130" w:type="pct"/>
            <w:tcBorders>
              <w:top w:val="nil"/>
              <w:left w:val="nil"/>
              <w:bottom w:val="nil"/>
              <w:right w:val="nil"/>
              <w:tl2br w:val="nil"/>
              <w:tr2bl w:val="nil"/>
            </w:tcBorders>
            <w:shd w:val="clear" w:color="auto" w:fill="auto"/>
            <w:noWrap/>
            <w:vAlign w:val="bottom"/>
          </w:tcPr>
          <w:p w14:paraId="714AF463"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38E6569"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68D55944"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1,359</w:t>
            </w:r>
          </w:p>
        </w:tc>
      </w:tr>
      <w:tr w:rsidR="00300D51" w14:paraId="1A5B5918" w14:textId="77777777" w:rsidTr="00300D51">
        <w:tc>
          <w:tcPr>
            <w:tcW w:w="3080" w:type="pct"/>
            <w:tcBorders>
              <w:top w:val="nil"/>
              <w:left w:val="nil"/>
              <w:bottom w:val="nil"/>
              <w:right w:val="nil"/>
              <w:tl2br w:val="nil"/>
              <w:tr2bl w:val="nil"/>
            </w:tcBorders>
            <w:shd w:val="clear" w:color="auto" w:fill="auto"/>
            <w:vAlign w:val="bottom"/>
          </w:tcPr>
          <w:p w14:paraId="17D2420F" w14:textId="77777777" w:rsidR="00300D51" w:rsidRDefault="00300D51" w:rsidP="00300D51">
            <w:pPr>
              <w:spacing w:after="1"/>
              <w:rPr>
                <w:color w:val="000000"/>
                <w:sz w:val="18"/>
              </w:rPr>
            </w:pPr>
            <w:r>
              <w:rPr>
                <w:rFonts w:ascii="Times New Roman" w:eastAsia="Times New Roman" w:hAnsi="Times New Roman" w:cs="Times New Roman"/>
                <w:color w:val="000000"/>
                <w:sz w:val="18"/>
              </w:rPr>
              <w:t>Notes receivable – related parties, including accrued interest</w:t>
            </w:r>
          </w:p>
        </w:tc>
        <w:tc>
          <w:tcPr>
            <w:tcW w:w="130" w:type="pct"/>
            <w:tcBorders>
              <w:top w:val="nil"/>
              <w:left w:val="nil"/>
              <w:bottom w:val="nil"/>
              <w:right w:val="nil"/>
              <w:tl2br w:val="nil"/>
              <w:tr2bl w:val="nil"/>
            </w:tcBorders>
            <w:shd w:val="clear" w:color="auto" w:fill="auto"/>
            <w:noWrap/>
            <w:vAlign w:val="bottom"/>
          </w:tcPr>
          <w:p w14:paraId="783CEFFE"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54CFEC77"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47AF818C" w14:textId="77777777" w:rsidR="00300D51" w:rsidRDefault="00300D51" w:rsidP="00300D51">
            <w:pPr>
              <w:spacing w:after="1"/>
              <w:jc w:val="right"/>
              <w:rPr>
                <w:color w:val="000000"/>
                <w:sz w:val="20"/>
              </w:rPr>
            </w:pPr>
          </w:p>
        </w:tc>
        <w:tc>
          <w:tcPr>
            <w:tcW w:w="130" w:type="pct"/>
            <w:tcBorders>
              <w:top w:val="nil"/>
              <w:left w:val="nil"/>
              <w:bottom w:val="nil"/>
              <w:right w:val="nil"/>
              <w:tl2br w:val="nil"/>
              <w:tr2bl w:val="nil"/>
            </w:tcBorders>
            <w:shd w:val="clear" w:color="auto" w:fill="auto"/>
            <w:noWrap/>
            <w:vAlign w:val="bottom"/>
          </w:tcPr>
          <w:p w14:paraId="3309BC6A"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178DFF35"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3D845FC8" w14:textId="77777777" w:rsidR="00300D51" w:rsidRDefault="00300D51" w:rsidP="00300D51">
            <w:pPr>
              <w:spacing w:after="1"/>
              <w:jc w:val="right"/>
              <w:rPr>
                <w:color w:val="000000"/>
                <w:sz w:val="18"/>
              </w:rPr>
            </w:pPr>
          </w:p>
        </w:tc>
      </w:tr>
      <w:tr w:rsidR="00300D51" w14:paraId="19BD9B60" w14:textId="77777777" w:rsidTr="00300D51">
        <w:tc>
          <w:tcPr>
            <w:tcW w:w="3080" w:type="pct"/>
            <w:tcBorders>
              <w:top w:val="nil"/>
              <w:left w:val="nil"/>
              <w:bottom w:val="nil"/>
              <w:right w:val="nil"/>
              <w:tl2br w:val="nil"/>
              <w:tr2bl w:val="nil"/>
            </w:tcBorders>
            <w:shd w:val="clear" w:color="auto" w:fill="auto"/>
            <w:vAlign w:val="center"/>
          </w:tcPr>
          <w:p w14:paraId="3D75B49A"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Reimbursable public improvements and project management fees</w:t>
            </w:r>
          </w:p>
        </w:tc>
        <w:tc>
          <w:tcPr>
            <w:tcW w:w="130" w:type="pct"/>
            <w:tcBorders>
              <w:top w:val="nil"/>
              <w:left w:val="nil"/>
              <w:bottom w:val="nil"/>
              <w:right w:val="nil"/>
              <w:tl2br w:val="nil"/>
              <w:tr2bl w:val="nil"/>
            </w:tcBorders>
            <w:shd w:val="clear" w:color="auto" w:fill="auto"/>
            <w:noWrap/>
            <w:vAlign w:val="bottom"/>
          </w:tcPr>
          <w:p w14:paraId="679E4B57"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3EBD28D0"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79D39617"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30,864</w:t>
            </w:r>
          </w:p>
        </w:tc>
        <w:tc>
          <w:tcPr>
            <w:tcW w:w="130" w:type="pct"/>
            <w:tcBorders>
              <w:top w:val="nil"/>
              <w:left w:val="nil"/>
              <w:bottom w:val="nil"/>
              <w:right w:val="nil"/>
              <w:tl2br w:val="nil"/>
              <w:tr2bl w:val="nil"/>
            </w:tcBorders>
            <w:shd w:val="clear" w:color="auto" w:fill="auto"/>
            <w:noWrap/>
            <w:vAlign w:val="bottom"/>
          </w:tcPr>
          <w:p w14:paraId="4531EB17"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27149937"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5C468DDF"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24,999</w:t>
            </w:r>
          </w:p>
        </w:tc>
      </w:tr>
      <w:tr w:rsidR="00300D51" w14:paraId="262A86DF" w14:textId="77777777" w:rsidTr="00300D51">
        <w:tc>
          <w:tcPr>
            <w:tcW w:w="3080" w:type="pct"/>
            <w:tcBorders>
              <w:top w:val="nil"/>
              <w:left w:val="nil"/>
              <w:bottom w:val="nil"/>
              <w:right w:val="nil"/>
              <w:tl2br w:val="nil"/>
              <w:tr2bl w:val="nil"/>
            </w:tcBorders>
            <w:shd w:val="clear" w:color="auto" w:fill="auto"/>
            <w:vAlign w:val="center"/>
          </w:tcPr>
          <w:p w14:paraId="19FE72EA"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Other</w:t>
            </w:r>
          </w:p>
        </w:tc>
        <w:tc>
          <w:tcPr>
            <w:tcW w:w="130" w:type="pct"/>
            <w:tcBorders>
              <w:top w:val="nil"/>
              <w:left w:val="nil"/>
              <w:bottom w:val="nil"/>
              <w:right w:val="nil"/>
              <w:tl2br w:val="nil"/>
              <w:tr2bl w:val="nil"/>
            </w:tcBorders>
            <w:shd w:val="clear" w:color="auto" w:fill="auto"/>
            <w:noWrap/>
            <w:vAlign w:val="bottom"/>
          </w:tcPr>
          <w:p w14:paraId="518B47F5"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75470BF"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2D763B0F"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1,221</w:t>
            </w:r>
          </w:p>
        </w:tc>
        <w:tc>
          <w:tcPr>
            <w:tcW w:w="130" w:type="pct"/>
            <w:tcBorders>
              <w:top w:val="nil"/>
              <w:left w:val="nil"/>
              <w:bottom w:val="nil"/>
              <w:right w:val="nil"/>
              <w:tl2br w:val="nil"/>
              <w:tr2bl w:val="nil"/>
            </w:tcBorders>
            <w:shd w:val="clear" w:color="auto" w:fill="auto"/>
            <w:noWrap/>
            <w:vAlign w:val="bottom"/>
          </w:tcPr>
          <w:p w14:paraId="2BC488F7"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2DC72F64"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4D71E9FE"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1,451</w:t>
            </w:r>
          </w:p>
        </w:tc>
      </w:tr>
      <w:tr w:rsidR="00300D51" w14:paraId="23BC5FC6" w14:textId="77777777" w:rsidTr="00300D51">
        <w:tc>
          <w:tcPr>
            <w:tcW w:w="3080" w:type="pct"/>
            <w:tcBorders>
              <w:top w:val="nil"/>
              <w:left w:val="nil"/>
              <w:bottom w:val="nil"/>
              <w:right w:val="nil"/>
              <w:tl2br w:val="nil"/>
              <w:tr2bl w:val="nil"/>
            </w:tcBorders>
            <w:shd w:val="clear" w:color="auto" w:fill="auto"/>
            <w:vAlign w:val="bottom"/>
          </w:tcPr>
          <w:p w14:paraId="4884EB6F" w14:textId="77777777" w:rsidR="00300D51" w:rsidRDefault="00300D51" w:rsidP="00300D51">
            <w:pPr>
              <w:spacing w:after="1"/>
              <w:rPr>
                <w:color w:val="000000"/>
                <w:sz w:val="18"/>
              </w:rPr>
            </w:pPr>
            <w:r>
              <w:rPr>
                <w:rFonts w:ascii="Times New Roman" w:eastAsia="Times New Roman" w:hAnsi="Times New Roman" w:cs="Times New Roman"/>
                <w:color w:val="000000"/>
                <w:sz w:val="18"/>
              </w:rPr>
              <w:t>Operating leases - right of use assets</w:t>
            </w:r>
          </w:p>
        </w:tc>
        <w:tc>
          <w:tcPr>
            <w:tcW w:w="130" w:type="pct"/>
            <w:tcBorders>
              <w:top w:val="nil"/>
              <w:left w:val="nil"/>
              <w:bottom w:val="nil"/>
              <w:right w:val="nil"/>
              <w:tl2br w:val="nil"/>
              <w:tr2bl w:val="nil"/>
            </w:tcBorders>
            <w:shd w:val="clear" w:color="auto" w:fill="auto"/>
            <w:noWrap/>
            <w:vAlign w:val="bottom"/>
          </w:tcPr>
          <w:p w14:paraId="2E48D3AC"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3AED38DD"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single" w:sz="4" w:space="0" w:color="000000"/>
              <w:right w:val="nil"/>
              <w:tl2br w:val="nil"/>
              <w:tr2bl w:val="nil"/>
            </w:tcBorders>
            <w:shd w:val="clear" w:color="auto" w:fill="auto"/>
            <w:noWrap/>
            <w:vAlign w:val="bottom"/>
          </w:tcPr>
          <w:p w14:paraId="39AB45C9"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158</w:t>
            </w:r>
          </w:p>
        </w:tc>
        <w:tc>
          <w:tcPr>
            <w:tcW w:w="130" w:type="pct"/>
            <w:tcBorders>
              <w:top w:val="nil"/>
              <w:left w:val="nil"/>
              <w:bottom w:val="nil"/>
              <w:right w:val="nil"/>
              <w:tl2br w:val="nil"/>
              <w:tr2bl w:val="nil"/>
            </w:tcBorders>
            <w:shd w:val="clear" w:color="auto" w:fill="auto"/>
            <w:noWrap/>
            <w:vAlign w:val="bottom"/>
          </w:tcPr>
          <w:p w14:paraId="7AA0FF24"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0D690117"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single" w:sz="4" w:space="0" w:color="000000"/>
              <w:right w:val="nil"/>
              <w:tl2br w:val="nil"/>
              <w:tr2bl w:val="nil"/>
            </w:tcBorders>
            <w:shd w:val="clear" w:color="auto" w:fill="auto"/>
            <w:noWrap/>
            <w:vAlign w:val="bottom"/>
          </w:tcPr>
          <w:p w14:paraId="105B9052"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357</w:t>
            </w:r>
          </w:p>
        </w:tc>
      </w:tr>
      <w:tr w:rsidR="00300D51" w14:paraId="62EE7440" w14:textId="77777777" w:rsidTr="00300D51">
        <w:tc>
          <w:tcPr>
            <w:tcW w:w="3080" w:type="pct"/>
            <w:tcBorders>
              <w:top w:val="nil"/>
              <w:left w:val="nil"/>
              <w:bottom w:val="nil"/>
              <w:right w:val="nil"/>
              <w:tl2br w:val="nil"/>
              <w:tr2bl w:val="nil"/>
            </w:tcBorders>
            <w:shd w:val="clear" w:color="auto" w:fill="auto"/>
            <w:vAlign w:val="bottom"/>
          </w:tcPr>
          <w:p w14:paraId="0CB2FB6F"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Total assets</w:t>
            </w:r>
          </w:p>
        </w:tc>
        <w:tc>
          <w:tcPr>
            <w:tcW w:w="130" w:type="pct"/>
            <w:tcBorders>
              <w:top w:val="nil"/>
              <w:left w:val="nil"/>
              <w:bottom w:val="nil"/>
              <w:right w:val="nil"/>
              <w:tl2br w:val="nil"/>
              <w:tr2bl w:val="nil"/>
            </w:tcBorders>
            <w:shd w:val="clear" w:color="auto" w:fill="auto"/>
            <w:noWrap/>
            <w:vAlign w:val="bottom"/>
          </w:tcPr>
          <w:p w14:paraId="49649642" w14:textId="77777777" w:rsidR="00300D51" w:rsidRDefault="00300D51" w:rsidP="00300D51">
            <w:pPr>
              <w:spacing w:after="1"/>
              <w:rPr>
                <w:color w:val="000000"/>
                <w:sz w:val="18"/>
              </w:rPr>
            </w:pPr>
          </w:p>
        </w:tc>
        <w:tc>
          <w:tcPr>
            <w:tcW w:w="83" w:type="pct"/>
            <w:tcBorders>
              <w:top w:val="nil"/>
              <w:left w:val="nil"/>
              <w:bottom w:val="double" w:sz="4" w:space="0" w:color="000000"/>
              <w:right w:val="nil"/>
              <w:tl2br w:val="nil"/>
              <w:tr2bl w:val="nil"/>
            </w:tcBorders>
            <w:shd w:val="clear" w:color="auto" w:fill="auto"/>
            <w:noWrap/>
            <w:vAlign w:val="bottom"/>
          </w:tcPr>
          <w:p w14:paraId="32E54003" w14:textId="77777777" w:rsidR="00300D51" w:rsidRDefault="00300D51" w:rsidP="00300D51">
            <w:pPr>
              <w:spacing w:after="1"/>
              <w:rPr>
                <w:color w:val="000000"/>
                <w:sz w:val="18"/>
              </w:rPr>
            </w:pPr>
            <w:r>
              <w:rPr>
                <w:rFonts w:ascii="Times New Roman" w:eastAsia="Times New Roman" w:hAnsi="Times New Roman" w:cs="Times New Roman"/>
                <w:color w:val="000000"/>
                <w:sz w:val="18"/>
              </w:rPr>
              <w:t>$</w:t>
            </w:r>
          </w:p>
        </w:tc>
        <w:tc>
          <w:tcPr>
            <w:tcW w:w="812" w:type="pct"/>
            <w:tcBorders>
              <w:top w:val="nil"/>
              <w:left w:val="nil"/>
              <w:bottom w:val="double" w:sz="4" w:space="0" w:color="000000"/>
              <w:right w:val="nil"/>
              <w:tl2br w:val="nil"/>
              <w:tr2bl w:val="nil"/>
            </w:tcBorders>
            <w:shd w:val="clear" w:color="auto" w:fill="auto"/>
            <w:noWrap/>
            <w:vAlign w:val="bottom"/>
          </w:tcPr>
          <w:p w14:paraId="1FD58B5C"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147,354</w:t>
            </w:r>
          </w:p>
        </w:tc>
        <w:tc>
          <w:tcPr>
            <w:tcW w:w="130" w:type="pct"/>
            <w:tcBorders>
              <w:top w:val="nil"/>
              <w:left w:val="nil"/>
              <w:bottom w:val="nil"/>
              <w:right w:val="nil"/>
              <w:tl2br w:val="nil"/>
              <w:tr2bl w:val="nil"/>
            </w:tcBorders>
            <w:shd w:val="clear" w:color="auto" w:fill="auto"/>
            <w:noWrap/>
            <w:vAlign w:val="bottom"/>
          </w:tcPr>
          <w:p w14:paraId="5E4FFAD9" w14:textId="77777777" w:rsidR="00300D51" w:rsidRDefault="00300D51" w:rsidP="00300D51">
            <w:pPr>
              <w:spacing w:after="1"/>
              <w:rPr>
                <w:color w:val="000000"/>
                <w:sz w:val="18"/>
              </w:rPr>
            </w:pPr>
          </w:p>
        </w:tc>
        <w:tc>
          <w:tcPr>
            <w:tcW w:w="83" w:type="pct"/>
            <w:tcBorders>
              <w:top w:val="nil"/>
              <w:left w:val="nil"/>
              <w:bottom w:val="double" w:sz="4" w:space="0" w:color="000000"/>
              <w:right w:val="nil"/>
              <w:tl2br w:val="nil"/>
              <w:tr2bl w:val="nil"/>
            </w:tcBorders>
            <w:shd w:val="clear" w:color="auto" w:fill="auto"/>
            <w:noWrap/>
            <w:vAlign w:val="bottom"/>
          </w:tcPr>
          <w:p w14:paraId="3D573A0A" w14:textId="77777777" w:rsidR="00300D51" w:rsidRDefault="00300D51" w:rsidP="00300D51">
            <w:pPr>
              <w:spacing w:after="1"/>
              <w:rPr>
                <w:color w:val="000000"/>
                <w:sz w:val="18"/>
              </w:rPr>
            </w:pPr>
            <w:r>
              <w:rPr>
                <w:rFonts w:ascii="Times New Roman" w:eastAsia="Times New Roman" w:hAnsi="Times New Roman" w:cs="Times New Roman"/>
                <w:color w:val="000000"/>
                <w:sz w:val="18"/>
              </w:rPr>
              <w:t>$</w:t>
            </w:r>
          </w:p>
        </w:tc>
        <w:tc>
          <w:tcPr>
            <w:tcW w:w="682" w:type="pct"/>
            <w:tcBorders>
              <w:top w:val="nil"/>
              <w:left w:val="nil"/>
              <w:bottom w:val="double" w:sz="4" w:space="0" w:color="000000"/>
              <w:right w:val="nil"/>
              <w:tl2br w:val="nil"/>
              <w:tr2bl w:val="nil"/>
            </w:tcBorders>
            <w:shd w:val="clear" w:color="auto" w:fill="auto"/>
            <w:noWrap/>
            <w:vAlign w:val="bottom"/>
          </w:tcPr>
          <w:p w14:paraId="565A57FD"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133,216</w:t>
            </w:r>
          </w:p>
        </w:tc>
      </w:tr>
      <w:tr w:rsidR="00300D51" w14:paraId="3512650B" w14:textId="77777777" w:rsidTr="00300D51">
        <w:tc>
          <w:tcPr>
            <w:tcW w:w="3080" w:type="pct"/>
            <w:tcBorders>
              <w:top w:val="nil"/>
              <w:left w:val="nil"/>
              <w:bottom w:val="nil"/>
              <w:right w:val="nil"/>
              <w:tl2br w:val="nil"/>
              <w:tr2bl w:val="nil"/>
            </w:tcBorders>
            <w:shd w:val="clear" w:color="auto" w:fill="auto"/>
            <w:vAlign w:val="bottom"/>
          </w:tcPr>
          <w:p w14:paraId="70EEB84D" w14:textId="77777777" w:rsidR="00300D51" w:rsidRDefault="00300D51" w:rsidP="00300D51">
            <w:pPr>
              <w:spacing w:after="1"/>
              <w:rPr>
                <w:color w:val="000000"/>
                <w:sz w:val="18"/>
              </w:rPr>
            </w:pPr>
          </w:p>
        </w:tc>
        <w:tc>
          <w:tcPr>
            <w:tcW w:w="130" w:type="pct"/>
            <w:tcBorders>
              <w:top w:val="nil"/>
              <w:left w:val="nil"/>
              <w:bottom w:val="nil"/>
              <w:right w:val="nil"/>
              <w:tl2br w:val="nil"/>
              <w:tr2bl w:val="nil"/>
            </w:tcBorders>
            <w:shd w:val="clear" w:color="auto" w:fill="auto"/>
            <w:noWrap/>
            <w:vAlign w:val="bottom"/>
          </w:tcPr>
          <w:p w14:paraId="1121683F"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9A8FF8B"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73605C59" w14:textId="77777777" w:rsidR="00300D51" w:rsidRDefault="00300D51" w:rsidP="00300D51">
            <w:pPr>
              <w:spacing w:after="1"/>
              <w:jc w:val="right"/>
              <w:rPr>
                <w:color w:val="000000"/>
                <w:sz w:val="18"/>
              </w:rPr>
            </w:pPr>
          </w:p>
        </w:tc>
        <w:tc>
          <w:tcPr>
            <w:tcW w:w="130" w:type="pct"/>
            <w:tcBorders>
              <w:top w:val="nil"/>
              <w:left w:val="nil"/>
              <w:bottom w:val="nil"/>
              <w:right w:val="nil"/>
              <w:tl2br w:val="nil"/>
              <w:tr2bl w:val="nil"/>
            </w:tcBorders>
            <w:shd w:val="clear" w:color="auto" w:fill="auto"/>
            <w:noWrap/>
            <w:vAlign w:val="bottom"/>
          </w:tcPr>
          <w:p w14:paraId="52C3AEE7"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3819B567"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4D50EFF5" w14:textId="77777777" w:rsidR="00300D51" w:rsidRDefault="00300D51" w:rsidP="00300D51">
            <w:pPr>
              <w:spacing w:after="1"/>
              <w:jc w:val="right"/>
              <w:rPr>
                <w:color w:val="000000"/>
                <w:sz w:val="18"/>
              </w:rPr>
            </w:pPr>
          </w:p>
        </w:tc>
      </w:tr>
      <w:tr w:rsidR="00300D51" w14:paraId="134CFFF8" w14:textId="77777777" w:rsidTr="00300D51">
        <w:tc>
          <w:tcPr>
            <w:tcW w:w="3080" w:type="pct"/>
            <w:tcBorders>
              <w:top w:val="nil"/>
              <w:left w:val="nil"/>
              <w:bottom w:val="nil"/>
              <w:right w:val="nil"/>
              <w:tl2br w:val="nil"/>
              <w:tr2bl w:val="nil"/>
            </w:tcBorders>
            <w:shd w:val="clear" w:color="auto" w:fill="auto"/>
            <w:vAlign w:val="bottom"/>
          </w:tcPr>
          <w:p w14:paraId="1DBB2513" w14:textId="77777777" w:rsidR="00300D51" w:rsidRDefault="00300D51" w:rsidP="00300D51">
            <w:pPr>
              <w:spacing w:after="1"/>
              <w:rPr>
                <w:b/>
                <w:color w:val="000000"/>
                <w:sz w:val="18"/>
              </w:rPr>
            </w:pPr>
            <w:r>
              <w:rPr>
                <w:rFonts w:ascii="Times New Roman" w:eastAsia="Times New Roman" w:hAnsi="Times New Roman" w:cs="Times New Roman"/>
                <w:b/>
                <w:color w:val="000000"/>
                <w:sz w:val="18"/>
              </w:rPr>
              <w:t>LIABILITIES:</w:t>
            </w:r>
          </w:p>
        </w:tc>
        <w:tc>
          <w:tcPr>
            <w:tcW w:w="130" w:type="pct"/>
            <w:tcBorders>
              <w:top w:val="nil"/>
              <w:left w:val="nil"/>
              <w:bottom w:val="nil"/>
              <w:right w:val="nil"/>
              <w:tl2br w:val="nil"/>
              <w:tr2bl w:val="nil"/>
            </w:tcBorders>
            <w:shd w:val="clear" w:color="auto" w:fill="auto"/>
            <w:noWrap/>
            <w:vAlign w:val="bottom"/>
          </w:tcPr>
          <w:p w14:paraId="2F8A07B8"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5D56F210"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6B912FF1" w14:textId="77777777" w:rsidR="00300D51" w:rsidRDefault="00300D51" w:rsidP="00300D51">
            <w:pPr>
              <w:spacing w:after="1"/>
              <w:jc w:val="right"/>
              <w:rPr>
                <w:color w:val="000000"/>
                <w:sz w:val="18"/>
              </w:rPr>
            </w:pPr>
          </w:p>
        </w:tc>
        <w:tc>
          <w:tcPr>
            <w:tcW w:w="130" w:type="pct"/>
            <w:tcBorders>
              <w:top w:val="nil"/>
              <w:left w:val="nil"/>
              <w:bottom w:val="nil"/>
              <w:right w:val="nil"/>
              <w:tl2br w:val="nil"/>
              <w:tr2bl w:val="nil"/>
            </w:tcBorders>
            <w:shd w:val="clear" w:color="auto" w:fill="auto"/>
            <w:noWrap/>
            <w:vAlign w:val="bottom"/>
          </w:tcPr>
          <w:p w14:paraId="3BE9327A"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7C424AF5"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164294A3" w14:textId="77777777" w:rsidR="00300D51" w:rsidRDefault="00300D51" w:rsidP="00300D51">
            <w:pPr>
              <w:spacing w:after="1"/>
              <w:jc w:val="right"/>
              <w:rPr>
                <w:color w:val="000000"/>
                <w:sz w:val="18"/>
              </w:rPr>
            </w:pPr>
          </w:p>
        </w:tc>
      </w:tr>
      <w:tr w:rsidR="00300D51" w14:paraId="06FBAE27" w14:textId="77777777" w:rsidTr="00300D51">
        <w:tc>
          <w:tcPr>
            <w:tcW w:w="3080" w:type="pct"/>
            <w:tcBorders>
              <w:top w:val="nil"/>
              <w:left w:val="nil"/>
              <w:bottom w:val="nil"/>
              <w:right w:val="nil"/>
              <w:tl2br w:val="nil"/>
              <w:tr2bl w:val="nil"/>
            </w:tcBorders>
            <w:shd w:val="clear" w:color="auto" w:fill="auto"/>
            <w:vAlign w:val="bottom"/>
          </w:tcPr>
          <w:p w14:paraId="0C047CE7" w14:textId="77777777" w:rsidR="00300D51" w:rsidRDefault="00300D51" w:rsidP="00300D51">
            <w:pPr>
              <w:spacing w:after="1"/>
              <w:rPr>
                <w:color w:val="000000"/>
                <w:sz w:val="18"/>
              </w:rPr>
            </w:pPr>
            <w:r>
              <w:rPr>
                <w:rFonts w:ascii="Times New Roman" w:eastAsia="Times New Roman" w:hAnsi="Times New Roman" w:cs="Times New Roman"/>
                <w:color w:val="000000"/>
                <w:sz w:val="18"/>
              </w:rPr>
              <w:t>Current liabilities:</w:t>
            </w:r>
          </w:p>
        </w:tc>
        <w:tc>
          <w:tcPr>
            <w:tcW w:w="130" w:type="pct"/>
            <w:tcBorders>
              <w:top w:val="nil"/>
              <w:left w:val="nil"/>
              <w:bottom w:val="nil"/>
              <w:right w:val="nil"/>
              <w:tl2br w:val="nil"/>
              <w:tr2bl w:val="nil"/>
            </w:tcBorders>
            <w:shd w:val="clear" w:color="auto" w:fill="auto"/>
            <w:noWrap/>
            <w:vAlign w:val="bottom"/>
          </w:tcPr>
          <w:p w14:paraId="2338590D"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3BD04DD"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45707484" w14:textId="77777777" w:rsidR="00300D51" w:rsidRDefault="00300D51" w:rsidP="00300D51">
            <w:pPr>
              <w:spacing w:after="1"/>
              <w:jc w:val="right"/>
              <w:rPr>
                <w:color w:val="000000"/>
                <w:sz w:val="18"/>
              </w:rPr>
            </w:pPr>
          </w:p>
        </w:tc>
        <w:tc>
          <w:tcPr>
            <w:tcW w:w="130" w:type="pct"/>
            <w:tcBorders>
              <w:top w:val="nil"/>
              <w:left w:val="nil"/>
              <w:bottom w:val="nil"/>
              <w:right w:val="nil"/>
              <w:tl2br w:val="nil"/>
              <w:tr2bl w:val="nil"/>
            </w:tcBorders>
            <w:shd w:val="clear" w:color="auto" w:fill="auto"/>
            <w:noWrap/>
            <w:vAlign w:val="bottom"/>
          </w:tcPr>
          <w:p w14:paraId="0632CAD1"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59B65C0"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159B6EF0" w14:textId="77777777" w:rsidR="00300D51" w:rsidRDefault="00300D51" w:rsidP="00300D51">
            <w:pPr>
              <w:spacing w:after="1"/>
              <w:jc w:val="right"/>
              <w:rPr>
                <w:color w:val="000000"/>
                <w:sz w:val="18"/>
              </w:rPr>
            </w:pPr>
          </w:p>
        </w:tc>
      </w:tr>
      <w:tr w:rsidR="00300D51" w14:paraId="2CE759CC" w14:textId="77777777" w:rsidTr="00300D51">
        <w:tc>
          <w:tcPr>
            <w:tcW w:w="3080" w:type="pct"/>
            <w:tcBorders>
              <w:top w:val="nil"/>
              <w:left w:val="nil"/>
              <w:bottom w:val="nil"/>
              <w:right w:val="nil"/>
              <w:tl2br w:val="nil"/>
              <w:tr2bl w:val="nil"/>
            </w:tcBorders>
            <w:shd w:val="clear" w:color="auto" w:fill="auto"/>
            <w:vAlign w:val="bottom"/>
          </w:tcPr>
          <w:p w14:paraId="0054D428"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Accounts payable</w:t>
            </w:r>
          </w:p>
        </w:tc>
        <w:tc>
          <w:tcPr>
            <w:tcW w:w="130" w:type="pct"/>
            <w:tcBorders>
              <w:top w:val="nil"/>
              <w:left w:val="nil"/>
              <w:bottom w:val="nil"/>
              <w:right w:val="nil"/>
              <w:tl2br w:val="nil"/>
              <w:tr2bl w:val="nil"/>
            </w:tcBorders>
            <w:shd w:val="clear" w:color="auto" w:fill="auto"/>
            <w:noWrap/>
            <w:vAlign w:val="bottom"/>
          </w:tcPr>
          <w:p w14:paraId="515BA8AB"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462936C" w14:textId="77777777" w:rsidR="00300D51" w:rsidRDefault="00300D51" w:rsidP="00300D51">
            <w:pPr>
              <w:spacing w:after="1"/>
              <w:rPr>
                <w:color w:val="000000"/>
                <w:sz w:val="18"/>
              </w:rPr>
            </w:pPr>
            <w:r>
              <w:rPr>
                <w:rFonts w:ascii="Times New Roman" w:eastAsia="Times New Roman" w:hAnsi="Times New Roman" w:cs="Times New Roman"/>
                <w:color w:val="000000"/>
                <w:sz w:val="18"/>
              </w:rPr>
              <w:t>$</w:t>
            </w:r>
          </w:p>
        </w:tc>
        <w:tc>
          <w:tcPr>
            <w:tcW w:w="812" w:type="pct"/>
            <w:tcBorders>
              <w:top w:val="nil"/>
              <w:left w:val="nil"/>
              <w:bottom w:val="nil"/>
              <w:right w:val="nil"/>
              <w:tl2br w:val="nil"/>
              <w:tr2bl w:val="nil"/>
            </w:tcBorders>
            <w:shd w:val="clear" w:color="auto" w:fill="auto"/>
            <w:noWrap/>
            <w:vAlign w:val="bottom"/>
          </w:tcPr>
          <w:p w14:paraId="14BE5C4C"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1,948</w:t>
            </w:r>
          </w:p>
        </w:tc>
        <w:tc>
          <w:tcPr>
            <w:tcW w:w="130" w:type="pct"/>
            <w:tcBorders>
              <w:top w:val="nil"/>
              <w:left w:val="nil"/>
              <w:bottom w:val="nil"/>
              <w:right w:val="nil"/>
              <w:tl2br w:val="nil"/>
              <w:tr2bl w:val="nil"/>
            </w:tcBorders>
            <w:shd w:val="clear" w:color="auto" w:fill="auto"/>
            <w:noWrap/>
            <w:vAlign w:val="bottom"/>
          </w:tcPr>
          <w:p w14:paraId="65E77CB7"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7CA85FA7" w14:textId="77777777" w:rsidR="00300D51" w:rsidRDefault="00300D51" w:rsidP="00300D51">
            <w:pPr>
              <w:spacing w:after="1"/>
              <w:rPr>
                <w:color w:val="000000"/>
                <w:sz w:val="18"/>
              </w:rPr>
            </w:pPr>
            <w:r>
              <w:rPr>
                <w:rFonts w:ascii="Times New Roman" w:eastAsia="Times New Roman" w:hAnsi="Times New Roman" w:cs="Times New Roman"/>
                <w:color w:val="000000"/>
                <w:sz w:val="18"/>
              </w:rPr>
              <w:t>$</w:t>
            </w:r>
          </w:p>
        </w:tc>
        <w:tc>
          <w:tcPr>
            <w:tcW w:w="682" w:type="pct"/>
            <w:tcBorders>
              <w:top w:val="nil"/>
              <w:left w:val="nil"/>
              <w:bottom w:val="nil"/>
              <w:right w:val="nil"/>
              <w:tl2br w:val="nil"/>
              <w:tr2bl w:val="nil"/>
            </w:tcBorders>
            <w:shd w:val="clear" w:color="auto" w:fill="auto"/>
            <w:noWrap/>
            <w:vAlign w:val="bottom"/>
          </w:tcPr>
          <w:p w14:paraId="626A8E70"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1,960</w:t>
            </w:r>
          </w:p>
        </w:tc>
      </w:tr>
      <w:tr w:rsidR="00300D51" w14:paraId="0781233C" w14:textId="77777777" w:rsidTr="00300D51">
        <w:tc>
          <w:tcPr>
            <w:tcW w:w="3080" w:type="pct"/>
            <w:tcBorders>
              <w:top w:val="nil"/>
              <w:left w:val="nil"/>
              <w:bottom w:val="nil"/>
              <w:right w:val="nil"/>
              <w:tl2br w:val="nil"/>
              <w:tr2bl w:val="nil"/>
            </w:tcBorders>
            <w:shd w:val="clear" w:color="auto" w:fill="auto"/>
            <w:vAlign w:val="bottom"/>
          </w:tcPr>
          <w:p w14:paraId="426CAB4B"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Accrued liabilities</w:t>
            </w:r>
          </w:p>
        </w:tc>
        <w:tc>
          <w:tcPr>
            <w:tcW w:w="130" w:type="pct"/>
            <w:tcBorders>
              <w:top w:val="nil"/>
              <w:left w:val="nil"/>
              <w:bottom w:val="nil"/>
              <w:right w:val="nil"/>
              <w:tl2br w:val="nil"/>
              <w:tr2bl w:val="nil"/>
            </w:tcBorders>
            <w:shd w:val="clear" w:color="auto" w:fill="auto"/>
            <w:noWrap/>
            <w:vAlign w:val="bottom"/>
          </w:tcPr>
          <w:p w14:paraId="5DF44153"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7E7AE843"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4C2D4DBF"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1,514</w:t>
            </w:r>
          </w:p>
        </w:tc>
        <w:tc>
          <w:tcPr>
            <w:tcW w:w="130" w:type="pct"/>
            <w:tcBorders>
              <w:top w:val="nil"/>
              <w:left w:val="nil"/>
              <w:bottom w:val="nil"/>
              <w:right w:val="nil"/>
              <w:tl2br w:val="nil"/>
              <w:tr2bl w:val="nil"/>
            </w:tcBorders>
            <w:shd w:val="clear" w:color="auto" w:fill="auto"/>
            <w:noWrap/>
            <w:vAlign w:val="bottom"/>
          </w:tcPr>
          <w:p w14:paraId="010C7886"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567861E1"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634FCD3A"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1,761</w:t>
            </w:r>
          </w:p>
        </w:tc>
      </w:tr>
      <w:tr w:rsidR="00300D51" w14:paraId="159BBA08" w14:textId="77777777" w:rsidTr="00300D51">
        <w:tc>
          <w:tcPr>
            <w:tcW w:w="3080" w:type="pct"/>
            <w:tcBorders>
              <w:top w:val="nil"/>
              <w:left w:val="nil"/>
              <w:bottom w:val="nil"/>
              <w:right w:val="nil"/>
              <w:tl2br w:val="nil"/>
              <w:tr2bl w:val="nil"/>
            </w:tcBorders>
            <w:shd w:val="clear" w:color="auto" w:fill="auto"/>
            <w:vAlign w:val="bottom"/>
          </w:tcPr>
          <w:p w14:paraId="00315D43"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Accrued liabilities – related parties</w:t>
            </w:r>
          </w:p>
        </w:tc>
        <w:tc>
          <w:tcPr>
            <w:tcW w:w="130" w:type="pct"/>
            <w:tcBorders>
              <w:top w:val="nil"/>
              <w:left w:val="nil"/>
              <w:bottom w:val="nil"/>
              <w:right w:val="nil"/>
              <w:tl2br w:val="nil"/>
              <w:tr2bl w:val="nil"/>
            </w:tcBorders>
            <w:shd w:val="clear" w:color="auto" w:fill="auto"/>
            <w:noWrap/>
            <w:vAlign w:val="bottom"/>
          </w:tcPr>
          <w:p w14:paraId="00D38A1E"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E664BE8"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457AF589"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2,208</w:t>
            </w:r>
          </w:p>
        </w:tc>
        <w:tc>
          <w:tcPr>
            <w:tcW w:w="130" w:type="pct"/>
            <w:tcBorders>
              <w:top w:val="nil"/>
              <w:left w:val="nil"/>
              <w:bottom w:val="nil"/>
              <w:right w:val="nil"/>
              <w:tl2br w:val="nil"/>
              <w:tr2bl w:val="nil"/>
            </w:tcBorders>
            <w:shd w:val="clear" w:color="auto" w:fill="auto"/>
            <w:noWrap/>
            <w:vAlign w:val="bottom"/>
          </w:tcPr>
          <w:p w14:paraId="192A574C"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0863BFE0"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75C4AFDD"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1,021</w:t>
            </w:r>
          </w:p>
        </w:tc>
      </w:tr>
      <w:tr w:rsidR="00300D51" w14:paraId="65327E51" w14:textId="77777777" w:rsidTr="00300D51">
        <w:tc>
          <w:tcPr>
            <w:tcW w:w="3080" w:type="pct"/>
            <w:tcBorders>
              <w:top w:val="nil"/>
              <w:left w:val="nil"/>
              <w:bottom w:val="nil"/>
              <w:right w:val="nil"/>
              <w:tl2br w:val="nil"/>
              <w:tr2bl w:val="nil"/>
            </w:tcBorders>
            <w:shd w:val="clear" w:color="auto" w:fill="auto"/>
            <w:vAlign w:val="bottom"/>
          </w:tcPr>
          <w:p w14:paraId="123C8B6B"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Income taxes payable</w:t>
            </w:r>
          </w:p>
        </w:tc>
        <w:tc>
          <w:tcPr>
            <w:tcW w:w="130" w:type="pct"/>
            <w:tcBorders>
              <w:top w:val="nil"/>
              <w:left w:val="nil"/>
              <w:bottom w:val="nil"/>
              <w:right w:val="nil"/>
              <w:tl2br w:val="nil"/>
              <w:tr2bl w:val="nil"/>
            </w:tcBorders>
            <w:shd w:val="clear" w:color="auto" w:fill="auto"/>
            <w:noWrap/>
            <w:vAlign w:val="bottom"/>
          </w:tcPr>
          <w:p w14:paraId="37BD386D"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712A7C0B"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05E5B905"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1,442</w:t>
            </w:r>
          </w:p>
        </w:tc>
        <w:tc>
          <w:tcPr>
            <w:tcW w:w="130" w:type="pct"/>
            <w:tcBorders>
              <w:top w:val="nil"/>
              <w:left w:val="nil"/>
              <w:bottom w:val="nil"/>
              <w:right w:val="nil"/>
              <w:tl2br w:val="nil"/>
              <w:tr2bl w:val="nil"/>
            </w:tcBorders>
            <w:shd w:val="clear" w:color="auto" w:fill="auto"/>
            <w:noWrap/>
            <w:vAlign w:val="bottom"/>
          </w:tcPr>
          <w:p w14:paraId="58F7B494"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31D781B6"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3397E4D5"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w:t>
            </w:r>
          </w:p>
        </w:tc>
      </w:tr>
      <w:tr w:rsidR="00300D51" w14:paraId="26561F39" w14:textId="77777777" w:rsidTr="00300D51">
        <w:tc>
          <w:tcPr>
            <w:tcW w:w="3080" w:type="pct"/>
            <w:tcBorders>
              <w:top w:val="nil"/>
              <w:left w:val="nil"/>
              <w:bottom w:val="nil"/>
              <w:right w:val="nil"/>
              <w:tl2br w:val="nil"/>
              <w:tr2bl w:val="nil"/>
            </w:tcBorders>
            <w:shd w:val="clear" w:color="auto" w:fill="auto"/>
            <w:vAlign w:val="bottom"/>
          </w:tcPr>
          <w:p w14:paraId="5D24D971"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Deferred lot sales revenue</w:t>
            </w:r>
          </w:p>
        </w:tc>
        <w:tc>
          <w:tcPr>
            <w:tcW w:w="130" w:type="pct"/>
            <w:tcBorders>
              <w:top w:val="nil"/>
              <w:left w:val="nil"/>
              <w:bottom w:val="nil"/>
              <w:right w:val="nil"/>
              <w:tl2br w:val="nil"/>
              <w:tr2bl w:val="nil"/>
            </w:tcBorders>
            <w:shd w:val="clear" w:color="auto" w:fill="auto"/>
            <w:noWrap/>
            <w:vAlign w:val="bottom"/>
          </w:tcPr>
          <w:p w14:paraId="69B6B318"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210180E7"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51BAE7F2"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2,173</w:t>
            </w:r>
          </w:p>
        </w:tc>
        <w:tc>
          <w:tcPr>
            <w:tcW w:w="130" w:type="pct"/>
            <w:tcBorders>
              <w:top w:val="nil"/>
              <w:left w:val="nil"/>
              <w:bottom w:val="nil"/>
              <w:right w:val="nil"/>
              <w:tl2br w:val="nil"/>
              <w:tr2bl w:val="nil"/>
            </w:tcBorders>
            <w:shd w:val="clear" w:color="auto" w:fill="auto"/>
            <w:noWrap/>
            <w:vAlign w:val="bottom"/>
          </w:tcPr>
          <w:p w14:paraId="0A611A71"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A400744"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1563879C"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1,661</w:t>
            </w:r>
          </w:p>
        </w:tc>
      </w:tr>
      <w:tr w:rsidR="00300D51" w14:paraId="41B0287D" w14:textId="77777777" w:rsidTr="00300D51">
        <w:tc>
          <w:tcPr>
            <w:tcW w:w="3080" w:type="pct"/>
            <w:tcBorders>
              <w:top w:val="nil"/>
              <w:left w:val="nil"/>
              <w:bottom w:val="nil"/>
              <w:right w:val="nil"/>
              <w:tl2br w:val="nil"/>
              <w:tr2bl w:val="nil"/>
            </w:tcBorders>
            <w:shd w:val="clear" w:color="auto" w:fill="auto"/>
            <w:vAlign w:val="bottom"/>
          </w:tcPr>
          <w:p w14:paraId="50F8A659"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Deferred water sales revenue</w:t>
            </w:r>
          </w:p>
        </w:tc>
        <w:tc>
          <w:tcPr>
            <w:tcW w:w="130" w:type="pct"/>
            <w:tcBorders>
              <w:top w:val="nil"/>
              <w:left w:val="nil"/>
              <w:bottom w:val="nil"/>
              <w:right w:val="nil"/>
              <w:tl2br w:val="nil"/>
              <w:tr2bl w:val="nil"/>
            </w:tcBorders>
            <w:shd w:val="clear" w:color="auto" w:fill="auto"/>
            <w:noWrap/>
            <w:vAlign w:val="bottom"/>
          </w:tcPr>
          <w:p w14:paraId="6E127999"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55CFD78B"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218CDE2B"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w:t>
            </w:r>
          </w:p>
        </w:tc>
        <w:tc>
          <w:tcPr>
            <w:tcW w:w="130" w:type="pct"/>
            <w:tcBorders>
              <w:top w:val="nil"/>
              <w:left w:val="nil"/>
              <w:bottom w:val="nil"/>
              <w:right w:val="nil"/>
              <w:tl2br w:val="nil"/>
              <w:tr2bl w:val="nil"/>
            </w:tcBorders>
            <w:shd w:val="clear" w:color="auto" w:fill="auto"/>
            <w:noWrap/>
            <w:vAlign w:val="bottom"/>
          </w:tcPr>
          <w:p w14:paraId="3433D5F6"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3A41D00"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09F972A7"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69</w:t>
            </w:r>
          </w:p>
        </w:tc>
      </w:tr>
      <w:tr w:rsidR="00300D51" w14:paraId="0C73B620" w14:textId="77777777" w:rsidTr="00300D51">
        <w:tc>
          <w:tcPr>
            <w:tcW w:w="3080" w:type="pct"/>
            <w:tcBorders>
              <w:top w:val="nil"/>
              <w:left w:val="nil"/>
              <w:bottom w:val="nil"/>
              <w:right w:val="nil"/>
              <w:tl2br w:val="nil"/>
              <w:tr2bl w:val="nil"/>
            </w:tcBorders>
            <w:shd w:val="clear" w:color="auto" w:fill="auto"/>
            <w:vAlign w:val="bottom"/>
          </w:tcPr>
          <w:p w14:paraId="1E0E299D"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Debt, current portion</w:t>
            </w:r>
          </w:p>
        </w:tc>
        <w:tc>
          <w:tcPr>
            <w:tcW w:w="130" w:type="pct"/>
            <w:tcBorders>
              <w:top w:val="nil"/>
              <w:left w:val="nil"/>
              <w:bottom w:val="nil"/>
              <w:right w:val="nil"/>
              <w:tl2br w:val="nil"/>
              <w:tr2bl w:val="nil"/>
            </w:tcBorders>
            <w:shd w:val="clear" w:color="auto" w:fill="auto"/>
            <w:noWrap/>
            <w:vAlign w:val="bottom"/>
          </w:tcPr>
          <w:p w14:paraId="205F3C96"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00A40416" w14:textId="77777777" w:rsidR="00300D51" w:rsidRDefault="00300D51" w:rsidP="00300D51">
            <w:pPr>
              <w:spacing w:after="1"/>
              <w:rPr>
                <w:color w:val="000000"/>
                <w:sz w:val="18"/>
              </w:rPr>
            </w:pPr>
          </w:p>
        </w:tc>
        <w:tc>
          <w:tcPr>
            <w:tcW w:w="812" w:type="pct"/>
            <w:tcBorders>
              <w:top w:val="nil"/>
              <w:left w:val="nil"/>
              <w:bottom w:val="single" w:sz="4" w:space="0" w:color="000000"/>
              <w:right w:val="nil"/>
              <w:tl2br w:val="nil"/>
              <w:tr2bl w:val="nil"/>
            </w:tcBorders>
            <w:shd w:val="clear" w:color="auto" w:fill="auto"/>
            <w:noWrap/>
            <w:vAlign w:val="bottom"/>
          </w:tcPr>
          <w:p w14:paraId="2F3D7F4F"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64</w:t>
            </w:r>
          </w:p>
        </w:tc>
        <w:tc>
          <w:tcPr>
            <w:tcW w:w="130" w:type="pct"/>
            <w:tcBorders>
              <w:top w:val="nil"/>
              <w:left w:val="nil"/>
              <w:bottom w:val="nil"/>
              <w:right w:val="nil"/>
              <w:tl2br w:val="nil"/>
              <w:tr2bl w:val="nil"/>
            </w:tcBorders>
            <w:shd w:val="clear" w:color="auto" w:fill="auto"/>
            <w:noWrap/>
            <w:vAlign w:val="bottom"/>
          </w:tcPr>
          <w:p w14:paraId="6549BFD5"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59513451" w14:textId="77777777" w:rsidR="00300D51" w:rsidRDefault="00300D51" w:rsidP="00300D51">
            <w:pPr>
              <w:spacing w:after="1"/>
              <w:rPr>
                <w:color w:val="000000"/>
                <w:sz w:val="18"/>
              </w:rPr>
            </w:pPr>
          </w:p>
        </w:tc>
        <w:tc>
          <w:tcPr>
            <w:tcW w:w="682" w:type="pct"/>
            <w:tcBorders>
              <w:top w:val="nil"/>
              <w:left w:val="nil"/>
              <w:bottom w:val="single" w:sz="4" w:space="0" w:color="000000"/>
              <w:right w:val="nil"/>
              <w:tl2br w:val="nil"/>
              <w:tr2bl w:val="nil"/>
            </w:tcBorders>
            <w:shd w:val="clear" w:color="auto" w:fill="auto"/>
            <w:noWrap/>
            <w:vAlign w:val="bottom"/>
          </w:tcPr>
          <w:p w14:paraId="1B50F92B"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31</w:t>
            </w:r>
          </w:p>
        </w:tc>
      </w:tr>
      <w:tr w:rsidR="00300D51" w14:paraId="7E2C7E88" w14:textId="77777777" w:rsidTr="00300D51">
        <w:tc>
          <w:tcPr>
            <w:tcW w:w="3080" w:type="pct"/>
            <w:tcBorders>
              <w:top w:val="nil"/>
              <w:left w:val="nil"/>
              <w:bottom w:val="nil"/>
              <w:right w:val="nil"/>
              <w:tl2br w:val="nil"/>
              <w:tr2bl w:val="nil"/>
            </w:tcBorders>
            <w:shd w:val="clear" w:color="auto" w:fill="auto"/>
            <w:vAlign w:val="bottom"/>
          </w:tcPr>
          <w:p w14:paraId="4E1E9263" w14:textId="77777777" w:rsidR="00300D51" w:rsidRDefault="00300D51" w:rsidP="00300D51">
            <w:pPr>
              <w:spacing w:after="1"/>
              <w:ind w:left="240"/>
              <w:rPr>
                <w:color w:val="000000"/>
                <w:sz w:val="18"/>
              </w:rPr>
            </w:pPr>
            <w:r>
              <w:rPr>
                <w:rFonts w:ascii="Times New Roman" w:eastAsia="Times New Roman" w:hAnsi="Times New Roman" w:cs="Times New Roman"/>
                <w:color w:val="000000"/>
                <w:sz w:val="18"/>
              </w:rPr>
              <w:t>Total current liabilities</w:t>
            </w:r>
          </w:p>
        </w:tc>
        <w:tc>
          <w:tcPr>
            <w:tcW w:w="130" w:type="pct"/>
            <w:tcBorders>
              <w:top w:val="nil"/>
              <w:left w:val="nil"/>
              <w:bottom w:val="nil"/>
              <w:right w:val="nil"/>
              <w:tl2br w:val="nil"/>
              <w:tr2bl w:val="nil"/>
            </w:tcBorders>
            <w:shd w:val="clear" w:color="auto" w:fill="auto"/>
            <w:noWrap/>
            <w:vAlign w:val="bottom"/>
          </w:tcPr>
          <w:p w14:paraId="05E2B29D"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4EAF1EC"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244FD01D"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9,349</w:t>
            </w:r>
          </w:p>
        </w:tc>
        <w:tc>
          <w:tcPr>
            <w:tcW w:w="130" w:type="pct"/>
            <w:tcBorders>
              <w:top w:val="nil"/>
              <w:left w:val="nil"/>
              <w:bottom w:val="nil"/>
              <w:right w:val="nil"/>
              <w:tl2br w:val="nil"/>
              <w:tr2bl w:val="nil"/>
            </w:tcBorders>
            <w:shd w:val="clear" w:color="auto" w:fill="auto"/>
            <w:noWrap/>
            <w:vAlign w:val="bottom"/>
          </w:tcPr>
          <w:p w14:paraId="24EFB929"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1B9F1E75"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426029B3"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6,503</w:t>
            </w:r>
          </w:p>
        </w:tc>
      </w:tr>
      <w:tr w:rsidR="00300D51" w14:paraId="71008967" w14:textId="77777777" w:rsidTr="00300D51">
        <w:tc>
          <w:tcPr>
            <w:tcW w:w="3080" w:type="pct"/>
            <w:tcBorders>
              <w:top w:val="nil"/>
              <w:left w:val="nil"/>
              <w:bottom w:val="nil"/>
              <w:right w:val="nil"/>
              <w:tl2br w:val="nil"/>
              <w:tr2bl w:val="nil"/>
            </w:tcBorders>
            <w:shd w:val="clear" w:color="auto" w:fill="auto"/>
            <w:vAlign w:val="bottom"/>
          </w:tcPr>
          <w:p w14:paraId="0BFF24B1" w14:textId="77777777" w:rsidR="00300D51" w:rsidRDefault="00300D51" w:rsidP="00300D51">
            <w:pPr>
              <w:spacing w:after="1"/>
              <w:rPr>
                <w:color w:val="000000"/>
                <w:sz w:val="18"/>
              </w:rPr>
            </w:pPr>
            <w:r>
              <w:rPr>
                <w:rFonts w:ascii="Times New Roman" w:eastAsia="Times New Roman" w:hAnsi="Times New Roman" w:cs="Times New Roman"/>
                <w:color w:val="000000"/>
                <w:sz w:val="18"/>
              </w:rPr>
              <w:t>Debt, less current portion</w:t>
            </w:r>
          </w:p>
        </w:tc>
        <w:tc>
          <w:tcPr>
            <w:tcW w:w="130" w:type="pct"/>
            <w:tcBorders>
              <w:top w:val="nil"/>
              <w:left w:val="nil"/>
              <w:bottom w:val="nil"/>
              <w:right w:val="nil"/>
              <w:tl2br w:val="nil"/>
              <w:tr2bl w:val="nil"/>
            </w:tcBorders>
            <w:shd w:val="clear" w:color="auto" w:fill="auto"/>
            <w:noWrap/>
            <w:vAlign w:val="bottom"/>
          </w:tcPr>
          <w:p w14:paraId="562F4263"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E12B09F"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5E0EA9BD"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6,821</w:t>
            </w:r>
          </w:p>
        </w:tc>
        <w:tc>
          <w:tcPr>
            <w:tcW w:w="130" w:type="pct"/>
            <w:tcBorders>
              <w:top w:val="nil"/>
              <w:left w:val="nil"/>
              <w:bottom w:val="nil"/>
              <w:right w:val="nil"/>
              <w:tl2br w:val="nil"/>
              <w:tr2bl w:val="nil"/>
            </w:tcBorders>
            <w:shd w:val="clear" w:color="auto" w:fill="auto"/>
            <w:noWrap/>
            <w:vAlign w:val="bottom"/>
          </w:tcPr>
          <w:p w14:paraId="739299BD"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5A20DEF2"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3A15CA59"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6,885</w:t>
            </w:r>
          </w:p>
        </w:tc>
      </w:tr>
      <w:tr w:rsidR="00300D51" w14:paraId="55345FD6" w14:textId="77777777" w:rsidTr="00300D51">
        <w:tc>
          <w:tcPr>
            <w:tcW w:w="3080" w:type="pct"/>
            <w:tcBorders>
              <w:top w:val="nil"/>
              <w:left w:val="nil"/>
              <w:bottom w:val="nil"/>
              <w:right w:val="nil"/>
              <w:tl2br w:val="nil"/>
              <w:tr2bl w:val="nil"/>
            </w:tcBorders>
            <w:shd w:val="clear" w:color="auto" w:fill="auto"/>
            <w:vAlign w:val="bottom"/>
          </w:tcPr>
          <w:p w14:paraId="3CA422CA" w14:textId="77777777" w:rsidR="00300D51" w:rsidRDefault="00300D51" w:rsidP="00300D51">
            <w:pPr>
              <w:spacing w:after="1"/>
              <w:rPr>
                <w:color w:val="000000"/>
                <w:sz w:val="18"/>
              </w:rPr>
            </w:pPr>
            <w:r>
              <w:rPr>
                <w:rFonts w:ascii="Times New Roman" w:eastAsia="Times New Roman" w:hAnsi="Times New Roman" w:cs="Times New Roman"/>
                <w:color w:val="000000"/>
                <w:sz w:val="18"/>
              </w:rPr>
              <w:t>Deferred tax liability, net</w:t>
            </w:r>
          </w:p>
        </w:tc>
        <w:tc>
          <w:tcPr>
            <w:tcW w:w="130" w:type="pct"/>
            <w:tcBorders>
              <w:top w:val="nil"/>
              <w:left w:val="nil"/>
              <w:bottom w:val="nil"/>
              <w:right w:val="nil"/>
              <w:tl2br w:val="nil"/>
              <w:tr2bl w:val="nil"/>
            </w:tcBorders>
            <w:shd w:val="clear" w:color="auto" w:fill="auto"/>
            <w:noWrap/>
            <w:vAlign w:val="bottom"/>
          </w:tcPr>
          <w:p w14:paraId="7FD76849"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05C8AE9C"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7EDF5456"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1,395</w:t>
            </w:r>
          </w:p>
        </w:tc>
        <w:tc>
          <w:tcPr>
            <w:tcW w:w="130" w:type="pct"/>
            <w:tcBorders>
              <w:top w:val="nil"/>
              <w:left w:val="nil"/>
              <w:bottom w:val="nil"/>
              <w:right w:val="nil"/>
              <w:tl2br w:val="nil"/>
              <w:tr2bl w:val="nil"/>
            </w:tcBorders>
            <w:shd w:val="clear" w:color="auto" w:fill="auto"/>
            <w:noWrap/>
            <w:vAlign w:val="bottom"/>
          </w:tcPr>
          <w:p w14:paraId="58B353E3"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72A613FD"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6859B9A8"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1,352</w:t>
            </w:r>
          </w:p>
        </w:tc>
      </w:tr>
      <w:tr w:rsidR="00300D51" w14:paraId="72AB4668" w14:textId="77777777" w:rsidTr="00300D51">
        <w:tc>
          <w:tcPr>
            <w:tcW w:w="3080" w:type="pct"/>
            <w:tcBorders>
              <w:top w:val="nil"/>
              <w:left w:val="nil"/>
              <w:bottom w:val="nil"/>
              <w:right w:val="nil"/>
              <w:tl2br w:val="nil"/>
              <w:tr2bl w:val="nil"/>
            </w:tcBorders>
            <w:shd w:val="clear" w:color="auto" w:fill="auto"/>
            <w:vAlign w:val="bottom"/>
          </w:tcPr>
          <w:p w14:paraId="554D6D9B" w14:textId="77777777" w:rsidR="00300D51" w:rsidRDefault="00300D51" w:rsidP="00300D51">
            <w:pPr>
              <w:spacing w:after="1"/>
              <w:rPr>
                <w:color w:val="000000"/>
                <w:sz w:val="18"/>
              </w:rPr>
            </w:pPr>
            <w:r>
              <w:rPr>
                <w:rFonts w:ascii="Times New Roman" w:eastAsia="Times New Roman" w:hAnsi="Times New Roman" w:cs="Times New Roman"/>
                <w:color w:val="000000"/>
                <w:sz w:val="18"/>
              </w:rPr>
              <w:t>Lease obligations - operating leases, less current portion</w:t>
            </w:r>
          </w:p>
        </w:tc>
        <w:tc>
          <w:tcPr>
            <w:tcW w:w="130" w:type="pct"/>
            <w:tcBorders>
              <w:top w:val="nil"/>
              <w:left w:val="nil"/>
              <w:bottom w:val="nil"/>
              <w:right w:val="nil"/>
              <w:tl2br w:val="nil"/>
              <w:tr2bl w:val="nil"/>
            </w:tcBorders>
            <w:shd w:val="clear" w:color="auto" w:fill="auto"/>
            <w:noWrap/>
            <w:vAlign w:val="bottom"/>
          </w:tcPr>
          <w:p w14:paraId="1672BD7C"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4ADC0048"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single" w:sz="4" w:space="0" w:color="000000"/>
              <w:right w:val="nil"/>
              <w:tl2br w:val="nil"/>
              <w:tr2bl w:val="nil"/>
            </w:tcBorders>
            <w:shd w:val="clear" w:color="auto" w:fill="auto"/>
            <w:noWrap/>
            <w:vAlign w:val="bottom"/>
          </w:tcPr>
          <w:p w14:paraId="7503B9DF"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87</w:t>
            </w:r>
          </w:p>
        </w:tc>
        <w:tc>
          <w:tcPr>
            <w:tcW w:w="130" w:type="pct"/>
            <w:tcBorders>
              <w:top w:val="nil"/>
              <w:left w:val="nil"/>
              <w:bottom w:val="nil"/>
              <w:right w:val="nil"/>
              <w:tl2br w:val="nil"/>
              <w:tr2bl w:val="nil"/>
            </w:tcBorders>
            <w:shd w:val="clear" w:color="auto" w:fill="auto"/>
            <w:noWrap/>
            <w:vAlign w:val="bottom"/>
          </w:tcPr>
          <w:p w14:paraId="2AFE998C"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04555B51"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single" w:sz="4" w:space="0" w:color="000000"/>
              <w:right w:val="nil"/>
              <w:tl2br w:val="nil"/>
              <w:tr2bl w:val="nil"/>
            </w:tcBorders>
            <w:shd w:val="clear" w:color="auto" w:fill="auto"/>
            <w:noWrap/>
            <w:vAlign w:val="bottom"/>
          </w:tcPr>
          <w:p w14:paraId="599CE287"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242</w:t>
            </w:r>
          </w:p>
        </w:tc>
      </w:tr>
      <w:tr w:rsidR="00300D51" w14:paraId="07C5CD14" w14:textId="77777777" w:rsidTr="00300D51">
        <w:tc>
          <w:tcPr>
            <w:tcW w:w="3080" w:type="pct"/>
            <w:tcBorders>
              <w:top w:val="nil"/>
              <w:left w:val="nil"/>
              <w:bottom w:val="nil"/>
              <w:right w:val="nil"/>
              <w:tl2br w:val="nil"/>
              <w:tr2bl w:val="nil"/>
            </w:tcBorders>
            <w:shd w:val="clear" w:color="auto" w:fill="auto"/>
            <w:vAlign w:val="bottom"/>
          </w:tcPr>
          <w:p w14:paraId="2FB8FD2B"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Total liabilities</w:t>
            </w:r>
          </w:p>
        </w:tc>
        <w:tc>
          <w:tcPr>
            <w:tcW w:w="130" w:type="pct"/>
            <w:tcBorders>
              <w:top w:val="nil"/>
              <w:left w:val="nil"/>
              <w:bottom w:val="nil"/>
              <w:right w:val="nil"/>
              <w:tl2br w:val="nil"/>
              <w:tr2bl w:val="nil"/>
            </w:tcBorders>
            <w:shd w:val="clear" w:color="auto" w:fill="auto"/>
            <w:noWrap/>
            <w:vAlign w:val="bottom"/>
          </w:tcPr>
          <w:p w14:paraId="66D517FC"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180615B0"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single" w:sz="4" w:space="0" w:color="000000"/>
              <w:right w:val="nil"/>
              <w:tl2br w:val="nil"/>
              <w:tr2bl w:val="nil"/>
            </w:tcBorders>
            <w:shd w:val="clear" w:color="auto" w:fill="auto"/>
            <w:noWrap/>
            <w:vAlign w:val="bottom"/>
          </w:tcPr>
          <w:p w14:paraId="3C7AAD12"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17,652</w:t>
            </w:r>
          </w:p>
        </w:tc>
        <w:tc>
          <w:tcPr>
            <w:tcW w:w="130" w:type="pct"/>
            <w:tcBorders>
              <w:top w:val="nil"/>
              <w:left w:val="nil"/>
              <w:bottom w:val="nil"/>
              <w:right w:val="nil"/>
              <w:tl2br w:val="nil"/>
              <w:tr2bl w:val="nil"/>
            </w:tcBorders>
            <w:shd w:val="clear" w:color="auto" w:fill="auto"/>
            <w:noWrap/>
            <w:vAlign w:val="bottom"/>
          </w:tcPr>
          <w:p w14:paraId="494E64DA"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5F7FECD0"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single" w:sz="4" w:space="0" w:color="000000"/>
              <w:right w:val="nil"/>
              <w:tl2br w:val="nil"/>
              <w:tr2bl w:val="nil"/>
            </w:tcBorders>
            <w:shd w:val="clear" w:color="auto" w:fill="auto"/>
            <w:noWrap/>
            <w:vAlign w:val="bottom"/>
          </w:tcPr>
          <w:p w14:paraId="49ACDDCD"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14,982</w:t>
            </w:r>
          </w:p>
        </w:tc>
      </w:tr>
      <w:tr w:rsidR="00300D51" w14:paraId="1C62AFA7" w14:textId="77777777" w:rsidTr="00300D51">
        <w:tc>
          <w:tcPr>
            <w:tcW w:w="3080" w:type="pct"/>
            <w:tcBorders>
              <w:top w:val="nil"/>
              <w:left w:val="nil"/>
              <w:bottom w:val="nil"/>
              <w:right w:val="nil"/>
              <w:tl2br w:val="nil"/>
              <w:tr2bl w:val="nil"/>
            </w:tcBorders>
            <w:shd w:val="clear" w:color="auto" w:fill="auto"/>
            <w:vAlign w:val="bottom"/>
          </w:tcPr>
          <w:p w14:paraId="4A59364E" w14:textId="77777777" w:rsidR="00300D51" w:rsidRDefault="00300D51" w:rsidP="00300D51">
            <w:pPr>
              <w:spacing w:after="1"/>
              <w:rPr>
                <w:color w:val="000000"/>
                <w:sz w:val="18"/>
              </w:rPr>
            </w:pPr>
            <w:r>
              <w:rPr>
                <w:rFonts w:ascii="Times New Roman" w:eastAsia="Times New Roman" w:hAnsi="Times New Roman" w:cs="Times New Roman"/>
                <w:color w:val="000000"/>
                <w:sz w:val="18"/>
              </w:rPr>
              <w:t>Commitments and contingencies</w:t>
            </w:r>
          </w:p>
        </w:tc>
        <w:tc>
          <w:tcPr>
            <w:tcW w:w="130" w:type="pct"/>
            <w:tcBorders>
              <w:top w:val="nil"/>
              <w:left w:val="nil"/>
              <w:bottom w:val="nil"/>
              <w:right w:val="nil"/>
              <w:tl2br w:val="nil"/>
              <w:tr2bl w:val="nil"/>
            </w:tcBorders>
            <w:shd w:val="clear" w:color="auto" w:fill="auto"/>
            <w:noWrap/>
            <w:vAlign w:val="bottom"/>
          </w:tcPr>
          <w:p w14:paraId="5B853775"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20AD7DA4"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3AB9B2E7" w14:textId="77777777" w:rsidR="00300D51" w:rsidRDefault="00300D51" w:rsidP="00300D51">
            <w:pPr>
              <w:spacing w:after="1"/>
              <w:jc w:val="right"/>
              <w:rPr>
                <w:color w:val="000000"/>
                <w:sz w:val="18"/>
              </w:rPr>
            </w:pPr>
          </w:p>
        </w:tc>
        <w:tc>
          <w:tcPr>
            <w:tcW w:w="130" w:type="pct"/>
            <w:tcBorders>
              <w:top w:val="nil"/>
              <w:left w:val="nil"/>
              <w:bottom w:val="nil"/>
              <w:right w:val="nil"/>
              <w:tl2br w:val="nil"/>
              <w:tr2bl w:val="nil"/>
            </w:tcBorders>
            <w:shd w:val="clear" w:color="auto" w:fill="auto"/>
            <w:noWrap/>
            <w:vAlign w:val="bottom"/>
          </w:tcPr>
          <w:p w14:paraId="011115D9"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077FD5B7"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4E368394" w14:textId="77777777" w:rsidR="00300D51" w:rsidRDefault="00300D51" w:rsidP="00300D51">
            <w:pPr>
              <w:spacing w:after="1"/>
              <w:jc w:val="right"/>
              <w:rPr>
                <w:color w:val="000000"/>
                <w:sz w:val="18"/>
              </w:rPr>
            </w:pPr>
          </w:p>
        </w:tc>
      </w:tr>
      <w:tr w:rsidR="00300D51" w14:paraId="72DC595F" w14:textId="77777777" w:rsidTr="00300D51">
        <w:tc>
          <w:tcPr>
            <w:tcW w:w="3080" w:type="pct"/>
            <w:tcBorders>
              <w:top w:val="nil"/>
              <w:left w:val="nil"/>
              <w:bottom w:val="nil"/>
              <w:right w:val="nil"/>
              <w:tl2br w:val="nil"/>
              <w:tr2bl w:val="nil"/>
            </w:tcBorders>
            <w:shd w:val="clear" w:color="auto" w:fill="auto"/>
            <w:vAlign w:val="bottom"/>
          </w:tcPr>
          <w:p w14:paraId="10F96499" w14:textId="77777777" w:rsidR="00300D51" w:rsidRDefault="00300D51" w:rsidP="00300D51">
            <w:pPr>
              <w:spacing w:after="1"/>
              <w:rPr>
                <w:b/>
                <w:color w:val="000000"/>
                <w:sz w:val="18"/>
              </w:rPr>
            </w:pPr>
            <w:r>
              <w:rPr>
                <w:rFonts w:ascii="Times New Roman" w:eastAsia="Times New Roman" w:hAnsi="Times New Roman" w:cs="Times New Roman"/>
                <w:b/>
                <w:color w:val="000000"/>
                <w:sz w:val="18"/>
              </w:rPr>
              <w:t>SHAREHOLDERS’ EQUITY:</w:t>
            </w:r>
          </w:p>
        </w:tc>
        <w:tc>
          <w:tcPr>
            <w:tcW w:w="130" w:type="pct"/>
            <w:tcBorders>
              <w:top w:val="nil"/>
              <w:left w:val="nil"/>
              <w:bottom w:val="nil"/>
              <w:right w:val="nil"/>
              <w:tl2br w:val="nil"/>
              <w:tr2bl w:val="nil"/>
            </w:tcBorders>
            <w:shd w:val="clear" w:color="auto" w:fill="auto"/>
            <w:noWrap/>
            <w:vAlign w:val="bottom"/>
          </w:tcPr>
          <w:p w14:paraId="4A950DA2"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5338E7B4" w14:textId="77777777" w:rsidR="00300D51" w:rsidRDefault="00300D51" w:rsidP="00300D51">
            <w:pPr>
              <w:spacing w:after="1"/>
              <w:rPr>
                <w:color w:val="000000"/>
                <w:sz w:val="18"/>
              </w:rPr>
            </w:pPr>
          </w:p>
        </w:tc>
        <w:tc>
          <w:tcPr>
            <w:tcW w:w="812" w:type="pct"/>
            <w:tcBorders>
              <w:top w:val="nil"/>
              <w:left w:val="nil"/>
              <w:bottom w:val="nil"/>
              <w:right w:val="nil"/>
              <w:tl2br w:val="nil"/>
              <w:tr2bl w:val="nil"/>
            </w:tcBorders>
            <w:shd w:val="clear" w:color="auto" w:fill="auto"/>
            <w:noWrap/>
            <w:vAlign w:val="bottom"/>
          </w:tcPr>
          <w:p w14:paraId="491DB4CA" w14:textId="77777777" w:rsidR="00300D51" w:rsidRDefault="00300D51" w:rsidP="00300D51">
            <w:pPr>
              <w:spacing w:after="1"/>
              <w:jc w:val="right"/>
              <w:rPr>
                <w:color w:val="000000"/>
                <w:sz w:val="18"/>
              </w:rPr>
            </w:pPr>
          </w:p>
        </w:tc>
        <w:tc>
          <w:tcPr>
            <w:tcW w:w="130" w:type="pct"/>
            <w:tcBorders>
              <w:top w:val="nil"/>
              <w:left w:val="nil"/>
              <w:bottom w:val="nil"/>
              <w:right w:val="nil"/>
              <w:tl2br w:val="nil"/>
              <w:tr2bl w:val="nil"/>
            </w:tcBorders>
            <w:shd w:val="clear" w:color="auto" w:fill="auto"/>
            <w:noWrap/>
            <w:vAlign w:val="bottom"/>
          </w:tcPr>
          <w:p w14:paraId="13AD7F67"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01FD59FB" w14:textId="77777777" w:rsidR="00300D51" w:rsidRDefault="00300D51" w:rsidP="00300D51">
            <w:pPr>
              <w:spacing w:after="1"/>
              <w:rPr>
                <w:color w:val="000000"/>
                <w:sz w:val="18"/>
              </w:rPr>
            </w:pPr>
          </w:p>
        </w:tc>
        <w:tc>
          <w:tcPr>
            <w:tcW w:w="682" w:type="pct"/>
            <w:tcBorders>
              <w:top w:val="nil"/>
              <w:left w:val="nil"/>
              <w:bottom w:val="nil"/>
              <w:right w:val="nil"/>
              <w:tl2br w:val="nil"/>
              <w:tr2bl w:val="nil"/>
            </w:tcBorders>
            <w:shd w:val="clear" w:color="auto" w:fill="auto"/>
            <w:noWrap/>
            <w:vAlign w:val="bottom"/>
          </w:tcPr>
          <w:p w14:paraId="6F719134" w14:textId="77777777" w:rsidR="00300D51" w:rsidRDefault="00300D51" w:rsidP="00300D51">
            <w:pPr>
              <w:spacing w:after="1"/>
              <w:jc w:val="right"/>
              <w:rPr>
                <w:color w:val="000000"/>
                <w:sz w:val="18"/>
              </w:rPr>
            </w:pPr>
          </w:p>
        </w:tc>
      </w:tr>
      <w:tr w:rsidR="00300D51" w14:paraId="5277A1F4" w14:textId="77777777" w:rsidTr="00300D51">
        <w:tc>
          <w:tcPr>
            <w:tcW w:w="3080" w:type="pct"/>
            <w:tcBorders>
              <w:top w:val="nil"/>
              <w:left w:val="nil"/>
              <w:bottom w:val="nil"/>
              <w:right w:val="nil"/>
              <w:tl2br w:val="nil"/>
              <w:tr2bl w:val="nil"/>
            </w:tcBorders>
            <w:shd w:val="clear" w:color="auto" w:fill="auto"/>
            <w:vAlign w:val="bottom"/>
          </w:tcPr>
          <w:p w14:paraId="0A5D8E6C" w14:textId="77777777" w:rsidR="00300D51" w:rsidRDefault="00300D51" w:rsidP="00300D51">
            <w:pPr>
              <w:spacing w:after="1"/>
              <w:rPr>
                <w:color w:val="000000"/>
                <w:sz w:val="18"/>
              </w:rPr>
            </w:pPr>
            <w:r>
              <w:rPr>
                <w:rFonts w:ascii="Times New Roman" w:eastAsia="Times New Roman" w:hAnsi="Times New Roman" w:cs="Times New Roman"/>
                <w:color w:val="000000"/>
                <w:sz w:val="18"/>
              </w:rPr>
              <w:t xml:space="preserve">Series B preferred shares: par value $0.001 per share, 25 million authorized; </w:t>
            </w:r>
            <w:r>
              <w:rPr>
                <w:rFonts w:ascii="Times New Roman" w:eastAsia="Times New Roman" w:hAnsi="Times New Roman" w:cs="Times New Roman"/>
                <w:color w:val="000000"/>
                <w:sz w:val="18"/>
              </w:rPr>
              <w:br/>
              <w:t>432,513 issued and outstanding (liquidation preference of $432,513)</w:t>
            </w:r>
          </w:p>
        </w:tc>
        <w:tc>
          <w:tcPr>
            <w:tcW w:w="130" w:type="pct"/>
            <w:tcBorders>
              <w:top w:val="nil"/>
              <w:left w:val="nil"/>
              <w:bottom w:val="nil"/>
              <w:right w:val="nil"/>
              <w:tl2br w:val="nil"/>
              <w:tr2bl w:val="nil"/>
            </w:tcBorders>
            <w:shd w:val="clear" w:color="auto" w:fill="auto"/>
            <w:noWrap/>
            <w:vAlign w:val="bottom"/>
          </w:tcPr>
          <w:p w14:paraId="422D70EB"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6451BD3D"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2ED5AD25"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w:t>
            </w:r>
          </w:p>
        </w:tc>
        <w:tc>
          <w:tcPr>
            <w:tcW w:w="130" w:type="pct"/>
            <w:tcBorders>
              <w:top w:val="nil"/>
              <w:left w:val="nil"/>
              <w:bottom w:val="nil"/>
              <w:right w:val="nil"/>
              <w:tl2br w:val="nil"/>
              <w:tr2bl w:val="nil"/>
            </w:tcBorders>
            <w:shd w:val="clear" w:color="auto" w:fill="auto"/>
            <w:noWrap/>
            <w:vAlign w:val="bottom"/>
          </w:tcPr>
          <w:p w14:paraId="56603211"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36D96E9"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5E432F3A"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w:t>
            </w:r>
          </w:p>
        </w:tc>
      </w:tr>
      <w:tr w:rsidR="00300D51" w14:paraId="791B250A" w14:textId="77777777" w:rsidTr="00300D51">
        <w:tc>
          <w:tcPr>
            <w:tcW w:w="3080" w:type="pct"/>
            <w:tcBorders>
              <w:top w:val="nil"/>
              <w:left w:val="nil"/>
              <w:bottom w:val="nil"/>
              <w:right w:val="nil"/>
              <w:tl2br w:val="nil"/>
              <w:tr2bl w:val="nil"/>
            </w:tcBorders>
            <w:shd w:val="clear" w:color="auto" w:fill="auto"/>
            <w:vAlign w:val="bottom"/>
          </w:tcPr>
          <w:p w14:paraId="528CFE55" w14:textId="77777777" w:rsidR="00300D51" w:rsidRDefault="00300D51" w:rsidP="00300D51">
            <w:pPr>
              <w:spacing w:after="1"/>
              <w:rPr>
                <w:color w:val="000000"/>
                <w:sz w:val="18"/>
              </w:rPr>
            </w:pPr>
            <w:r>
              <w:rPr>
                <w:rFonts w:ascii="Times New Roman" w:eastAsia="Times New Roman" w:hAnsi="Times New Roman" w:cs="Times New Roman"/>
                <w:color w:val="000000"/>
                <w:sz w:val="18"/>
              </w:rPr>
              <w:t xml:space="preserve">Common shares: par value 1/3 of $.01 per share, 40.0 million authorized; </w:t>
            </w:r>
            <w:r>
              <w:rPr>
                <w:rFonts w:ascii="Times New Roman" w:eastAsia="Times New Roman" w:hAnsi="Times New Roman" w:cs="Times New Roman"/>
                <w:color w:val="000000"/>
                <w:sz w:val="18"/>
              </w:rPr>
              <w:br/>
              <w:t>24,063,894 and 24,078,720 outstanding, respectively</w:t>
            </w:r>
          </w:p>
        </w:tc>
        <w:tc>
          <w:tcPr>
            <w:tcW w:w="130" w:type="pct"/>
            <w:tcBorders>
              <w:top w:val="nil"/>
              <w:left w:val="nil"/>
              <w:bottom w:val="nil"/>
              <w:right w:val="nil"/>
              <w:tl2br w:val="nil"/>
              <w:tr2bl w:val="nil"/>
            </w:tcBorders>
            <w:shd w:val="clear" w:color="auto" w:fill="auto"/>
            <w:noWrap/>
            <w:vAlign w:val="bottom"/>
          </w:tcPr>
          <w:p w14:paraId="0605E3EA"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2B05441A"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041266DA"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80</w:t>
            </w:r>
          </w:p>
        </w:tc>
        <w:tc>
          <w:tcPr>
            <w:tcW w:w="130" w:type="pct"/>
            <w:tcBorders>
              <w:top w:val="nil"/>
              <w:left w:val="nil"/>
              <w:bottom w:val="nil"/>
              <w:right w:val="nil"/>
              <w:tl2br w:val="nil"/>
              <w:tr2bl w:val="nil"/>
            </w:tcBorders>
            <w:shd w:val="clear" w:color="auto" w:fill="auto"/>
            <w:noWrap/>
            <w:vAlign w:val="bottom"/>
          </w:tcPr>
          <w:p w14:paraId="51005EA9"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163C4C58"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2249825E"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80</w:t>
            </w:r>
          </w:p>
        </w:tc>
      </w:tr>
      <w:tr w:rsidR="00300D51" w14:paraId="778F65E1" w14:textId="77777777" w:rsidTr="00300D51">
        <w:tc>
          <w:tcPr>
            <w:tcW w:w="3080" w:type="pct"/>
            <w:tcBorders>
              <w:top w:val="nil"/>
              <w:left w:val="nil"/>
              <w:bottom w:val="nil"/>
              <w:right w:val="nil"/>
              <w:tl2br w:val="nil"/>
              <w:tr2bl w:val="nil"/>
            </w:tcBorders>
            <w:shd w:val="clear" w:color="auto" w:fill="auto"/>
            <w:vAlign w:val="bottom"/>
          </w:tcPr>
          <w:p w14:paraId="2168E91F" w14:textId="77777777" w:rsidR="00300D51" w:rsidRDefault="00300D51" w:rsidP="00300D51">
            <w:pPr>
              <w:spacing w:after="1"/>
              <w:rPr>
                <w:color w:val="000000"/>
                <w:sz w:val="18"/>
              </w:rPr>
            </w:pPr>
            <w:r>
              <w:rPr>
                <w:rFonts w:ascii="Times New Roman" w:eastAsia="Times New Roman" w:hAnsi="Times New Roman" w:cs="Times New Roman"/>
                <w:color w:val="000000"/>
                <w:sz w:val="18"/>
              </w:rPr>
              <w:t>Additional paid-in capital</w:t>
            </w:r>
          </w:p>
        </w:tc>
        <w:tc>
          <w:tcPr>
            <w:tcW w:w="130" w:type="pct"/>
            <w:tcBorders>
              <w:top w:val="nil"/>
              <w:left w:val="nil"/>
              <w:bottom w:val="nil"/>
              <w:right w:val="nil"/>
              <w:tl2br w:val="nil"/>
              <w:tr2bl w:val="nil"/>
            </w:tcBorders>
            <w:shd w:val="clear" w:color="auto" w:fill="auto"/>
            <w:noWrap/>
            <w:vAlign w:val="bottom"/>
          </w:tcPr>
          <w:p w14:paraId="50C400BC"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0A5D082A"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nil"/>
              <w:right w:val="nil"/>
              <w:tl2br w:val="nil"/>
              <w:tr2bl w:val="nil"/>
            </w:tcBorders>
            <w:shd w:val="clear" w:color="auto" w:fill="auto"/>
            <w:noWrap/>
            <w:vAlign w:val="bottom"/>
          </w:tcPr>
          <w:p w14:paraId="2E0EDAE5" w14:textId="77777777" w:rsidR="00300D51" w:rsidRDefault="00300D51" w:rsidP="00300D51">
            <w:pPr>
              <w:spacing w:after="1"/>
              <w:ind w:right="70"/>
              <w:jc w:val="right"/>
              <w:rPr>
                <w:color w:val="000000"/>
                <w:sz w:val="20"/>
              </w:rPr>
            </w:pPr>
            <w:r>
              <w:rPr>
                <w:rFonts w:ascii="Times New Roman" w:eastAsia="Times New Roman" w:hAnsi="Times New Roman" w:cs="Times New Roman"/>
                <w:color w:val="000000"/>
                <w:sz w:val="20"/>
              </w:rPr>
              <w:t xml:space="preserve"> 175,125</w:t>
            </w:r>
          </w:p>
        </w:tc>
        <w:tc>
          <w:tcPr>
            <w:tcW w:w="130" w:type="pct"/>
            <w:tcBorders>
              <w:top w:val="nil"/>
              <w:left w:val="nil"/>
              <w:bottom w:val="nil"/>
              <w:right w:val="nil"/>
              <w:tl2br w:val="nil"/>
              <w:tr2bl w:val="nil"/>
            </w:tcBorders>
            <w:shd w:val="clear" w:color="auto" w:fill="auto"/>
            <w:noWrap/>
            <w:vAlign w:val="bottom"/>
          </w:tcPr>
          <w:p w14:paraId="0AF06068" w14:textId="77777777" w:rsidR="00300D51" w:rsidRDefault="00300D51" w:rsidP="00300D51">
            <w:pPr>
              <w:spacing w:after="1"/>
              <w:rPr>
                <w:color w:val="000000"/>
                <w:sz w:val="18"/>
              </w:rPr>
            </w:pPr>
          </w:p>
        </w:tc>
        <w:tc>
          <w:tcPr>
            <w:tcW w:w="83" w:type="pct"/>
            <w:tcBorders>
              <w:top w:val="nil"/>
              <w:left w:val="nil"/>
              <w:bottom w:val="nil"/>
              <w:right w:val="nil"/>
              <w:tl2br w:val="nil"/>
              <w:tr2bl w:val="nil"/>
            </w:tcBorders>
            <w:shd w:val="clear" w:color="auto" w:fill="auto"/>
            <w:noWrap/>
            <w:vAlign w:val="bottom"/>
          </w:tcPr>
          <w:p w14:paraId="42AF27C2"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nil"/>
              <w:right w:val="nil"/>
              <w:tl2br w:val="nil"/>
              <w:tr2bl w:val="nil"/>
            </w:tcBorders>
            <w:shd w:val="clear" w:color="auto" w:fill="auto"/>
            <w:noWrap/>
            <w:vAlign w:val="bottom"/>
          </w:tcPr>
          <w:p w14:paraId="54951D3C"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174,689</w:t>
            </w:r>
          </w:p>
        </w:tc>
      </w:tr>
      <w:tr w:rsidR="00300D51" w14:paraId="25139786" w14:textId="77777777" w:rsidTr="00300D51">
        <w:tc>
          <w:tcPr>
            <w:tcW w:w="3080" w:type="pct"/>
            <w:tcBorders>
              <w:top w:val="nil"/>
              <w:left w:val="nil"/>
              <w:bottom w:val="nil"/>
              <w:right w:val="nil"/>
              <w:tl2br w:val="nil"/>
              <w:tr2bl w:val="nil"/>
            </w:tcBorders>
            <w:shd w:val="clear" w:color="auto" w:fill="auto"/>
            <w:vAlign w:val="bottom"/>
          </w:tcPr>
          <w:p w14:paraId="534455D5" w14:textId="77777777" w:rsidR="00300D51" w:rsidRDefault="00300D51" w:rsidP="00300D51">
            <w:pPr>
              <w:spacing w:after="1"/>
              <w:rPr>
                <w:color w:val="000000"/>
                <w:sz w:val="18"/>
              </w:rPr>
            </w:pPr>
            <w:r>
              <w:rPr>
                <w:rFonts w:ascii="Times New Roman" w:eastAsia="Times New Roman" w:hAnsi="Times New Roman" w:cs="Times New Roman"/>
                <w:color w:val="000000"/>
                <w:sz w:val="18"/>
              </w:rPr>
              <w:t>Accumulated deficit</w:t>
            </w:r>
          </w:p>
        </w:tc>
        <w:tc>
          <w:tcPr>
            <w:tcW w:w="130" w:type="pct"/>
            <w:tcBorders>
              <w:top w:val="nil"/>
              <w:left w:val="nil"/>
              <w:bottom w:val="nil"/>
              <w:right w:val="nil"/>
              <w:tl2br w:val="nil"/>
              <w:tr2bl w:val="nil"/>
            </w:tcBorders>
            <w:shd w:val="clear" w:color="auto" w:fill="auto"/>
            <w:noWrap/>
            <w:vAlign w:val="bottom"/>
          </w:tcPr>
          <w:p w14:paraId="7F9DB832"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60B064FA"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single" w:sz="4" w:space="0" w:color="000000"/>
              <w:right w:val="nil"/>
              <w:tl2br w:val="nil"/>
              <w:tr2bl w:val="nil"/>
            </w:tcBorders>
            <w:shd w:val="clear" w:color="auto" w:fill="auto"/>
            <w:noWrap/>
            <w:vAlign w:val="bottom"/>
          </w:tcPr>
          <w:p w14:paraId="6A1EACC0" w14:textId="77777777" w:rsidR="00300D51" w:rsidRDefault="00300D51" w:rsidP="00300D51">
            <w:pPr>
              <w:spacing w:after="1"/>
              <w:jc w:val="right"/>
              <w:rPr>
                <w:color w:val="000000"/>
                <w:sz w:val="20"/>
              </w:rPr>
            </w:pPr>
            <w:r>
              <w:rPr>
                <w:rFonts w:ascii="Times New Roman" w:eastAsia="Times New Roman" w:hAnsi="Times New Roman" w:cs="Times New Roman"/>
                <w:color w:val="000000"/>
                <w:sz w:val="20"/>
              </w:rPr>
              <w:t xml:space="preserve"> (45,503)</w:t>
            </w:r>
          </w:p>
        </w:tc>
        <w:tc>
          <w:tcPr>
            <w:tcW w:w="130" w:type="pct"/>
            <w:tcBorders>
              <w:top w:val="nil"/>
              <w:left w:val="nil"/>
              <w:bottom w:val="nil"/>
              <w:right w:val="nil"/>
              <w:tl2br w:val="nil"/>
              <w:tr2bl w:val="nil"/>
            </w:tcBorders>
            <w:shd w:val="clear" w:color="auto" w:fill="auto"/>
            <w:noWrap/>
            <w:vAlign w:val="bottom"/>
          </w:tcPr>
          <w:p w14:paraId="35D62B1A"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744046C1"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single" w:sz="4" w:space="0" w:color="000000"/>
              <w:right w:val="nil"/>
              <w:tl2br w:val="nil"/>
              <w:tr2bl w:val="nil"/>
            </w:tcBorders>
            <w:shd w:val="clear" w:color="auto" w:fill="auto"/>
            <w:noWrap/>
            <w:vAlign w:val="bottom"/>
          </w:tcPr>
          <w:p w14:paraId="60E750CC" w14:textId="77777777" w:rsidR="00300D51" w:rsidRDefault="00300D51" w:rsidP="00300D51">
            <w:pPr>
              <w:spacing w:after="1"/>
              <w:jc w:val="right"/>
              <w:rPr>
                <w:color w:val="000000"/>
                <w:sz w:val="18"/>
              </w:rPr>
            </w:pPr>
            <w:r>
              <w:rPr>
                <w:rFonts w:ascii="Times New Roman" w:eastAsia="Times New Roman" w:hAnsi="Times New Roman" w:cs="Times New Roman"/>
                <w:color w:val="000000"/>
                <w:sz w:val="18"/>
              </w:rPr>
              <w:t xml:space="preserve"> (56,535)</w:t>
            </w:r>
          </w:p>
        </w:tc>
      </w:tr>
      <w:tr w:rsidR="00300D51" w14:paraId="05C1B0ED" w14:textId="77777777" w:rsidTr="00300D51">
        <w:tc>
          <w:tcPr>
            <w:tcW w:w="3080" w:type="pct"/>
            <w:tcBorders>
              <w:top w:val="nil"/>
              <w:left w:val="nil"/>
              <w:bottom w:val="nil"/>
              <w:right w:val="nil"/>
              <w:tl2br w:val="nil"/>
              <w:tr2bl w:val="nil"/>
            </w:tcBorders>
            <w:shd w:val="clear" w:color="auto" w:fill="auto"/>
            <w:vAlign w:val="bottom"/>
          </w:tcPr>
          <w:p w14:paraId="7BA8BB5B"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Total shareholders’ equity</w:t>
            </w:r>
          </w:p>
        </w:tc>
        <w:tc>
          <w:tcPr>
            <w:tcW w:w="130" w:type="pct"/>
            <w:tcBorders>
              <w:top w:val="nil"/>
              <w:left w:val="nil"/>
              <w:bottom w:val="nil"/>
              <w:right w:val="nil"/>
              <w:tl2br w:val="nil"/>
              <w:tr2bl w:val="nil"/>
            </w:tcBorders>
            <w:shd w:val="clear" w:color="auto" w:fill="auto"/>
            <w:noWrap/>
            <w:vAlign w:val="bottom"/>
          </w:tcPr>
          <w:p w14:paraId="13287D6F"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1360CA0B"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812" w:type="pct"/>
            <w:tcBorders>
              <w:top w:val="nil"/>
              <w:left w:val="nil"/>
              <w:bottom w:val="single" w:sz="4" w:space="0" w:color="000000"/>
              <w:right w:val="nil"/>
              <w:tl2br w:val="nil"/>
              <w:tr2bl w:val="nil"/>
            </w:tcBorders>
            <w:shd w:val="clear" w:color="auto" w:fill="auto"/>
            <w:noWrap/>
            <w:vAlign w:val="bottom"/>
          </w:tcPr>
          <w:p w14:paraId="0333BCC0"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129,702</w:t>
            </w:r>
          </w:p>
        </w:tc>
        <w:tc>
          <w:tcPr>
            <w:tcW w:w="130" w:type="pct"/>
            <w:tcBorders>
              <w:top w:val="nil"/>
              <w:left w:val="nil"/>
              <w:bottom w:val="nil"/>
              <w:right w:val="nil"/>
              <w:tl2br w:val="nil"/>
              <w:tr2bl w:val="nil"/>
            </w:tcBorders>
            <w:shd w:val="clear" w:color="auto" w:fill="auto"/>
            <w:noWrap/>
            <w:vAlign w:val="bottom"/>
          </w:tcPr>
          <w:p w14:paraId="72DCC06D" w14:textId="77777777" w:rsidR="00300D51" w:rsidRDefault="00300D51" w:rsidP="00300D51">
            <w:pPr>
              <w:spacing w:after="1"/>
              <w:rPr>
                <w:color w:val="000000"/>
                <w:sz w:val="18"/>
              </w:rPr>
            </w:pPr>
          </w:p>
        </w:tc>
        <w:tc>
          <w:tcPr>
            <w:tcW w:w="83" w:type="pct"/>
            <w:tcBorders>
              <w:top w:val="nil"/>
              <w:left w:val="nil"/>
              <w:bottom w:val="single" w:sz="4" w:space="0" w:color="000000"/>
              <w:right w:val="nil"/>
              <w:tl2br w:val="nil"/>
              <w:tr2bl w:val="nil"/>
            </w:tcBorders>
            <w:shd w:val="clear" w:color="auto" w:fill="auto"/>
            <w:noWrap/>
            <w:vAlign w:val="bottom"/>
          </w:tcPr>
          <w:p w14:paraId="19CF1C06" w14:textId="77777777" w:rsidR="00300D51" w:rsidRDefault="00300D51" w:rsidP="00300D51">
            <w:pPr>
              <w:spacing w:after="1"/>
              <w:rPr>
                <w:color w:val="000000"/>
                <w:sz w:val="18"/>
              </w:rPr>
            </w:pPr>
            <w:r>
              <w:rPr>
                <w:rFonts w:ascii="Times New Roman" w:eastAsia="Times New Roman" w:hAnsi="Times New Roman" w:cs="Times New Roman"/>
                <w:color w:val="000000"/>
                <w:sz w:val="18"/>
              </w:rPr>
              <w:t> </w:t>
            </w:r>
          </w:p>
        </w:tc>
        <w:tc>
          <w:tcPr>
            <w:tcW w:w="682" w:type="pct"/>
            <w:tcBorders>
              <w:top w:val="nil"/>
              <w:left w:val="nil"/>
              <w:bottom w:val="single" w:sz="4" w:space="0" w:color="000000"/>
              <w:right w:val="nil"/>
              <w:tl2br w:val="nil"/>
              <w:tr2bl w:val="nil"/>
            </w:tcBorders>
            <w:shd w:val="clear" w:color="auto" w:fill="auto"/>
            <w:noWrap/>
            <w:vAlign w:val="bottom"/>
          </w:tcPr>
          <w:p w14:paraId="3972D77D"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118,234</w:t>
            </w:r>
          </w:p>
        </w:tc>
      </w:tr>
      <w:tr w:rsidR="00300D51" w14:paraId="72820E09" w14:textId="77777777" w:rsidTr="00300D51">
        <w:tc>
          <w:tcPr>
            <w:tcW w:w="3080" w:type="pct"/>
            <w:tcBorders>
              <w:top w:val="nil"/>
              <w:left w:val="nil"/>
              <w:bottom w:val="nil"/>
              <w:right w:val="nil"/>
              <w:tl2br w:val="nil"/>
              <w:tr2bl w:val="nil"/>
            </w:tcBorders>
            <w:shd w:val="clear" w:color="auto" w:fill="auto"/>
            <w:vAlign w:val="bottom"/>
          </w:tcPr>
          <w:p w14:paraId="72AD37C1" w14:textId="77777777" w:rsidR="00300D51" w:rsidRDefault="00300D51" w:rsidP="00300D51">
            <w:pPr>
              <w:spacing w:after="1"/>
              <w:ind w:left="120"/>
              <w:rPr>
                <w:color w:val="000000"/>
                <w:sz w:val="18"/>
              </w:rPr>
            </w:pPr>
            <w:r>
              <w:rPr>
                <w:rFonts w:ascii="Times New Roman" w:eastAsia="Times New Roman" w:hAnsi="Times New Roman" w:cs="Times New Roman"/>
                <w:color w:val="000000"/>
                <w:sz w:val="18"/>
              </w:rPr>
              <w:t>Total liabilities and shareholders’ equity</w:t>
            </w:r>
          </w:p>
        </w:tc>
        <w:tc>
          <w:tcPr>
            <w:tcW w:w="130" w:type="pct"/>
            <w:tcBorders>
              <w:top w:val="nil"/>
              <w:left w:val="nil"/>
              <w:bottom w:val="nil"/>
              <w:right w:val="nil"/>
              <w:tl2br w:val="nil"/>
              <w:tr2bl w:val="nil"/>
            </w:tcBorders>
            <w:shd w:val="clear" w:color="auto" w:fill="auto"/>
            <w:noWrap/>
            <w:vAlign w:val="bottom"/>
          </w:tcPr>
          <w:p w14:paraId="7A40E823" w14:textId="77777777" w:rsidR="00300D51" w:rsidRDefault="00300D51" w:rsidP="00300D51">
            <w:pPr>
              <w:spacing w:after="1"/>
              <w:rPr>
                <w:color w:val="000000"/>
                <w:sz w:val="18"/>
              </w:rPr>
            </w:pPr>
          </w:p>
        </w:tc>
        <w:tc>
          <w:tcPr>
            <w:tcW w:w="83" w:type="pct"/>
            <w:tcBorders>
              <w:top w:val="nil"/>
              <w:left w:val="nil"/>
              <w:bottom w:val="double" w:sz="4" w:space="0" w:color="000000"/>
              <w:right w:val="nil"/>
              <w:tl2br w:val="nil"/>
              <w:tr2bl w:val="nil"/>
            </w:tcBorders>
            <w:shd w:val="clear" w:color="auto" w:fill="auto"/>
            <w:noWrap/>
            <w:vAlign w:val="bottom"/>
          </w:tcPr>
          <w:p w14:paraId="27167ED4" w14:textId="77777777" w:rsidR="00300D51" w:rsidRDefault="00300D51" w:rsidP="00300D51">
            <w:pPr>
              <w:spacing w:after="1"/>
              <w:rPr>
                <w:color w:val="000000"/>
                <w:sz w:val="18"/>
              </w:rPr>
            </w:pPr>
            <w:r>
              <w:rPr>
                <w:rFonts w:ascii="Times New Roman" w:eastAsia="Times New Roman" w:hAnsi="Times New Roman" w:cs="Times New Roman"/>
                <w:color w:val="000000"/>
                <w:sz w:val="18"/>
              </w:rPr>
              <w:t>$</w:t>
            </w:r>
          </w:p>
        </w:tc>
        <w:tc>
          <w:tcPr>
            <w:tcW w:w="812" w:type="pct"/>
            <w:tcBorders>
              <w:top w:val="nil"/>
              <w:left w:val="nil"/>
              <w:bottom w:val="double" w:sz="4" w:space="0" w:color="000000"/>
              <w:right w:val="nil"/>
              <w:tl2br w:val="nil"/>
              <w:tr2bl w:val="nil"/>
            </w:tcBorders>
            <w:shd w:val="clear" w:color="auto" w:fill="auto"/>
            <w:noWrap/>
            <w:vAlign w:val="bottom"/>
          </w:tcPr>
          <w:p w14:paraId="250C4516"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147,354</w:t>
            </w:r>
          </w:p>
        </w:tc>
        <w:tc>
          <w:tcPr>
            <w:tcW w:w="130" w:type="pct"/>
            <w:tcBorders>
              <w:top w:val="nil"/>
              <w:left w:val="nil"/>
              <w:bottom w:val="nil"/>
              <w:right w:val="nil"/>
              <w:tl2br w:val="nil"/>
              <w:tr2bl w:val="nil"/>
            </w:tcBorders>
            <w:shd w:val="clear" w:color="auto" w:fill="auto"/>
            <w:noWrap/>
            <w:vAlign w:val="bottom"/>
          </w:tcPr>
          <w:p w14:paraId="62C32E10" w14:textId="77777777" w:rsidR="00300D51" w:rsidRDefault="00300D51" w:rsidP="00300D51">
            <w:pPr>
              <w:spacing w:after="1"/>
              <w:rPr>
                <w:color w:val="000000"/>
                <w:sz w:val="18"/>
              </w:rPr>
            </w:pPr>
          </w:p>
        </w:tc>
        <w:tc>
          <w:tcPr>
            <w:tcW w:w="83" w:type="pct"/>
            <w:tcBorders>
              <w:top w:val="nil"/>
              <w:left w:val="nil"/>
              <w:bottom w:val="double" w:sz="4" w:space="0" w:color="000000"/>
              <w:right w:val="nil"/>
              <w:tl2br w:val="nil"/>
              <w:tr2bl w:val="nil"/>
            </w:tcBorders>
            <w:shd w:val="clear" w:color="auto" w:fill="auto"/>
            <w:noWrap/>
            <w:vAlign w:val="bottom"/>
          </w:tcPr>
          <w:p w14:paraId="74CB0A2E" w14:textId="77777777" w:rsidR="00300D51" w:rsidRDefault="00300D51" w:rsidP="00300D51">
            <w:pPr>
              <w:spacing w:after="1"/>
              <w:rPr>
                <w:color w:val="000000"/>
                <w:sz w:val="18"/>
              </w:rPr>
            </w:pPr>
            <w:r>
              <w:rPr>
                <w:rFonts w:ascii="Times New Roman" w:eastAsia="Times New Roman" w:hAnsi="Times New Roman" w:cs="Times New Roman"/>
                <w:color w:val="000000"/>
                <w:sz w:val="18"/>
              </w:rPr>
              <w:t>$</w:t>
            </w:r>
          </w:p>
        </w:tc>
        <w:tc>
          <w:tcPr>
            <w:tcW w:w="682" w:type="pct"/>
            <w:tcBorders>
              <w:top w:val="nil"/>
              <w:left w:val="nil"/>
              <w:bottom w:val="double" w:sz="4" w:space="0" w:color="000000"/>
              <w:right w:val="nil"/>
              <w:tl2br w:val="nil"/>
              <w:tr2bl w:val="nil"/>
            </w:tcBorders>
            <w:shd w:val="clear" w:color="auto" w:fill="auto"/>
            <w:noWrap/>
            <w:vAlign w:val="bottom"/>
          </w:tcPr>
          <w:p w14:paraId="2C5275E8" w14:textId="77777777" w:rsidR="00300D51" w:rsidRDefault="00300D51" w:rsidP="00300D51">
            <w:pPr>
              <w:spacing w:after="1"/>
              <w:ind w:right="60"/>
              <w:jc w:val="right"/>
              <w:rPr>
                <w:color w:val="000000"/>
                <w:sz w:val="18"/>
              </w:rPr>
            </w:pPr>
            <w:r>
              <w:rPr>
                <w:rFonts w:ascii="Times New Roman" w:eastAsia="Times New Roman" w:hAnsi="Times New Roman" w:cs="Times New Roman"/>
                <w:color w:val="000000"/>
                <w:sz w:val="18"/>
              </w:rPr>
              <w:t xml:space="preserve"> 133,216</w:t>
            </w:r>
          </w:p>
        </w:tc>
      </w:tr>
    </w:tbl>
    <w:p w14:paraId="0261576D" w14:textId="77777777" w:rsidR="00832B73" w:rsidRDefault="00832B73" w:rsidP="00FB5AFF">
      <w:pPr>
        <w:widowControl w:val="0"/>
        <w:tabs>
          <w:tab w:val="right" w:pos="9360"/>
        </w:tabs>
        <w:jc w:val="both"/>
        <w:rPr>
          <w:rFonts w:ascii="Times New Roman" w:hAnsi="Times New Roman" w:cs="Times New Roman"/>
          <w:b/>
          <w:bCs/>
          <w:sz w:val="20"/>
          <w:szCs w:val="20"/>
          <w:u w:val="single"/>
        </w:rPr>
      </w:pPr>
    </w:p>
    <w:p w14:paraId="6B63904A" w14:textId="77777777" w:rsidR="00F4381D" w:rsidRDefault="00F4381D" w:rsidP="00FB5AFF">
      <w:pPr>
        <w:widowControl w:val="0"/>
        <w:tabs>
          <w:tab w:val="right" w:pos="9360"/>
        </w:tabs>
        <w:jc w:val="both"/>
        <w:rPr>
          <w:rFonts w:ascii="Times New Roman" w:hAnsi="Times New Roman" w:cs="Times New Roman"/>
          <w:b/>
          <w:bCs/>
          <w:sz w:val="20"/>
          <w:szCs w:val="20"/>
          <w:u w:val="single"/>
        </w:rPr>
      </w:pPr>
    </w:p>
    <w:p w14:paraId="65A360B7" w14:textId="77777777" w:rsidR="001252A5" w:rsidRPr="00FB5AFF" w:rsidRDefault="001252A5" w:rsidP="00FB5AFF">
      <w:pPr>
        <w:widowControl w:val="0"/>
        <w:tabs>
          <w:tab w:val="right" w:pos="9360"/>
        </w:tabs>
        <w:jc w:val="both"/>
        <w:rPr>
          <w:rFonts w:ascii="Times New Roman" w:hAnsi="Times New Roman" w:cs="Times New Roman"/>
          <w:b/>
          <w:bCs/>
          <w:sz w:val="20"/>
          <w:szCs w:val="20"/>
          <w:u w:val="single"/>
        </w:rPr>
      </w:pPr>
      <w:r w:rsidRPr="00FB5AFF">
        <w:rPr>
          <w:rFonts w:ascii="Times New Roman" w:hAnsi="Times New Roman" w:cs="Times New Roman"/>
          <w:b/>
          <w:bCs/>
          <w:sz w:val="20"/>
          <w:szCs w:val="20"/>
          <w:u w:val="single"/>
        </w:rPr>
        <w:lastRenderedPageBreak/>
        <w:t>Company Information</w:t>
      </w:r>
    </w:p>
    <w:p w14:paraId="47C24ABC" w14:textId="77777777" w:rsidR="001252A5" w:rsidRPr="00FB5AFF" w:rsidRDefault="001252A5" w:rsidP="00FB5AFF">
      <w:pPr>
        <w:shd w:val="clear" w:color="auto" w:fill="FFFFFF"/>
        <w:tabs>
          <w:tab w:val="right" w:pos="9360"/>
        </w:tabs>
        <w:spacing w:after="300"/>
        <w:jc w:val="both"/>
        <w:rPr>
          <w:rFonts w:ascii="Times New Roman" w:hAnsi="Times New Roman" w:cs="Times New Roman"/>
          <w:bCs/>
          <w:sz w:val="20"/>
          <w:szCs w:val="20"/>
        </w:rPr>
      </w:pPr>
      <w:r w:rsidRPr="00FB5AFF">
        <w:rPr>
          <w:rFonts w:ascii="Times New Roman" w:hAnsi="Times New Roman" w:cs="Times New Roman"/>
          <w:bCs/>
          <w:sz w:val="20"/>
          <w:szCs w:val="20"/>
        </w:rPr>
        <w:t xml:space="preserve">Pure Cycle continues to </w:t>
      </w:r>
      <w:r w:rsidR="00F3354E">
        <w:rPr>
          <w:rFonts w:ascii="Times New Roman" w:hAnsi="Times New Roman" w:cs="Times New Roman"/>
          <w:bCs/>
          <w:sz w:val="20"/>
          <w:szCs w:val="20"/>
        </w:rPr>
        <w:t>grow and strengthen</w:t>
      </w:r>
      <w:r w:rsidRPr="00FB5AFF">
        <w:rPr>
          <w:rFonts w:ascii="Times New Roman" w:hAnsi="Times New Roman" w:cs="Times New Roman"/>
          <w:bCs/>
          <w:sz w:val="20"/>
          <w:szCs w:val="20"/>
        </w:rPr>
        <w:t xml:space="preserve"> its operations, grow its balance sheet, and drive recurring revenues. We operate in three distinct business segments, each of which complements the other. At our core, we are an innovative and vertically integrated wholesale water and wastewater service provider. In 2017, we launched our land development segment which develops master planned communities on land we own and to which we provide water and wastewater services. In 2021, we launched our newest line of business, the rental of single-family homes located at Sky Ranch, which provides long-term recurring revenues, furthers our land development operations, and adds more customers to our water resource segment.</w:t>
      </w:r>
    </w:p>
    <w:p w14:paraId="03B9EA9D" w14:textId="77777777" w:rsidR="001252A5" w:rsidRPr="00FB5AFF" w:rsidRDefault="001252A5" w:rsidP="00FB5AFF">
      <w:pPr>
        <w:shd w:val="clear" w:color="auto" w:fill="FFFFFF"/>
        <w:tabs>
          <w:tab w:val="right" w:pos="9360"/>
        </w:tabs>
        <w:spacing w:after="300"/>
        <w:jc w:val="both"/>
        <w:rPr>
          <w:rFonts w:ascii="Times New Roman" w:hAnsi="Times New Roman" w:cs="Times New Roman"/>
          <w:bCs/>
          <w:sz w:val="20"/>
          <w:szCs w:val="20"/>
        </w:rPr>
      </w:pPr>
      <w:r w:rsidRPr="00FB5AFF">
        <w:rPr>
          <w:rFonts w:ascii="Times New Roman" w:hAnsi="Times New Roman" w:cs="Times New Roman"/>
          <w:bCs/>
          <w:sz w:val="20"/>
          <w:szCs w:val="20"/>
        </w:rPr>
        <w:t>Additional information, including our recent press releases and SEC filings, is available at </w:t>
      </w:r>
      <w:hyperlink r:id="rId8" w:history="1">
        <w:r w:rsidRPr="00FB5AFF">
          <w:rPr>
            <w:rStyle w:val="Hyperlink"/>
            <w:rFonts w:ascii="Times New Roman" w:hAnsi="Times New Roman" w:cs="Times New Roman"/>
            <w:bCs/>
            <w:sz w:val="20"/>
            <w:szCs w:val="20"/>
          </w:rPr>
          <w:t>www.purecyclewater.com</w:t>
        </w:r>
      </w:hyperlink>
      <w:r w:rsidRPr="00FB5AFF">
        <w:rPr>
          <w:rFonts w:ascii="Times New Roman" w:hAnsi="Times New Roman" w:cs="Times New Roman"/>
          <w:bCs/>
          <w:sz w:val="20"/>
          <w:szCs w:val="20"/>
        </w:rPr>
        <w:t xml:space="preserve">, or you may contact our President, Mark W. Harding, or our CFO, </w:t>
      </w:r>
      <w:r w:rsidR="00A2798A">
        <w:rPr>
          <w:rFonts w:ascii="Times New Roman" w:hAnsi="Times New Roman" w:cs="Times New Roman"/>
          <w:bCs/>
          <w:sz w:val="20"/>
          <w:szCs w:val="20"/>
        </w:rPr>
        <w:t>Marc Spezialy</w:t>
      </w:r>
      <w:r w:rsidRPr="00FB5AFF">
        <w:rPr>
          <w:rFonts w:ascii="Times New Roman" w:hAnsi="Times New Roman" w:cs="Times New Roman"/>
          <w:bCs/>
          <w:sz w:val="20"/>
          <w:szCs w:val="20"/>
        </w:rPr>
        <w:t>, at 303-292-3456 or </w:t>
      </w:r>
      <w:hyperlink r:id="rId9" w:history="1">
        <w:r w:rsidRPr="00FB5AFF">
          <w:rPr>
            <w:rStyle w:val="Hyperlink"/>
            <w:rFonts w:ascii="Times New Roman" w:hAnsi="Times New Roman" w:cs="Times New Roman"/>
            <w:bCs/>
            <w:sz w:val="20"/>
            <w:szCs w:val="20"/>
          </w:rPr>
          <w:t>info@purecyclewater.com</w:t>
        </w:r>
      </w:hyperlink>
      <w:r w:rsidRPr="00FB5AFF">
        <w:rPr>
          <w:rFonts w:ascii="Times New Roman" w:hAnsi="Times New Roman" w:cs="Times New Roman"/>
          <w:bCs/>
          <w:sz w:val="20"/>
          <w:szCs w:val="20"/>
        </w:rPr>
        <w:t>.</w:t>
      </w:r>
    </w:p>
    <w:p w14:paraId="0E6A341F" w14:textId="77777777" w:rsidR="001252A5" w:rsidRPr="00FB5AFF" w:rsidRDefault="001252A5" w:rsidP="00FB5AFF">
      <w:pPr>
        <w:widowControl w:val="0"/>
        <w:tabs>
          <w:tab w:val="right" w:pos="9360"/>
        </w:tabs>
        <w:jc w:val="both"/>
        <w:rPr>
          <w:rFonts w:ascii="Times New Roman" w:hAnsi="Times New Roman" w:cs="Times New Roman"/>
          <w:b/>
          <w:bCs/>
          <w:sz w:val="20"/>
          <w:szCs w:val="20"/>
          <w:u w:val="single"/>
        </w:rPr>
      </w:pPr>
      <w:r w:rsidRPr="00FB5AFF">
        <w:rPr>
          <w:rFonts w:ascii="Times New Roman" w:hAnsi="Times New Roman" w:cs="Times New Roman"/>
          <w:b/>
          <w:bCs/>
          <w:sz w:val="20"/>
          <w:szCs w:val="20"/>
          <w:u w:val="single"/>
        </w:rPr>
        <w:t>Forward-Looking Statements</w:t>
      </w:r>
    </w:p>
    <w:p w14:paraId="1B5E4DC0" w14:textId="77777777" w:rsidR="001252A5" w:rsidRPr="00FB5AFF" w:rsidRDefault="001252A5" w:rsidP="00FB5AFF">
      <w:pPr>
        <w:shd w:val="clear" w:color="auto" w:fill="FFFFFF"/>
        <w:tabs>
          <w:tab w:val="right" w:pos="9360"/>
        </w:tabs>
        <w:spacing w:after="300"/>
        <w:jc w:val="both"/>
        <w:rPr>
          <w:rFonts w:ascii="Times New Roman" w:hAnsi="Times New Roman" w:cs="Times New Roman"/>
          <w:bCs/>
          <w:sz w:val="20"/>
          <w:szCs w:val="20"/>
        </w:rPr>
      </w:pPr>
      <w:r w:rsidRPr="00FB5AFF">
        <w:rPr>
          <w:rFonts w:ascii="Times New Roman" w:hAnsi="Times New Roman" w:cs="Times New Roman"/>
          <w:bCs/>
          <w:sz w:val="20"/>
          <w:szCs w:val="20"/>
        </w:rPr>
        <w:t>This press release contains forward-looking statements within the meaning of Section 27A of the Securities Act of 1933, as amended, and Section 21E of the Securities Exchange Act of 1934, as amended. Forward-looking statements are all statements, other than statements of historical facts, included in this press release that address activities, events or developments that we expect or anticipate will or may occur in the future, such as statements about the following: our positioning to continue to grow through this market cycle</w:t>
      </w:r>
      <w:r w:rsidR="00536C4E">
        <w:rPr>
          <w:rFonts w:ascii="Times New Roman" w:hAnsi="Times New Roman" w:cs="Times New Roman"/>
          <w:bCs/>
          <w:sz w:val="20"/>
          <w:szCs w:val="20"/>
        </w:rPr>
        <w:t>;</w:t>
      </w:r>
      <w:r w:rsidR="00B02808">
        <w:rPr>
          <w:rFonts w:ascii="Times New Roman" w:hAnsi="Times New Roman" w:cs="Times New Roman"/>
          <w:bCs/>
          <w:sz w:val="20"/>
          <w:szCs w:val="20"/>
        </w:rPr>
        <w:t xml:space="preserve"> </w:t>
      </w:r>
      <w:r w:rsidRPr="00FB5AFF">
        <w:rPr>
          <w:rFonts w:ascii="Times New Roman" w:hAnsi="Times New Roman" w:cs="Times New Roman"/>
          <w:bCs/>
          <w:sz w:val="20"/>
          <w:szCs w:val="20"/>
        </w:rPr>
        <w:t>the completion and delivery of our rental units</w:t>
      </w:r>
      <w:r w:rsidR="00536C4E">
        <w:rPr>
          <w:rFonts w:ascii="Times New Roman" w:hAnsi="Times New Roman" w:cs="Times New Roman"/>
          <w:bCs/>
          <w:sz w:val="20"/>
          <w:szCs w:val="20"/>
        </w:rPr>
        <w:t>;</w:t>
      </w:r>
      <w:r w:rsidRPr="00FB5AFF">
        <w:rPr>
          <w:rFonts w:ascii="Times New Roman" w:hAnsi="Times New Roman" w:cs="Times New Roman"/>
          <w:bCs/>
          <w:sz w:val="20"/>
          <w:szCs w:val="20"/>
        </w:rPr>
        <w:t xml:space="preserve"> timing of development at Sky Ranch</w:t>
      </w:r>
      <w:r w:rsidR="00536C4E">
        <w:rPr>
          <w:rFonts w:ascii="Times New Roman" w:hAnsi="Times New Roman" w:cs="Times New Roman"/>
          <w:bCs/>
          <w:sz w:val="20"/>
          <w:szCs w:val="20"/>
        </w:rPr>
        <w:t>;</w:t>
      </w:r>
      <w:r w:rsidRPr="00FB5AFF">
        <w:rPr>
          <w:rFonts w:ascii="Times New Roman" w:hAnsi="Times New Roman" w:cs="Times New Roman"/>
          <w:bCs/>
          <w:sz w:val="20"/>
          <w:szCs w:val="20"/>
        </w:rPr>
        <w:t xml:space="preserve"> </w:t>
      </w:r>
      <w:r w:rsidR="00B02808">
        <w:rPr>
          <w:rFonts w:ascii="Times New Roman" w:hAnsi="Times New Roman" w:cs="Times New Roman"/>
          <w:bCs/>
          <w:sz w:val="20"/>
          <w:szCs w:val="20"/>
        </w:rPr>
        <w:t xml:space="preserve">future </w:t>
      </w:r>
      <w:r w:rsidR="00FC4827">
        <w:rPr>
          <w:rFonts w:ascii="Times New Roman" w:hAnsi="Times New Roman" w:cs="Times New Roman"/>
          <w:bCs/>
          <w:sz w:val="20"/>
          <w:szCs w:val="20"/>
        </w:rPr>
        <w:t xml:space="preserve">water and wastewater </w:t>
      </w:r>
      <w:r w:rsidRPr="00FB5AFF">
        <w:rPr>
          <w:rFonts w:ascii="Times New Roman" w:hAnsi="Times New Roman" w:cs="Times New Roman"/>
          <w:bCs/>
          <w:sz w:val="20"/>
          <w:szCs w:val="20"/>
        </w:rPr>
        <w:t>tap sales</w:t>
      </w:r>
      <w:r w:rsidR="001271EE">
        <w:rPr>
          <w:rFonts w:ascii="Times New Roman" w:hAnsi="Times New Roman" w:cs="Times New Roman"/>
          <w:bCs/>
          <w:sz w:val="20"/>
          <w:szCs w:val="20"/>
        </w:rPr>
        <w:t xml:space="preserve"> and revenues</w:t>
      </w:r>
      <w:r w:rsidR="00536C4E">
        <w:rPr>
          <w:rFonts w:ascii="Times New Roman" w:hAnsi="Times New Roman" w:cs="Times New Roman"/>
          <w:bCs/>
          <w:sz w:val="20"/>
          <w:szCs w:val="20"/>
        </w:rPr>
        <w:t xml:space="preserve">; future </w:t>
      </w:r>
      <w:r w:rsidRPr="00FB5AFF">
        <w:rPr>
          <w:rFonts w:ascii="Times New Roman" w:hAnsi="Times New Roman" w:cs="Times New Roman"/>
          <w:bCs/>
          <w:sz w:val="20"/>
          <w:szCs w:val="20"/>
        </w:rPr>
        <w:t xml:space="preserve">home sales by our home builder customers; the </w:t>
      </w:r>
      <w:r w:rsidR="00B02808">
        <w:rPr>
          <w:rFonts w:ascii="Times New Roman" w:hAnsi="Times New Roman" w:cs="Times New Roman"/>
          <w:bCs/>
          <w:sz w:val="20"/>
          <w:szCs w:val="20"/>
        </w:rPr>
        <w:t xml:space="preserve">affordability of </w:t>
      </w:r>
      <w:r w:rsidRPr="00FB5AFF">
        <w:rPr>
          <w:rFonts w:ascii="Times New Roman" w:hAnsi="Times New Roman" w:cs="Times New Roman"/>
          <w:bCs/>
          <w:sz w:val="20"/>
          <w:szCs w:val="20"/>
        </w:rPr>
        <w:t>our products; the strength of the Sky Ranch market</w:t>
      </w:r>
      <w:r w:rsidR="00536C4E">
        <w:rPr>
          <w:rFonts w:ascii="Times New Roman" w:hAnsi="Times New Roman" w:cs="Times New Roman"/>
          <w:bCs/>
          <w:sz w:val="20"/>
          <w:szCs w:val="20"/>
        </w:rPr>
        <w:t>;</w:t>
      </w:r>
      <w:r w:rsidR="00B02808">
        <w:rPr>
          <w:rFonts w:ascii="Times New Roman" w:hAnsi="Times New Roman" w:cs="Times New Roman"/>
          <w:bCs/>
          <w:sz w:val="20"/>
          <w:szCs w:val="20"/>
        </w:rPr>
        <w:t xml:space="preserve"> </w:t>
      </w:r>
      <w:r w:rsidRPr="00FB5AFF">
        <w:rPr>
          <w:rFonts w:ascii="Times New Roman" w:hAnsi="Times New Roman" w:cs="Times New Roman"/>
          <w:bCs/>
          <w:sz w:val="20"/>
          <w:szCs w:val="20"/>
        </w:rPr>
        <w:t xml:space="preserve">forecasts about our </w:t>
      </w:r>
      <w:r w:rsidR="004A3599">
        <w:rPr>
          <w:rFonts w:ascii="Times New Roman" w:hAnsi="Times New Roman" w:cs="Times New Roman"/>
          <w:bCs/>
          <w:sz w:val="20"/>
          <w:szCs w:val="20"/>
        </w:rPr>
        <w:t>future</w:t>
      </w:r>
      <w:r w:rsidRPr="00FB5AFF">
        <w:rPr>
          <w:rFonts w:ascii="Times New Roman" w:hAnsi="Times New Roman" w:cs="Times New Roman"/>
          <w:bCs/>
          <w:sz w:val="20"/>
          <w:szCs w:val="20"/>
        </w:rPr>
        <w:t xml:space="preserve"> sales of water to oil and gas operators</w:t>
      </w:r>
      <w:r w:rsidR="00536C4E">
        <w:rPr>
          <w:rFonts w:ascii="Times New Roman" w:hAnsi="Times New Roman" w:cs="Times New Roman"/>
          <w:bCs/>
          <w:sz w:val="20"/>
          <w:szCs w:val="20"/>
        </w:rPr>
        <w:t>;</w:t>
      </w:r>
      <w:r w:rsidRPr="00FB5AFF">
        <w:rPr>
          <w:rFonts w:ascii="Times New Roman" w:hAnsi="Times New Roman" w:cs="Times New Roman"/>
          <w:bCs/>
          <w:sz w:val="20"/>
          <w:szCs w:val="20"/>
        </w:rPr>
        <w:t xml:space="preserve"> </w:t>
      </w:r>
      <w:r w:rsidR="0096406E">
        <w:rPr>
          <w:rFonts w:ascii="Times New Roman" w:hAnsi="Times New Roman" w:cs="Times New Roman"/>
          <w:bCs/>
          <w:sz w:val="20"/>
          <w:szCs w:val="20"/>
        </w:rPr>
        <w:t>our sales of lots</w:t>
      </w:r>
      <w:r w:rsidR="00536C4E">
        <w:rPr>
          <w:rFonts w:ascii="Times New Roman" w:hAnsi="Times New Roman" w:cs="Times New Roman"/>
          <w:bCs/>
          <w:sz w:val="20"/>
          <w:szCs w:val="20"/>
        </w:rPr>
        <w:t>;</w:t>
      </w:r>
      <w:r w:rsidR="0096406E">
        <w:rPr>
          <w:rFonts w:ascii="Times New Roman" w:hAnsi="Times New Roman" w:cs="Times New Roman"/>
          <w:bCs/>
          <w:sz w:val="20"/>
          <w:szCs w:val="20"/>
        </w:rPr>
        <w:t xml:space="preserve"> </w:t>
      </w:r>
      <w:r w:rsidRPr="00FB5AFF">
        <w:rPr>
          <w:rFonts w:ascii="Times New Roman" w:hAnsi="Times New Roman" w:cs="Times New Roman"/>
          <w:bCs/>
          <w:sz w:val="20"/>
          <w:szCs w:val="20"/>
        </w:rPr>
        <w:t xml:space="preserve">and our </w:t>
      </w:r>
      <w:r w:rsidR="0096406E">
        <w:rPr>
          <w:rFonts w:ascii="Times New Roman" w:hAnsi="Times New Roman" w:cs="Times New Roman"/>
          <w:bCs/>
          <w:sz w:val="20"/>
          <w:szCs w:val="20"/>
        </w:rPr>
        <w:t xml:space="preserve">expected </w:t>
      </w:r>
      <w:r w:rsidRPr="00FB5AFF">
        <w:rPr>
          <w:rFonts w:ascii="Times New Roman" w:hAnsi="Times New Roman" w:cs="Times New Roman"/>
          <w:bCs/>
          <w:sz w:val="20"/>
          <w:szCs w:val="20"/>
        </w:rPr>
        <w:t>financial results. The words "anticipate," "likely," "may," "should," "could," "will," "believe," "estimate," "expect," "plan," "intend" and similar expressions are intended to identify forward-looking statements. Investors are cautioned that forward-looking statements are inherently uncertain and involve risks and uncertainties that could cause actual results to differ materially. Factors that could cause actual results to differ from projected results include, without limitation: home mortgage interest rates, inflation, and other factors impacting the housing market and home sales; the risk factors discussed in Part I, Item 1A of our most recent Annual Report on Form 10-K for the fiscal year ended August 31, 202</w:t>
      </w:r>
      <w:r w:rsidR="00AA1D9F">
        <w:rPr>
          <w:rFonts w:ascii="Times New Roman" w:hAnsi="Times New Roman" w:cs="Times New Roman"/>
          <w:bCs/>
          <w:sz w:val="20"/>
          <w:szCs w:val="20"/>
        </w:rPr>
        <w:t>4</w:t>
      </w:r>
      <w:r w:rsidRPr="00FB5AFF">
        <w:rPr>
          <w:rFonts w:ascii="Times New Roman" w:hAnsi="Times New Roman" w:cs="Times New Roman"/>
          <w:bCs/>
          <w:sz w:val="20"/>
          <w:szCs w:val="20"/>
        </w:rPr>
        <w:t>; and those factors discussed from time to time in our press releases, public statement and documents filed or furnished with the U.S. Securities and Exchange Commission. Except as required by law, we disclaim any obligation to update publicly any forward-looking statements, whether because of new information, future events or otherwise.</w:t>
      </w:r>
    </w:p>
    <w:p w14:paraId="0BD972FB" w14:textId="77777777" w:rsidR="00EA7D61" w:rsidRPr="00FB5AFF" w:rsidRDefault="001252A5" w:rsidP="00FB5AFF">
      <w:pPr>
        <w:shd w:val="clear" w:color="auto" w:fill="FFFFFF"/>
        <w:tabs>
          <w:tab w:val="right" w:pos="9360"/>
        </w:tabs>
        <w:spacing w:after="300"/>
        <w:jc w:val="both"/>
        <w:rPr>
          <w:rFonts w:ascii="Times New Roman" w:hAnsi="Times New Roman" w:cs="Times New Roman"/>
          <w:sz w:val="20"/>
          <w:szCs w:val="20"/>
        </w:rPr>
      </w:pPr>
      <w:r w:rsidRPr="00FB5AFF">
        <w:rPr>
          <w:rFonts w:ascii="Times New Roman" w:hAnsi="Times New Roman" w:cs="Times New Roman"/>
          <w:bCs/>
          <w:sz w:val="20"/>
          <w:szCs w:val="20"/>
        </w:rPr>
        <w:t>SOURCE: Pure Cycle Corporation</w:t>
      </w:r>
    </w:p>
    <w:sectPr w:rsidR="00EA7D61" w:rsidRPr="00FB5AFF" w:rsidSect="00443336">
      <w:footerReference w:type="default" r:id="rId10"/>
      <w:headerReference w:type="first" r:id="rId11"/>
      <w:pgSz w:w="12240" w:h="15840"/>
      <w:pgMar w:top="1440" w:right="16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7EF98" w14:textId="77777777" w:rsidR="00D7782D" w:rsidRDefault="00D7782D" w:rsidP="001252A5">
      <w:pPr>
        <w:spacing w:after="0" w:line="240" w:lineRule="auto"/>
      </w:pPr>
      <w:r>
        <w:separator/>
      </w:r>
    </w:p>
  </w:endnote>
  <w:endnote w:type="continuationSeparator" w:id="0">
    <w:p w14:paraId="664F710F" w14:textId="77777777" w:rsidR="00D7782D" w:rsidRDefault="00D7782D" w:rsidP="0012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076389"/>
      <w:docPartObj>
        <w:docPartGallery w:val="Page Numbers (Bottom of Page)"/>
        <w:docPartUnique/>
      </w:docPartObj>
    </w:sdtPr>
    <w:sdtEndPr>
      <w:rPr>
        <w:noProof/>
      </w:rPr>
    </w:sdtEndPr>
    <w:sdtContent>
      <w:p w14:paraId="56EA3152" w14:textId="77777777" w:rsidR="002351FD" w:rsidRDefault="00235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72E8C2" w14:textId="77777777" w:rsidR="002351FD" w:rsidRDefault="002351FD" w:rsidP="002351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3D516" w14:textId="77777777" w:rsidR="00D7782D" w:rsidRDefault="00D7782D" w:rsidP="001252A5">
      <w:pPr>
        <w:spacing w:after="0" w:line="240" w:lineRule="auto"/>
      </w:pPr>
      <w:r>
        <w:separator/>
      </w:r>
    </w:p>
  </w:footnote>
  <w:footnote w:type="continuationSeparator" w:id="0">
    <w:p w14:paraId="7E525F1E" w14:textId="77777777" w:rsidR="00D7782D" w:rsidRDefault="00D7782D" w:rsidP="00125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2B153" w14:textId="77777777" w:rsidR="00CD5F1B" w:rsidRDefault="00CD5F1B" w:rsidP="00CD5F1B">
    <w:pPr>
      <w:pStyle w:val="Header"/>
      <w:jc w:val="center"/>
    </w:pPr>
    <w:r>
      <w:rPr>
        <w:noProof/>
      </w:rPr>
      <w:drawing>
        <wp:inline distT="0" distB="0" distL="0" distR="0" wp14:anchorId="63426114" wp14:editId="049324A5">
          <wp:extent cx="2987644" cy="475307"/>
          <wp:effectExtent l="0" t="0" r="3810" b="1270"/>
          <wp:docPr id="2015646060" name="Picture 2015646060"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1" descr="A close-up of a logo&#10;&#10;Description automatically generated"/>
                  <pic:cNvPicPr/>
                </pic:nvPicPr>
                <pic:blipFill dpi="0" rotWithShape="1">
                  <a:blip r:embed="rId1"/>
                  <a:srcRect b="34699"/>
                  <a:stretch/>
                </pic:blipFill>
                <pic:spPr bwMode="auto">
                  <a:xfrm>
                    <a:off x="0" y="0"/>
                    <a:ext cx="3022875" cy="480912"/>
                  </a:xfrm>
                  <a:prstGeom prst="rect">
                    <a:avLst/>
                  </a:prstGeom>
                  <a:noFill/>
                  <a:ln>
                    <a:noFill/>
                  </a:ln>
                  <a:extLst>
                    <a:ext uri="{53640926-AAD7-44D8-BBD7-CCE9431645EC}">
                      <a14:shadowObscured xmlns:a14="http://schemas.microsoft.com/office/drawing/2010/main"/>
                    </a:ext>
                  </a:extLst>
                </pic:spPr>
              </pic:pic>
            </a:graphicData>
          </a:graphic>
        </wp:inline>
      </w:drawing>
    </w:r>
  </w:p>
  <w:p w14:paraId="30E99D49" w14:textId="77777777" w:rsidR="00CD5F1B" w:rsidRDefault="00CD5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D463AE"/>
    <w:multiLevelType w:val="hybridMultilevel"/>
    <w:tmpl w:val="FFFFFFFF"/>
    <w:lvl w:ilvl="0" w:tplc="8F426BF2">
      <w:start w:val="1"/>
      <w:numFmt w:val="bullet"/>
      <w:lvlText w:val=""/>
      <w:lvlJc w:val="left"/>
      <w:pPr>
        <w:ind w:left="720" w:hanging="360"/>
      </w:pPr>
      <w:rPr>
        <w:rFonts w:ascii="Wingdings" w:hAnsi="Wingdings" w:hint="default"/>
      </w:rPr>
    </w:lvl>
    <w:lvl w:ilvl="1" w:tplc="B2EA60AE">
      <w:start w:val="1"/>
      <w:numFmt w:val="bullet"/>
      <w:lvlText w:val="o"/>
      <w:lvlJc w:val="left"/>
      <w:pPr>
        <w:ind w:left="1440" w:hanging="360"/>
      </w:pPr>
      <w:rPr>
        <w:rFonts w:ascii="Courier New" w:hAnsi="Courier New" w:cs="Times New Roman" w:hint="default"/>
      </w:rPr>
    </w:lvl>
    <w:lvl w:ilvl="2" w:tplc="6898F546">
      <w:start w:val="1"/>
      <w:numFmt w:val="bullet"/>
      <w:lvlText w:val=""/>
      <w:lvlJc w:val="left"/>
      <w:pPr>
        <w:ind w:left="2160" w:hanging="360"/>
      </w:pPr>
      <w:rPr>
        <w:rFonts w:ascii="Wingdings" w:hAnsi="Wingdings" w:hint="default"/>
      </w:rPr>
    </w:lvl>
    <w:lvl w:ilvl="3" w:tplc="257458E6">
      <w:start w:val="1"/>
      <w:numFmt w:val="bullet"/>
      <w:lvlText w:val=""/>
      <w:lvlJc w:val="left"/>
      <w:pPr>
        <w:ind w:left="2880" w:hanging="360"/>
      </w:pPr>
      <w:rPr>
        <w:rFonts w:ascii="Symbol" w:hAnsi="Symbol" w:hint="default"/>
      </w:rPr>
    </w:lvl>
    <w:lvl w:ilvl="4" w:tplc="CEB0C772">
      <w:start w:val="1"/>
      <w:numFmt w:val="bullet"/>
      <w:lvlText w:val="o"/>
      <w:lvlJc w:val="left"/>
      <w:pPr>
        <w:ind w:left="3600" w:hanging="360"/>
      </w:pPr>
      <w:rPr>
        <w:rFonts w:ascii="Courier New" w:hAnsi="Courier New" w:cs="Times New Roman" w:hint="default"/>
      </w:rPr>
    </w:lvl>
    <w:lvl w:ilvl="5" w:tplc="E38C06B0">
      <w:start w:val="1"/>
      <w:numFmt w:val="bullet"/>
      <w:lvlText w:val=""/>
      <w:lvlJc w:val="left"/>
      <w:pPr>
        <w:ind w:left="4320" w:hanging="360"/>
      </w:pPr>
      <w:rPr>
        <w:rFonts w:ascii="Wingdings" w:hAnsi="Wingdings" w:hint="default"/>
      </w:rPr>
    </w:lvl>
    <w:lvl w:ilvl="6" w:tplc="DA84AFBA">
      <w:start w:val="1"/>
      <w:numFmt w:val="bullet"/>
      <w:lvlText w:val=""/>
      <w:lvlJc w:val="left"/>
      <w:pPr>
        <w:ind w:left="5040" w:hanging="360"/>
      </w:pPr>
      <w:rPr>
        <w:rFonts w:ascii="Symbol" w:hAnsi="Symbol" w:hint="default"/>
      </w:rPr>
    </w:lvl>
    <w:lvl w:ilvl="7" w:tplc="E6364632">
      <w:start w:val="1"/>
      <w:numFmt w:val="bullet"/>
      <w:lvlText w:val="o"/>
      <w:lvlJc w:val="left"/>
      <w:pPr>
        <w:ind w:left="5760" w:hanging="360"/>
      </w:pPr>
      <w:rPr>
        <w:rFonts w:ascii="Courier New" w:hAnsi="Courier New" w:cs="Times New Roman" w:hint="default"/>
      </w:rPr>
    </w:lvl>
    <w:lvl w:ilvl="8" w:tplc="7300634A">
      <w:start w:val="1"/>
      <w:numFmt w:val="bullet"/>
      <w:lvlText w:val=""/>
      <w:lvlJc w:val="left"/>
      <w:pPr>
        <w:ind w:left="6480" w:hanging="360"/>
      </w:pPr>
      <w:rPr>
        <w:rFonts w:ascii="Wingdings" w:hAnsi="Wingdings" w:hint="default"/>
      </w:rPr>
    </w:lvl>
  </w:abstractNum>
  <w:num w:numId="1" w16cid:durableId="1331369517">
    <w:abstractNumId w:val="0"/>
  </w:num>
  <w:num w:numId="2" w16cid:durableId="52733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A5"/>
    <w:rsid w:val="00016462"/>
    <w:rsid w:val="00017A48"/>
    <w:rsid w:val="0002474D"/>
    <w:rsid w:val="000305A6"/>
    <w:rsid w:val="000320BD"/>
    <w:rsid w:val="00034D4A"/>
    <w:rsid w:val="00041265"/>
    <w:rsid w:val="000834E0"/>
    <w:rsid w:val="000874FB"/>
    <w:rsid w:val="000A109A"/>
    <w:rsid w:val="000A555B"/>
    <w:rsid w:val="000B5FBC"/>
    <w:rsid w:val="000C1C01"/>
    <w:rsid w:val="000C3A1B"/>
    <w:rsid w:val="000C6D3B"/>
    <w:rsid w:val="000D20E7"/>
    <w:rsid w:val="000E1ECC"/>
    <w:rsid w:val="001012D6"/>
    <w:rsid w:val="00102E7E"/>
    <w:rsid w:val="00103785"/>
    <w:rsid w:val="00114609"/>
    <w:rsid w:val="00120329"/>
    <w:rsid w:val="00123D9B"/>
    <w:rsid w:val="001252A5"/>
    <w:rsid w:val="001271EE"/>
    <w:rsid w:val="00131FC7"/>
    <w:rsid w:val="00145D22"/>
    <w:rsid w:val="00150A48"/>
    <w:rsid w:val="00154B0E"/>
    <w:rsid w:val="00155BF6"/>
    <w:rsid w:val="00164111"/>
    <w:rsid w:val="00173161"/>
    <w:rsid w:val="00193A10"/>
    <w:rsid w:val="00196A12"/>
    <w:rsid w:val="00196D83"/>
    <w:rsid w:val="001A4D1D"/>
    <w:rsid w:val="001B7364"/>
    <w:rsid w:val="001B7F77"/>
    <w:rsid w:val="001C2400"/>
    <w:rsid w:val="001D1055"/>
    <w:rsid w:val="001D1D73"/>
    <w:rsid w:val="001D4B5A"/>
    <w:rsid w:val="001F14E2"/>
    <w:rsid w:val="001F2C04"/>
    <w:rsid w:val="001F6AFA"/>
    <w:rsid w:val="0020288B"/>
    <w:rsid w:val="002154DE"/>
    <w:rsid w:val="00215B94"/>
    <w:rsid w:val="00232A31"/>
    <w:rsid w:val="002351FD"/>
    <w:rsid w:val="00236018"/>
    <w:rsid w:val="00251E51"/>
    <w:rsid w:val="0029150B"/>
    <w:rsid w:val="002A4B96"/>
    <w:rsid w:val="002B651F"/>
    <w:rsid w:val="002B7F5C"/>
    <w:rsid w:val="002C36BC"/>
    <w:rsid w:val="002D2C27"/>
    <w:rsid w:val="002E7263"/>
    <w:rsid w:val="002F0032"/>
    <w:rsid w:val="002F4899"/>
    <w:rsid w:val="00300D51"/>
    <w:rsid w:val="00304A8D"/>
    <w:rsid w:val="00306E68"/>
    <w:rsid w:val="00332DF2"/>
    <w:rsid w:val="0033307A"/>
    <w:rsid w:val="00343C8E"/>
    <w:rsid w:val="00356252"/>
    <w:rsid w:val="00356314"/>
    <w:rsid w:val="00365B79"/>
    <w:rsid w:val="003671CB"/>
    <w:rsid w:val="003715E6"/>
    <w:rsid w:val="003741E6"/>
    <w:rsid w:val="00375A0C"/>
    <w:rsid w:val="00376784"/>
    <w:rsid w:val="00381677"/>
    <w:rsid w:val="003A396D"/>
    <w:rsid w:val="003C3B94"/>
    <w:rsid w:val="003D5026"/>
    <w:rsid w:val="003D6329"/>
    <w:rsid w:val="003E5A23"/>
    <w:rsid w:val="003E7F27"/>
    <w:rsid w:val="003F38AE"/>
    <w:rsid w:val="0040033A"/>
    <w:rsid w:val="004053C8"/>
    <w:rsid w:val="00417ADA"/>
    <w:rsid w:val="00426BD0"/>
    <w:rsid w:val="00427316"/>
    <w:rsid w:val="00434A11"/>
    <w:rsid w:val="00443336"/>
    <w:rsid w:val="004467B7"/>
    <w:rsid w:val="00457993"/>
    <w:rsid w:val="00466A04"/>
    <w:rsid w:val="00466EAF"/>
    <w:rsid w:val="00475D42"/>
    <w:rsid w:val="0047702F"/>
    <w:rsid w:val="00483153"/>
    <w:rsid w:val="00493EC1"/>
    <w:rsid w:val="004A3599"/>
    <w:rsid w:val="004A684F"/>
    <w:rsid w:val="004B0DE2"/>
    <w:rsid w:val="004B596D"/>
    <w:rsid w:val="004B7490"/>
    <w:rsid w:val="004C1F61"/>
    <w:rsid w:val="004F1E2C"/>
    <w:rsid w:val="00513837"/>
    <w:rsid w:val="00524358"/>
    <w:rsid w:val="005326FC"/>
    <w:rsid w:val="0053393B"/>
    <w:rsid w:val="00536C4E"/>
    <w:rsid w:val="00541F96"/>
    <w:rsid w:val="00565373"/>
    <w:rsid w:val="005665BF"/>
    <w:rsid w:val="00572800"/>
    <w:rsid w:val="00580CFA"/>
    <w:rsid w:val="00583974"/>
    <w:rsid w:val="00587186"/>
    <w:rsid w:val="00591605"/>
    <w:rsid w:val="00596BC3"/>
    <w:rsid w:val="005A164D"/>
    <w:rsid w:val="005B25BC"/>
    <w:rsid w:val="005B77F6"/>
    <w:rsid w:val="005E5A28"/>
    <w:rsid w:val="005F2B51"/>
    <w:rsid w:val="0060339B"/>
    <w:rsid w:val="00605D39"/>
    <w:rsid w:val="00612104"/>
    <w:rsid w:val="00613F61"/>
    <w:rsid w:val="0061562A"/>
    <w:rsid w:val="0062669B"/>
    <w:rsid w:val="0063575B"/>
    <w:rsid w:val="006447EB"/>
    <w:rsid w:val="00654C79"/>
    <w:rsid w:val="006B7D1B"/>
    <w:rsid w:val="006C0B47"/>
    <w:rsid w:val="006D02DF"/>
    <w:rsid w:val="006E03FC"/>
    <w:rsid w:val="006E5014"/>
    <w:rsid w:val="007150F4"/>
    <w:rsid w:val="00716287"/>
    <w:rsid w:val="007243F0"/>
    <w:rsid w:val="00724E6B"/>
    <w:rsid w:val="007517C2"/>
    <w:rsid w:val="00773241"/>
    <w:rsid w:val="007829BB"/>
    <w:rsid w:val="00783243"/>
    <w:rsid w:val="007908B9"/>
    <w:rsid w:val="007B1C52"/>
    <w:rsid w:val="007B6948"/>
    <w:rsid w:val="007C5F4C"/>
    <w:rsid w:val="007D1956"/>
    <w:rsid w:val="007E7DB9"/>
    <w:rsid w:val="007F481A"/>
    <w:rsid w:val="00802AE0"/>
    <w:rsid w:val="00805657"/>
    <w:rsid w:val="00807051"/>
    <w:rsid w:val="008175D9"/>
    <w:rsid w:val="00823E81"/>
    <w:rsid w:val="00825AB0"/>
    <w:rsid w:val="00832B73"/>
    <w:rsid w:val="00832BBB"/>
    <w:rsid w:val="00864023"/>
    <w:rsid w:val="00890822"/>
    <w:rsid w:val="008A5A85"/>
    <w:rsid w:val="008A75F5"/>
    <w:rsid w:val="008B5425"/>
    <w:rsid w:val="008C393A"/>
    <w:rsid w:val="008D3704"/>
    <w:rsid w:val="009139E6"/>
    <w:rsid w:val="009157E3"/>
    <w:rsid w:val="00930551"/>
    <w:rsid w:val="009532CD"/>
    <w:rsid w:val="0096406E"/>
    <w:rsid w:val="00965FDE"/>
    <w:rsid w:val="009807AF"/>
    <w:rsid w:val="00994170"/>
    <w:rsid w:val="00996C73"/>
    <w:rsid w:val="009975D5"/>
    <w:rsid w:val="009A0567"/>
    <w:rsid w:val="009B1230"/>
    <w:rsid w:val="009B6DF0"/>
    <w:rsid w:val="009C0C7B"/>
    <w:rsid w:val="009C4979"/>
    <w:rsid w:val="009D1052"/>
    <w:rsid w:val="009E6F2C"/>
    <w:rsid w:val="009F7BD9"/>
    <w:rsid w:val="00A13E01"/>
    <w:rsid w:val="00A2798A"/>
    <w:rsid w:val="00A36A75"/>
    <w:rsid w:val="00A46898"/>
    <w:rsid w:val="00A5043F"/>
    <w:rsid w:val="00A50B9B"/>
    <w:rsid w:val="00A859A1"/>
    <w:rsid w:val="00AA1D9F"/>
    <w:rsid w:val="00AB3F2F"/>
    <w:rsid w:val="00AB5904"/>
    <w:rsid w:val="00AB6316"/>
    <w:rsid w:val="00AD5CDB"/>
    <w:rsid w:val="00AD7806"/>
    <w:rsid w:val="00AF0127"/>
    <w:rsid w:val="00AF478E"/>
    <w:rsid w:val="00AF4D95"/>
    <w:rsid w:val="00B02808"/>
    <w:rsid w:val="00B06798"/>
    <w:rsid w:val="00B11198"/>
    <w:rsid w:val="00B17A15"/>
    <w:rsid w:val="00B23A8D"/>
    <w:rsid w:val="00B43B76"/>
    <w:rsid w:val="00B563EF"/>
    <w:rsid w:val="00B5666B"/>
    <w:rsid w:val="00B93D0F"/>
    <w:rsid w:val="00B97347"/>
    <w:rsid w:val="00BB25F1"/>
    <w:rsid w:val="00BC10F7"/>
    <w:rsid w:val="00BD4C43"/>
    <w:rsid w:val="00BE1023"/>
    <w:rsid w:val="00BE3F46"/>
    <w:rsid w:val="00BE69DC"/>
    <w:rsid w:val="00C01AC8"/>
    <w:rsid w:val="00C026BD"/>
    <w:rsid w:val="00C13E03"/>
    <w:rsid w:val="00C179DD"/>
    <w:rsid w:val="00C3785C"/>
    <w:rsid w:val="00C4502A"/>
    <w:rsid w:val="00C511D3"/>
    <w:rsid w:val="00C6595B"/>
    <w:rsid w:val="00C90099"/>
    <w:rsid w:val="00C900D3"/>
    <w:rsid w:val="00CC5201"/>
    <w:rsid w:val="00CD5F1B"/>
    <w:rsid w:val="00CD7169"/>
    <w:rsid w:val="00CE7344"/>
    <w:rsid w:val="00CF6F83"/>
    <w:rsid w:val="00D01789"/>
    <w:rsid w:val="00D07CB9"/>
    <w:rsid w:val="00D14387"/>
    <w:rsid w:val="00D14CDD"/>
    <w:rsid w:val="00D33C62"/>
    <w:rsid w:val="00D3599C"/>
    <w:rsid w:val="00D36F72"/>
    <w:rsid w:val="00D53511"/>
    <w:rsid w:val="00D7716F"/>
    <w:rsid w:val="00D7782D"/>
    <w:rsid w:val="00DB1FE1"/>
    <w:rsid w:val="00DB4E1D"/>
    <w:rsid w:val="00DC6FE8"/>
    <w:rsid w:val="00DC75B7"/>
    <w:rsid w:val="00DE12BF"/>
    <w:rsid w:val="00DE1E8A"/>
    <w:rsid w:val="00DE424C"/>
    <w:rsid w:val="00DE4769"/>
    <w:rsid w:val="00DE61FE"/>
    <w:rsid w:val="00DE7DF0"/>
    <w:rsid w:val="00E131BC"/>
    <w:rsid w:val="00E13DDE"/>
    <w:rsid w:val="00E3057F"/>
    <w:rsid w:val="00E46906"/>
    <w:rsid w:val="00E570F7"/>
    <w:rsid w:val="00E64C99"/>
    <w:rsid w:val="00E732FB"/>
    <w:rsid w:val="00E831E9"/>
    <w:rsid w:val="00EA7D61"/>
    <w:rsid w:val="00EB6639"/>
    <w:rsid w:val="00EC02E9"/>
    <w:rsid w:val="00EC55E4"/>
    <w:rsid w:val="00EF2757"/>
    <w:rsid w:val="00F11C20"/>
    <w:rsid w:val="00F21271"/>
    <w:rsid w:val="00F25CED"/>
    <w:rsid w:val="00F2690E"/>
    <w:rsid w:val="00F3354E"/>
    <w:rsid w:val="00F35386"/>
    <w:rsid w:val="00F4381D"/>
    <w:rsid w:val="00F605D5"/>
    <w:rsid w:val="00F67C32"/>
    <w:rsid w:val="00FB5AFF"/>
    <w:rsid w:val="00FC4827"/>
    <w:rsid w:val="00FC513B"/>
    <w:rsid w:val="00FD127C"/>
    <w:rsid w:val="00FD433E"/>
    <w:rsid w:val="00FE2562"/>
    <w:rsid w:val="00FE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415DD"/>
  <w15:chartTrackingRefBased/>
  <w15:docId w15:val="{37A4CB7F-499B-41A7-BFA4-7CA07244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BodyText"/>
    <w:link w:val="Heading3Char"/>
    <w:uiPriority w:val="5"/>
    <w:semiHidden/>
    <w:unhideWhenUsed/>
    <w:qFormat/>
    <w:rsid w:val="00DC6FE8"/>
    <w:pPr>
      <w:keepNext/>
      <w:keepLines/>
      <w:spacing w:after="240" w:line="240" w:lineRule="auto"/>
      <w:outlineLvl w:val="2"/>
    </w:pPr>
    <w:rPr>
      <w:rFonts w:asciiTheme="majorHAnsi" w:eastAsiaTheme="majorEastAsia" w:hAnsiTheme="majorHAnsi" w:cstheme="majorHAnsi"/>
      <w:b/>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52A5"/>
    <w:pPr>
      <w:tabs>
        <w:tab w:val="center" w:pos="4680"/>
        <w:tab w:val="right" w:pos="9360"/>
      </w:tabs>
      <w:spacing w:after="0" w:line="240" w:lineRule="auto"/>
    </w:pPr>
  </w:style>
  <w:style w:type="character" w:customStyle="1" w:styleId="HeaderChar">
    <w:name w:val="Header Char"/>
    <w:basedOn w:val="DefaultParagraphFont"/>
    <w:link w:val="Header"/>
    <w:rsid w:val="001252A5"/>
  </w:style>
  <w:style w:type="paragraph" w:styleId="Footer">
    <w:name w:val="footer"/>
    <w:basedOn w:val="Normal"/>
    <w:link w:val="FooterChar"/>
    <w:uiPriority w:val="99"/>
    <w:unhideWhenUsed/>
    <w:rsid w:val="00125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A5"/>
  </w:style>
  <w:style w:type="character" w:styleId="Hyperlink">
    <w:name w:val="Hyperlink"/>
    <w:basedOn w:val="DefaultParagraphFont"/>
    <w:uiPriority w:val="99"/>
    <w:unhideWhenUsed/>
    <w:rsid w:val="001252A5"/>
    <w:rPr>
      <w:color w:val="0563C1" w:themeColor="hyperlink"/>
      <w:u w:val="single"/>
    </w:rPr>
  </w:style>
  <w:style w:type="character" w:customStyle="1" w:styleId="BodyTextChar">
    <w:name w:val="Body Text Char"/>
    <w:aliases w:val="bt Char"/>
    <w:basedOn w:val="DefaultParagraphFont"/>
    <w:link w:val="BodyText"/>
    <w:uiPriority w:val="1"/>
    <w:locked/>
    <w:rsid w:val="001252A5"/>
  </w:style>
  <w:style w:type="paragraph" w:styleId="BodyText">
    <w:name w:val="Body Text"/>
    <w:aliases w:val="bt"/>
    <w:basedOn w:val="Normal"/>
    <w:link w:val="BodyTextChar"/>
    <w:uiPriority w:val="1"/>
    <w:unhideWhenUsed/>
    <w:qFormat/>
    <w:rsid w:val="001252A5"/>
    <w:pPr>
      <w:spacing w:after="0" w:line="240" w:lineRule="auto"/>
    </w:pPr>
  </w:style>
  <w:style w:type="character" w:customStyle="1" w:styleId="BodyTextChar1">
    <w:name w:val="Body Text Char1"/>
    <w:basedOn w:val="DefaultParagraphFont"/>
    <w:uiPriority w:val="99"/>
    <w:semiHidden/>
    <w:rsid w:val="001252A5"/>
  </w:style>
  <w:style w:type="character" w:customStyle="1" w:styleId="paraChar">
    <w:name w:val="para Char"/>
    <w:link w:val="para"/>
    <w:locked/>
    <w:rsid w:val="001252A5"/>
    <w:rPr>
      <w:rFonts w:ascii="Times New Roman" w:hAnsi="Times New Roman" w:cs="Times New Roman"/>
      <w:bCs/>
      <w:sz w:val="24"/>
    </w:rPr>
  </w:style>
  <w:style w:type="paragraph" w:customStyle="1" w:styleId="para">
    <w:name w:val="para"/>
    <w:basedOn w:val="Normal"/>
    <w:link w:val="paraChar"/>
    <w:qFormat/>
    <w:rsid w:val="001252A5"/>
    <w:pPr>
      <w:spacing w:after="240" w:line="240" w:lineRule="auto"/>
      <w:jc w:val="both"/>
    </w:pPr>
    <w:rPr>
      <w:rFonts w:ascii="Times New Roman" w:hAnsi="Times New Roman" w:cs="Times New Roman"/>
      <w:bCs/>
      <w:sz w:val="24"/>
    </w:rPr>
  </w:style>
  <w:style w:type="character" w:customStyle="1" w:styleId="centertitleChar">
    <w:name w:val="centertitle Char"/>
    <w:aliases w:val="ct Char"/>
    <w:basedOn w:val="DefaultParagraphFont"/>
    <w:link w:val="centertitle"/>
    <w:locked/>
    <w:rsid w:val="00016462"/>
    <w:rPr>
      <w:rFonts w:ascii="Times New Roman" w:hAnsi="Times New Roman" w:cs="Times New Roman"/>
      <w:iCs/>
      <w:sz w:val="20"/>
      <w:szCs w:val="20"/>
    </w:rPr>
  </w:style>
  <w:style w:type="paragraph" w:customStyle="1" w:styleId="centertitle">
    <w:name w:val="centertitle"/>
    <w:aliases w:val="ct"/>
    <w:basedOn w:val="Normal"/>
    <w:link w:val="centertitleChar"/>
    <w:autoRedefine/>
    <w:rsid w:val="00016462"/>
    <w:pPr>
      <w:keepNext/>
      <w:spacing w:after="0" w:line="256" w:lineRule="auto"/>
      <w:jc w:val="both"/>
    </w:pPr>
    <w:rPr>
      <w:rFonts w:ascii="Times New Roman" w:hAnsi="Times New Roman" w:cs="Times New Roman"/>
      <w:iCs/>
      <w:sz w:val="20"/>
      <w:szCs w:val="20"/>
    </w:rPr>
  </w:style>
  <w:style w:type="paragraph" w:customStyle="1" w:styleId="canvas-atom">
    <w:name w:val="canvas-atom"/>
    <w:basedOn w:val="Normal"/>
    <w:rsid w:val="001252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252A5"/>
    <w:rPr>
      <w:b/>
      <w:bCs/>
    </w:rPr>
  </w:style>
  <w:style w:type="character" w:styleId="UnresolvedMention">
    <w:name w:val="Unresolved Mention"/>
    <w:basedOn w:val="DefaultParagraphFont"/>
    <w:uiPriority w:val="99"/>
    <w:semiHidden/>
    <w:unhideWhenUsed/>
    <w:rsid w:val="00605D39"/>
    <w:rPr>
      <w:color w:val="605E5C"/>
      <w:shd w:val="clear" w:color="auto" w:fill="E1DFDD"/>
    </w:rPr>
  </w:style>
  <w:style w:type="paragraph" w:styleId="Revision">
    <w:name w:val="Revision"/>
    <w:hidden/>
    <w:uiPriority w:val="99"/>
    <w:semiHidden/>
    <w:rsid w:val="00103785"/>
    <w:pPr>
      <w:spacing w:after="0" w:line="240" w:lineRule="auto"/>
    </w:pPr>
  </w:style>
  <w:style w:type="paragraph" w:customStyle="1" w:styleId="paragraph">
    <w:name w:val="paragraph"/>
    <w:basedOn w:val="Normal"/>
    <w:rsid w:val="006D02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D02DF"/>
  </w:style>
  <w:style w:type="character" w:customStyle="1" w:styleId="eop">
    <w:name w:val="eop"/>
    <w:basedOn w:val="DefaultParagraphFont"/>
    <w:rsid w:val="006D02DF"/>
  </w:style>
  <w:style w:type="character" w:customStyle="1" w:styleId="tabchar">
    <w:name w:val="tabchar"/>
    <w:basedOn w:val="DefaultParagraphFont"/>
    <w:rsid w:val="006D02DF"/>
  </w:style>
  <w:style w:type="paragraph" w:styleId="NormalWeb">
    <w:name w:val="Normal (Web)"/>
    <w:basedOn w:val="Normal"/>
    <w:uiPriority w:val="99"/>
    <w:unhideWhenUsed/>
    <w:rsid w:val="00B566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5"/>
    <w:semiHidden/>
    <w:rsid w:val="00DC6FE8"/>
    <w:rPr>
      <w:rFonts w:asciiTheme="majorHAnsi" w:eastAsiaTheme="majorEastAsia" w:hAnsiTheme="majorHAnsi" w:cstheme="majorHAnsi"/>
      <w:b/>
      <w:kern w:val="0"/>
      <w:sz w:val="20"/>
      <w:szCs w:val="20"/>
      <w14:ligatures w14:val="none"/>
    </w:rPr>
  </w:style>
  <w:style w:type="paragraph" w:styleId="NoSpacing">
    <w:name w:val="No Spacing"/>
    <w:uiPriority w:val="1"/>
    <w:qFormat/>
    <w:rsid w:val="00832B73"/>
    <w:pPr>
      <w:spacing w:after="0" w:line="240" w:lineRule="auto"/>
    </w:pPr>
  </w:style>
  <w:style w:type="character" w:styleId="FollowedHyperlink">
    <w:name w:val="FollowedHyperlink"/>
    <w:basedOn w:val="DefaultParagraphFont"/>
    <w:uiPriority w:val="99"/>
    <w:semiHidden/>
    <w:unhideWhenUsed/>
    <w:rsid w:val="00AF4D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386758">
      <w:bodyDiv w:val="1"/>
      <w:marLeft w:val="0"/>
      <w:marRight w:val="0"/>
      <w:marTop w:val="0"/>
      <w:marBottom w:val="0"/>
      <w:divBdr>
        <w:top w:val="none" w:sz="0" w:space="0" w:color="auto"/>
        <w:left w:val="none" w:sz="0" w:space="0" w:color="auto"/>
        <w:bottom w:val="none" w:sz="0" w:space="0" w:color="auto"/>
        <w:right w:val="none" w:sz="0" w:space="0" w:color="auto"/>
      </w:divBdr>
    </w:div>
    <w:div w:id="367725736">
      <w:bodyDiv w:val="1"/>
      <w:marLeft w:val="0"/>
      <w:marRight w:val="0"/>
      <w:marTop w:val="0"/>
      <w:marBottom w:val="0"/>
      <w:divBdr>
        <w:top w:val="none" w:sz="0" w:space="0" w:color="auto"/>
        <w:left w:val="none" w:sz="0" w:space="0" w:color="auto"/>
        <w:bottom w:val="none" w:sz="0" w:space="0" w:color="auto"/>
        <w:right w:val="none" w:sz="0" w:space="0" w:color="auto"/>
      </w:divBdr>
    </w:div>
    <w:div w:id="428624299">
      <w:bodyDiv w:val="1"/>
      <w:marLeft w:val="0"/>
      <w:marRight w:val="0"/>
      <w:marTop w:val="0"/>
      <w:marBottom w:val="0"/>
      <w:divBdr>
        <w:top w:val="none" w:sz="0" w:space="0" w:color="auto"/>
        <w:left w:val="none" w:sz="0" w:space="0" w:color="auto"/>
        <w:bottom w:val="none" w:sz="0" w:space="0" w:color="auto"/>
        <w:right w:val="none" w:sz="0" w:space="0" w:color="auto"/>
      </w:divBdr>
    </w:div>
    <w:div w:id="563377464">
      <w:bodyDiv w:val="1"/>
      <w:marLeft w:val="0"/>
      <w:marRight w:val="0"/>
      <w:marTop w:val="0"/>
      <w:marBottom w:val="0"/>
      <w:divBdr>
        <w:top w:val="none" w:sz="0" w:space="0" w:color="auto"/>
        <w:left w:val="none" w:sz="0" w:space="0" w:color="auto"/>
        <w:bottom w:val="none" w:sz="0" w:space="0" w:color="auto"/>
        <w:right w:val="none" w:sz="0" w:space="0" w:color="auto"/>
      </w:divBdr>
    </w:div>
    <w:div w:id="595674342">
      <w:bodyDiv w:val="1"/>
      <w:marLeft w:val="0"/>
      <w:marRight w:val="0"/>
      <w:marTop w:val="0"/>
      <w:marBottom w:val="0"/>
      <w:divBdr>
        <w:top w:val="none" w:sz="0" w:space="0" w:color="auto"/>
        <w:left w:val="none" w:sz="0" w:space="0" w:color="auto"/>
        <w:bottom w:val="none" w:sz="0" w:space="0" w:color="auto"/>
        <w:right w:val="none" w:sz="0" w:space="0" w:color="auto"/>
      </w:divBdr>
    </w:div>
    <w:div w:id="845099341">
      <w:bodyDiv w:val="1"/>
      <w:marLeft w:val="0"/>
      <w:marRight w:val="0"/>
      <w:marTop w:val="0"/>
      <w:marBottom w:val="0"/>
      <w:divBdr>
        <w:top w:val="none" w:sz="0" w:space="0" w:color="auto"/>
        <w:left w:val="none" w:sz="0" w:space="0" w:color="auto"/>
        <w:bottom w:val="none" w:sz="0" w:space="0" w:color="auto"/>
        <w:right w:val="none" w:sz="0" w:space="0" w:color="auto"/>
      </w:divBdr>
    </w:div>
    <w:div w:id="1012952835">
      <w:bodyDiv w:val="1"/>
      <w:marLeft w:val="0"/>
      <w:marRight w:val="0"/>
      <w:marTop w:val="0"/>
      <w:marBottom w:val="0"/>
      <w:divBdr>
        <w:top w:val="none" w:sz="0" w:space="0" w:color="auto"/>
        <w:left w:val="none" w:sz="0" w:space="0" w:color="auto"/>
        <w:bottom w:val="none" w:sz="0" w:space="0" w:color="auto"/>
        <w:right w:val="none" w:sz="0" w:space="0" w:color="auto"/>
      </w:divBdr>
    </w:div>
    <w:div w:id="1150944020">
      <w:bodyDiv w:val="1"/>
      <w:marLeft w:val="0"/>
      <w:marRight w:val="0"/>
      <w:marTop w:val="0"/>
      <w:marBottom w:val="0"/>
      <w:divBdr>
        <w:top w:val="none" w:sz="0" w:space="0" w:color="auto"/>
        <w:left w:val="none" w:sz="0" w:space="0" w:color="auto"/>
        <w:bottom w:val="none" w:sz="0" w:space="0" w:color="auto"/>
        <w:right w:val="none" w:sz="0" w:space="0" w:color="auto"/>
      </w:divBdr>
    </w:div>
    <w:div w:id="1171330351">
      <w:bodyDiv w:val="1"/>
      <w:marLeft w:val="0"/>
      <w:marRight w:val="0"/>
      <w:marTop w:val="0"/>
      <w:marBottom w:val="0"/>
      <w:divBdr>
        <w:top w:val="none" w:sz="0" w:space="0" w:color="auto"/>
        <w:left w:val="none" w:sz="0" w:space="0" w:color="auto"/>
        <w:bottom w:val="none" w:sz="0" w:space="0" w:color="auto"/>
        <w:right w:val="none" w:sz="0" w:space="0" w:color="auto"/>
      </w:divBdr>
    </w:div>
    <w:div w:id="1248611239">
      <w:bodyDiv w:val="1"/>
      <w:marLeft w:val="0"/>
      <w:marRight w:val="0"/>
      <w:marTop w:val="0"/>
      <w:marBottom w:val="0"/>
      <w:divBdr>
        <w:top w:val="none" w:sz="0" w:space="0" w:color="auto"/>
        <w:left w:val="none" w:sz="0" w:space="0" w:color="auto"/>
        <w:bottom w:val="none" w:sz="0" w:space="0" w:color="auto"/>
        <w:right w:val="none" w:sz="0" w:space="0" w:color="auto"/>
      </w:divBdr>
    </w:div>
    <w:div w:id="1282951889">
      <w:bodyDiv w:val="1"/>
      <w:marLeft w:val="0"/>
      <w:marRight w:val="0"/>
      <w:marTop w:val="0"/>
      <w:marBottom w:val="0"/>
      <w:divBdr>
        <w:top w:val="none" w:sz="0" w:space="0" w:color="auto"/>
        <w:left w:val="none" w:sz="0" w:space="0" w:color="auto"/>
        <w:bottom w:val="none" w:sz="0" w:space="0" w:color="auto"/>
        <w:right w:val="none" w:sz="0" w:space="0" w:color="auto"/>
      </w:divBdr>
    </w:div>
    <w:div w:id="1510949468">
      <w:bodyDiv w:val="1"/>
      <w:marLeft w:val="0"/>
      <w:marRight w:val="0"/>
      <w:marTop w:val="0"/>
      <w:marBottom w:val="0"/>
      <w:divBdr>
        <w:top w:val="none" w:sz="0" w:space="0" w:color="auto"/>
        <w:left w:val="none" w:sz="0" w:space="0" w:color="auto"/>
        <w:bottom w:val="none" w:sz="0" w:space="0" w:color="auto"/>
        <w:right w:val="none" w:sz="0" w:space="0" w:color="auto"/>
      </w:divBdr>
    </w:div>
    <w:div w:id="1535540138">
      <w:bodyDiv w:val="1"/>
      <w:marLeft w:val="0"/>
      <w:marRight w:val="0"/>
      <w:marTop w:val="0"/>
      <w:marBottom w:val="0"/>
      <w:divBdr>
        <w:top w:val="none" w:sz="0" w:space="0" w:color="auto"/>
        <w:left w:val="none" w:sz="0" w:space="0" w:color="auto"/>
        <w:bottom w:val="none" w:sz="0" w:space="0" w:color="auto"/>
        <w:right w:val="none" w:sz="0" w:space="0" w:color="auto"/>
      </w:divBdr>
      <w:divsChild>
        <w:div w:id="58745638">
          <w:marLeft w:val="0"/>
          <w:marRight w:val="0"/>
          <w:marTop w:val="0"/>
          <w:marBottom w:val="0"/>
          <w:divBdr>
            <w:top w:val="none" w:sz="0" w:space="0" w:color="auto"/>
            <w:left w:val="none" w:sz="0" w:space="0" w:color="auto"/>
            <w:bottom w:val="none" w:sz="0" w:space="0" w:color="auto"/>
            <w:right w:val="none" w:sz="0" w:space="0" w:color="auto"/>
          </w:divBdr>
        </w:div>
        <w:div w:id="1545172356">
          <w:marLeft w:val="0"/>
          <w:marRight w:val="0"/>
          <w:marTop w:val="0"/>
          <w:marBottom w:val="0"/>
          <w:divBdr>
            <w:top w:val="none" w:sz="0" w:space="0" w:color="auto"/>
            <w:left w:val="none" w:sz="0" w:space="0" w:color="auto"/>
            <w:bottom w:val="none" w:sz="0" w:space="0" w:color="auto"/>
            <w:right w:val="none" w:sz="0" w:space="0" w:color="auto"/>
          </w:divBdr>
        </w:div>
        <w:div w:id="1728648486">
          <w:marLeft w:val="0"/>
          <w:marRight w:val="0"/>
          <w:marTop w:val="0"/>
          <w:marBottom w:val="0"/>
          <w:divBdr>
            <w:top w:val="none" w:sz="0" w:space="0" w:color="auto"/>
            <w:left w:val="none" w:sz="0" w:space="0" w:color="auto"/>
            <w:bottom w:val="none" w:sz="0" w:space="0" w:color="auto"/>
            <w:right w:val="none" w:sz="0" w:space="0" w:color="auto"/>
          </w:divBdr>
        </w:div>
        <w:div w:id="1645962337">
          <w:marLeft w:val="0"/>
          <w:marRight w:val="0"/>
          <w:marTop w:val="0"/>
          <w:marBottom w:val="0"/>
          <w:divBdr>
            <w:top w:val="none" w:sz="0" w:space="0" w:color="auto"/>
            <w:left w:val="none" w:sz="0" w:space="0" w:color="auto"/>
            <w:bottom w:val="none" w:sz="0" w:space="0" w:color="auto"/>
            <w:right w:val="none" w:sz="0" w:space="0" w:color="auto"/>
          </w:divBdr>
        </w:div>
        <w:div w:id="149752955">
          <w:marLeft w:val="0"/>
          <w:marRight w:val="0"/>
          <w:marTop w:val="0"/>
          <w:marBottom w:val="0"/>
          <w:divBdr>
            <w:top w:val="none" w:sz="0" w:space="0" w:color="auto"/>
            <w:left w:val="none" w:sz="0" w:space="0" w:color="auto"/>
            <w:bottom w:val="none" w:sz="0" w:space="0" w:color="auto"/>
            <w:right w:val="none" w:sz="0" w:space="0" w:color="auto"/>
          </w:divBdr>
        </w:div>
      </w:divsChild>
    </w:div>
    <w:div w:id="1661077074">
      <w:bodyDiv w:val="1"/>
      <w:marLeft w:val="0"/>
      <w:marRight w:val="0"/>
      <w:marTop w:val="0"/>
      <w:marBottom w:val="0"/>
      <w:divBdr>
        <w:top w:val="none" w:sz="0" w:space="0" w:color="auto"/>
        <w:left w:val="none" w:sz="0" w:space="0" w:color="auto"/>
        <w:bottom w:val="none" w:sz="0" w:space="0" w:color="auto"/>
        <w:right w:val="none" w:sz="0" w:space="0" w:color="auto"/>
      </w:divBdr>
    </w:div>
    <w:div w:id="1802377560">
      <w:bodyDiv w:val="1"/>
      <w:marLeft w:val="0"/>
      <w:marRight w:val="0"/>
      <w:marTop w:val="0"/>
      <w:marBottom w:val="0"/>
      <w:divBdr>
        <w:top w:val="none" w:sz="0" w:space="0" w:color="auto"/>
        <w:left w:val="none" w:sz="0" w:space="0" w:color="auto"/>
        <w:bottom w:val="none" w:sz="0" w:space="0" w:color="auto"/>
        <w:right w:val="none" w:sz="0" w:space="0" w:color="auto"/>
      </w:divBdr>
    </w:div>
    <w:div w:id="1886134736">
      <w:bodyDiv w:val="1"/>
      <w:marLeft w:val="0"/>
      <w:marRight w:val="0"/>
      <w:marTop w:val="0"/>
      <w:marBottom w:val="0"/>
      <w:divBdr>
        <w:top w:val="none" w:sz="0" w:space="0" w:color="auto"/>
        <w:left w:val="none" w:sz="0" w:space="0" w:color="auto"/>
        <w:bottom w:val="none" w:sz="0" w:space="0" w:color="auto"/>
        <w:right w:val="none" w:sz="0" w:space="0" w:color="auto"/>
      </w:divBdr>
    </w:div>
    <w:div w:id="20301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report/YDySdPq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report/rvCH9pc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urecyclewa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2439</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 McNeill</dc:creator>
  <cp:keywords/>
  <dc:description/>
  <cp:lastModifiedBy>Marc Spezialy</cp:lastModifiedBy>
  <cp:revision>3</cp:revision>
  <dcterms:created xsi:type="dcterms:W3CDTF">2024-11-13T16:26:00Z</dcterms:created>
  <dcterms:modified xsi:type="dcterms:W3CDTF">2024-11-13T17:04:00Z</dcterms:modified>
</cp:coreProperties>
</file>