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3B73" w14:textId="59E6416F" w:rsidR="00DA324C" w:rsidRDefault="00DA324C" w:rsidP="00DA324C">
      <w:pPr>
        <w:rPr>
          <w:b/>
          <w:bCs/>
        </w:rPr>
      </w:pPr>
      <w:proofErr w:type="spellStart"/>
      <w:r>
        <w:rPr>
          <w:b/>
          <w:bCs/>
        </w:rPr>
        <w:t>Laxxon</w:t>
      </w:r>
      <w:proofErr w:type="spellEnd"/>
      <w:r>
        <w:rPr>
          <w:b/>
          <w:bCs/>
        </w:rPr>
        <w:t xml:space="preserve"> Medical Announces Appointment of Two New Members</w:t>
      </w:r>
      <w:r w:rsidR="00083B20">
        <w:rPr>
          <w:b/>
          <w:bCs/>
        </w:rPr>
        <w:t xml:space="preserve"> to</w:t>
      </w:r>
      <w:r>
        <w:rPr>
          <w:b/>
          <w:bCs/>
        </w:rPr>
        <w:t xml:space="preserve"> Board of Directors </w:t>
      </w:r>
      <w:r>
        <w:rPr>
          <w:b/>
          <w:bCs/>
        </w:rPr>
        <w:br/>
      </w:r>
      <w:r>
        <w:rPr>
          <w:b/>
          <w:bCs/>
        </w:rPr>
        <w:br/>
      </w:r>
      <w:r w:rsidRPr="00DA324C">
        <w:rPr>
          <w:i/>
          <w:iCs/>
        </w:rPr>
        <w:t>New independent directors Christof Bircher and Nneka Ukpai bring significant expertise</w:t>
      </w:r>
      <w:r>
        <w:rPr>
          <w:i/>
          <w:iCs/>
        </w:rPr>
        <w:t xml:space="preserve"> in </w:t>
      </w:r>
      <w:r w:rsidRPr="00DA324C">
        <w:t>business strategy, corporate finance and technology development</w:t>
      </w:r>
      <w:r w:rsidRPr="00DA324C">
        <w:rPr>
          <w:i/>
          <w:iCs/>
        </w:rPr>
        <w:t xml:space="preserve"> to </w:t>
      </w:r>
      <w:proofErr w:type="spellStart"/>
      <w:r w:rsidRPr="00DA324C">
        <w:rPr>
          <w:i/>
          <w:iCs/>
        </w:rPr>
        <w:t>Laxxon’s</w:t>
      </w:r>
      <w:proofErr w:type="spellEnd"/>
      <w:r w:rsidRPr="00DA324C">
        <w:rPr>
          <w:i/>
          <w:iCs/>
        </w:rPr>
        <w:t xml:space="preserve"> Board of Directors.</w:t>
      </w:r>
      <w:r>
        <w:t xml:space="preserve"> </w:t>
      </w:r>
      <w:r>
        <w:br/>
      </w:r>
      <w:r w:rsidRPr="00DA324C">
        <w:br/>
        <w:t>(New York, New York)</w:t>
      </w:r>
      <w:r>
        <w:t xml:space="preserve"> </w:t>
      </w:r>
      <w:proofErr w:type="spellStart"/>
      <w:r>
        <w:t>Laxxon</w:t>
      </w:r>
      <w:proofErr w:type="spellEnd"/>
      <w:r>
        <w:t xml:space="preserve"> Medical, a leader in pharmaceutical drug delivery, announced today the appointment of new independent directors to its Board of Directors: </w:t>
      </w:r>
      <w:r w:rsidRPr="00DA324C">
        <w:t>Christof Bircher</w:t>
      </w:r>
      <w:r>
        <w:t xml:space="preserve"> and </w:t>
      </w:r>
      <w:r w:rsidRPr="00DA324C">
        <w:t>Nneka Ukpai</w:t>
      </w:r>
      <w:r w:rsidR="00360184">
        <w:t xml:space="preserve">. </w:t>
      </w:r>
    </w:p>
    <w:p w14:paraId="64A1808F" w14:textId="77777777" w:rsidR="00DA324C" w:rsidRDefault="00DA324C" w:rsidP="00DA324C"/>
    <w:p w14:paraId="75C43905" w14:textId="0AA50B91" w:rsidR="00E63E97" w:rsidRDefault="00E63E97" w:rsidP="00E63E97">
      <w:r w:rsidRPr="00DA324C">
        <w:t xml:space="preserve">“We are excited to welcome </w:t>
      </w:r>
      <w:r>
        <w:t xml:space="preserve">both </w:t>
      </w:r>
      <w:r w:rsidRPr="00DA324C">
        <w:t xml:space="preserve">Christof </w:t>
      </w:r>
      <w:r>
        <w:t xml:space="preserve">Bircher </w:t>
      </w:r>
      <w:r w:rsidRPr="00DA324C">
        <w:t xml:space="preserve">and Nneka </w:t>
      </w:r>
      <w:r>
        <w:t xml:space="preserve">Ukpai </w:t>
      </w:r>
      <w:r w:rsidRPr="00DA324C">
        <w:t>to</w:t>
      </w:r>
      <w:r>
        <w:t xml:space="preserve"> </w:t>
      </w:r>
      <w:proofErr w:type="spellStart"/>
      <w:r>
        <w:t>Laxxon’s</w:t>
      </w:r>
      <w:proofErr w:type="spellEnd"/>
      <w:r w:rsidRPr="00DA324C">
        <w:t xml:space="preserve"> Board of Directors,” said Helmut </w:t>
      </w:r>
      <w:proofErr w:type="spellStart"/>
      <w:r w:rsidRPr="00DA324C">
        <w:t>Kerschbaumer</w:t>
      </w:r>
      <w:proofErr w:type="spellEnd"/>
      <w:r w:rsidRPr="00DA324C">
        <w:t xml:space="preserve">, </w:t>
      </w:r>
      <w:proofErr w:type="spellStart"/>
      <w:r>
        <w:t>Laxxon</w:t>
      </w:r>
      <w:proofErr w:type="spellEnd"/>
      <w:r>
        <w:t xml:space="preserve"> </w:t>
      </w:r>
      <w:r w:rsidRPr="00DA324C">
        <w:t>CEO and Chairman of the Boar</w:t>
      </w:r>
      <w:r>
        <w:t>d</w:t>
      </w:r>
      <w:r w:rsidRPr="00DA324C">
        <w:t>. “Both will bring extensive experience in business strategy, corporate finance and technology development</w:t>
      </w:r>
      <w:r>
        <w:t xml:space="preserve">, </w:t>
      </w:r>
      <w:r w:rsidRPr="00DA324C">
        <w:t xml:space="preserve">having worked with some of today’s leading global technology organizations. Their expertise will help </w:t>
      </w:r>
      <w:proofErr w:type="spellStart"/>
      <w:r w:rsidRPr="00DA324C">
        <w:t>Laxxon</w:t>
      </w:r>
      <w:proofErr w:type="spellEnd"/>
      <w:r w:rsidRPr="00DA324C">
        <w:t xml:space="preserve"> further </w:t>
      </w:r>
      <w:r>
        <w:t>our</w:t>
      </w:r>
      <w:r w:rsidRPr="00DA324C">
        <w:t xml:space="preserve"> strategy </w:t>
      </w:r>
      <w:r>
        <w:t>and</w:t>
      </w:r>
      <w:r w:rsidRPr="00DA324C">
        <w:t xml:space="preserve"> delivering long-term shareholder value</w:t>
      </w:r>
      <w:r w:rsidR="005F116A">
        <w:t xml:space="preserve">.” </w:t>
      </w:r>
    </w:p>
    <w:p w14:paraId="6384B943" w14:textId="77777777" w:rsidR="00E63E97" w:rsidRDefault="00E63E97" w:rsidP="00DA324C"/>
    <w:p w14:paraId="7969843F" w14:textId="385FA1B0" w:rsidR="00DA324C" w:rsidRDefault="00DA324C" w:rsidP="00DA324C">
      <w:r>
        <w:t xml:space="preserve">Christof Bircher is the Director of Digital Transformation, Marketing and Business Development and an executive board member at </w:t>
      </w:r>
      <w:proofErr w:type="spellStart"/>
      <w:r w:rsidRPr="00DA324C">
        <w:t>Büchi</w:t>
      </w:r>
      <w:proofErr w:type="spellEnd"/>
      <w:r w:rsidRPr="00DA324C">
        <w:t xml:space="preserve"> AG</w:t>
      </w:r>
      <w:r>
        <w:t xml:space="preserve">, a leading provider of high-quality laboratory equipment and in-process solutions. Bircher and has been with </w:t>
      </w:r>
      <w:proofErr w:type="spellStart"/>
      <w:r w:rsidRPr="00DA324C">
        <w:t>Büchi</w:t>
      </w:r>
      <w:proofErr w:type="spellEnd"/>
      <w:r w:rsidRPr="00DA324C">
        <w:t xml:space="preserve"> AG</w:t>
      </w:r>
      <w:r>
        <w:t xml:space="preserve"> since 2016.  </w:t>
      </w:r>
    </w:p>
    <w:p w14:paraId="7CD9DA11" w14:textId="77777777" w:rsidR="00DA324C" w:rsidRDefault="00DA324C" w:rsidP="00DA324C"/>
    <w:p w14:paraId="4D003056" w14:textId="1968B6C1" w:rsidR="00DA324C" w:rsidRDefault="00DA324C" w:rsidP="00DA324C">
      <w:r>
        <w:t xml:space="preserve">Bircher previously served </w:t>
      </w:r>
      <w:r w:rsidR="00ED32DD">
        <w:t xml:space="preserve">for over 15 years </w:t>
      </w:r>
      <w:r>
        <w:t>at Mettler Toledo, a global analytical laboratory instrument manufacturing company</w:t>
      </w:r>
      <w:r w:rsidR="00254F75">
        <w:t xml:space="preserve">. Bircher began his career </w:t>
      </w:r>
      <w:r w:rsidR="002E058F">
        <w:t>on the analytical side of</w:t>
      </w:r>
      <w:r w:rsidR="00254F75">
        <w:t xml:space="preserve"> Mettler Toledo </w:t>
      </w:r>
      <w:r>
        <w:t>in product management</w:t>
      </w:r>
      <w:r w:rsidR="00B273B7">
        <w:t xml:space="preserve">, overseeing hardware and software development </w:t>
      </w:r>
      <w:r w:rsidR="0063016B">
        <w:t xml:space="preserve">before </w:t>
      </w:r>
      <w:r w:rsidR="00F305D6">
        <w:t xml:space="preserve">eventually building the </w:t>
      </w:r>
      <w:r w:rsidR="0063016B">
        <w:t>c</w:t>
      </w:r>
      <w:r w:rsidR="00F305D6">
        <w:t xml:space="preserve">ompany’s software business strategy </w:t>
      </w:r>
      <w:r w:rsidR="0063016B">
        <w:t xml:space="preserve">as </w:t>
      </w:r>
      <w:r>
        <w:t>Head of Strategic Business Unit Analytical Chemistry</w:t>
      </w:r>
      <w:r w:rsidR="0063016B">
        <w:t xml:space="preserve">. In 2009, Mettler Toledo appointed Bircher </w:t>
      </w:r>
      <w:r w:rsidR="00E63E97">
        <w:t>t</w:t>
      </w:r>
      <w:r w:rsidR="00AE7F87">
        <w:t xml:space="preserve">o the senior leadership committee </w:t>
      </w:r>
      <w:r w:rsidR="0063016B">
        <w:t xml:space="preserve">as </w:t>
      </w:r>
      <w:r>
        <w:t>Head of Global Marketing and Corporate Communication</w:t>
      </w:r>
      <w:r w:rsidR="00AE7F87">
        <w:t xml:space="preserve"> until 2016, when Bircher </w:t>
      </w:r>
      <w:r w:rsidR="00D52CA4">
        <w:t>joined</w:t>
      </w:r>
      <w:r>
        <w:t xml:space="preserve"> </w:t>
      </w:r>
      <w:proofErr w:type="spellStart"/>
      <w:r w:rsidR="00D52CA4" w:rsidRPr="00DA324C">
        <w:t>Büchi</w:t>
      </w:r>
      <w:proofErr w:type="spellEnd"/>
      <w:r w:rsidR="00D52CA4" w:rsidRPr="00DA324C">
        <w:t xml:space="preserve"> AG</w:t>
      </w:r>
      <w:r w:rsidR="00D52CA4">
        <w:t xml:space="preserve"> to lead the </w:t>
      </w:r>
      <w:r w:rsidR="00AD4C66">
        <w:t xml:space="preserve">company’s </w:t>
      </w:r>
      <w:r w:rsidR="002C359D">
        <w:t xml:space="preserve">worldwide </w:t>
      </w:r>
      <w:r w:rsidR="00A3510E">
        <w:t>communications, business development and digital innovation</w:t>
      </w:r>
      <w:r w:rsidR="00E63E97">
        <w:t xml:space="preserve">. </w:t>
      </w:r>
    </w:p>
    <w:p w14:paraId="05B90390" w14:textId="77777777" w:rsidR="00DA324C" w:rsidRDefault="00DA324C" w:rsidP="00DA324C">
      <w:pPr>
        <w:rPr>
          <w:b/>
          <w:bCs/>
        </w:rPr>
      </w:pPr>
    </w:p>
    <w:p w14:paraId="10B35E33" w14:textId="22D7F6B4" w:rsidR="00ED32DD" w:rsidRPr="00ED32DD" w:rsidRDefault="00ED32DD" w:rsidP="00ED32DD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</w:pPr>
      <w:r w:rsidRPr="00ED32DD">
        <w:t>Nneka Ukpai is a financial technology innovator working with Pop Venture to democratize access to private capital markets. Nneka previously served as the Head of Financial Innovation at Better, a leading homeownership platform and the fastest fintech to surpass $100Bn in funded volume.</w:t>
      </w:r>
    </w:p>
    <w:p w14:paraId="2F56019A" w14:textId="75711C20" w:rsidR="00DA324C" w:rsidRPr="00150AA6" w:rsidRDefault="00ED32DD" w:rsidP="00744264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</w:pPr>
      <w:r w:rsidRPr="00ED32DD">
        <w:t>Prior to Better, Nneka was a senior attorney at a renowned global law firm where she helped C-Suite executives navigate global regulatory and enforcement actions. Nneka is a proud alumna of Howard University and Harvard Law School, where she holds a distinguished teaching faculty position in Harvard’s Trial Advocacy Workshop. Nneka's passion for driving growth while mitigating business risk makes her a trusted advisor to CEOs and has led her to serve on multiple private boards.</w:t>
      </w:r>
    </w:p>
    <w:p w14:paraId="370703AF" w14:textId="77777777" w:rsidR="00DA324C" w:rsidRDefault="00DA324C" w:rsidP="00744264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  <w:rPr>
          <w:rFonts w:ascii="Calibri" w:eastAsia="Calibri" w:hAnsi="Calibri" w:cs="Calibri"/>
          <w:b/>
          <w:bCs/>
        </w:rPr>
      </w:pPr>
    </w:p>
    <w:p w14:paraId="6B769061" w14:textId="349766F8" w:rsidR="00DA324C" w:rsidRPr="00F079C6" w:rsidRDefault="00DA324C" w:rsidP="00744264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  <w:rPr>
          <w:rFonts w:ascii="Calibri" w:eastAsia="Calibri" w:hAnsi="Calibri" w:cs="Calibri"/>
          <w:b/>
          <w:bCs/>
        </w:rPr>
      </w:pPr>
      <w:r w:rsidRPr="00F079C6">
        <w:rPr>
          <w:rFonts w:ascii="Calibri" w:eastAsia="Calibri" w:hAnsi="Calibri" w:cs="Calibri"/>
          <w:b/>
          <w:bCs/>
        </w:rPr>
        <w:lastRenderedPageBreak/>
        <w:t xml:space="preserve">About </w:t>
      </w:r>
      <w:proofErr w:type="spellStart"/>
      <w:r w:rsidRPr="00F079C6">
        <w:rPr>
          <w:rFonts w:ascii="Calibri" w:eastAsia="Calibri" w:hAnsi="Calibri" w:cs="Calibri"/>
          <w:b/>
          <w:bCs/>
        </w:rPr>
        <w:t>Laxxon</w:t>
      </w:r>
      <w:proofErr w:type="spellEnd"/>
      <w:r w:rsidRPr="00F079C6">
        <w:rPr>
          <w:rFonts w:ascii="Calibri" w:eastAsia="Calibri" w:hAnsi="Calibri" w:cs="Calibri"/>
          <w:b/>
          <w:bCs/>
        </w:rPr>
        <w:t xml:space="preserve"> Medical </w:t>
      </w:r>
    </w:p>
    <w:p w14:paraId="3E8DBEC4" w14:textId="57B9B5BA" w:rsidR="00DA324C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ind w:left="-20" w:right="-20"/>
        <w:rPr>
          <w:rFonts w:ascii="Calibri" w:eastAsia="Calibri" w:hAnsi="Calibri" w:cs="Calibri"/>
        </w:rPr>
      </w:pPr>
      <w:hyperlink r:id="rId4">
        <w:proofErr w:type="spellStart"/>
        <w:r w:rsidRPr="00F079C6">
          <w:rPr>
            <w:rStyle w:val="Hyperlink"/>
            <w:rFonts w:ascii="Calibri" w:eastAsia="Calibri" w:hAnsi="Calibri" w:cs="Calibri"/>
          </w:rPr>
          <w:t>Laxxon</w:t>
        </w:r>
        <w:proofErr w:type="spellEnd"/>
        <w:r w:rsidRPr="00F079C6">
          <w:rPr>
            <w:rStyle w:val="Hyperlink"/>
            <w:rFonts w:ascii="Calibri" w:eastAsia="Calibri" w:hAnsi="Calibri" w:cs="Calibri"/>
          </w:rPr>
          <w:t xml:space="preserve"> Medical</w:t>
        </w:r>
      </w:hyperlink>
      <w:r w:rsidRPr="00F079C6">
        <w:rPr>
          <w:rFonts w:ascii="Calibri" w:eastAsia="Calibri" w:hAnsi="Calibri" w:cs="Calibri"/>
        </w:rPr>
        <w:t xml:space="preserve"> is a leading pharma-technology company and global leader of </w:t>
      </w:r>
      <w:r>
        <w:rPr>
          <w:rFonts w:ascii="Calibri" w:eastAsia="Calibri" w:hAnsi="Calibri" w:cs="Calibri"/>
        </w:rPr>
        <w:t xml:space="preserve">smart drug delivery systems in the </w:t>
      </w:r>
      <w:r w:rsidRPr="00F079C6">
        <w:rPr>
          <w:rFonts w:ascii="Calibri" w:eastAsia="Calibri" w:hAnsi="Calibri" w:cs="Calibri"/>
        </w:rPr>
        <w:t xml:space="preserve">pharmaceutical industry, pioneering a new generation of advanced pharmaceuticals designed to optimize drug delivery and maximize patient success through SPID®-Technology, </w:t>
      </w:r>
      <w:proofErr w:type="spellStart"/>
      <w:r w:rsidRPr="00F079C6">
        <w:rPr>
          <w:rFonts w:ascii="Calibri" w:eastAsia="Calibri" w:hAnsi="Calibri" w:cs="Calibri"/>
        </w:rPr>
        <w:t>Laxxon’s</w:t>
      </w:r>
      <w:proofErr w:type="spellEnd"/>
      <w:r w:rsidRPr="00F079C6">
        <w:rPr>
          <w:rFonts w:ascii="Calibri" w:eastAsia="Calibri" w:hAnsi="Calibri" w:cs="Calibri"/>
        </w:rPr>
        <w:t xml:space="preserve"> proprietary 3DSP technology platfo</w:t>
      </w:r>
      <w:r>
        <w:rPr>
          <w:rFonts w:ascii="Calibri" w:eastAsia="Calibri" w:hAnsi="Calibri" w:cs="Calibri"/>
        </w:rPr>
        <w:t>r</w:t>
      </w:r>
      <w:r w:rsidRPr="00F079C6">
        <w:rPr>
          <w:rFonts w:ascii="Calibri" w:eastAsia="Calibri" w:hAnsi="Calibri" w:cs="Calibri"/>
        </w:rPr>
        <w:t xml:space="preserve">m. </w:t>
      </w:r>
    </w:p>
    <w:p w14:paraId="5EDC43D6" w14:textId="77777777" w:rsidR="00DA324C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ind w:left="-20" w:right="-20"/>
        <w:rPr>
          <w:rFonts w:ascii="Calibri" w:eastAsia="Calibri" w:hAnsi="Calibri" w:cs="Calibri"/>
        </w:rPr>
      </w:pPr>
    </w:p>
    <w:p w14:paraId="43235264" w14:textId="77777777" w:rsidR="00DA324C" w:rsidRPr="00F079C6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ind w:left="-20" w:right="-20"/>
        <w:rPr>
          <w:rFonts w:ascii="Calibri" w:eastAsia="Calibri" w:hAnsi="Calibri" w:cs="Calibri"/>
        </w:rPr>
      </w:pPr>
      <w:r w:rsidRPr="00F079C6">
        <w:rPr>
          <w:rFonts w:ascii="Calibri" w:eastAsia="Calibri" w:hAnsi="Calibri" w:cs="Calibri"/>
        </w:rPr>
        <w:t xml:space="preserve">SPID®-Technology unlocks innovative drug delivery advancements paired with fast-tracked market access and extensive IP protection to yield disruptive opportunities in drug development and commercialization. </w:t>
      </w:r>
      <w:r>
        <w:rPr>
          <w:rFonts w:ascii="Calibri" w:eastAsia="Calibri" w:hAnsi="Calibri" w:cs="Calibri"/>
        </w:rPr>
        <w:br/>
      </w:r>
    </w:p>
    <w:p w14:paraId="3D1CA483" w14:textId="77777777" w:rsidR="00DA324C" w:rsidRPr="00F079C6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  <w:rPr>
          <w:rFonts w:ascii="Calibri" w:eastAsia="Calibri" w:hAnsi="Calibri" w:cs="Calibri"/>
        </w:rPr>
      </w:pPr>
      <w:r w:rsidRPr="00F079C6">
        <w:rPr>
          <w:rFonts w:ascii="Calibri" w:eastAsia="Calibri" w:hAnsi="Calibri" w:cs="Calibri"/>
        </w:rPr>
        <w:t xml:space="preserve">With SPID®-Technology, </w:t>
      </w:r>
      <w:proofErr w:type="spellStart"/>
      <w:r w:rsidRPr="00F079C6">
        <w:rPr>
          <w:rFonts w:ascii="Calibri" w:eastAsia="Calibri" w:hAnsi="Calibri" w:cs="Calibri"/>
        </w:rPr>
        <w:t>Laxxon</w:t>
      </w:r>
      <w:proofErr w:type="spellEnd"/>
      <w:r w:rsidRPr="00F079C6">
        <w:rPr>
          <w:rFonts w:ascii="Calibri" w:eastAsia="Calibri" w:hAnsi="Calibri" w:cs="Calibri"/>
        </w:rPr>
        <w:t xml:space="preserve"> can develop and manufacture advanced versions of new and existing pharmaceutical drugs while extending and adding new patent protection through the technology transfer process. </w:t>
      </w:r>
      <w:proofErr w:type="spellStart"/>
      <w:r w:rsidRPr="00F079C6">
        <w:rPr>
          <w:rFonts w:ascii="Calibri" w:eastAsia="Calibri" w:hAnsi="Calibri" w:cs="Calibri"/>
        </w:rPr>
        <w:t>Laxxon</w:t>
      </w:r>
      <w:proofErr w:type="spellEnd"/>
      <w:r w:rsidRPr="00F079C6">
        <w:rPr>
          <w:rFonts w:ascii="Calibri" w:eastAsia="Calibri" w:hAnsi="Calibri" w:cs="Calibri"/>
        </w:rPr>
        <w:t xml:space="preserve"> can fully utilize the FDA’s 505</w:t>
      </w:r>
      <w:proofErr w:type="gramStart"/>
      <w:r w:rsidRPr="00F079C6">
        <w:rPr>
          <w:rFonts w:ascii="Calibri" w:eastAsia="Calibri" w:hAnsi="Calibri" w:cs="Calibri"/>
        </w:rPr>
        <w:t>b(</w:t>
      </w:r>
      <w:proofErr w:type="gramEnd"/>
      <w:r w:rsidRPr="00F079C6">
        <w:rPr>
          <w:rFonts w:ascii="Calibri" w:eastAsia="Calibri" w:hAnsi="Calibri" w:cs="Calibri"/>
        </w:rPr>
        <w:t xml:space="preserve">2) regulatory pathway in the US and Hybrid applications under article 10(3) of Directive 2001/83/EC in the EUR, which fast tracks product routes to market. </w:t>
      </w:r>
    </w:p>
    <w:p w14:paraId="0EE01BCC" w14:textId="77777777" w:rsidR="00DA324C" w:rsidRPr="00F079C6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  <w:rPr>
          <w:rFonts w:ascii="Calibri" w:eastAsia="Calibri" w:hAnsi="Calibri" w:cs="Calibri"/>
        </w:rPr>
      </w:pPr>
      <w:proofErr w:type="spellStart"/>
      <w:r w:rsidRPr="00F079C6">
        <w:rPr>
          <w:rFonts w:ascii="Calibri" w:eastAsia="Calibri" w:hAnsi="Calibri" w:cs="Calibri"/>
        </w:rPr>
        <w:t>Laxxon's</w:t>
      </w:r>
      <w:proofErr w:type="spellEnd"/>
      <w:r w:rsidRPr="00F079C6">
        <w:rPr>
          <w:rFonts w:ascii="Calibri" w:eastAsia="Calibri" w:hAnsi="Calibri" w:cs="Calibri"/>
        </w:rPr>
        <w:t xml:space="preserve"> pipeline includes ongoing working-projects with notable pharma players, biotech companies and research universities, in addition to 13 in-house Advanced Patented Generics products. </w:t>
      </w:r>
      <w:proofErr w:type="spellStart"/>
      <w:r w:rsidRPr="00F079C6">
        <w:rPr>
          <w:rFonts w:ascii="Calibri" w:eastAsia="Calibri" w:hAnsi="Calibri" w:cs="Calibri"/>
        </w:rPr>
        <w:t>Laxxon's</w:t>
      </w:r>
      <w:proofErr w:type="spellEnd"/>
      <w:r w:rsidRPr="00F079C6">
        <w:rPr>
          <w:rFonts w:ascii="Calibri" w:eastAsia="Calibri" w:hAnsi="Calibri" w:cs="Calibri"/>
        </w:rPr>
        <w:t xml:space="preserve"> IP is continuously growing, and together with the licensed IP from </w:t>
      </w:r>
      <w:proofErr w:type="spellStart"/>
      <w:r w:rsidRPr="00F079C6">
        <w:rPr>
          <w:rFonts w:ascii="Calibri" w:eastAsia="Calibri" w:hAnsi="Calibri" w:cs="Calibri"/>
        </w:rPr>
        <w:t>Exentis</w:t>
      </w:r>
      <w:proofErr w:type="spellEnd"/>
      <w:r w:rsidRPr="00F079C6">
        <w:rPr>
          <w:rFonts w:ascii="Calibri" w:eastAsia="Calibri" w:hAnsi="Calibri" w:cs="Calibri"/>
        </w:rPr>
        <w:t xml:space="preserve"> Group, consists of</w:t>
      </w:r>
      <w:r>
        <w:rPr>
          <w:rFonts w:ascii="Calibri" w:eastAsia="Calibri" w:hAnsi="Calibri" w:cs="Calibri"/>
        </w:rPr>
        <w:t xml:space="preserve"> &gt;</w:t>
      </w:r>
      <w:r w:rsidRPr="00F079C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230</w:t>
      </w:r>
      <w:r w:rsidRPr="00F079C6">
        <w:rPr>
          <w:rFonts w:ascii="Calibri" w:eastAsia="Calibri" w:hAnsi="Calibri" w:cs="Calibri"/>
        </w:rPr>
        <w:t xml:space="preserve"> patents and patent applications with more than </w:t>
      </w:r>
      <w:r>
        <w:rPr>
          <w:rFonts w:ascii="Calibri" w:eastAsia="Calibri" w:hAnsi="Calibri" w:cs="Calibri"/>
        </w:rPr>
        <w:t>5</w:t>
      </w:r>
      <w:r w:rsidRPr="00F079C6">
        <w:rPr>
          <w:rFonts w:ascii="Calibri" w:eastAsia="Calibri" w:hAnsi="Calibri" w:cs="Calibri"/>
        </w:rPr>
        <w:t>,000 patent claims.</w:t>
      </w:r>
    </w:p>
    <w:p w14:paraId="46970B4B" w14:textId="77777777" w:rsidR="00DA324C" w:rsidRDefault="00DA324C" w:rsidP="00DA324C">
      <w:pPr>
        <w:pBdr>
          <w:top w:val="nil"/>
          <w:left w:val="nil"/>
          <w:bottom w:val="nil"/>
          <w:right w:val="nil"/>
        </w:pBdr>
        <w:shd w:val="clear" w:color="auto" w:fill="FFFFFF" w:themeFill="background1"/>
        <w:spacing w:after="240"/>
        <w:rPr>
          <w:rFonts w:ascii="Calibri" w:eastAsia="Calibri" w:hAnsi="Calibri" w:cs="Calibri"/>
        </w:rPr>
      </w:pPr>
      <w:r w:rsidRPr="00F079C6">
        <w:rPr>
          <w:rFonts w:ascii="Calibri" w:eastAsia="Calibri" w:hAnsi="Calibri" w:cs="Calibri"/>
        </w:rPr>
        <w:t xml:space="preserve">Learn more at </w:t>
      </w:r>
      <w:hyperlink r:id="rId5">
        <w:r w:rsidRPr="00F079C6">
          <w:rPr>
            <w:rStyle w:val="Hyperlink"/>
            <w:rFonts w:ascii="Calibri" w:eastAsia="Calibri" w:hAnsi="Calibri" w:cs="Calibri"/>
          </w:rPr>
          <w:t>www.laxxonmedical.com</w:t>
        </w:r>
      </w:hyperlink>
      <w:r w:rsidRPr="00F079C6">
        <w:rPr>
          <w:rFonts w:ascii="Calibri" w:eastAsia="Calibri" w:hAnsi="Calibri" w:cs="Calibri"/>
        </w:rPr>
        <w:t>.</w:t>
      </w:r>
    </w:p>
    <w:p w14:paraId="308DED3A" w14:textId="77777777" w:rsidR="00DB17B7" w:rsidRDefault="00DB17B7"/>
    <w:sectPr w:rsidR="00DB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4C"/>
    <w:rsid w:val="00072652"/>
    <w:rsid w:val="00083B20"/>
    <w:rsid w:val="00150AA6"/>
    <w:rsid w:val="00254F75"/>
    <w:rsid w:val="002C359D"/>
    <w:rsid w:val="002E058F"/>
    <w:rsid w:val="00360184"/>
    <w:rsid w:val="004F04D7"/>
    <w:rsid w:val="005F116A"/>
    <w:rsid w:val="00606A8B"/>
    <w:rsid w:val="0063016B"/>
    <w:rsid w:val="00744264"/>
    <w:rsid w:val="00943440"/>
    <w:rsid w:val="00A060A7"/>
    <w:rsid w:val="00A3510E"/>
    <w:rsid w:val="00AC680B"/>
    <w:rsid w:val="00AD4C66"/>
    <w:rsid w:val="00AE7F87"/>
    <w:rsid w:val="00B273B7"/>
    <w:rsid w:val="00B6265D"/>
    <w:rsid w:val="00CB4453"/>
    <w:rsid w:val="00D52CA4"/>
    <w:rsid w:val="00DA324C"/>
    <w:rsid w:val="00DB17B7"/>
    <w:rsid w:val="00E63E97"/>
    <w:rsid w:val="00ED32DD"/>
    <w:rsid w:val="00F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0EC8D"/>
  <w15:chartTrackingRefBased/>
  <w15:docId w15:val="{4983A75F-9B33-A246-B458-24013D5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4C"/>
  </w:style>
  <w:style w:type="paragraph" w:styleId="Heading1">
    <w:name w:val="heading 1"/>
    <w:basedOn w:val="Normal"/>
    <w:next w:val="Normal"/>
    <w:link w:val="Heading1Char"/>
    <w:uiPriority w:val="9"/>
    <w:qFormat/>
    <w:rsid w:val="00DA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2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.report/tdMHFaer" TargetMode="External"/><Relationship Id="rId4" Type="http://schemas.openxmlformats.org/officeDocument/2006/relationships/hyperlink" Target="https://www.laxxonmed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Hoggard</dc:creator>
  <cp:keywords/>
  <dc:description/>
  <cp:lastModifiedBy>Frances Hoggard</cp:lastModifiedBy>
  <cp:revision>3</cp:revision>
  <dcterms:created xsi:type="dcterms:W3CDTF">2025-01-08T21:54:00Z</dcterms:created>
  <dcterms:modified xsi:type="dcterms:W3CDTF">2025-01-08T21:56:00Z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2024-12-16T16:54:06Z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ae7b616f-2ee9-45e5-b9f8-41c32e94fa68</vt:lpwstr>
  </property>
  <property fmtid="{D5CDD505-2E9C-101B-9397-08002B2CF9AE}" pid="7" name="MSIP_Label_defa4170-0d19-0005-0004-bc88714345d2_ActionId">
    <vt:lpwstr>86a7600b-180b-443c-9603-299e09dc7332</vt:lpwstr>
  </property>
  <property fmtid="{D5CDD505-2E9C-101B-9397-08002B2CF9AE}" pid="8" name="MSIP_Label_defa4170-0d19-0005-0004-bc88714345d2_ContentBits">
    <vt:lpwstr>0</vt:lpwstr>
  </property>
</Properties>
</file>